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465"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Uncertainty, the Implementation of Monetary Policy and the Management of Risk</w:t>
      </w:r>
    </w:p>
    <w:p>
      <w:pPr>
        <w:pStyle w:val="BodyText"/>
        <w:spacing w:before="280"/>
        <w:ind w:left="352"/>
        <w:rPr>
          <w:rFonts w:ascii="Arial"/>
        </w:rPr>
      </w:pPr>
      <w:r>
        <w:rPr>
          <w:rFonts w:ascii="Arial"/>
        </w:rPr>
        <w:t>Speech given by</w:t>
      </w:r>
    </w:p>
    <w:p>
      <w:pPr>
        <w:pStyle w:val="BodyText"/>
        <w:spacing w:line="720" w:lineRule="auto" w:before="137"/>
        <w:ind w:left="352" w:right="1641"/>
        <w:rPr>
          <w:rFonts w:ascii="Arial"/>
        </w:rPr>
      </w:pPr>
      <w:r>
        <w:rPr>
          <w:rFonts w:ascii="Arial"/>
        </w:rPr>
        <w:t>Paul Tucker, Member of the Monetary Policy Committee, Bank of England 19 May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2"/>
        <w:spacing w:line="357" w:lineRule="auto" w:before="76"/>
        <w:ind w:left="1015" w:right="644"/>
        <w:jc w:val="center"/>
      </w:pPr>
      <w:r>
        <w:rPr/>
        <w:t>ASSOCIATION OF CORPORATE TREASURERS, NEWPORT, 19 MAY 2006 UNCERTAINTY, THE IMPLEMENTATION OF MONETARY POLICY, AND THE MANAGEMENT OF RISK</w:t>
      </w:r>
    </w:p>
    <w:p>
      <w:pPr>
        <w:pStyle w:val="BodyText"/>
        <w:spacing w:before="2"/>
        <w:rPr>
          <w:b/>
          <w:sz w:val="36"/>
        </w:rPr>
      </w:pPr>
    </w:p>
    <w:p>
      <w:pPr>
        <w:pStyle w:val="BodyText"/>
        <w:spacing w:line="364" w:lineRule="auto"/>
        <w:ind w:left="475" w:right="294"/>
      </w:pPr>
      <w:r>
        <w:rPr>
          <w:spacing w:val="-4"/>
        </w:rPr>
        <w:t>Many </w:t>
      </w:r>
      <w:r>
        <w:rPr>
          <w:spacing w:val="2"/>
        </w:rPr>
        <w:t>of </w:t>
      </w:r>
      <w:r>
        <w:rPr>
          <w:spacing w:val="-5"/>
        </w:rPr>
        <w:t>us </w:t>
      </w:r>
      <w:r>
        <w:rPr/>
        <w:t>would probably say that we do not </w:t>
      </w:r>
      <w:r>
        <w:rPr>
          <w:spacing w:val="-3"/>
        </w:rPr>
        <w:t>much like uncertainty, whether </w:t>
      </w:r>
      <w:r>
        <w:rPr/>
        <w:t>at </w:t>
      </w:r>
      <w:r>
        <w:rPr>
          <w:spacing w:val="-3"/>
        </w:rPr>
        <w:t>work </w:t>
      </w:r>
      <w:r>
        <w:rPr/>
        <w:t>or </w:t>
      </w:r>
      <w:r>
        <w:rPr>
          <w:spacing w:val="-3"/>
        </w:rPr>
        <w:t>home. But </w:t>
      </w:r>
      <w:r>
        <w:rPr/>
        <w:t>we </w:t>
      </w:r>
      <w:r>
        <w:rPr>
          <w:spacing w:val="-4"/>
        </w:rPr>
        <w:t>cannot </w:t>
      </w:r>
      <w:r>
        <w:rPr/>
        <w:t>escape </w:t>
      </w:r>
      <w:r>
        <w:rPr>
          <w:spacing w:val="-5"/>
        </w:rPr>
        <w:t>it, </w:t>
      </w:r>
      <w:r>
        <w:rPr/>
        <w:t>and it provides opportunities. </w:t>
      </w:r>
      <w:r>
        <w:rPr>
          <w:spacing w:val="-4"/>
        </w:rPr>
        <w:t>Rather, </w:t>
      </w:r>
      <w:r>
        <w:rPr/>
        <w:t>we </w:t>
      </w:r>
      <w:r>
        <w:rPr>
          <w:spacing w:val="-3"/>
        </w:rPr>
        <w:t>want </w:t>
      </w:r>
      <w:r>
        <w:rPr/>
        <w:t>to be compensated </w:t>
      </w:r>
      <w:r>
        <w:rPr>
          <w:spacing w:val="-4"/>
        </w:rPr>
        <w:t>for </w:t>
      </w:r>
      <w:r>
        <w:rPr/>
        <w:t>the risk, or to mitigate it, or both.</w:t>
      </w:r>
    </w:p>
    <w:p>
      <w:pPr>
        <w:pStyle w:val="BodyText"/>
        <w:spacing w:before="4"/>
        <w:rPr>
          <w:sz w:val="35"/>
        </w:rPr>
      </w:pPr>
    </w:p>
    <w:p>
      <w:pPr>
        <w:pStyle w:val="BodyText"/>
        <w:spacing w:line="357" w:lineRule="auto"/>
        <w:ind w:left="475" w:right="182"/>
        <w:jc w:val="both"/>
      </w:pPr>
      <w:r>
        <w:rPr/>
        <w:t>What I think we actively </w:t>
      </w:r>
      <w:r>
        <w:rPr>
          <w:u w:val="single"/>
        </w:rPr>
        <w:t>dis</w:t>
      </w:r>
      <w:r>
        <w:rPr/>
        <w:t>like is </w:t>
      </w:r>
      <w:r>
        <w:rPr>
          <w:u w:val="single"/>
        </w:rPr>
        <w:t>avoidable</w:t>
      </w:r>
      <w:r>
        <w:rPr/>
        <w:t> uncertainty. And from the point of view of society, we </w:t>
      </w:r>
      <w:r>
        <w:rPr>
          <w:u w:val="single"/>
        </w:rPr>
        <w:t>should</w:t>
      </w:r>
      <w:r>
        <w:rPr/>
        <w:t> dislike uncertainties that are both avoidable and especially costly to mitigate for those who bear the consequent risks.</w:t>
      </w:r>
    </w:p>
    <w:p>
      <w:pPr>
        <w:pStyle w:val="BodyText"/>
        <w:spacing w:before="2"/>
        <w:rPr>
          <w:sz w:val="36"/>
        </w:rPr>
      </w:pPr>
    </w:p>
    <w:p>
      <w:pPr>
        <w:pStyle w:val="BodyText"/>
        <w:spacing w:line="360" w:lineRule="auto" w:before="1"/>
        <w:ind w:left="475" w:right="146"/>
      </w:pPr>
      <w:r>
        <w:rPr/>
        <w:t>I am going to discuss some sources of avoidable uncertainty – or volatility – that have affected you as corporate treasurers. And I will discuss some unavoidable sources of uncertainty, and what they might mean for risk management, at the level of firms and of the financial system as a whole.</w:t>
      </w:r>
    </w:p>
    <w:p>
      <w:pPr>
        <w:pStyle w:val="BodyText"/>
        <w:rPr>
          <w:sz w:val="36"/>
        </w:rPr>
      </w:pPr>
    </w:p>
    <w:p>
      <w:pPr>
        <w:pStyle w:val="Heading2"/>
        <w:spacing w:before="0"/>
        <w:ind w:left="475"/>
        <w:jc w:val="both"/>
      </w:pPr>
      <w:r>
        <w:rPr/>
        <w:t>Avoidable uncertainties: the monetary regime, and the implementation of monetary policy</w:t>
      </w:r>
    </w:p>
    <w:p>
      <w:pPr>
        <w:pStyle w:val="BodyText"/>
        <w:rPr>
          <w:b/>
          <w:sz w:val="26"/>
        </w:rPr>
      </w:pPr>
    </w:p>
    <w:p>
      <w:pPr>
        <w:pStyle w:val="BodyText"/>
        <w:spacing w:before="8"/>
        <w:rPr>
          <w:b/>
          <w:sz w:val="21"/>
        </w:rPr>
      </w:pPr>
    </w:p>
    <w:p>
      <w:pPr>
        <w:pStyle w:val="BodyText"/>
        <w:spacing w:line="360" w:lineRule="auto"/>
        <w:ind w:left="475" w:right="116"/>
      </w:pPr>
      <w:r>
        <w:rPr/>
        <w:t>For too </w:t>
      </w:r>
      <w:r>
        <w:rPr>
          <w:spacing w:val="-3"/>
        </w:rPr>
        <w:t>many </w:t>
      </w:r>
      <w:r>
        <w:rPr>
          <w:spacing w:val="-4"/>
        </w:rPr>
        <w:t>years </w:t>
      </w:r>
      <w:r>
        <w:rPr/>
        <w:t>in </w:t>
      </w:r>
      <w:r>
        <w:rPr>
          <w:spacing w:val="-3"/>
        </w:rPr>
        <w:t>the UK, </w:t>
      </w:r>
      <w:r>
        <w:rPr/>
        <w:t>we </w:t>
      </w:r>
      <w:r>
        <w:rPr>
          <w:spacing w:val="-4"/>
        </w:rPr>
        <w:t>lived </w:t>
      </w:r>
      <w:r>
        <w:rPr/>
        <w:t>with a large but avoidable element of </w:t>
      </w:r>
      <w:r>
        <w:rPr>
          <w:u w:val="single"/>
        </w:rPr>
        <w:t>macroeconomic</w:t>
      </w:r>
      <w:r>
        <w:rPr/>
        <w:t> uncertainty. It was unclear what rate of inflation households and businesses should expect to prevail over the </w:t>
      </w:r>
      <w:r>
        <w:rPr>
          <w:spacing w:val="-4"/>
        </w:rPr>
        <w:t>medium- </w:t>
      </w:r>
      <w:r>
        <w:rPr/>
        <w:t>to-long </w:t>
      </w:r>
      <w:r>
        <w:rPr>
          <w:spacing w:val="-3"/>
        </w:rPr>
        <w:t>run. </w:t>
      </w:r>
      <w:r>
        <w:rPr/>
        <w:t>In </w:t>
      </w:r>
      <w:r>
        <w:rPr>
          <w:spacing w:val="-3"/>
        </w:rPr>
        <w:t>other words, </w:t>
      </w:r>
      <w:r>
        <w:rPr/>
        <w:t>it was </w:t>
      </w:r>
      <w:r>
        <w:rPr>
          <w:spacing w:val="-3"/>
        </w:rPr>
        <w:t>unclear what </w:t>
      </w:r>
      <w:r>
        <w:rPr/>
        <w:t>policymakers were </w:t>
      </w:r>
      <w:r>
        <w:rPr>
          <w:spacing w:val="-4"/>
        </w:rPr>
        <w:t>trying </w:t>
      </w:r>
      <w:r>
        <w:rPr/>
        <w:t>to </w:t>
      </w:r>
      <w:r>
        <w:rPr>
          <w:spacing w:val="-4"/>
        </w:rPr>
        <w:t>achie </w:t>
      </w:r>
      <w:r>
        <w:rPr/>
        <w:t>ve; whether their goals shifted about; and whether policy makers </w:t>
      </w:r>
      <w:r>
        <w:rPr>
          <w:spacing w:val="-3"/>
        </w:rPr>
        <w:t>would </w:t>
      </w:r>
      <w:r>
        <w:rPr/>
        <w:t>succeed in delivering those </w:t>
      </w:r>
      <w:r>
        <w:rPr>
          <w:spacing w:val="-5"/>
        </w:rPr>
        <w:t>goals. </w:t>
      </w:r>
      <w:r>
        <w:rPr/>
        <w:t>That was resolved progressively during the 1990s, culminating in the Government’s announcement in 1997 that an operationally independent Bank of England was charged with achieving a clear inflation target. A stable monetary environment has reduced the quite unnecessary risk of </w:t>
      </w:r>
      <w:r>
        <w:rPr>
          <w:spacing w:val="-4"/>
        </w:rPr>
        <w:t>self- </w:t>
      </w:r>
      <w:r>
        <w:rPr/>
        <w:t>induced ‘boom and bust’ flipping about demand conditions across the economy as whole.</w:t>
      </w:r>
    </w:p>
    <w:p>
      <w:pPr>
        <w:pStyle w:val="BodyText"/>
        <w:rPr>
          <w:sz w:val="36"/>
        </w:rPr>
      </w:pPr>
    </w:p>
    <w:p>
      <w:pPr>
        <w:pStyle w:val="BodyText"/>
        <w:spacing w:line="360" w:lineRule="auto" w:before="1"/>
        <w:ind w:left="475" w:right="146"/>
        <w:rPr>
          <w:i/>
        </w:rPr>
      </w:pPr>
      <w:r>
        <w:rPr/>
        <w:t>For users of financial markets, the most visible sign of the change was the reduction in yields on conventional government bonds with </w:t>
      </w:r>
      <w:r>
        <w:rPr>
          <w:u w:val="single"/>
        </w:rPr>
        <w:t>long</w:t>
      </w:r>
      <w:r>
        <w:rPr/>
        <w:t> maturities, which had previously compensated for high and </w:t>
      </w:r>
      <w:r>
        <w:rPr>
          <w:u w:val="single"/>
        </w:rPr>
        <w:t>highly uncertain</w:t>
      </w:r>
      <w:r>
        <w:rPr/>
        <w:t> prospective inflation rates. By ushering in a world with a credible nominal anchor, one source of uncertainty and risk was significantly reduced. The </w:t>
      </w:r>
      <w:r>
        <w:rPr>
          <w:i/>
        </w:rPr>
        <w:t>ex post</w:t>
      </w:r>
    </w:p>
    <w:p>
      <w:pPr>
        <w:spacing w:after="0" w:line="360" w:lineRule="auto"/>
        <w:sectPr>
          <w:pgSz w:w="11920" w:h="16840"/>
          <w:pgMar w:top="1360" w:bottom="280" w:left="800" w:right="1180"/>
        </w:sectPr>
      </w:pPr>
    </w:p>
    <w:p>
      <w:pPr>
        <w:pStyle w:val="BodyText"/>
        <w:rPr>
          <w:i/>
          <w:sz w:val="20"/>
        </w:rPr>
      </w:pPr>
    </w:p>
    <w:p>
      <w:pPr>
        <w:pStyle w:val="BodyText"/>
        <w:spacing w:line="364" w:lineRule="auto" w:before="229"/>
        <w:ind w:left="475" w:right="146"/>
      </w:pPr>
      <w:r>
        <w:rPr>
          <w:spacing w:val="-3"/>
        </w:rPr>
        <w:t>annualised </w:t>
      </w:r>
      <w:r>
        <w:rPr/>
        <w:t>volatility of ten year gilt yields has </w:t>
      </w:r>
      <w:r>
        <w:rPr>
          <w:spacing w:val="-3"/>
        </w:rPr>
        <w:t>halved: </w:t>
      </w:r>
      <w:r>
        <w:rPr>
          <w:spacing w:val="-4"/>
        </w:rPr>
        <w:t>from </w:t>
      </w:r>
      <w:r>
        <w:rPr/>
        <w:t>over 200 basis points </w:t>
      </w:r>
      <w:r>
        <w:rPr>
          <w:spacing w:val="4"/>
        </w:rPr>
        <w:t>between </w:t>
      </w:r>
      <w:r>
        <w:rPr/>
        <w:t>1970 </w:t>
      </w:r>
      <w:r>
        <w:rPr>
          <w:spacing w:val="-4"/>
        </w:rPr>
        <w:t>and </w:t>
      </w:r>
      <w:r>
        <w:rPr/>
        <w:t>1997, to </w:t>
      </w:r>
      <w:r>
        <w:rPr>
          <w:spacing w:val="-3"/>
        </w:rPr>
        <w:t>under </w:t>
      </w:r>
      <w:r>
        <w:rPr/>
        <w:t>100 basis points </w:t>
      </w:r>
      <w:r>
        <w:rPr>
          <w:spacing w:val="-3"/>
        </w:rPr>
        <w:t>since </w:t>
      </w:r>
      <w:r>
        <w:rPr/>
        <w:t>the current monetary regime was </w:t>
      </w:r>
      <w:r>
        <w:rPr>
          <w:spacing w:val="-3"/>
        </w:rPr>
        <w:t>introduced (Table</w:t>
      </w:r>
      <w:r>
        <w:rPr>
          <w:spacing w:val="49"/>
        </w:rPr>
        <w:t> </w:t>
      </w:r>
      <w:r>
        <w:rPr>
          <w:spacing w:val="-3"/>
        </w:rPr>
        <w:t>1).</w:t>
      </w:r>
    </w:p>
    <w:p>
      <w:pPr>
        <w:pStyle w:val="BodyText"/>
        <w:spacing w:before="3"/>
        <w:rPr>
          <w:sz w:val="35"/>
        </w:rPr>
      </w:pPr>
    </w:p>
    <w:p>
      <w:pPr>
        <w:pStyle w:val="BodyText"/>
        <w:spacing w:line="352" w:lineRule="auto"/>
        <w:ind w:left="475" w:right="146"/>
      </w:pPr>
      <w:r>
        <w:rPr/>
        <w:t>That means that, as corporate treasurers, one source of unavoidable uncertainty about your long- run borrowing costs has been very significantly reduced.</w:t>
      </w:r>
    </w:p>
    <w:p>
      <w:pPr>
        <w:pStyle w:val="BodyText"/>
        <w:spacing w:before="8"/>
        <w:rPr>
          <w:sz w:val="37"/>
        </w:rPr>
      </w:pPr>
    </w:p>
    <w:p>
      <w:pPr>
        <w:pStyle w:val="BodyText"/>
        <w:spacing w:line="357" w:lineRule="auto"/>
        <w:ind w:left="475" w:right="146"/>
      </w:pPr>
      <w:r>
        <w:rPr/>
        <w:t>The introduction of the new monetary regime did not, and of course could not, remove uncertainty about the quarter-to-quarter, or indeed year-to- year, path of the economy and inflation. And so there remains a degree of unavoidable uncertainty about the short-term path of official rates, as the Monetary Policy Committee responds to cyclical developments.</w:t>
      </w:r>
    </w:p>
    <w:p>
      <w:pPr>
        <w:pStyle w:val="BodyText"/>
        <w:spacing w:line="360" w:lineRule="auto" w:before="6"/>
        <w:ind w:left="475" w:right="202"/>
      </w:pPr>
      <w:r>
        <w:rPr/>
        <w:t>Transparency can reduce that uncertainty, through our making clear </w:t>
      </w:r>
      <w:r>
        <w:rPr>
          <w:spacing w:val="-4"/>
        </w:rPr>
        <w:t>what </w:t>
      </w:r>
      <w:r>
        <w:rPr/>
        <w:t>we </w:t>
      </w:r>
      <w:r>
        <w:rPr>
          <w:spacing w:val="-3"/>
        </w:rPr>
        <w:t>think </w:t>
      </w:r>
      <w:r>
        <w:rPr/>
        <w:t>is </w:t>
      </w:r>
      <w:r>
        <w:rPr>
          <w:spacing w:val="-3"/>
        </w:rPr>
        <w:t>going </w:t>
      </w:r>
      <w:r>
        <w:rPr/>
        <w:t>on </w:t>
      </w:r>
      <w:r>
        <w:rPr>
          <w:spacing w:val="-3"/>
        </w:rPr>
        <w:t>in </w:t>
      </w:r>
      <w:r>
        <w:rPr/>
        <w:t>the economy and </w:t>
      </w:r>
      <w:r>
        <w:rPr>
          <w:spacing w:val="-6"/>
        </w:rPr>
        <w:t>how, </w:t>
      </w:r>
      <w:r>
        <w:rPr>
          <w:spacing w:val="-3"/>
        </w:rPr>
        <w:t>generally, </w:t>
      </w:r>
      <w:r>
        <w:rPr/>
        <w:t>we react to changes in the outlook. We do </w:t>
      </w:r>
      <w:r>
        <w:rPr>
          <w:spacing w:val="-3"/>
        </w:rPr>
        <w:t>that through the </w:t>
      </w:r>
      <w:r>
        <w:rPr/>
        <w:t>minutes of our monthly meetings and </w:t>
      </w:r>
      <w:r>
        <w:rPr>
          <w:spacing w:val="2"/>
        </w:rPr>
        <w:t>the </w:t>
      </w:r>
      <w:r>
        <w:rPr>
          <w:spacing w:val="-3"/>
        </w:rPr>
        <w:t>quarterly </w:t>
      </w:r>
      <w:r>
        <w:rPr/>
        <w:t>Inflation </w:t>
      </w:r>
      <w:r>
        <w:rPr>
          <w:spacing w:val="-3"/>
        </w:rPr>
        <w:t>Report; </w:t>
      </w:r>
      <w:r>
        <w:rPr/>
        <w:t>and, in terms of </w:t>
      </w:r>
      <w:r>
        <w:rPr>
          <w:spacing w:val="-2"/>
        </w:rPr>
        <w:t>our </w:t>
      </w:r>
      <w:r>
        <w:rPr/>
        <w:t>individual analyses, through speeches, etc. But, like anybody else, we cannot predict with certainty </w:t>
      </w:r>
      <w:r>
        <w:rPr>
          <w:spacing w:val="-3"/>
        </w:rPr>
        <w:t>what will happen </w:t>
      </w:r>
      <w:r>
        <w:rPr/>
        <w:t>in the economy. There are always material risks around the central </w:t>
      </w:r>
      <w:r>
        <w:rPr>
          <w:spacing w:val="-3"/>
        </w:rPr>
        <w:t>outlook. </w:t>
      </w:r>
      <w:r>
        <w:rPr/>
        <w:t>We </w:t>
      </w:r>
      <w:r>
        <w:rPr>
          <w:spacing w:val="-3"/>
        </w:rPr>
        <w:t>have </w:t>
      </w:r>
      <w:r>
        <w:rPr/>
        <w:t>to weigh those risks in our policy decisions in much the same way as you do in your business and financing</w:t>
      </w:r>
      <w:r>
        <w:rPr>
          <w:spacing w:val="16"/>
        </w:rPr>
        <w:t> </w:t>
      </w:r>
      <w:r>
        <w:rPr/>
        <w:t>decisions.</w:t>
      </w:r>
    </w:p>
    <w:p>
      <w:pPr>
        <w:pStyle w:val="BodyText"/>
        <w:spacing w:before="3"/>
        <w:rPr>
          <w:sz w:val="36"/>
        </w:rPr>
      </w:pPr>
    </w:p>
    <w:p>
      <w:pPr>
        <w:pStyle w:val="BodyText"/>
        <w:spacing w:line="357" w:lineRule="auto"/>
        <w:ind w:left="475" w:right="294"/>
      </w:pPr>
      <w:r>
        <w:rPr/>
        <w:t>In the midst of all this unavoidable uncertainty, however, a few things are not in doubt. The MPC’s official interest rate is certain. So there should be no uncertainty about the general level of overnight rates in the money markets. In fact, though, overnight rates in the UK have historically been highly volatile. Various steps taken over the past decade or so moderated that volatility – with some success; it has for some while been </w:t>
      </w:r>
      <w:r>
        <w:rPr>
          <w:u w:val="single"/>
        </w:rPr>
        <w:t>much</w:t>
      </w:r>
      <w:r>
        <w:rPr/>
        <w:t> lower than in the mid-1990s (Chart 1). But it has remained greater – from day to day, and during the day – than overnight rates in dollars, euros etc (Charts 2 and 3).</w:t>
      </w:r>
    </w:p>
    <w:p>
      <w:pPr>
        <w:pStyle w:val="BodyText"/>
        <w:spacing w:before="11"/>
        <w:rPr>
          <w:sz w:val="37"/>
        </w:rPr>
      </w:pPr>
    </w:p>
    <w:p>
      <w:pPr>
        <w:pStyle w:val="BodyText"/>
        <w:spacing w:line="352" w:lineRule="auto"/>
        <w:ind w:left="475"/>
      </w:pPr>
      <w:r>
        <w:rPr/>
        <w:t>That has created uncertainty for users of the sterling money markets – banks, asset managers and, of course, corporate treasurers. </w:t>
      </w:r>
      <w:r>
        <w:rPr>
          <w:u w:val="single"/>
        </w:rPr>
        <w:t>Avoidable</w:t>
      </w:r>
      <w:r>
        <w:rPr/>
        <w:t> uncertainty.</w:t>
      </w:r>
    </w:p>
    <w:p>
      <w:pPr>
        <w:pStyle w:val="BodyText"/>
        <w:spacing w:before="5"/>
        <w:rPr>
          <w:sz w:val="36"/>
        </w:rPr>
      </w:pPr>
    </w:p>
    <w:p>
      <w:pPr>
        <w:pStyle w:val="BodyText"/>
        <w:spacing w:line="364" w:lineRule="auto"/>
        <w:ind w:left="475" w:right="179"/>
        <w:jc w:val="both"/>
      </w:pPr>
      <w:r>
        <w:rPr/>
        <w:t>It is the Bank of England’s responsibility to remove that uncertainty as </w:t>
      </w:r>
      <w:r>
        <w:rPr>
          <w:spacing w:val="3"/>
        </w:rPr>
        <w:t>much </w:t>
      </w:r>
      <w:r>
        <w:rPr/>
        <w:t>as we possibly </w:t>
      </w:r>
      <w:r>
        <w:rPr>
          <w:spacing w:val="-7"/>
        </w:rPr>
        <w:t>can. </w:t>
      </w:r>
      <w:r>
        <w:rPr/>
        <w:t>And yesterday, after more than </w:t>
      </w:r>
      <w:r>
        <w:rPr>
          <w:spacing w:val="-8"/>
        </w:rPr>
        <w:t>three </w:t>
      </w:r>
      <w:r>
        <w:rPr/>
        <w:t>years’ preparation and extensive collaboration with market participants, we introduced a completely modernised system to do just that.</w:t>
      </w:r>
    </w:p>
    <w:p>
      <w:pPr>
        <w:spacing w:after="0" w:line="364" w:lineRule="auto"/>
        <w:jc w:val="both"/>
        <w:sectPr>
          <w:headerReference w:type="default" r:id="rId7"/>
          <w:pgSz w:w="11920" w:h="16840"/>
          <w:pgMar w:header="711" w:footer="0" w:top="960" w:bottom="280" w:left="800" w:right="1180"/>
          <w:pgNumType w:start="2"/>
        </w:sectPr>
      </w:pPr>
    </w:p>
    <w:p>
      <w:pPr>
        <w:pStyle w:val="BodyText"/>
        <w:rPr>
          <w:sz w:val="20"/>
        </w:rPr>
      </w:pPr>
    </w:p>
    <w:p>
      <w:pPr>
        <w:pStyle w:val="BodyText"/>
        <w:spacing w:line="364" w:lineRule="auto" w:before="229"/>
        <w:ind w:left="475" w:right="146"/>
      </w:pPr>
      <w:r>
        <w:rPr/>
        <w:t>It provides a new framework for the Bank’s implementation of monetary policy; our operational engagement with the banking system; and for the sterling money markets.</w:t>
      </w:r>
    </w:p>
    <w:p>
      <w:pPr>
        <w:pStyle w:val="BodyText"/>
        <w:spacing w:before="3"/>
        <w:rPr>
          <w:sz w:val="35"/>
        </w:rPr>
      </w:pPr>
    </w:p>
    <w:p>
      <w:pPr>
        <w:pStyle w:val="BodyText"/>
        <w:spacing w:line="357" w:lineRule="auto"/>
        <w:ind w:left="475" w:right="365"/>
        <w:jc w:val="both"/>
      </w:pPr>
      <w:r>
        <w:rPr/>
        <w:t>I shall spare you the details, but I do want to sketch the main features of the system, by way of underlining that it </w:t>
      </w:r>
      <w:r>
        <w:rPr>
          <w:u w:val="single"/>
        </w:rPr>
        <w:t>is</w:t>
      </w:r>
      <w:r>
        <w:rPr/>
        <w:t> directly relevant to you as corporate treasurers. I am keen that you should hear this directly from the Bank.</w:t>
      </w:r>
    </w:p>
    <w:p>
      <w:pPr>
        <w:pStyle w:val="BodyText"/>
        <w:spacing w:before="3"/>
        <w:rPr>
          <w:sz w:val="36"/>
        </w:rPr>
      </w:pPr>
    </w:p>
    <w:p>
      <w:pPr>
        <w:pStyle w:val="BodyText"/>
        <w:spacing w:line="362" w:lineRule="auto"/>
        <w:ind w:left="475" w:right="146"/>
      </w:pPr>
      <w:r>
        <w:rPr/>
        <w:t>For as long as anyone can remember, a small group of clearing banks – which these days we call ‘settlement banks’ – have had to balance their books with the Bank at the close of business each evening. Volatility resulted if the Bank had not provided pretty well exactly the amount of liquidity the banking system as a whole needed each day; or if our money was not distributed in the money markets to those banks that were short. And traders would speculate on that volatility</w:t>
      </w:r>
    </w:p>
    <w:p>
      <w:pPr>
        <w:pStyle w:val="BodyText"/>
        <w:spacing w:line="262" w:lineRule="exact"/>
        <w:ind w:left="475"/>
      </w:pPr>
      <w:r>
        <w:rPr/>
        <w:t>– perhaps a rare instance of financial market activity with little </w:t>
      </w:r>
      <w:r>
        <w:rPr>
          <w:spacing w:val="-3"/>
        </w:rPr>
        <w:t>social</w:t>
      </w:r>
      <w:r>
        <w:rPr>
          <w:spacing w:val="50"/>
        </w:rPr>
        <w:t> </w:t>
      </w:r>
      <w:r>
        <w:rPr>
          <w:spacing w:val="-3"/>
        </w:rPr>
        <w:t>utility.</w:t>
      </w:r>
    </w:p>
    <w:p>
      <w:pPr>
        <w:pStyle w:val="BodyText"/>
        <w:rPr>
          <w:sz w:val="26"/>
        </w:rPr>
      </w:pPr>
    </w:p>
    <w:p>
      <w:pPr>
        <w:pStyle w:val="BodyText"/>
        <w:spacing w:before="8"/>
        <w:rPr>
          <w:sz w:val="21"/>
        </w:rPr>
      </w:pPr>
    </w:p>
    <w:p>
      <w:pPr>
        <w:pStyle w:val="BodyText"/>
        <w:spacing w:line="360" w:lineRule="auto"/>
        <w:ind w:left="475" w:right="232"/>
      </w:pPr>
      <w:r>
        <w:rPr/>
        <w:t>The new system relaxes the overnight constraint and liberalises access to the Bank. A broader </w:t>
      </w:r>
      <w:r>
        <w:rPr>
          <w:spacing w:val="-6"/>
        </w:rPr>
        <w:t>group </w:t>
      </w:r>
      <w:r>
        <w:rPr>
          <w:spacing w:val="6"/>
        </w:rPr>
        <w:t>of </w:t>
      </w:r>
      <w:r>
        <w:rPr/>
        <w:t>banks – initially just over 40, accounting </w:t>
      </w:r>
      <w:r>
        <w:rPr>
          <w:spacing w:val="-6"/>
        </w:rPr>
        <w:t>for </w:t>
      </w:r>
      <w:r>
        <w:rPr/>
        <w:t>around 90% of the </w:t>
      </w:r>
      <w:r>
        <w:rPr>
          <w:spacing w:val="-15"/>
        </w:rPr>
        <w:t>UK </w:t>
      </w:r>
      <w:r>
        <w:rPr>
          <w:spacing w:val="-4"/>
        </w:rPr>
        <w:t>bank </w:t>
      </w:r>
      <w:r>
        <w:rPr/>
        <w:t>ing system’s sterling liabilities – will maintain a target balance with the Bank </w:t>
      </w:r>
      <w:r>
        <w:rPr>
          <w:u w:val="single"/>
        </w:rPr>
        <w:t>on average</w:t>
      </w:r>
      <w:r>
        <w:rPr/>
        <w:t> over each </w:t>
      </w:r>
      <w:r>
        <w:rPr>
          <w:spacing w:val="-2"/>
        </w:rPr>
        <w:t>month. </w:t>
      </w:r>
      <w:r>
        <w:rPr/>
        <w:t>(In the first maintenance period, which started yesterday, the target is just under £23bn.) These reserve-scheme banks, </w:t>
      </w:r>
      <w:r>
        <w:rPr>
          <w:spacing w:val="-4"/>
          <w:u w:val="single"/>
        </w:rPr>
        <w:t>and</w:t>
      </w:r>
      <w:r>
        <w:rPr>
          <w:spacing w:val="-4"/>
        </w:rPr>
        <w:t> </w:t>
      </w:r>
      <w:r>
        <w:rPr>
          <w:spacing w:val="-3"/>
        </w:rPr>
        <w:t>other banks </w:t>
      </w:r>
      <w:r>
        <w:rPr/>
        <w:t>who so choose, also have access to a standing deposit facility and a standing (secured) lending facility. At a modest penalty to the Bank’s policy rate, </w:t>
      </w:r>
      <w:r>
        <w:rPr>
          <w:spacing w:val="-3"/>
        </w:rPr>
        <w:t>they </w:t>
      </w:r>
      <w:r>
        <w:rPr/>
        <w:t>can use </w:t>
      </w:r>
      <w:r>
        <w:rPr>
          <w:spacing w:val="-3"/>
        </w:rPr>
        <w:t>those facilities </w:t>
      </w:r>
      <w:r>
        <w:rPr/>
        <w:t>in </w:t>
      </w:r>
      <w:r>
        <w:rPr>
          <w:spacing w:val="-3"/>
        </w:rPr>
        <w:t>unlimited amounts, </w:t>
      </w:r>
      <w:r>
        <w:rPr/>
        <w:t>and so can </w:t>
      </w:r>
      <w:r>
        <w:rPr>
          <w:spacing w:val="-3"/>
        </w:rPr>
        <w:t>turn </w:t>
      </w:r>
      <w:r>
        <w:rPr/>
        <w:t>to </w:t>
      </w:r>
      <w:r>
        <w:rPr>
          <w:spacing w:val="-3"/>
        </w:rPr>
        <w:t>them </w:t>
      </w:r>
      <w:r>
        <w:rPr/>
        <w:t>if the </w:t>
      </w:r>
      <w:r>
        <w:rPr>
          <w:spacing w:val="-3"/>
        </w:rPr>
        <w:t>rate </w:t>
      </w:r>
      <w:r>
        <w:rPr/>
        <w:t>in </w:t>
      </w:r>
      <w:r>
        <w:rPr>
          <w:spacing w:val="-3"/>
        </w:rPr>
        <w:t>the  </w:t>
      </w:r>
      <w:r>
        <w:rPr>
          <w:spacing w:val="-5"/>
        </w:rPr>
        <w:t>market </w:t>
      </w:r>
      <w:r>
        <w:rPr/>
        <w:t>threatens to be less attractive. Together, this should </w:t>
      </w:r>
      <w:r>
        <w:rPr>
          <w:spacing w:val="-3"/>
        </w:rPr>
        <w:t>keep </w:t>
      </w:r>
      <w:r>
        <w:rPr/>
        <w:t>the </w:t>
      </w:r>
      <w:r>
        <w:rPr>
          <w:spacing w:val="-3"/>
        </w:rPr>
        <w:t>market rate </w:t>
      </w:r>
      <w:r>
        <w:rPr/>
        <w:t>in </w:t>
      </w:r>
      <w:r>
        <w:rPr>
          <w:spacing w:val="-3"/>
        </w:rPr>
        <w:t>line with our </w:t>
      </w:r>
      <w:r>
        <w:rPr/>
        <w:t>policy</w:t>
      </w:r>
      <w:r>
        <w:rPr>
          <w:spacing w:val="-3"/>
        </w:rPr>
        <w:t> </w:t>
      </w:r>
      <w:r>
        <w:rPr/>
        <w:t>rate.</w:t>
      </w:r>
    </w:p>
    <w:p>
      <w:pPr>
        <w:pStyle w:val="BodyText"/>
        <w:rPr>
          <w:sz w:val="36"/>
        </w:rPr>
      </w:pPr>
    </w:p>
    <w:p>
      <w:pPr>
        <w:pStyle w:val="BodyText"/>
        <w:spacing w:line="362" w:lineRule="auto" w:before="1"/>
        <w:ind w:left="475" w:right="146"/>
      </w:pPr>
      <w:r>
        <w:rPr/>
        <w:t>Indeed, our objectives have been fourfold. First, to stabilise overnight market rates in line with the MPC rate. Second, to improve the efficiency of the framework for banking system liquidity management in normal conditions, and to make it more resilient in stressed conditions. Third, to simplify our method of implementing monetary policy. And fourth, to foster efficient and fair markets.</w:t>
      </w:r>
    </w:p>
    <w:p>
      <w:pPr>
        <w:pStyle w:val="BodyText"/>
        <w:spacing w:before="3"/>
        <w:rPr>
          <w:sz w:val="35"/>
        </w:rPr>
      </w:pPr>
    </w:p>
    <w:p>
      <w:pPr>
        <w:pStyle w:val="BodyText"/>
        <w:spacing w:line="357" w:lineRule="auto" w:before="1"/>
        <w:ind w:left="475" w:right="146"/>
      </w:pPr>
      <w:r>
        <w:rPr/>
        <w:t>For too long, too many people have been deterred from using the short-term sterling markets as much as they might because it seemed to required special expertise, and therefore a disproportionate commitment of resources.</w:t>
      </w:r>
    </w:p>
    <w:p>
      <w:pPr>
        <w:spacing w:after="0" w:line="357" w:lineRule="auto"/>
        <w:sectPr>
          <w:pgSz w:w="11920" w:h="16840"/>
          <w:pgMar w:header="711" w:footer="0" w:top="960" w:bottom="280" w:left="800" w:right="1180"/>
        </w:sectPr>
      </w:pPr>
    </w:p>
    <w:p>
      <w:pPr>
        <w:pStyle w:val="BodyText"/>
        <w:rPr>
          <w:sz w:val="20"/>
        </w:rPr>
      </w:pPr>
    </w:p>
    <w:p>
      <w:pPr>
        <w:pStyle w:val="BodyText"/>
        <w:spacing w:line="357" w:lineRule="auto" w:before="229"/>
        <w:ind w:left="475" w:right="207"/>
        <w:jc w:val="both"/>
      </w:pPr>
      <w:r>
        <w:rPr/>
        <w:t>Judging by the ACT’s very positive </w:t>
      </w:r>
      <w:r>
        <w:rPr>
          <w:spacing w:val="-5"/>
        </w:rPr>
        <w:t>response </w:t>
      </w:r>
      <w:r>
        <w:rPr/>
        <w:t>to one of the Bank’s early consultation </w:t>
      </w:r>
      <w:r>
        <w:rPr>
          <w:spacing w:val="-3"/>
        </w:rPr>
        <w:t>papers, the </w:t>
      </w:r>
      <w:r>
        <w:rPr/>
        <w:t>modernisation of our framework should be helpful to companies, which of course </w:t>
      </w:r>
      <w:r>
        <w:rPr>
          <w:spacing w:val="-5"/>
        </w:rPr>
        <w:t>use </w:t>
      </w:r>
      <w:r>
        <w:rPr>
          <w:spacing w:val="-3"/>
        </w:rPr>
        <w:t>the </w:t>
      </w:r>
      <w:r>
        <w:rPr>
          <w:spacing w:val="-4"/>
        </w:rPr>
        <w:t>money </w:t>
      </w:r>
      <w:r>
        <w:rPr/>
        <w:t>markets to borrow, employ cash balances, and manage risk.</w:t>
      </w:r>
    </w:p>
    <w:p>
      <w:pPr>
        <w:pStyle w:val="BodyText"/>
        <w:spacing w:before="2"/>
        <w:rPr>
          <w:sz w:val="36"/>
        </w:rPr>
      </w:pPr>
    </w:p>
    <w:p>
      <w:pPr>
        <w:pStyle w:val="BodyText"/>
        <w:spacing w:line="362" w:lineRule="auto"/>
        <w:ind w:left="475" w:right="294"/>
      </w:pPr>
      <w:r>
        <w:rPr/>
        <w:t>At the end of last year, firms’ short-term sterling borrowing in the UK was around £300 bn. There are no data on how much of that was at very short maturities, but there is anecdotal evidence of overnight volatility acting as a deterrent. For example, when in late 2004 the Bank announced our intention to introduce reforms, the European treasury department of one of the largest companies in the world wrote to me in the following terms:</w:t>
      </w:r>
    </w:p>
    <w:p>
      <w:pPr>
        <w:pStyle w:val="BodyText"/>
        <w:spacing w:before="4"/>
        <w:rPr>
          <w:sz w:val="35"/>
        </w:rPr>
      </w:pPr>
    </w:p>
    <w:p>
      <w:pPr>
        <w:pStyle w:val="BodyText"/>
        <w:spacing w:line="360" w:lineRule="auto"/>
        <w:ind w:left="1015" w:right="146"/>
      </w:pPr>
      <w:r>
        <w:rPr/>
        <w:t>“I write to express our support and appreciation ….. The excessive volatility in the overnight market precluded high-quality issuers .. from participating. …The steps you are taking will surely increase the depth, stability and overall liquidity of the sterling money market.”</w:t>
      </w:r>
    </w:p>
    <w:p>
      <w:pPr>
        <w:pStyle w:val="BodyText"/>
        <w:rPr>
          <w:sz w:val="36"/>
        </w:rPr>
      </w:pPr>
    </w:p>
    <w:p>
      <w:pPr>
        <w:pStyle w:val="BodyText"/>
        <w:ind w:left="475"/>
      </w:pPr>
      <w:r>
        <w:rPr/>
        <w:t>That kind of support has been a great encouragement.</w:t>
      </w:r>
    </w:p>
    <w:p>
      <w:pPr>
        <w:pStyle w:val="BodyText"/>
        <w:rPr>
          <w:sz w:val="26"/>
        </w:rPr>
      </w:pPr>
    </w:p>
    <w:p>
      <w:pPr>
        <w:pStyle w:val="BodyText"/>
        <w:spacing w:before="9"/>
        <w:rPr>
          <w:sz w:val="21"/>
        </w:rPr>
      </w:pPr>
    </w:p>
    <w:p>
      <w:pPr>
        <w:pStyle w:val="BodyText"/>
        <w:spacing w:line="360" w:lineRule="auto"/>
        <w:ind w:left="475" w:right="152"/>
      </w:pPr>
      <w:r>
        <w:rPr/>
        <w:t>In </w:t>
      </w:r>
      <w:r>
        <w:rPr>
          <w:spacing w:val="-3"/>
        </w:rPr>
        <w:t>terms </w:t>
      </w:r>
      <w:r>
        <w:rPr/>
        <w:t>of </w:t>
      </w:r>
      <w:r>
        <w:rPr>
          <w:spacing w:val="-3"/>
        </w:rPr>
        <w:t>risk management, many </w:t>
      </w:r>
      <w:r>
        <w:rPr/>
        <w:t>companies swap fixed-rate term borrowing (and other cash </w:t>
      </w:r>
      <w:r>
        <w:rPr>
          <w:spacing w:val="-3"/>
        </w:rPr>
        <w:t>flows) into floating-rate. </w:t>
      </w:r>
      <w:r>
        <w:rPr/>
        <w:t>This can be into a six or three- </w:t>
      </w:r>
      <w:r>
        <w:rPr>
          <w:spacing w:val="-3"/>
        </w:rPr>
        <w:t>month LIBOR rate </w:t>
      </w:r>
      <w:r>
        <w:rPr/>
        <w:t>of </w:t>
      </w:r>
      <w:r>
        <w:rPr>
          <w:spacing w:val="-3"/>
        </w:rPr>
        <w:t>interest, </w:t>
      </w:r>
      <w:r>
        <w:rPr/>
        <w:t>or </w:t>
      </w:r>
      <w:r>
        <w:rPr>
          <w:spacing w:val="-3"/>
        </w:rPr>
        <w:t>into </w:t>
      </w:r>
      <w:r>
        <w:rPr/>
        <w:t>a stream of payments linked to the overnight money market rate. In the UK, the Overnight-Index- </w:t>
      </w:r>
      <w:r>
        <w:rPr>
          <w:spacing w:val="-3"/>
        </w:rPr>
        <w:t>Swap </w:t>
      </w:r>
      <w:r>
        <w:rPr/>
        <w:t>market has developed rather less than its counterpart in the euro </w:t>
      </w:r>
      <w:r>
        <w:rPr>
          <w:spacing w:val="-3"/>
        </w:rPr>
        <w:t>area, </w:t>
      </w:r>
      <w:r>
        <w:rPr>
          <w:spacing w:val="-4"/>
        </w:rPr>
        <w:t>which </w:t>
      </w:r>
      <w:r>
        <w:rPr/>
        <w:t>is </w:t>
      </w:r>
      <w:r>
        <w:rPr>
          <w:spacing w:val="-3"/>
        </w:rPr>
        <w:t>used </w:t>
      </w:r>
      <w:r>
        <w:rPr>
          <w:spacing w:val="-4"/>
        </w:rPr>
        <w:t>by </w:t>
      </w:r>
      <w:r>
        <w:rPr/>
        <w:t>large </w:t>
      </w:r>
      <w:r>
        <w:rPr>
          <w:spacing w:val="-8"/>
        </w:rPr>
        <w:t>non- </w:t>
      </w:r>
      <w:r>
        <w:rPr/>
        <w:t>financial companies. </w:t>
      </w:r>
      <w:r>
        <w:rPr>
          <w:spacing w:val="-3"/>
        </w:rPr>
        <w:t>One </w:t>
      </w:r>
      <w:r>
        <w:rPr/>
        <w:t>obstacle seems to have </w:t>
      </w:r>
      <w:r>
        <w:rPr>
          <w:spacing w:val="3"/>
        </w:rPr>
        <w:t>been </w:t>
      </w:r>
      <w:r>
        <w:rPr/>
        <w:t>the </w:t>
      </w:r>
      <w:r>
        <w:rPr>
          <w:u w:val="single"/>
        </w:rPr>
        <w:t>intra</w:t>
      </w:r>
      <w:r>
        <w:rPr/>
        <w:t>-day </w:t>
      </w:r>
      <w:r>
        <w:rPr>
          <w:spacing w:val="-3"/>
        </w:rPr>
        <w:t>volatility </w:t>
      </w:r>
      <w:r>
        <w:rPr/>
        <w:t>in </w:t>
      </w:r>
      <w:r>
        <w:rPr>
          <w:spacing w:val="-4"/>
        </w:rPr>
        <w:t>the </w:t>
      </w:r>
      <w:r>
        <w:rPr>
          <w:spacing w:val="-3"/>
        </w:rPr>
        <w:t>sterling market, </w:t>
      </w:r>
      <w:r>
        <w:rPr/>
        <w:t>which </w:t>
      </w:r>
      <w:r>
        <w:rPr>
          <w:spacing w:val="-5"/>
        </w:rPr>
        <w:t>has </w:t>
      </w:r>
      <w:r>
        <w:rPr/>
        <w:t>entailed uncertainty about the spread between the average overnight rate on any particular day (as measured by the Sterling Overnight Rate Index Average, or SONIA) and the </w:t>
      </w:r>
      <w:r>
        <w:rPr>
          <w:spacing w:val="-3"/>
        </w:rPr>
        <w:t>rate </w:t>
      </w:r>
      <w:r>
        <w:rPr/>
        <w:t>actually paid on overnight cash at different times during the day. Many </w:t>
      </w:r>
      <w:r>
        <w:rPr>
          <w:spacing w:val="-4"/>
        </w:rPr>
        <w:t>market </w:t>
      </w:r>
      <w:r>
        <w:rPr/>
        <w:t>participants believe that if </w:t>
      </w:r>
      <w:r>
        <w:rPr>
          <w:spacing w:val="-3"/>
        </w:rPr>
        <w:t>the reforms </w:t>
      </w:r>
      <w:r>
        <w:rPr/>
        <w:t>introduced yesterday significantly reduce intra-day volatility, the sterling OIS </w:t>
      </w:r>
      <w:r>
        <w:rPr>
          <w:spacing w:val="-3"/>
        </w:rPr>
        <w:t>swap market will grow, making </w:t>
      </w:r>
      <w:r>
        <w:rPr/>
        <w:t>it a </w:t>
      </w:r>
      <w:r>
        <w:rPr>
          <w:spacing w:val="-3"/>
        </w:rPr>
        <w:t>more  useful  risk  management tool.</w:t>
      </w:r>
    </w:p>
    <w:p>
      <w:pPr>
        <w:pStyle w:val="BodyText"/>
        <w:spacing w:before="9"/>
        <w:rPr>
          <w:sz w:val="35"/>
        </w:rPr>
      </w:pPr>
    </w:p>
    <w:p>
      <w:pPr>
        <w:pStyle w:val="BodyText"/>
        <w:spacing w:line="362" w:lineRule="auto"/>
        <w:ind w:left="475" w:right="146"/>
      </w:pPr>
      <w:r>
        <w:rPr/>
        <w:t>The evidence of corporate treasurers as placers of short-term </w:t>
      </w:r>
      <w:r>
        <w:rPr>
          <w:spacing w:val="-3"/>
        </w:rPr>
        <w:t>money </w:t>
      </w:r>
      <w:r>
        <w:rPr/>
        <w:t>is </w:t>
      </w:r>
      <w:r>
        <w:rPr>
          <w:spacing w:val="-3"/>
        </w:rPr>
        <w:t>more concrete. </w:t>
      </w:r>
      <w:r>
        <w:rPr/>
        <w:t>For a </w:t>
      </w:r>
      <w:r>
        <w:rPr>
          <w:spacing w:val="-3"/>
        </w:rPr>
        <w:t>few </w:t>
      </w:r>
      <w:r>
        <w:rPr>
          <w:spacing w:val="-5"/>
        </w:rPr>
        <w:t>years </w:t>
      </w:r>
      <w:r>
        <w:rPr/>
        <w:t>now, UK companies’ domestic operations have been producing surplus cash </w:t>
      </w:r>
      <w:r>
        <w:rPr>
          <w:spacing w:val="-3"/>
        </w:rPr>
        <w:t>flows: </w:t>
      </w:r>
      <w:r>
        <w:rPr/>
        <w:t>£12bn, or about 1% of GDP, </w:t>
      </w:r>
      <w:r>
        <w:rPr>
          <w:spacing w:val="-4"/>
        </w:rPr>
        <w:t>in </w:t>
      </w:r>
      <w:r>
        <w:rPr/>
        <w:t>2005. The counterpart </w:t>
      </w:r>
      <w:r>
        <w:rPr>
          <w:spacing w:val="-6"/>
        </w:rPr>
        <w:t>has, </w:t>
      </w:r>
      <w:r>
        <w:rPr/>
        <w:t>of course, been an accumulation of financial </w:t>
      </w:r>
      <w:r>
        <w:rPr>
          <w:spacing w:val="-4"/>
        </w:rPr>
        <w:t>assets.</w:t>
      </w:r>
      <w:r>
        <w:rPr>
          <w:spacing w:val="52"/>
        </w:rPr>
        <w:t> </w:t>
      </w:r>
      <w:r>
        <w:rPr/>
        <w:t>A </w:t>
      </w:r>
      <w:r>
        <w:rPr>
          <w:spacing w:val="-3"/>
        </w:rPr>
        <w:t>lot </w:t>
      </w:r>
      <w:r>
        <w:rPr/>
        <w:t>of </w:t>
      </w:r>
      <w:r>
        <w:rPr>
          <w:spacing w:val="-3"/>
        </w:rPr>
        <w:t>that has gone </w:t>
      </w:r>
      <w:r>
        <w:rPr/>
        <w:t>in to the </w:t>
      </w:r>
      <w:r>
        <w:rPr>
          <w:spacing w:val="-3"/>
        </w:rPr>
        <w:t>money markets </w:t>
      </w:r>
      <w:r>
        <w:rPr/>
        <w:t>– in particular, holdings of call-deposits with banks (Chart 4) and investments in money market </w:t>
      </w:r>
      <w:r>
        <w:rPr>
          <w:spacing w:val="-5"/>
        </w:rPr>
        <w:t>funds. </w:t>
      </w:r>
      <w:r>
        <w:rPr/>
        <w:t>In </w:t>
      </w:r>
      <w:r>
        <w:rPr>
          <w:spacing w:val="-3"/>
        </w:rPr>
        <w:t>placing that liquidity, you</w:t>
      </w:r>
    </w:p>
    <w:p>
      <w:pPr>
        <w:spacing w:after="0" w:line="362" w:lineRule="auto"/>
        <w:sectPr>
          <w:pgSz w:w="11920" w:h="16840"/>
          <w:pgMar w:header="711" w:footer="0" w:top="960" w:bottom="280" w:left="800" w:right="1180"/>
        </w:sectPr>
      </w:pPr>
    </w:p>
    <w:p>
      <w:pPr>
        <w:pStyle w:val="BodyText"/>
        <w:rPr>
          <w:sz w:val="20"/>
        </w:rPr>
      </w:pPr>
    </w:p>
    <w:p>
      <w:pPr>
        <w:pStyle w:val="BodyText"/>
        <w:spacing w:line="364" w:lineRule="auto" w:before="229"/>
        <w:ind w:left="475" w:right="232"/>
      </w:pPr>
      <w:r>
        <w:rPr>
          <w:spacing w:val="-3"/>
        </w:rPr>
        <w:t>should </w:t>
      </w:r>
      <w:r>
        <w:rPr/>
        <w:t>be in a </w:t>
      </w:r>
      <w:r>
        <w:rPr>
          <w:spacing w:val="-3"/>
        </w:rPr>
        <w:t>position where </w:t>
      </w:r>
      <w:r>
        <w:rPr/>
        <w:t>you </w:t>
      </w:r>
      <w:r>
        <w:rPr>
          <w:spacing w:val="-3"/>
        </w:rPr>
        <w:t>need </w:t>
      </w:r>
      <w:r>
        <w:rPr/>
        <w:t>to </w:t>
      </w:r>
      <w:r>
        <w:rPr>
          <w:spacing w:val="-3"/>
        </w:rPr>
        <w:t>negotiate </w:t>
      </w:r>
      <w:r>
        <w:rPr/>
        <w:t>only the spread paid relative to a stable money market rate, </w:t>
      </w:r>
      <w:r>
        <w:rPr>
          <w:spacing w:val="-3"/>
        </w:rPr>
        <w:t>not the </w:t>
      </w:r>
      <w:r>
        <w:rPr>
          <w:spacing w:val="-4"/>
        </w:rPr>
        <w:t>underlying </w:t>
      </w:r>
      <w:r>
        <w:rPr>
          <w:spacing w:val="-3"/>
        </w:rPr>
        <w:t>rate itself. </w:t>
      </w:r>
      <w:r>
        <w:rPr/>
        <w:t>Our overhaul of the system should deliver</w:t>
      </w:r>
      <w:r>
        <w:rPr>
          <w:spacing w:val="10"/>
        </w:rPr>
        <w:t> </w:t>
      </w:r>
      <w:r>
        <w:rPr/>
        <w:t>that.</w:t>
      </w:r>
    </w:p>
    <w:p>
      <w:pPr>
        <w:pStyle w:val="BodyText"/>
        <w:spacing w:before="3"/>
        <w:rPr>
          <w:sz w:val="35"/>
        </w:rPr>
      </w:pPr>
    </w:p>
    <w:p>
      <w:pPr>
        <w:pStyle w:val="BodyText"/>
        <w:spacing w:line="357" w:lineRule="auto"/>
        <w:ind w:left="475" w:right="294"/>
      </w:pPr>
      <w:r>
        <w:rPr/>
        <w:t>By taking the noise out of the sterling money markets, we aim to achieve greater stability and greater transparency. That won’t revolutionise your businesses, but I trust that it will bring a welcome reduction in the </w:t>
      </w:r>
      <w:r>
        <w:rPr>
          <w:u w:val="single"/>
        </w:rPr>
        <w:t>avoidable</w:t>
      </w:r>
      <w:r>
        <w:rPr/>
        <w:t> uncertainties you confront.</w:t>
      </w:r>
    </w:p>
    <w:p>
      <w:pPr>
        <w:pStyle w:val="BodyText"/>
        <w:spacing w:before="3"/>
        <w:rPr>
          <w:sz w:val="36"/>
        </w:rPr>
      </w:pPr>
    </w:p>
    <w:p>
      <w:pPr>
        <w:pStyle w:val="Heading2"/>
        <w:spacing w:before="0"/>
        <w:ind w:left="475"/>
      </w:pPr>
      <w:r>
        <w:rPr/>
        <w:t>Business risk management and pension-scheme uncertainties</w:t>
      </w:r>
    </w:p>
    <w:p>
      <w:pPr>
        <w:pStyle w:val="BodyText"/>
        <w:rPr>
          <w:b/>
          <w:sz w:val="26"/>
        </w:rPr>
      </w:pPr>
    </w:p>
    <w:p>
      <w:pPr>
        <w:pStyle w:val="BodyText"/>
        <w:spacing w:before="8"/>
        <w:rPr>
          <w:b/>
          <w:sz w:val="21"/>
        </w:rPr>
      </w:pPr>
    </w:p>
    <w:p>
      <w:pPr>
        <w:pStyle w:val="BodyText"/>
        <w:spacing w:line="360" w:lineRule="auto"/>
        <w:ind w:left="475" w:right="146"/>
      </w:pPr>
      <w:r>
        <w:rPr/>
        <w:t>At an aggregate level, the recent financial management of the company sector has, in fact, posed some puzzles about your assessment of uncertainty and risk. This has been important to our understanding of what is going on in the money markets, and indeed financial markets more generally, as part of the backdrop to our role of promoting monetary and financial stability.</w:t>
      </w:r>
    </w:p>
    <w:p>
      <w:pPr>
        <w:pStyle w:val="BodyText"/>
        <w:rPr>
          <w:sz w:val="36"/>
        </w:rPr>
      </w:pPr>
    </w:p>
    <w:p>
      <w:pPr>
        <w:pStyle w:val="BodyText"/>
        <w:spacing w:line="360" w:lineRule="auto"/>
        <w:ind w:left="475" w:right="500"/>
      </w:pPr>
      <w:r>
        <w:rPr/>
        <w:t>The surplus cash flows I described earlier, in the context of your treasury management, are a product of UK cash profits having exceeded, by some margin, business investment (Chart 5). The same is true across the G7 economies as a whole. Companies have acted to repair balance sheets following the excesses of the late 1990s, and may conceivably have built a cushion of financial assets to support them through a period of uncertainty as they adjust to the new competitive forces associated with globalisation. But the UK corporate sector</w:t>
      </w:r>
    </w:p>
    <w:p>
      <w:pPr>
        <w:pStyle w:val="BodyText"/>
        <w:spacing w:line="364" w:lineRule="auto" w:before="7"/>
        <w:ind w:left="475" w:right="294"/>
      </w:pPr>
      <w:r>
        <w:rPr/>
        <w:t>stands out as having employed its surplus in ‘cash’ to a far greater extent than its G7 peers (Chart 6).</w:t>
      </w:r>
    </w:p>
    <w:p>
      <w:pPr>
        <w:pStyle w:val="BodyText"/>
        <w:spacing w:before="3"/>
        <w:rPr>
          <w:sz w:val="35"/>
        </w:rPr>
      </w:pPr>
    </w:p>
    <w:p>
      <w:pPr>
        <w:pStyle w:val="BodyText"/>
        <w:spacing w:line="357" w:lineRule="auto"/>
        <w:ind w:left="475" w:right="642"/>
      </w:pPr>
      <w:r>
        <w:rPr/>
        <w:t>The IMF hypothesise</w:t>
      </w:r>
      <w:r>
        <w:rPr>
          <w:vertAlign w:val="superscript"/>
        </w:rPr>
        <w:t>1</w:t>
      </w:r>
      <w:r>
        <w:rPr>
          <w:vertAlign w:val="baseline"/>
        </w:rPr>
        <w:t> that this may have been motivated by a desire to accumulate a precautionary pot of liquid savings for managing pension fund deficits. I do not know whether or not that is so. For example, the build up of deposits has been concentrated in a few sectors: real estate, and business services, and it is not obvious that these sectors have big pension fund deficits (C hart 7).</w:t>
      </w:r>
    </w:p>
    <w:p>
      <w:pPr>
        <w:pStyle w:val="BodyText"/>
        <w:spacing w:before="5"/>
        <w:rPr>
          <w:sz w:val="36"/>
        </w:rPr>
      </w:pPr>
    </w:p>
    <w:p>
      <w:pPr>
        <w:pStyle w:val="BodyText"/>
        <w:spacing w:line="364" w:lineRule="auto"/>
        <w:ind w:left="475" w:right="642"/>
      </w:pPr>
      <w:r>
        <w:rPr/>
        <w:pict>
          <v:shape style="position:absolute;margin-left:90.75pt;margin-top:69.328125pt;width:144pt;height:.1pt;mso-position-horizontal-relative:page;mso-position-vertical-relative:paragraph;z-index:-251656192;mso-wrap-distance-left:0;mso-wrap-distance-right:0" coordorigin="1815,1387" coordsize="2880,0" path="m1815,1387l4695,1387e" filled="false" stroked="true" strokeweight=".75pt" strokecolor="#000000">
            <v:path arrowok="t"/>
            <v:stroke dashstyle="solid"/>
            <w10:wrap type="topAndBottom"/>
          </v:shape>
        </w:pict>
      </w:r>
      <w:r>
        <w:rPr/>
        <w:t>But that pensions have been a material component in firms’ cash management is not in doubt. That is apparent in the share of gross corporate savings accounted for by employers’ contributions to pension funds (Chart 8). Contributions have tripled – or in real terms</w:t>
      </w:r>
    </w:p>
    <w:p>
      <w:pPr>
        <w:spacing w:line="247" w:lineRule="auto" w:before="59"/>
        <w:ind w:left="475" w:right="642" w:firstLine="0"/>
        <w:jc w:val="left"/>
        <w:rPr>
          <w:sz w:val="19"/>
        </w:rPr>
      </w:pPr>
      <w:r>
        <w:rPr>
          <w:w w:val="105"/>
          <w:position w:val="9"/>
          <w:sz w:val="13"/>
        </w:rPr>
        <w:t>1 </w:t>
      </w:r>
      <w:r>
        <w:rPr>
          <w:w w:val="105"/>
          <w:sz w:val="19"/>
        </w:rPr>
        <w:t>See footnote 18, Chapter IV ‘Awash with cash: why are corporate savings so high?’, </w:t>
      </w:r>
      <w:r>
        <w:rPr>
          <w:i/>
          <w:w w:val="105"/>
          <w:sz w:val="19"/>
        </w:rPr>
        <w:t>World Economic </w:t>
      </w:r>
      <w:r>
        <w:rPr>
          <w:i/>
          <w:w w:val="105"/>
          <w:sz w:val="19"/>
        </w:rPr>
        <w:t>Outlook, </w:t>
      </w:r>
      <w:r>
        <w:rPr>
          <w:w w:val="105"/>
          <w:sz w:val="19"/>
        </w:rPr>
        <w:t>April 2006, page 151.</w:t>
      </w:r>
    </w:p>
    <w:p>
      <w:pPr>
        <w:spacing w:after="0" w:line="247" w:lineRule="auto"/>
        <w:jc w:val="left"/>
        <w:rPr>
          <w:sz w:val="19"/>
        </w:rPr>
        <w:sectPr>
          <w:pgSz w:w="11920" w:h="16840"/>
          <w:pgMar w:header="711" w:footer="0" w:top="960" w:bottom="280" w:left="800" w:right="1180"/>
        </w:sectPr>
      </w:pPr>
    </w:p>
    <w:p>
      <w:pPr>
        <w:pStyle w:val="BodyText"/>
        <w:spacing w:before="9"/>
        <w:rPr>
          <w:sz w:val="28"/>
        </w:rPr>
      </w:pPr>
    </w:p>
    <w:p>
      <w:pPr>
        <w:pStyle w:val="BodyText"/>
        <w:spacing w:line="357" w:lineRule="auto" w:before="128"/>
        <w:ind w:left="475" w:right="500"/>
      </w:pPr>
      <w:r>
        <w:rPr/>
        <w:t>doubled – </w:t>
      </w:r>
      <w:r>
        <w:rPr>
          <w:spacing w:val="-3"/>
        </w:rPr>
        <w:t>since </w:t>
      </w:r>
      <w:r>
        <w:rPr/>
        <w:t>the </w:t>
      </w:r>
      <w:r>
        <w:rPr>
          <w:spacing w:val="-3"/>
        </w:rPr>
        <w:t>late 1990s (Chart </w:t>
      </w:r>
      <w:r>
        <w:rPr>
          <w:spacing w:val="8"/>
        </w:rPr>
        <w:t>9)</w:t>
      </w:r>
      <w:r>
        <w:rPr>
          <w:spacing w:val="8"/>
          <w:vertAlign w:val="superscript"/>
        </w:rPr>
        <w:t>2</w:t>
      </w:r>
      <w:r>
        <w:rPr>
          <w:spacing w:val="8"/>
          <w:vertAlign w:val="baseline"/>
        </w:rPr>
        <w:t>. </w:t>
      </w:r>
      <w:r>
        <w:rPr>
          <w:vertAlign w:val="baseline"/>
        </w:rPr>
        <w:t>Part of this reflects ‘special’ or ‘one-off’ contributions to reduce deficits. But, judging by self-administered </w:t>
      </w:r>
      <w:r>
        <w:rPr>
          <w:spacing w:val="2"/>
          <w:vertAlign w:val="baseline"/>
        </w:rPr>
        <w:t>schemes</w:t>
      </w:r>
      <w:r>
        <w:rPr>
          <w:spacing w:val="2"/>
          <w:vertAlign w:val="superscript"/>
        </w:rPr>
        <w:t>3</w:t>
      </w:r>
      <w:r>
        <w:rPr>
          <w:spacing w:val="2"/>
          <w:vertAlign w:val="baseline"/>
        </w:rPr>
        <w:t>, </w:t>
      </w:r>
      <w:r>
        <w:rPr>
          <w:spacing w:val="-3"/>
          <w:vertAlign w:val="baseline"/>
        </w:rPr>
        <w:t>regular </w:t>
      </w:r>
      <w:r>
        <w:rPr>
          <w:vertAlign w:val="baseline"/>
        </w:rPr>
        <w:t>contributions have doubled </w:t>
      </w:r>
      <w:r>
        <w:rPr>
          <w:spacing w:val="-5"/>
          <w:vertAlign w:val="baseline"/>
        </w:rPr>
        <w:t>(Chart </w:t>
      </w:r>
      <w:r>
        <w:rPr>
          <w:spacing w:val="3"/>
          <w:vertAlign w:val="baseline"/>
        </w:rPr>
        <w:t>10). </w:t>
      </w:r>
      <w:r>
        <w:rPr>
          <w:spacing w:val="-3"/>
          <w:vertAlign w:val="baseline"/>
        </w:rPr>
        <w:t>What </w:t>
      </w:r>
      <w:r>
        <w:rPr>
          <w:vertAlign w:val="baseline"/>
        </w:rPr>
        <w:t>is </w:t>
      </w:r>
      <w:r>
        <w:rPr>
          <w:spacing w:val="-3"/>
          <w:vertAlign w:val="baseline"/>
        </w:rPr>
        <w:t>going </w:t>
      </w:r>
      <w:r>
        <w:rPr>
          <w:vertAlign w:val="baseline"/>
        </w:rPr>
        <w:t>on</w:t>
      </w:r>
      <w:r>
        <w:rPr>
          <w:spacing w:val="55"/>
          <w:vertAlign w:val="baseline"/>
        </w:rPr>
        <w:t> </w:t>
      </w:r>
      <w:r>
        <w:rPr>
          <w:spacing w:val="-3"/>
          <w:vertAlign w:val="baseline"/>
        </w:rPr>
        <w:t>here?</w:t>
      </w:r>
    </w:p>
    <w:p>
      <w:pPr>
        <w:pStyle w:val="BodyText"/>
        <w:spacing w:before="2"/>
        <w:rPr>
          <w:sz w:val="36"/>
        </w:rPr>
      </w:pPr>
    </w:p>
    <w:p>
      <w:pPr>
        <w:pStyle w:val="BodyText"/>
        <w:spacing w:line="364" w:lineRule="auto"/>
        <w:ind w:left="475" w:right="500"/>
      </w:pPr>
      <w:r>
        <w:rPr/>
        <w:t>Well, it might have something to do with your management of risk, bearing in mind avoidable and unavoidable sources of uncertainty.</w:t>
      </w:r>
    </w:p>
    <w:p>
      <w:pPr>
        <w:pStyle w:val="BodyText"/>
        <w:spacing w:before="4"/>
        <w:rPr>
          <w:sz w:val="35"/>
        </w:rPr>
      </w:pPr>
    </w:p>
    <w:p>
      <w:pPr>
        <w:pStyle w:val="BodyText"/>
        <w:spacing w:line="360" w:lineRule="auto"/>
        <w:ind w:left="475" w:right="653"/>
      </w:pPr>
      <w:r>
        <w:rPr/>
        <w:t>A</w:t>
      </w:r>
      <w:r>
        <w:rPr>
          <w:spacing w:val="-7"/>
        </w:rPr>
        <w:t> </w:t>
      </w:r>
      <w:r>
        <w:rPr/>
        <w:t>corporate</w:t>
      </w:r>
      <w:r>
        <w:rPr>
          <w:spacing w:val="-6"/>
        </w:rPr>
        <w:t> </w:t>
      </w:r>
      <w:r>
        <w:rPr/>
        <w:t>sponsor</w:t>
      </w:r>
      <w:r>
        <w:rPr>
          <w:spacing w:val="-6"/>
        </w:rPr>
        <w:t> </w:t>
      </w:r>
      <w:r>
        <w:rPr/>
        <w:t>of</w:t>
      </w:r>
      <w:r>
        <w:rPr>
          <w:spacing w:val="-6"/>
        </w:rPr>
        <w:t> </w:t>
      </w:r>
      <w:r>
        <w:rPr/>
        <w:t>a</w:t>
      </w:r>
      <w:r>
        <w:rPr>
          <w:spacing w:val="-7"/>
        </w:rPr>
        <w:t> </w:t>
      </w:r>
      <w:r>
        <w:rPr/>
        <w:t>defined-benefit</w:t>
      </w:r>
      <w:r>
        <w:rPr>
          <w:spacing w:val="-4"/>
        </w:rPr>
        <w:t> </w:t>
      </w:r>
      <w:r>
        <w:rPr/>
        <w:t>pension</w:t>
      </w:r>
      <w:r>
        <w:rPr>
          <w:spacing w:val="-4"/>
        </w:rPr>
        <w:t> </w:t>
      </w:r>
      <w:r>
        <w:rPr/>
        <w:t>scheme</w:t>
      </w:r>
      <w:r>
        <w:rPr>
          <w:spacing w:val="-5"/>
        </w:rPr>
        <w:t> </w:t>
      </w:r>
      <w:r>
        <w:rPr/>
        <w:t>is,</w:t>
      </w:r>
      <w:r>
        <w:rPr>
          <w:spacing w:val="-4"/>
        </w:rPr>
        <w:t> </w:t>
      </w:r>
      <w:r>
        <w:rPr/>
        <w:t>in</w:t>
      </w:r>
      <w:r>
        <w:rPr>
          <w:spacing w:val="9"/>
        </w:rPr>
        <w:t> </w:t>
      </w:r>
      <w:r>
        <w:rPr/>
        <w:t>effect,</w:t>
      </w:r>
      <w:r>
        <w:rPr>
          <w:spacing w:val="-2"/>
        </w:rPr>
        <w:t> </w:t>
      </w:r>
      <w:r>
        <w:rPr/>
        <w:t>providing</w:t>
      </w:r>
      <w:r>
        <w:rPr>
          <w:spacing w:val="-1"/>
        </w:rPr>
        <w:t> </w:t>
      </w:r>
      <w:r>
        <w:rPr/>
        <w:t>a</w:t>
      </w:r>
      <w:r>
        <w:rPr>
          <w:spacing w:val="-2"/>
        </w:rPr>
        <w:t> </w:t>
      </w:r>
      <w:r>
        <w:rPr/>
        <w:t>guarantee or, broadly, </w:t>
      </w:r>
      <w:r>
        <w:rPr>
          <w:spacing w:val="-4"/>
        </w:rPr>
        <w:t>writing </w:t>
      </w:r>
      <w:r>
        <w:rPr/>
        <w:t>a </w:t>
      </w:r>
      <w:r>
        <w:rPr>
          <w:spacing w:val="-3"/>
        </w:rPr>
        <w:t>very </w:t>
      </w:r>
      <w:r>
        <w:rPr/>
        <w:t>complex option</w:t>
      </w:r>
      <w:r>
        <w:rPr>
          <w:vertAlign w:val="superscript"/>
        </w:rPr>
        <w:t>4</w:t>
      </w:r>
      <w:r>
        <w:rPr>
          <w:vertAlign w:val="baseline"/>
        </w:rPr>
        <w:t>: one on which the present  </w:t>
      </w:r>
      <w:r>
        <w:rPr>
          <w:spacing w:val="-3"/>
          <w:vertAlign w:val="baseline"/>
        </w:rPr>
        <w:t>value </w:t>
      </w:r>
      <w:r>
        <w:rPr>
          <w:vertAlign w:val="baseline"/>
        </w:rPr>
        <w:t>of the payoffs </w:t>
      </w:r>
      <w:r>
        <w:rPr>
          <w:spacing w:val="-3"/>
          <w:vertAlign w:val="baseline"/>
        </w:rPr>
        <w:t>is </w:t>
      </w:r>
      <w:r>
        <w:rPr>
          <w:vertAlign w:val="baseline"/>
        </w:rPr>
        <w:t>related to, amongst other things, the future growth in earnings of its workforce, their </w:t>
      </w:r>
      <w:r>
        <w:rPr>
          <w:spacing w:val="-3"/>
          <w:vertAlign w:val="baseline"/>
        </w:rPr>
        <w:t>longevity, </w:t>
      </w:r>
      <w:r>
        <w:rPr>
          <w:vertAlign w:val="baseline"/>
        </w:rPr>
        <w:t>and the yield on an equivalent- maturity risk-free bond. Apart from the design of the scheme </w:t>
      </w:r>
      <w:r>
        <w:rPr>
          <w:spacing w:val="-3"/>
          <w:vertAlign w:val="baseline"/>
        </w:rPr>
        <w:t>itself </w:t>
      </w:r>
      <w:r>
        <w:rPr>
          <w:vertAlign w:val="baseline"/>
        </w:rPr>
        <w:t>and the associated balance of wages and pensions in employee </w:t>
      </w:r>
      <w:r>
        <w:rPr>
          <w:spacing w:val="-3"/>
          <w:vertAlign w:val="baseline"/>
        </w:rPr>
        <w:t>remuneration, </w:t>
      </w:r>
      <w:r>
        <w:rPr>
          <w:vertAlign w:val="baseline"/>
        </w:rPr>
        <w:t>the sponsor </w:t>
      </w:r>
      <w:r>
        <w:rPr>
          <w:spacing w:val="-3"/>
          <w:vertAlign w:val="baseline"/>
        </w:rPr>
        <w:t>makes </w:t>
      </w:r>
      <w:r>
        <w:rPr>
          <w:vertAlign w:val="baseline"/>
        </w:rPr>
        <w:t>two big choices: the level of contributions it </w:t>
      </w:r>
      <w:r>
        <w:rPr>
          <w:spacing w:val="-4"/>
          <w:vertAlign w:val="baseline"/>
        </w:rPr>
        <w:t>makes </w:t>
      </w:r>
      <w:r>
        <w:rPr>
          <w:vertAlign w:val="baseline"/>
        </w:rPr>
        <w:t>to </w:t>
      </w:r>
      <w:r>
        <w:rPr>
          <w:spacing w:val="-3"/>
          <w:vertAlign w:val="baseline"/>
        </w:rPr>
        <w:t>the </w:t>
      </w:r>
      <w:r>
        <w:rPr>
          <w:vertAlign w:val="baseline"/>
        </w:rPr>
        <w:t>fund, and the asset allocation of the fund. (It may </w:t>
      </w:r>
      <w:r>
        <w:rPr>
          <w:spacing w:val="-3"/>
          <w:vertAlign w:val="baseline"/>
        </w:rPr>
        <w:t>seem </w:t>
      </w:r>
      <w:r>
        <w:rPr>
          <w:vertAlign w:val="baseline"/>
        </w:rPr>
        <w:t>odd to say that the sponsor makes a decision about fund asset allocation, because of course that is formally the responsibility of </w:t>
      </w:r>
      <w:r>
        <w:rPr>
          <w:spacing w:val="-3"/>
          <w:vertAlign w:val="baseline"/>
        </w:rPr>
        <w:t>trustees.  </w:t>
      </w:r>
      <w:r>
        <w:rPr>
          <w:vertAlign w:val="baseline"/>
        </w:rPr>
        <w:t>But as guarantors, those decisions affect the risk run by sponsors who, in principle, could make adjustments to their own balance sheet if they regarded trustee </w:t>
      </w:r>
      <w:r>
        <w:rPr>
          <w:spacing w:val="-3"/>
          <w:vertAlign w:val="baseline"/>
        </w:rPr>
        <w:t>choices </w:t>
      </w:r>
      <w:r>
        <w:rPr>
          <w:vertAlign w:val="baseline"/>
        </w:rPr>
        <w:t>as </w:t>
      </w:r>
      <w:r>
        <w:rPr>
          <w:spacing w:val="-3"/>
          <w:vertAlign w:val="baseline"/>
        </w:rPr>
        <w:t>suboptimal.</w:t>
      </w:r>
      <w:r>
        <w:rPr>
          <w:spacing w:val="-22"/>
          <w:vertAlign w:val="baseline"/>
        </w:rPr>
        <w:t> </w:t>
      </w:r>
      <w:r>
        <w:rPr>
          <w:vertAlign w:val="baseline"/>
        </w:rPr>
        <w:t>)</w:t>
      </w:r>
    </w:p>
    <w:p>
      <w:pPr>
        <w:pStyle w:val="BodyText"/>
        <w:spacing w:before="8"/>
        <w:rPr>
          <w:sz w:val="35"/>
        </w:rPr>
      </w:pPr>
    </w:p>
    <w:p>
      <w:pPr>
        <w:pStyle w:val="BodyText"/>
        <w:spacing w:line="364" w:lineRule="auto" w:before="1"/>
        <w:ind w:left="475" w:right="861"/>
        <w:jc w:val="both"/>
      </w:pPr>
      <w:r>
        <w:rPr/>
        <w:t>Past increases in life expectancy entail higher contributions and, other things being equal, add to the marginal cost of a firm’s labour force. An unavoidable source of uncertainty is </w:t>
      </w:r>
      <w:r>
        <w:rPr>
          <w:u w:val="single"/>
        </w:rPr>
        <w:t>future</w:t>
      </w:r>
      <w:r>
        <w:rPr/>
        <w:t> developments in longevity.</w:t>
      </w:r>
    </w:p>
    <w:p>
      <w:pPr>
        <w:pStyle w:val="BodyText"/>
        <w:spacing w:before="4"/>
        <w:rPr>
          <w:sz w:val="35"/>
        </w:rPr>
      </w:pPr>
    </w:p>
    <w:p>
      <w:pPr>
        <w:pStyle w:val="BodyText"/>
        <w:spacing w:line="360" w:lineRule="auto"/>
        <w:ind w:left="475" w:right="668"/>
      </w:pPr>
      <w:r>
        <w:rPr/>
        <w:t>In the asset allocation of a fund, company sponsors face, at one remove, a trade-off. On </w:t>
      </w:r>
      <w:r>
        <w:rPr>
          <w:spacing w:val="-3"/>
        </w:rPr>
        <w:t>the </w:t>
      </w:r>
      <w:r>
        <w:rPr/>
        <w:t>one </w:t>
      </w:r>
      <w:r>
        <w:rPr>
          <w:spacing w:val="-3"/>
        </w:rPr>
        <w:t>hand, </w:t>
      </w:r>
      <w:r>
        <w:rPr>
          <w:spacing w:val="-9"/>
        </w:rPr>
        <w:t>if </w:t>
      </w:r>
      <w:r>
        <w:rPr/>
        <w:t>a fund holds risky assets, it will earn a risk premium but its value will tend to be </w:t>
      </w:r>
      <w:r>
        <w:rPr>
          <w:spacing w:val="-3"/>
        </w:rPr>
        <w:t>more </w:t>
      </w:r>
      <w:r>
        <w:rPr>
          <w:spacing w:val="-4"/>
        </w:rPr>
        <w:t>volatile, </w:t>
      </w:r>
      <w:r>
        <w:rPr/>
        <w:t>varying with </w:t>
      </w:r>
      <w:r>
        <w:rPr>
          <w:spacing w:val="-6"/>
        </w:rPr>
        <w:t>the </w:t>
      </w:r>
      <w:r>
        <w:rPr/>
        <w:t>long-term risk- </w:t>
      </w:r>
      <w:r>
        <w:rPr>
          <w:spacing w:val="-5"/>
        </w:rPr>
        <w:t>free rate </w:t>
      </w:r>
      <w:r>
        <w:rPr/>
        <w:t>used to discount its liabilities and the value of its risky assets. On the other hand, a fund could choose to hold only risk- </w:t>
      </w:r>
      <w:r>
        <w:rPr>
          <w:spacing w:val="-7"/>
        </w:rPr>
        <w:t>free </w:t>
      </w:r>
      <w:r>
        <w:rPr/>
        <w:t>assets matching the characteristics of the </w:t>
      </w:r>
      <w:r>
        <w:rPr>
          <w:spacing w:val="-3"/>
        </w:rPr>
        <w:t>scheme’s </w:t>
      </w:r>
      <w:r>
        <w:rPr/>
        <w:t>liabilities; for </w:t>
      </w:r>
      <w:r>
        <w:rPr>
          <w:spacing w:val="-3"/>
        </w:rPr>
        <w:t>example, </w:t>
      </w:r>
      <w:r>
        <w:rPr/>
        <w:t>buying annuities </w:t>
      </w:r>
      <w:r>
        <w:rPr>
          <w:spacing w:val="-3"/>
        </w:rPr>
        <w:t>which </w:t>
      </w:r>
      <w:r>
        <w:rPr/>
        <w:t>can </w:t>
      </w:r>
      <w:r>
        <w:rPr>
          <w:spacing w:val="-3"/>
        </w:rPr>
        <w:t>hedge </w:t>
      </w:r>
      <w:r>
        <w:rPr/>
        <w:t>the dur </w:t>
      </w:r>
      <w:r>
        <w:rPr>
          <w:spacing w:val="-5"/>
        </w:rPr>
        <w:t>ation </w:t>
      </w:r>
      <w:r>
        <w:rPr>
          <w:spacing w:val="-4"/>
        </w:rPr>
        <w:t>and </w:t>
      </w:r>
      <w:r>
        <w:rPr>
          <w:spacing w:val="-3"/>
        </w:rPr>
        <w:t>lo </w:t>
      </w:r>
      <w:r>
        <w:rPr/>
        <w:t>ngevity risk in known pension liabilities. In that</w:t>
      </w:r>
      <w:r>
        <w:rPr>
          <w:spacing w:val="-18"/>
        </w:rPr>
        <w:t> </w:t>
      </w:r>
      <w:r>
        <w:rPr/>
        <w:t>case,</w:t>
      </w:r>
    </w:p>
    <w:p>
      <w:pPr>
        <w:pStyle w:val="BodyText"/>
        <w:rPr>
          <w:sz w:val="20"/>
        </w:rPr>
      </w:pPr>
    </w:p>
    <w:p>
      <w:pPr>
        <w:pStyle w:val="BodyText"/>
        <w:spacing w:before="1"/>
        <w:rPr>
          <w:sz w:val="16"/>
        </w:rPr>
      </w:pPr>
      <w:r>
        <w:rPr/>
        <w:pict>
          <v:shape style="position:absolute;margin-left:90.75pt;margin-top:11.641553pt;width:144pt;height:.1pt;mso-position-horizontal-relative:page;mso-position-vertical-relative:paragraph;z-index:-251655168;mso-wrap-distance-left:0;mso-wrap-distance-right:0" coordorigin="1815,233" coordsize="2880,0" path="m1815,233l4695,233e" filled="false" stroked="true" strokeweight=".75pt" strokecolor="#000000">
            <v:path arrowok="t"/>
            <v:stroke dashstyle="solid"/>
            <w10:wrap type="topAndBottom"/>
          </v:shape>
        </w:pict>
      </w:r>
    </w:p>
    <w:p>
      <w:pPr>
        <w:spacing w:line="247" w:lineRule="auto" w:before="59"/>
        <w:ind w:left="475" w:right="500" w:firstLine="0"/>
        <w:jc w:val="left"/>
        <w:rPr>
          <w:sz w:val="19"/>
        </w:rPr>
      </w:pPr>
      <w:r>
        <w:rPr>
          <w:w w:val="105"/>
          <w:position w:val="9"/>
          <w:sz w:val="13"/>
        </w:rPr>
        <w:t>2 </w:t>
      </w:r>
      <w:r>
        <w:rPr>
          <w:w w:val="105"/>
          <w:sz w:val="19"/>
        </w:rPr>
        <w:t>For the household sector, the effect has been that employer contributions more than account for total net savings.</w:t>
      </w:r>
    </w:p>
    <w:p>
      <w:pPr>
        <w:spacing w:line="218" w:lineRule="exact" w:before="0"/>
        <w:ind w:left="475" w:right="0" w:firstLine="0"/>
        <w:jc w:val="left"/>
        <w:rPr>
          <w:sz w:val="19"/>
        </w:rPr>
      </w:pPr>
      <w:r>
        <w:rPr>
          <w:w w:val="105"/>
          <w:position w:val="9"/>
          <w:sz w:val="13"/>
        </w:rPr>
        <w:t>3 </w:t>
      </w:r>
      <w:r>
        <w:rPr>
          <w:w w:val="105"/>
          <w:sz w:val="19"/>
        </w:rPr>
        <w:t>A breakdown of contributions into ‘one-off’ and ‘regular’ is available only for self-administered schemes.</w:t>
      </w:r>
    </w:p>
    <w:p>
      <w:pPr>
        <w:spacing w:line="205" w:lineRule="exact" w:before="21"/>
        <w:ind w:left="475" w:right="0" w:firstLine="0"/>
        <w:jc w:val="left"/>
        <w:rPr>
          <w:sz w:val="19"/>
        </w:rPr>
      </w:pPr>
      <w:r>
        <w:rPr>
          <w:w w:val="105"/>
          <w:sz w:val="19"/>
        </w:rPr>
        <w:t>They account for around half of total employers’ contributions to private pension schemes.</w:t>
      </w:r>
    </w:p>
    <w:p>
      <w:pPr>
        <w:spacing w:line="226" w:lineRule="exact" w:before="17"/>
        <w:ind w:left="475" w:right="684" w:firstLine="0"/>
        <w:jc w:val="left"/>
        <w:rPr>
          <w:sz w:val="19"/>
        </w:rPr>
      </w:pPr>
      <w:r>
        <w:rPr>
          <w:w w:val="105"/>
          <w:position w:val="9"/>
          <w:sz w:val="13"/>
        </w:rPr>
        <w:t>4 </w:t>
      </w:r>
      <w:r>
        <w:rPr>
          <w:w w:val="105"/>
          <w:sz w:val="19"/>
        </w:rPr>
        <w:t>It is option-like because of the asymmetry between extracting surpluses from pension funds and making good deficits.</w:t>
      </w:r>
    </w:p>
    <w:p>
      <w:pPr>
        <w:spacing w:after="0" w:line="226" w:lineRule="exact"/>
        <w:jc w:val="left"/>
        <w:rPr>
          <w:sz w:val="19"/>
        </w:rPr>
        <w:sectPr>
          <w:pgSz w:w="11920" w:h="16840"/>
          <w:pgMar w:header="711" w:footer="0" w:top="960" w:bottom="280" w:left="800" w:right="1180"/>
        </w:sectPr>
      </w:pPr>
    </w:p>
    <w:p>
      <w:pPr>
        <w:pStyle w:val="BodyText"/>
        <w:rPr>
          <w:sz w:val="20"/>
        </w:rPr>
      </w:pPr>
    </w:p>
    <w:p>
      <w:pPr>
        <w:pStyle w:val="BodyText"/>
        <w:spacing w:line="364" w:lineRule="auto" w:before="229"/>
        <w:ind w:left="475" w:right="642"/>
      </w:pPr>
      <w:r>
        <w:rPr/>
        <w:t>the fund’s expected returns will be lower, and so sponsor contributions will have to be higher in order for the fund to meet the scheme’s future obligations.</w:t>
      </w:r>
    </w:p>
    <w:p>
      <w:pPr>
        <w:pStyle w:val="BodyText"/>
        <w:spacing w:before="3"/>
        <w:rPr>
          <w:sz w:val="35"/>
        </w:rPr>
      </w:pPr>
    </w:p>
    <w:p>
      <w:pPr>
        <w:pStyle w:val="BodyText"/>
        <w:spacing w:line="360" w:lineRule="auto"/>
        <w:ind w:left="475" w:right="684"/>
      </w:pPr>
      <w:r>
        <w:rPr/>
        <w:t>In short, company sponsors face some </w:t>
      </w:r>
      <w:r>
        <w:rPr>
          <w:spacing w:val="2"/>
        </w:rPr>
        <w:t>sources </w:t>
      </w:r>
      <w:r>
        <w:rPr/>
        <w:t>of </w:t>
      </w:r>
      <w:r>
        <w:rPr>
          <w:u w:val="single"/>
        </w:rPr>
        <w:t>avoidable</w:t>
      </w:r>
      <w:r>
        <w:rPr/>
        <w:t> uncertainty about the </w:t>
      </w:r>
      <w:r>
        <w:rPr>
          <w:spacing w:val="-2"/>
        </w:rPr>
        <w:t>future </w:t>
      </w:r>
      <w:r>
        <w:rPr/>
        <w:t>value of their pension funds, with the level of their contributions akin to a premium paid to reduce or remove that uncertainty.  (The funds’ trustees face a subtly different risk trade </w:t>
      </w:r>
      <w:r>
        <w:rPr>
          <w:spacing w:val="-4"/>
        </w:rPr>
        <w:t>off, </w:t>
      </w:r>
      <w:r>
        <w:rPr>
          <w:spacing w:val="-3"/>
        </w:rPr>
        <w:t>in </w:t>
      </w:r>
      <w:r>
        <w:rPr>
          <w:spacing w:val="-4"/>
        </w:rPr>
        <w:t>which they need </w:t>
      </w:r>
      <w:r>
        <w:rPr/>
        <w:t>to weigh the correlation of the risks in the </w:t>
      </w:r>
      <w:r>
        <w:rPr>
          <w:spacing w:val="-4"/>
        </w:rPr>
        <w:t>asset- liability </w:t>
      </w:r>
      <w:r>
        <w:rPr>
          <w:spacing w:val="-3"/>
        </w:rPr>
        <w:t>mix </w:t>
      </w:r>
      <w:r>
        <w:rPr/>
        <w:t>of </w:t>
      </w:r>
      <w:r>
        <w:rPr>
          <w:spacing w:val="-4"/>
        </w:rPr>
        <w:t>their </w:t>
      </w:r>
      <w:r>
        <w:rPr/>
        <w:t>fund with the risks to the sponsor’s business and net worth, and so to its </w:t>
      </w:r>
      <w:r>
        <w:rPr>
          <w:spacing w:val="-3"/>
        </w:rPr>
        <w:t>capability </w:t>
      </w:r>
      <w:r>
        <w:rPr/>
        <w:t>to </w:t>
      </w:r>
      <w:r>
        <w:rPr>
          <w:spacing w:val="-3"/>
        </w:rPr>
        <w:t>meet </w:t>
      </w:r>
      <w:r>
        <w:rPr/>
        <w:t>any </w:t>
      </w:r>
      <w:r>
        <w:rPr>
          <w:spacing w:val="-3"/>
        </w:rPr>
        <w:t>future fund</w:t>
      </w:r>
      <w:r>
        <w:rPr>
          <w:spacing w:val="24"/>
        </w:rPr>
        <w:t> </w:t>
      </w:r>
      <w:r>
        <w:rPr>
          <w:spacing w:val="-3"/>
        </w:rPr>
        <w:t>shortfall.)</w:t>
      </w:r>
    </w:p>
    <w:p>
      <w:pPr>
        <w:pStyle w:val="BodyText"/>
        <w:spacing w:before="9"/>
        <w:rPr>
          <w:sz w:val="35"/>
        </w:rPr>
      </w:pPr>
    </w:p>
    <w:p>
      <w:pPr>
        <w:pStyle w:val="BodyText"/>
        <w:spacing w:line="360" w:lineRule="auto"/>
        <w:ind w:left="475" w:right="727"/>
      </w:pPr>
      <w:r>
        <w:rPr/>
        <w:t>How </w:t>
      </w:r>
      <w:r>
        <w:rPr>
          <w:spacing w:val="-3"/>
        </w:rPr>
        <w:t>much risk </w:t>
      </w:r>
      <w:r>
        <w:rPr/>
        <w:t>a </w:t>
      </w:r>
      <w:r>
        <w:rPr>
          <w:spacing w:val="-3"/>
        </w:rPr>
        <w:t>company should take </w:t>
      </w:r>
      <w:r>
        <w:rPr/>
        <w:t>in its </w:t>
      </w:r>
      <w:r>
        <w:rPr>
          <w:spacing w:val="-3"/>
        </w:rPr>
        <w:t>core business </w:t>
      </w:r>
      <w:r>
        <w:rPr/>
        <w:t>and in the provision of pensions is </w:t>
      </w:r>
      <w:r>
        <w:rPr>
          <w:spacing w:val="-3"/>
        </w:rPr>
        <w:t>obviously </w:t>
      </w:r>
      <w:r>
        <w:rPr/>
        <w:t>a </w:t>
      </w:r>
      <w:r>
        <w:rPr>
          <w:spacing w:val="-3"/>
        </w:rPr>
        <w:t>matter </w:t>
      </w:r>
      <w:r>
        <w:rPr/>
        <w:t>for its board. A </w:t>
      </w:r>
      <w:r>
        <w:rPr>
          <w:spacing w:val="-3"/>
        </w:rPr>
        <w:t>famous paper </w:t>
      </w:r>
      <w:r>
        <w:rPr/>
        <w:t>in </w:t>
      </w:r>
      <w:r>
        <w:rPr>
          <w:spacing w:val="-3"/>
        </w:rPr>
        <w:t>corporate </w:t>
      </w:r>
      <w:r>
        <w:rPr/>
        <w:t>finance</w:t>
      </w:r>
      <w:r>
        <w:rPr>
          <w:vertAlign w:val="superscript"/>
        </w:rPr>
        <w:t>5</w:t>
      </w:r>
      <w:r>
        <w:rPr>
          <w:vertAlign w:val="baseline"/>
        </w:rPr>
        <w:t> </w:t>
      </w:r>
      <w:r>
        <w:rPr>
          <w:spacing w:val="-3"/>
          <w:vertAlign w:val="baseline"/>
        </w:rPr>
        <w:t>finds that, subject </w:t>
      </w:r>
      <w:r>
        <w:rPr>
          <w:vertAlign w:val="baseline"/>
        </w:rPr>
        <w:t>to </w:t>
      </w:r>
      <w:r>
        <w:rPr>
          <w:spacing w:val="-3"/>
          <w:vertAlign w:val="baseline"/>
        </w:rPr>
        <w:t>some </w:t>
      </w:r>
      <w:r>
        <w:rPr>
          <w:vertAlign w:val="baseline"/>
        </w:rPr>
        <w:t>(admittedly fairly strong) assumptions about tax etc, the market value of a company (measured as the sum of the value of all its </w:t>
      </w:r>
      <w:r>
        <w:rPr>
          <w:spacing w:val="-3"/>
          <w:vertAlign w:val="baseline"/>
        </w:rPr>
        <w:t>financial </w:t>
      </w:r>
      <w:r>
        <w:rPr>
          <w:vertAlign w:val="baseline"/>
        </w:rPr>
        <w:t>liabilities, equity and debt) should not depend on its capital structure. Rather, its capital structure affects the risk to </w:t>
      </w:r>
      <w:r>
        <w:rPr>
          <w:spacing w:val="-3"/>
          <w:vertAlign w:val="baseline"/>
        </w:rPr>
        <w:t>equity holders, </w:t>
      </w:r>
      <w:r>
        <w:rPr>
          <w:vertAlign w:val="baseline"/>
        </w:rPr>
        <w:t>and so the </w:t>
      </w:r>
      <w:r>
        <w:rPr>
          <w:spacing w:val="-3"/>
          <w:vertAlign w:val="baseline"/>
        </w:rPr>
        <w:t>headline return they </w:t>
      </w:r>
      <w:r>
        <w:rPr>
          <w:vertAlign w:val="baseline"/>
        </w:rPr>
        <w:t>should rationally require to compensate </w:t>
      </w:r>
      <w:r>
        <w:rPr>
          <w:spacing w:val="-2"/>
          <w:vertAlign w:val="baseline"/>
        </w:rPr>
        <w:t>for </w:t>
      </w:r>
      <w:r>
        <w:rPr>
          <w:vertAlign w:val="baseline"/>
        </w:rPr>
        <w:t>risk. Within this </w:t>
      </w:r>
      <w:r>
        <w:rPr>
          <w:spacing w:val="-4"/>
          <w:vertAlign w:val="baseline"/>
        </w:rPr>
        <w:t>framework, </w:t>
      </w:r>
      <w:r>
        <w:rPr>
          <w:vertAlign w:val="baseline"/>
        </w:rPr>
        <w:t>defined-benefit pension schemes can be viewed as deferred compensation and so as entailing a form of indebtedness (in many cases, de facto indexed- linked borrowing) for their sponsors, to be ‘serviced’ alongside their more conventional external </w:t>
      </w:r>
      <w:r>
        <w:rPr>
          <w:spacing w:val="-3"/>
          <w:vertAlign w:val="baseline"/>
        </w:rPr>
        <w:t>indebtedness. </w:t>
      </w:r>
      <w:r>
        <w:rPr>
          <w:vertAlign w:val="baseline"/>
        </w:rPr>
        <w:t>Perhaps that has become most obvious when a fund is calculated as being in</w:t>
      </w:r>
      <w:r>
        <w:rPr>
          <w:spacing w:val="1"/>
          <w:vertAlign w:val="baseline"/>
        </w:rPr>
        <w:t> </w:t>
      </w:r>
      <w:r>
        <w:rPr>
          <w:vertAlign w:val="baseline"/>
        </w:rPr>
        <w:t>deficit.</w:t>
      </w:r>
    </w:p>
    <w:p>
      <w:pPr>
        <w:pStyle w:val="BodyText"/>
        <w:spacing w:before="9"/>
        <w:rPr>
          <w:sz w:val="35"/>
        </w:rPr>
      </w:pPr>
    </w:p>
    <w:p>
      <w:pPr>
        <w:pStyle w:val="BodyText"/>
        <w:spacing w:line="360" w:lineRule="auto"/>
        <w:ind w:left="475" w:right="500"/>
      </w:pPr>
      <w:r>
        <w:rPr/>
        <w:t>It would seem that in recent years there has been a keener awareness of this way of thinking analytically about pension obligations. If there has been an ‘awakening’, maybe it was triggered by a combination of the volatility of the value of equities held by funds, especially when they fell sharply a few years ago; the volatility of the discounted value of their liabilities as long- maturity real rates fell; regulatory requirements governing the closure of deficits; and fluctuations in the net value of funds having for the first time to be reflected in firms’ capital in their financial accounts.</w:t>
      </w:r>
    </w:p>
    <w:p>
      <w:pPr>
        <w:pStyle w:val="BodyText"/>
        <w:spacing w:before="3"/>
        <w:rPr>
          <w:sz w:val="36"/>
        </w:rPr>
      </w:pPr>
    </w:p>
    <w:p>
      <w:pPr>
        <w:pStyle w:val="BodyText"/>
        <w:spacing w:line="364" w:lineRule="auto"/>
        <w:ind w:left="475" w:right="642"/>
      </w:pPr>
      <w:r>
        <w:rPr/>
        <w:pict>
          <v:shape style="position:absolute;margin-left:90.75pt;margin-top:48.328125pt;width:144pt;height:.1pt;mso-position-horizontal-relative:page;mso-position-vertical-relative:paragraph;z-index:-251654144;mso-wrap-distance-left:0;mso-wrap-distance-right:0" coordorigin="1815,967" coordsize="2880,0" path="m1815,967l4695,967e" filled="false" stroked="true" strokeweight=".75pt" strokecolor="#000000">
            <v:path arrowok="t"/>
            <v:stroke dashstyle="solid"/>
            <w10:wrap type="topAndBottom"/>
          </v:shape>
        </w:pict>
      </w:r>
      <w:r>
        <w:rPr/>
        <w:t>Firms may, therefore, have been reviewing their preferences between risk-taking in their core business and risk-taking via pension provision, and for a while may have been</w:t>
      </w:r>
    </w:p>
    <w:p>
      <w:pPr>
        <w:spacing w:line="247" w:lineRule="auto" w:before="59"/>
        <w:ind w:left="1015" w:right="500" w:firstLine="0"/>
        <w:jc w:val="left"/>
        <w:rPr>
          <w:sz w:val="19"/>
        </w:rPr>
      </w:pPr>
      <w:r>
        <w:rPr>
          <w:w w:val="105"/>
          <w:position w:val="9"/>
          <w:sz w:val="13"/>
        </w:rPr>
        <w:t>5 </w:t>
      </w:r>
      <w:r>
        <w:rPr>
          <w:w w:val="105"/>
          <w:sz w:val="19"/>
        </w:rPr>
        <w:t>Nobel Prize winner, Modigliani, F, and M. Miller, 1958, ‘The cost of capital, corporation finance and the theory of investment’, American Economic Review 48, 261-297.</w:t>
      </w:r>
    </w:p>
    <w:p>
      <w:pPr>
        <w:spacing w:after="0" w:line="247" w:lineRule="auto"/>
        <w:jc w:val="left"/>
        <w:rPr>
          <w:sz w:val="19"/>
        </w:rPr>
        <w:sectPr>
          <w:pgSz w:w="11920" w:h="16840"/>
          <w:pgMar w:header="711" w:footer="0" w:top="960" w:bottom="280" w:left="800" w:right="1180"/>
        </w:sectPr>
      </w:pPr>
    </w:p>
    <w:p>
      <w:pPr>
        <w:pStyle w:val="BodyText"/>
        <w:rPr>
          <w:sz w:val="20"/>
        </w:rPr>
      </w:pPr>
    </w:p>
    <w:p>
      <w:pPr>
        <w:pStyle w:val="BodyText"/>
        <w:spacing w:line="360" w:lineRule="auto" w:before="229"/>
        <w:ind w:left="475" w:right="684"/>
      </w:pPr>
      <w:r>
        <w:rPr/>
        <w:t>unusually uncertain about how equity markets value those different sources of uncertainty. </w:t>
      </w:r>
      <w:r>
        <w:rPr>
          <w:u w:val="single"/>
        </w:rPr>
        <w:t>If</w:t>
      </w:r>
      <w:r>
        <w:rPr/>
        <w:t> so, that may conceivably offer part of the explanation for the measured recovery in UK business investment having been weak, relative to the economy’s total output, compared with past cycles (Charts 11 and 12). Some have suggested that the need to close deficits may have been a factor, via the call on cash flows. The possibility I am airing is that another factor may be the size of a scheme’s discounted liabilities and the prospective volatility of the associated fund’s net value relative to the sponsor’s underlying business and capitalisation.</w:t>
      </w:r>
    </w:p>
    <w:p>
      <w:pPr>
        <w:pStyle w:val="BodyText"/>
        <w:spacing w:before="5"/>
        <w:rPr>
          <w:sz w:val="35"/>
        </w:rPr>
      </w:pPr>
    </w:p>
    <w:p>
      <w:pPr>
        <w:pStyle w:val="BodyText"/>
        <w:spacing w:line="362" w:lineRule="auto" w:before="1"/>
        <w:ind w:left="475" w:right="242"/>
      </w:pPr>
      <w:r>
        <w:rPr/>
        <w:t>I do not want to push that too far. </w:t>
      </w:r>
      <w:r>
        <w:rPr>
          <w:spacing w:val="-4"/>
        </w:rPr>
        <w:t>There </w:t>
      </w:r>
      <w:r>
        <w:rPr>
          <w:spacing w:val="-5"/>
        </w:rPr>
        <w:t>have, </w:t>
      </w:r>
      <w:r>
        <w:rPr/>
        <w:t>of course, been other possible explanations </w:t>
      </w:r>
      <w:r>
        <w:rPr>
          <w:spacing w:val="-4"/>
        </w:rPr>
        <w:t>for </w:t>
      </w:r>
      <w:r>
        <w:rPr>
          <w:spacing w:val="-3"/>
        </w:rPr>
        <w:t>weak </w:t>
      </w:r>
      <w:r>
        <w:rPr/>
        <w:t>fixed-capital expenditure. </w:t>
      </w:r>
      <w:r>
        <w:rPr>
          <w:spacing w:val="-3"/>
        </w:rPr>
        <w:t>These </w:t>
      </w:r>
      <w:r>
        <w:rPr/>
        <w:t>include competition from China, India and elsewhere; the rise in oil and commodity prices; and the uncertainty about how both will play out, and thus about prospective demand for UK output. All of this might </w:t>
      </w:r>
      <w:r>
        <w:rPr>
          <w:spacing w:val="-4"/>
        </w:rPr>
        <w:t>have </w:t>
      </w:r>
      <w:r>
        <w:rPr>
          <w:spacing w:val="3"/>
        </w:rPr>
        <w:t>been </w:t>
      </w:r>
      <w:r>
        <w:rPr>
          <w:spacing w:val="-4"/>
        </w:rPr>
        <w:t>thought </w:t>
      </w:r>
      <w:r>
        <w:rPr/>
        <w:t>to </w:t>
      </w:r>
      <w:r>
        <w:rPr>
          <w:spacing w:val="-3"/>
        </w:rPr>
        <w:t>make </w:t>
      </w:r>
      <w:r>
        <w:rPr>
          <w:spacing w:val="-4"/>
        </w:rPr>
        <w:t>the </w:t>
      </w:r>
      <w:r>
        <w:rPr/>
        <w:t>external environment unusually risky and so to warrant deferral of investment</w:t>
      </w:r>
      <w:r>
        <w:rPr>
          <w:spacing w:val="1"/>
        </w:rPr>
        <w:t> </w:t>
      </w:r>
      <w:r>
        <w:rPr/>
        <w:t>decisions.</w:t>
      </w:r>
    </w:p>
    <w:p>
      <w:pPr>
        <w:pStyle w:val="BodyText"/>
        <w:spacing w:before="3"/>
        <w:rPr>
          <w:sz w:val="35"/>
        </w:rPr>
      </w:pPr>
    </w:p>
    <w:p>
      <w:pPr>
        <w:pStyle w:val="BodyText"/>
        <w:spacing w:line="360" w:lineRule="auto"/>
        <w:ind w:left="475" w:right="294"/>
      </w:pPr>
      <w:r>
        <w:rPr/>
        <w:t>Another possible </w:t>
      </w:r>
      <w:r>
        <w:rPr>
          <w:spacing w:val="2"/>
        </w:rPr>
        <w:t>explanation </w:t>
      </w:r>
      <w:r>
        <w:rPr>
          <w:spacing w:val="-9"/>
        </w:rPr>
        <w:t>is, </w:t>
      </w:r>
      <w:r>
        <w:rPr/>
        <w:t>simply, that </w:t>
      </w:r>
      <w:r>
        <w:rPr>
          <w:spacing w:val="3"/>
        </w:rPr>
        <w:t>the </w:t>
      </w:r>
      <w:r>
        <w:rPr>
          <w:spacing w:val="-3"/>
        </w:rPr>
        <w:t>level </w:t>
      </w:r>
      <w:r>
        <w:rPr/>
        <w:t>of </w:t>
      </w:r>
      <w:r>
        <w:rPr>
          <w:spacing w:val="-3"/>
        </w:rPr>
        <w:t>investment </w:t>
      </w:r>
      <w:r>
        <w:rPr/>
        <w:t>has </w:t>
      </w:r>
      <w:r>
        <w:rPr>
          <w:spacing w:val="-3"/>
        </w:rPr>
        <w:t>been </w:t>
      </w:r>
      <w:r>
        <w:rPr/>
        <w:t>under-recorded, and </w:t>
      </w:r>
      <w:r>
        <w:rPr>
          <w:spacing w:val="-3"/>
        </w:rPr>
        <w:t>that </w:t>
      </w:r>
      <w:r>
        <w:rPr/>
        <w:t>the </w:t>
      </w:r>
      <w:r>
        <w:rPr>
          <w:spacing w:val="-3"/>
        </w:rPr>
        <w:t>data will </w:t>
      </w:r>
      <w:r>
        <w:rPr/>
        <w:t>be </w:t>
      </w:r>
      <w:r>
        <w:rPr>
          <w:spacing w:val="-3"/>
        </w:rPr>
        <w:t>revised </w:t>
      </w:r>
      <w:r>
        <w:rPr/>
        <w:t>up, as </w:t>
      </w:r>
      <w:r>
        <w:rPr>
          <w:spacing w:val="-3"/>
        </w:rPr>
        <w:t>they have been frequently </w:t>
      </w:r>
      <w:r>
        <w:rPr/>
        <w:t>in the </w:t>
      </w:r>
      <w:r>
        <w:rPr>
          <w:spacing w:val="-3"/>
        </w:rPr>
        <w:t>past (Chart </w:t>
      </w:r>
      <w:r>
        <w:rPr>
          <w:spacing w:val="3"/>
        </w:rPr>
        <w:t>13). </w:t>
      </w:r>
      <w:r>
        <w:rPr/>
        <w:t>Indeed,</w:t>
      </w:r>
      <w:r>
        <w:rPr>
          <w:spacing w:val="60"/>
        </w:rPr>
        <w:t> </w:t>
      </w:r>
      <w:r>
        <w:rPr/>
        <w:t>as the share of economic activity accounted for business and financial services increases, it is even </w:t>
      </w:r>
      <w:r>
        <w:rPr>
          <w:spacing w:val="-4"/>
        </w:rPr>
        <w:t>possible </w:t>
      </w:r>
      <w:r>
        <w:rPr/>
        <w:t>that a growing part of business investment is simply unmeasured. When your teams spend time developing spreadsheets that will be used for </w:t>
      </w:r>
      <w:r>
        <w:rPr>
          <w:spacing w:val="2"/>
        </w:rPr>
        <w:t>3-5 </w:t>
      </w:r>
      <w:r>
        <w:rPr/>
        <w:t>years, do you count that as investment?</w:t>
      </w:r>
    </w:p>
    <w:p>
      <w:pPr>
        <w:pStyle w:val="BodyText"/>
        <w:spacing w:before="9"/>
        <w:rPr>
          <w:sz w:val="35"/>
        </w:rPr>
      </w:pPr>
    </w:p>
    <w:p>
      <w:pPr>
        <w:pStyle w:val="BodyText"/>
        <w:spacing w:line="364" w:lineRule="auto"/>
        <w:ind w:left="475" w:right="294"/>
      </w:pPr>
      <w:r>
        <w:rPr/>
        <w:t>So it is difficult to know whether or not the management of risks associated with pension provision has had a bearing on the recent measured weakness in business investment.</w:t>
      </w:r>
    </w:p>
    <w:p>
      <w:pPr>
        <w:pStyle w:val="BodyText"/>
        <w:spacing w:before="4"/>
        <w:rPr>
          <w:sz w:val="35"/>
        </w:rPr>
      </w:pPr>
    </w:p>
    <w:p>
      <w:pPr>
        <w:pStyle w:val="Heading2"/>
        <w:spacing w:before="0"/>
        <w:ind w:left="475"/>
      </w:pPr>
      <w:r>
        <w:rPr/>
        <w:t>Financial market uncertainties</w:t>
      </w:r>
    </w:p>
    <w:p>
      <w:pPr>
        <w:pStyle w:val="BodyText"/>
        <w:spacing w:line="820" w:lineRule="atLeast" w:before="5"/>
        <w:ind w:left="475" w:right="1194"/>
      </w:pPr>
      <w:r>
        <w:rPr/>
        <w:t>It has, though, surely been an important factor in financial markets in recent years. The most obvious manifestations have been associated with their own jargon:</w:t>
      </w:r>
    </w:p>
    <w:p>
      <w:pPr>
        <w:pStyle w:val="BodyText"/>
        <w:spacing w:line="364" w:lineRule="auto" w:before="149"/>
        <w:ind w:left="475" w:right="642"/>
      </w:pPr>
      <w:r>
        <w:rPr/>
        <w:t>Liability-Driven Investment (or LDI), and so-called ‘alpha-generating’ active- management strategies.</w:t>
      </w:r>
    </w:p>
    <w:p>
      <w:pPr>
        <w:spacing w:after="0" w:line="364" w:lineRule="auto"/>
        <w:sectPr>
          <w:pgSz w:w="11920" w:h="16840"/>
          <w:pgMar w:header="711" w:footer="0" w:top="960" w:bottom="280" w:left="800" w:right="1180"/>
        </w:sectPr>
      </w:pPr>
    </w:p>
    <w:p>
      <w:pPr>
        <w:pStyle w:val="BodyText"/>
        <w:rPr>
          <w:sz w:val="20"/>
        </w:rPr>
      </w:pPr>
    </w:p>
    <w:p>
      <w:pPr>
        <w:pStyle w:val="BodyText"/>
        <w:spacing w:line="360" w:lineRule="auto" w:before="229"/>
        <w:ind w:left="475" w:right="683"/>
      </w:pPr>
      <w:r>
        <w:rPr/>
        <w:t>LDI involves matching a fund’s assets more closely with its quasi- fixed-income liabilities, via purchases of long-duration conventional bonds, inflation- indexed (or real) bonds, interest-rate swaps and inflation swaps. This may well have amplified the fall in very long- maturity real forward rates, which has been such a puzzle in recent years (Chart 14).</w:t>
      </w:r>
    </w:p>
    <w:p>
      <w:pPr>
        <w:pStyle w:val="BodyText"/>
        <w:rPr>
          <w:sz w:val="36"/>
        </w:rPr>
      </w:pPr>
    </w:p>
    <w:p>
      <w:pPr>
        <w:pStyle w:val="BodyText"/>
        <w:ind w:left="475"/>
      </w:pPr>
      <w:r>
        <w:rPr/>
        <w:t>Greater asset- liability matching represents a reduction of risk, and so – at least at first blush</w:t>
      </w:r>
    </w:p>
    <w:p>
      <w:pPr>
        <w:pStyle w:val="BodyText"/>
        <w:spacing w:line="357" w:lineRule="auto" w:before="144"/>
        <w:ind w:left="475" w:right="642"/>
      </w:pPr>
      <w:r>
        <w:rPr/>
        <w:t>– does not obviously square with a more aggressive approach to active management via increasingly popular ‘alpha’ strategies. But quite what such strategies entail may need a bit of unpacking.</w:t>
      </w:r>
    </w:p>
    <w:p>
      <w:pPr>
        <w:pStyle w:val="BodyText"/>
        <w:spacing w:before="2"/>
        <w:rPr>
          <w:sz w:val="36"/>
        </w:rPr>
      </w:pPr>
    </w:p>
    <w:p>
      <w:pPr>
        <w:pStyle w:val="BodyText"/>
        <w:spacing w:line="360" w:lineRule="auto"/>
        <w:ind w:left="475" w:right="659"/>
      </w:pPr>
      <w:r>
        <w:rPr/>
        <w:t>Conventionally, in the framework of the Capital Asset Pricing Model, ‘alpha’ would refer to </w:t>
      </w:r>
      <w:r>
        <w:rPr>
          <w:spacing w:val="-3"/>
        </w:rPr>
        <w:t>excess </w:t>
      </w:r>
      <w:r>
        <w:rPr/>
        <w:t>risk-adjusted </w:t>
      </w:r>
      <w:r>
        <w:rPr>
          <w:spacing w:val="-3"/>
        </w:rPr>
        <w:t>return </w:t>
      </w:r>
      <w:r>
        <w:rPr/>
        <w:t>(a </w:t>
      </w:r>
      <w:r>
        <w:rPr>
          <w:spacing w:val="-3"/>
        </w:rPr>
        <w:t>nice thing </w:t>
      </w:r>
      <w:r>
        <w:rPr/>
        <w:t>if you can get </w:t>
      </w:r>
      <w:r>
        <w:rPr>
          <w:spacing w:val="-3"/>
        </w:rPr>
        <w:t>it!). </w:t>
      </w:r>
      <w:r>
        <w:rPr/>
        <w:t>In practice, the term seems to be</w:t>
      </w:r>
      <w:r>
        <w:rPr>
          <w:spacing w:val="-7"/>
        </w:rPr>
        <w:t> </w:t>
      </w:r>
      <w:r>
        <w:rPr/>
        <w:t>deployed</w:t>
      </w:r>
      <w:r>
        <w:rPr>
          <w:spacing w:val="-6"/>
        </w:rPr>
        <w:t> </w:t>
      </w:r>
      <w:r>
        <w:rPr/>
        <w:t>rather</w:t>
      </w:r>
      <w:r>
        <w:rPr>
          <w:spacing w:val="-6"/>
        </w:rPr>
        <w:t> </w:t>
      </w:r>
      <w:r>
        <w:rPr/>
        <w:t>loosely,</w:t>
      </w:r>
      <w:r>
        <w:rPr>
          <w:spacing w:val="-7"/>
        </w:rPr>
        <w:t> </w:t>
      </w:r>
      <w:r>
        <w:rPr/>
        <w:t>being</w:t>
      </w:r>
      <w:r>
        <w:rPr>
          <w:spacing w:val="-4"/>
        </w:rPr>
        <w:t> </w:t>
      </w:r>
      <w:r>
        <w:rPr/>
        <w:t>used</w:t>
      </w:r>
      <w:r>
        <w:rPr>
          <w:spacing w:val="-5"/>
        </w:rPr>
        <w:t> </w:t>
      </w:r>
      <w:r>
        <w:rPr/>
        <w:t>variously</w:t>
      </w:r>
      <w:r>
        <w:rPr>
          <w:spacing w:val="-4"/>
        </w:rPr>
        <w:t> </w:t>
      </w:r>
      <w:r>
        <w:rPr/>
        <w:t>to</w:t>
      </w:r>
      <w:r>
        <w:rPr>
          <w:spacing w:val="-5"/>
        </w:rPr>
        <w:t> </w:t>
      </w:r>
      <w:r>
        <w:rPr/>
        <w:t>cover</w:t>
      </w:r>
      <w:r>
        <w:rPr>
          <w:spacing w:val="-4"/>
        </w:rPr>
        <w:t> </w:t>
      </w:r>
      <w:r>
        <w:rPr/>
        <w:t>allocations</w:t>
      </w:r>
      <w:r>
        <w:rPr>
          <w:spacing w:val="-5"/>
        </w:rPr>
        <w:t> </w:t>
      </w:r>
      <w:r>
        <w:rPr/>
        <w:t>to</w:t>
      </w:r>
      <w:r>
        <w:rPr>
          <w:spacing w:val="-4"/>
        </w:rPr>
        <w:t> </w:t>
      </w:r>
      <w:r>
        <w:rPr/>
        <w:t>assets</w:t>
      </w:r>
      <w:r>
        <w:rPr>
          <w:spacing w:val="-5"/>
        </w:rPr>
        <w:t> </w:t>
      </w:r>
      <w:r>
        <w:rPr/>
        <w:t>whose</w:t>
      </w:r>
      <w:r>
        <w:rPr>
          <w:spacing w:val="-4"/>
        </w:rPr>
        <w:t> </w:t>
      </w:r>
      <w:r>
        <w:rPr/>
        <w:t>returns have in the past been relatively uncorrelated with a fund’s liabilities; leveraged – </w:t>
      </w:r>
      <w:r>
        <w:rPr>
          <w:spacing w:val="-3"/>
        </w:rPr>
        <w:t>that </w:t>
      </w:r>
      <w:r>
        <w:rPr/>
        <w:t>is </w:t>
      </w:r>
      <w:r>
        <w:rPr>
          <w:spacing w:val="-4"/>
        </w:rPr>
        <w:t>to say, </w:t>
      </w:r>
      <w:r>
        <w:rPr/>
        <w:t>risk-enhancing – </w:t>
      </w:r>
      <w:r>
        <w:rPr>
          <w:spacing w:val="-3"/>
        </w:rPr>
        <w:t>plays </w:t>
      </w:r>
      <w:r>
        <w:rPr/>
        <w:t>across almost any asset </w:t>
      </w:r>
      <w:r>
        <w:rPr>
          <w:spacing w:val="2"/>
        </w:rPr>
        <w:t>class; </w:t>
      </w:r>
      <w:r>
        <w:rPr/>
        <w:t>and giving </w:t>
      </w:r>
      <w:r>
        <w:rPr>
          <w:spacing w:val="-4"/>
        </w:rPr>
        <w:t>greater </w:t>
      </w:r>
      <w:r>
        <w:rPr/>
        <w:t>freedom to </w:t>
      </w:r>
      <w:r>
        <w:rPr>
          <w:spacing w:val="-3"/>
        </w:rPr>
        <w:t>fund managers. </w:t>
      </w:r>
      <w:r>
        <w:rPr/>
        <w:t>For pension funds, one motivation has probably been to diversify asset portfolios, perhaps evidenced by bigger allocations to private equity, commodities</w:t>
      </w:r>
      <w:r>
        <w:rPr>
          <w:spacing w:val="-34"/>
        </w:rPr>
        <w:t> </w:t>
      </w:r>
      <w:r>
        <w:rPr/>
        <w:t>etc.</w:t>
      </w:r>
    </w:p>
    <w:p>
      <w:pPr>
        <w:pStyle w:val="BodyText"/>
        <w:spacing w:line="362" w:lineRule="auto"/>
        <w:ind w:left="475" w:right="644"/>
      </w:pPr>
      <w:r>
        <w:rPr/>
        <w:t>Another motivation, both here and overseas, seems to be to try to close deficits partly by earning high investment returns on some proportion of their asset portfolios. Cast in that light, it appears to be part of the broader ‘search for yield’, which has been offered by some as contributing over the past couple of years to the compression in credit spreads and other market-based indicators of risk, such as the price of options on most asset classes.</w:t>
      </w:r>
    </w:p>
    <w:p>
      <w:pPr>
        <w:pStyle w:val="BodyText"/>
        <w:spacing w:before="1"/>
        <w:rPr>
          <w:sz w:val="35"/>
        </w:rPr>
      </w:pPr>
    </w:p>
    <w:p>
      <w:pPr>
        <w:pStyle w:val="BodyText"/>
        <w:spacing w:line="357" w:lineRule="auto" w:before="1"/>
        <w:ind w:left="475" w:right="642"/>
      </w:pPr>
      <w:r>
        <w:rPr/>
        <w:t>Two responses to this </w:t>
      </w:r>
      <w:r>
        <w:rPr>
          <w:spacing w:val="-4"/>
        </w:rPr>
        <w:t>have </w:t>
      </w:r>
      <w:r>
        <w:rPr/>
        <w:t>circulated amongst market participants, both intermediaries and asset managers. One is that </w:t>
      </w:r>
      <w:r>
        <w:rPr>
          <w:spacing w:val="-4"/>
        </w:rPr>
        <w:t>falls </w:t>
      </w:r>
      <w:r>
        <w:rPr/>
        <w:t>in implied risk </w:t>
      </w:r>
      <w:r>
        <w:rPr>
          <w:spacing w:val="-3"/>
        </w:rPr>
        <w:t>premia truly </w:t>
      </w:r>
      <w:r>
        <w:rPr/>
        <w:t>have reflected a reduction in </w:t>
      </w:r>
      <w:r>
        <w:rPr>
          <w:spacing w:val="-4"/>
        </w:rPr>
        <w:t>risk.</w:t>
      </w:r>
      <w:r>
        <w:rPr>
          <w:spacing w:val="52"/>
        </w:rPr>
        <w:t> </w:t>
      </w:r>
      <w:r>
        <w:rPr>
          <w:spacing w:val="-3"/>
        </w:rPr>
        <w:t>The </w:t>
      </w:r>
      <w:r>
        <w:rPr>
          <w:spacing w:val="-4"/>
        </w:rPr>
        <w:t>other </w:t>
      </w:r>
      <w:r>
        <w:rPr/>
        <w:t>is </w:t>
      </w:r>
      <w:r>
        <w:rPr>
          <w:spacing w:val="-4"/>
        </w:rPr>
        <w:t>that, while </w:t>
      </w:r>
      <w:r>
        <w:rPr>
          <w:spacing w:val="-3"/>
        </w:rPr>
        <w:t>that </w:t>
      </w:r>
      <w:r>
        <w:rPr>
          <w:spacing w:val="-4"/>
        </w:rPr>
        <w:t>story might </w:t>
      </w:r>
      <w:r>
        <w:rPr/>
        <w:t>ho ld up to a </w:t>
      </w:r>
      <w:r>
        <w:rPr>
          <w:spacing w:val="-3"/>
        </w:rPr>
        <w:t>point, risk </w:t>
      </w:r>
      <w:r>
        <w:rPr/>
        <w:t>has been under-priced.</w:t>
      </w:r>
    </w:p>
    <w:p>
      <w:pPr>
        <w:pStyle w:val="BodyText"/>
        <w:spacing w:before="2"/>
        <w:rPr>
          <w:sz w:val="36"/>
        </w:rPr>
      </w:pPr>
    </w:p>
    <w:p>
      <w:pPr>
        <w:pStyle w:val="BodyText"/>
        <w:spacing w:line="360" w:lineRule="auto"/>
        <w:ind w:left="475" w:right="626"/>
      </w:pPr>
      <w:r>
        <w:rPr/>
        <w:t>It is </w:t>
      </w:r>
      <w:r>
        <w:rPr>
          <w:spacing w:val="-3"/>
        </w:rPr>
        <w:t>certainly plausible that </w:t>
      </w:r>
      <w:r>
        <w:rPr/>
        <w:t>structural change has caused risk to decline somewhat over the past decade or so. First, </w:t>
      </w:r>
      <w:r>
        <w:rPr>
          <w:spacing w:val="-3"/>
        </w:rPr>
        <w:t>monetary </w:t>
      </w:r>
      <w:r>
        <w:rPr/>
        <w:t>policy regimes </w:t>
      </w:r>
      <w:r>
        <w:rPr>
          <w:spacing w:val="-3"/>
        </w:rPr>
        <w:t>have become more </w:t>
      </w:r>
      <w:r>
        <w:rPr/>
        <w:t>credible.  That being so, central banks may be </w:t>
      </w:r>
      <w:r>
        <w:rPr>
          <w:spacing w:val="-3"/>
        </w:rPr>
        <w:t>able </w:t>
      </w:r>
      <w:r>
        <w:rPr/>
        <w:t>to stabilize demand and output growth more effectively than in the </w:t>
      </w:r>
      <w:r>
        <w:rPr>
          <w:spacing w:val="-3"/>
        </w:rPr>
        <w:t>past.  Most obviously, cuts </w:t>
      </w:r>
      <w:r>
        <w:rPr/>
        <w:t>in </w:t>
      </w:r>
      <w:r>
        <w:rPr>
          <w:spacing w:val="-3"/>
        </w:rPr>
        <w:t>interest rates </w:t>
      </w:r>
      <w:r>
        <w:rPr/>
        <w:t>are now </w:t>
      </w:r>
      <w:r>
        <w:rPr>
          <w:spacing w:val="-3"/>
        </w:rPr>
        <w:t>much more likely </w:t>
      </w:r>
      <w:r>
        <w:rPr/>
        <w:t>to </w:t>
      </w:r>
      <w:r>
        <w:rPr>
          <w:spacing w:val="-3"/>
        </w:rPr>
        <w:t>be   </w:t>
      </w:r>
      <w:r>
        <w:rPr/>
        <w:t>understood as a response to an adverse demand shock rather than as attempts to generate extra demand and jobs in the short run at the cost of stoking up higher </w:t>
      </w:r>
      <w:r>
        <w:rPr>
          <w:spacing w:val="-3"/>
        </w:rPr>
        <w:t>medium-term </w:t>
      </w:r>
      <w:r>
        <w:rPr/>
        <w:t>inflation. And so it is easier for central banks to cut interest rates when that would</w:t>
      </w:r>
      <w:r>
        <w:rPr>
          <w:spacing w:val="-28"/>
        </w:rPr>
        <w:t> </w:t>
      </w:r>
      <w:r>
        <w:rPr/>
        <w:t>desirable</w:t>
      </w:r>
    </w:p>
    <w:p>
      <w:pPr>
        <w:spacing w:after="0" w:line="360" w:lineRule="auto"/>
        <w:sectPr>
          <w:pgSz w:w="11920" w:h="16840"/>
          <w:pgMar w:header="711" w:footer="0" w:top="960" w:bottom="280" w:left="800" w:right="1180"/>
        </w:sectPr>
      </w:pPr>
    </w:p>
    <w:p>
      <w:pPr>
        <w:pStyle w:val="BodyText"/>
        <w:rPr>
          <w:sz w:val="20"/>
        </w:rPr>
      </w:pPr>
    </w:p>
    <w:p>
      <w:pPr>
        <w:pStyle w:val="BodyText"/>
        <w:spacing w:line="357" w:lineRule="auto" w:before="229"/>
        <w:ind w:left="475" w:right="642"/>
      </w:pPr>
      <w:r>
        <w:rPr/>
        <w:t>in order to stabilise demand conditions and so keep inflation in line with the target. Related to that, greatly increased transparency across the central banking world makes policy surprises – and so outsized market reactions to policy decisions – somewhat less likely.</w:t>
      </w:r>
    </w:p>
    <w:p>
      <w:pPr>
        <w:pStyle w:val="BodyText"/>
        <w:spacing w:line="360" w:lineRule="auto" w:before="11"/>
        <w:ind w:left="475" w:right="651"/>
      </w:pPr>
      <w:r>
        <w:rPr>
          <w:spacing w:val="-3"/>
        </w:rPr>
        <w:t>Second, </w:t>
      </w:r>
      <w:r>
        <w:rPr/>
        <w:t>more competitive and transparent product </w:t>
      </w:r>
      <w:r>
        <w:rPr>
          <w:spacing w:val="-4"/>
        </w:rPr>
        <w:t>markets </w:t>
      </w:r>
      <w:r>
        <w:rPr/>
        <w:t>(partly thanks to the </w:t>
      </w:r>
      <w:r>
        <w:rPr>
          <w:spacing w:val="-4"/>
        </w:rPr>
        <w:t>internet), </w:t>
      </w:r>
      <w:r>
        <w:rPr>
          <w:spacing w:val="-3"/>
        </w:rPr>
        <w:t>together with more flexible labour markets, may </w:t>
      </w:r>
      <w:r>
        <w:rPr/>
        <w:t>have improved the real economy’s ability  to absorb nasty shocks without persistent large falls in </w:t>
      </w:r>
      <w:r>
        <w:rPr>
          <w:spacing w:val="-5"/>
        </w:rPr>
        <w:t>output. </w:t>
      </w:r>
      <w:r>
        <w:rPr/>
        <w:t>Third, developments in </w:t>
      </w:r>
      <w:r>
        <w:rPr>
          <w:spacing w:val="-3"/>
        </w:rPr>
        <w:t>banking probably </w:t>
      </w:r>
      <w:r>
        <w:rPr/>
        <w:t>mean that more </w:t>
      </w:r>
      <w:r>
        <w:rPr>
          <w:spacing w:val="-3"/>
        </w:rPr>
        <w:t>households have access </w:t>
      </w:r>
      <w:r>
        <w:rPr/>
        <w:t>to </w:t>
      </w:r>
      <w:r>
        <w:rPr>
          <w:spacing w:val="-3"/>
        </w:rPr>
        <w:t>credit </w:t>
      </w:r>
      <w:r>
        <w:rPr/>
        <w:t>to </w:t>
      </w:r>
      <w:r>
        <w:rPr>
          <w:spacing w:val="-3"/>
        </w:rPr>
        <w:t>help them </w:t>
      </w:r>
      <w:r>
        <w:rPr/>
        <w:t>to </w:t>
      </w:r>
      <w:r>
        <w:rPr>
          <w:spacing w:val="-2"/>
        </w:rPr>
        <w:t>smooth </w:t>
      </w:r>
      <w:r>
        <w:rPr/>
        <w:t>their consumptio n by borrowing during ‘bad times’. And by routinely distributing more risk to </w:t>
      </w:r>
      <w:r>
        <w:rPr>
          <w:spacing w:val="-3"/>
        </w:rPr>
        <w:t>non-banks, </w:t>
      </w:r>
      <w:r>
        <w:rPr/>
        <w:t>the banking system </w:t>
      </w:r>
      <w:r>
        <w:rPr>
          <w:spacing w:val="-6"/>
        </w:rPr>
        <w:t>may </w:t>
      </w:r>
      <w:r>
        <w:rPr/>
        <w:t>be </w:t>
      </w:r>
      <w:r>
        <w:rPr>
          <w:spacing w:val="-3"/>
        </w:rPr>
        <w:t>less </w:t>
      </w:r>
      <w:r>
        <w:rPr>
          <w:spacing w:val="-5"/>
        </w:rPr>
        <w:t>likely </w:t>
      </w:r>
      <w:r>
        <w:rPr/>
        <w:t>to wish or need to conserve  capital,</w:t>
      </w:r>
      <w:r>
        <w:rPr>
          <w:spacing w:val="-4"/>
        </w:rPr>
        <w:t> </w:t>
      </w:r>
      <w:r>
        <w:rPr/>
        <w:t>refraining</w:t>
      </w:r>
      <w:r>
        <w:rPr>
          <w:spacing w:val="-3"/>
        </w:rPr>
        <w:t> </w:t>
      </w:r>
      <w:r>
        <w:rPr/>
        <w:t>from</w:t>
      </w:r>
      <w:r>
        <w:rPr>
          <w:spacing w:val="-4"/>
        </w:rPr>
        <w:t> </w:t>
      </w:r>
      <w:r>
        <w:rPr/>
        <w:t>taking</w:t>
      </w:r>
      <w:r>
        <w:rPr>
          <w:spacing w:val="-3"/>
        </w:rPr>
        <w:t> </w:t>
      </w:r>
      <w:r>
        <w:rPr/>
        <w:t>risk,</w:t>
      </w:r>
      <w:r>
        <w:rPr>
          <w:spacing w:val="-4"/>
        </w:rPr>
        <w:t> </w:t>
      </w:r>
      <w:r>
        <w:rPr/>
        <w:t>when</w:t>
      </w:r>
      <w:r>
        <w:rPr>
          <w:spacing w:val="-3"/>
        </w:rPr>
        <w:t> </w:t>
      </w:r>
      <w:r>
        <w:rPr/>
        <w:t>faced</w:t>
      </w:r>
      <w:r>
        <w:rPr>
          <w:spacing w:val="-3"/>
        </w:rPr>
        <w:t> </w:t>
      </w:r>
      <w:r>
        <w:rPr/>
        <w:t>with</w:t>
      </w:r>
      <w:r>
        <w:rPr>
          <w:spacing w:val="-4"/>
        </w:rPr>
        <w:t> </w:t>
      </w:r>
      <w:r>
        <w:rPr/>
        <w:t>increased</w:t>
      </w:r>
      <w:r>
        <w:rPr>
          <w:spacing w:val="-3"/>
        </w:rPr>
        <w:t> </w:t>
      </w:r>
      <w:r>
        <w:rPr/>
        <w:t>demand</w:t>
      </w:r>
      <w:r>
        <w:rPr>
          <w:spacing w:val="-4"/>
        </w:rPr>
        <w:t> </w:t>
      </w:r>
      <w:r>
        <w:rPr/>
        <w:t>for</w:t>
      </w:r>
      <w:r>
        <w:rPr>
          <w:spacing w:val="-3"/>
        </w:rPr>
        <w:t> </w:t>
      </w:r>
      <w:r>
        <w:rPr/>
        <w:t>liquidity</w:t>
      </w:r>
      <w:r>
        <w:rPr>
          <w:spacing w:val="-3"/>
        </w:rPr>
        <w:t> </w:t>
      </w:r>
      <w:r>
        <w:rPr/>
        <w:t>from</w:t>
      </w:r>
      <w:r>
        <w:rPr>
          <w:spacing w:val="-4"/>
        </w:rPr>
        <w:t> </w:t>
      </w:r>
      <w:r>
        <w:rPr>
          <w:spacing w:val="-2"/>
        </w:rPr>
        <w:t>its </w:t>
      </w:r>
      <w:r>
        <w:rPr/>
        <w:t>corporate and household customers. For these reasons, consumption growth may be less </w:t>
      </w:r>
      <w:r>
        <w:rPr>
          <w:spacing w:val="-3"/>
        </w:rPr>
        <w:t>prone </w:t>
      </w:r>
      <w:r>
        <w:rPr/>
        <w:t>to </w:t>
      </w:r>
      <w:r>
        <w:rPr>
          <w:spacing w:val="-3"/>
        </w:rPr>
        <w:t>violent lurches </w:t>
      </w:r>
      <w:r>
        <w:rPr/>
        <w:t>than during, say, the 1970s and</w:t>
      </w:r>
      <w:r>
        <w:rPr>
          <w:spacing w:val="44"/>
        </w:rPr>
        <w:t> </w:t>
      </w:r>
      <w:r>
        <w:rPr/>
        <w:t>1980s.</w:t>
      </w:r>
    </w:p>
    <w:p>
      <w:pPr>
        <w:pStyle w:val="BodyText"/>
        <w:rPr>
          <w:sz w:val="36"/>
        </w:rPr>
      </w:pPr>
    </w:p>
    <w:p>
      <w:pPr>
        <w:pStyle w:val="BodyText"/>
        <w:spacing w:line="357" w:lineRule="auto"/>
        <w:ind w:left="475" w:right="642"/>
      </w:pPr>
      <w:r>
        <w:rPr/>
        <w:t>In parallel, new techniques for unbundling and distributing risk, and possibly also asset managers working under fewer constraints than in the past, may have made financial markets more efficient. For any given level of expected volatility in the economy, that may have enabled investors to hold more diversified portfolios, reduc ing the excess returns (or risk premia) required for bearing the residual undiversified risk.</w:t>
      </w:r>
    </w:p>
    <w:p>
      <w:pPr>
        <w:pStyle w:val="BodyText"/>
        <w:spacing w:before="5"/>
        <w:rPr>
          <w:sz w:val="36"/>
        </w:rPr>
      </w:pPr>
    </w:p>
    <w:p>
      <w:pPr>
        <w:pStyle w:val="BodyText"/>
        <w:spacing w:line="364" w:lineRule="auto"/>
        <w:ind w:left="475" w:right="734"/>
      </w:pPr>
      <w:r>
        <w:rPr>
          <w:spacing w:val="-3"/>
        </w:rPr>
        <w:t>Taken </w:t>
      </w:r>
      <w:r>
        <w:rPr/>
        <w:t>together, other things being equal, </w:t>
      </w:r>
      <w:r>
        <w:rPr>
          <w:spacing w:val="-4"/>
        </w:rPr>
        <w:t>these factors </w:t>
      </w:r>
      <w:r>
        <w:rPr/>
        <w:t>wo uld </w:t>
      </w:r>
      <w:r>
        <w:rPr>
          <w:spacing w:val="-3"/>
        </w:rPr>
        <w:t>tend </w:t>
      </w:r>
      <w:r>
        <w:rPr/>
        <w:t>to </w:t>
      </w:r>
      <w:r>
        <w:rPr>
          <w:spacing w:val="-3"/>
        </w:rPr>
        <w:t>work </w:t>
      </w:r>
      <w:r>
        <w:rPr/>
        <w:t>in the </w:t>
      </w:r>
      <w:r>
        <w:rPr>
          <w:spacing w:val="-3"/>
        </w:rPr>
        <w:t>direction </w:t>
      </w:r>
      <w:r>
        <w:rPr/>
        <w:t>of </w:t>
      </w:r>
      <w:r>
        <w:rPr>
          <w:spacing w:val="-4"/>
        </w:rPr>
        <w:t>reducing </w:t>
      </w:r>
      <w:r>
        <w:rPr/>
        <w:t>inflation risk premia and term premia in government bond yields, </w:t>
      </w:r>
      <w:r>
        <w:rPr>
          <w:spacing w:val="-2"/>
        </w:rPr>
        <w:t>credit </w:t>
      </w:r>
      <w:r>
        <w:rPr/>
        <w:t>spreads, equity risk premia, and implied volatilities derived from options.</w:t>
      </w:r>
    </w:p>
    <w:p>
      <w:pPr>
        <w:pStyle w:val="BodyText"/>
        <w:spacing w:before="4"/>
        <w:rPr>
          <w:sz w:val="35"/>
        </w:rPr>
      </w:pPr>
    </w:p>
    <w:p>
      <w:pPr>
        <w:pStyle w:val="BodyText"/>
        <w:spacing w:line="352" w:lineRule="auto" w:before="1"/>
        <w:ind w:left="475" w:right="500"/>
      </w:pPr>
      <w:r>
        <w:rPr/>
        <w:t>But there are important qualifications to this story, especially regarding what it implies looking forward.</w:t>
      </w:r>
    </w:p>
    <w:p>
      <w:pPr>
        <w:pStyle w:val="BodyText"/>
        <w:spacing w:before="8"/>
        <w:rPr>
          <w:sz w:val="37"/>
        </w:rPr>
      </w:pPr>
    </w:p>
    <w:p>
      <w:pPr>
        <w:pStyle w:val="BodyText"/>
        <w:spacing w:line="360" w:lineRule="auto"/>
        <w:ind w:left="475" w:right="680"/>
      </w:pPr>
      <w:r>
        <w:rPr>
          <w:spacing w:val="-3"/>
        </w:rPr>
        <w:t>First, various </w:t>
      </w:r>
      <w:r>
        <w:rPr>
          <w:u w:val="single"/>
        </w:rPr>
        <w:t>cyclica</w:t>
      </w:r>
      <w:r>
        <w:rPr/>
        <w:t>l developments, such as corporate sector balance sheet repair, have probably reduced risk. And, of course, </w:t>
      </w:r>
      <w:r>
        <w:rPr>
          <w:spacing w:val="-6"/>
        </w:rPr>
        <w:t>growth </w:t>
      </w:r>
      <w:r>
        <w:rPr>
          <w:spacing w:val="-3"/>
        </w:rPr>
        <w:t>is </w:t>
      </w:r>
      <w:r>
        <w:rPr/>
        <w:t>currently robust pretty uniformly </w:t>
      </w:r>
      <w:r>
        <w:rPr>
          <w:spacing w:val="-2"/>
        </w:rPr>
        <w:t>across </w:t>
      </w:r>
      <w:r>
        <w:rPr/>
        <w:t>the world economy. Those features of the environment may have reduced risk premia, cyclically. </w:t>
      </w:r>
      <w:r>
        <w:rPr>
          <w:spacing w:val="-6"/>
        </w:rPr>
        <w:t>There </w:t>
      </w:r>
      <w:r>
        <w:rPr/>
        <w:t>is no </w:t>
      </w:r>
      <w:r>
        <w:rPr>
          <w:spacing w:val="-3"/>
        </w:rPr>
        <w:t>way </w:t>
      </w:r>
      <w:r>
        <w:rPr/>
        <w:t>to </w:t>
      </w:r>
      <w:r>
        <w:rPr>
          <w:spacing w:val="-4"/>
        </w:rPr>
        <w:t>separate </w:t>
      </w:r>
      <w:r>
        <w:rPr>
          <w:spacing w:val="-3"/>
        </w:rPr>
        <w:t>out </w:t>
      </w:r>
      <w:r>
        <w:rPr/>
        <w:t>with any precision the cyclical and structural, potentially more persistent, influences on the price of risk. Second, the importance of some </w:t>
      </w:r>
      <w:r>
        <w:rPr>
          <w:spacing w:val="-3"/>
        </w:rPr>
        <w:t>of </w:t>
      </w:r>
      <w:r>
        <w:rPr>
          <w:spacing w:val="-4"/>
        </w:rPr>
        <w:t>those </w:t>
      </w:r>
      <w:r>
        <w:rPr/>
        <w:t>structural factors may be exaggerated by market participants. Closest </w:t>
      </w:r>
      <w:r>
        <w:rPr>
          <w:spacing w:val="-3"/>
        </w:rPr>
        <w:t>to </w:t>
      </w:r>
      <w:r>
        <w:rPr>
          <w:spacing w:val="-4"/>
        </w:rPr>
        <w:t>home </w:t>
      </w:r>
      <w:r>
        <w:rPr>
          <w:spacing w:val="-5"/>
        </w:rPr>
        <w:t>for </w:t>
      </w:r>
      <w:r>
        <w:rPr/>
        <w:t>me, I would not want anyone to think that central banks are capable of delivering uninterrupted growth indefinitely. And while central banks no longer seek to</w:t>
      </w:r>
      <w:r>
        <w:rPr>
          <w:spacing w:val="6"/>
        </w:rPr>
        <w:t> </w:t>
      </w:r>
      <w:r>
        <w:rPr>
          <w:spacing w:val="-2"/>
        </w:rPr>
        <w:t>spring</w:t>
      </w:r>
    </w:p>
    <w:p>
      <w:pPr>
        <w:spacing w:after="0" w:line="360" w:lineRule="auto"/>
        <w:sectPr>
          <w:pgSz w:w="11920" w:h="16840"/>
          <w:pgMar w:header="711" w:footer="0" w:top="960" w:bottom="280" w:left="800" w:right="1180"/>
        </w:sectPr>
      </w:pPr>
    </w:p>
    <w:p>
      <w:pPr>
        <w:pStyle w:val="BodyText"/>
        <w:rPr>
          <w:sz w:val="20"/>
        </w:rPr>
      </w:pPr>
    </w:p>
    <w:p>
      <w:pPr>
        <w:pStyle w:val="BodyText"/>
        <w:spacing w:line="357" w:lineRule="auto" w:before="229"/>
        <w:ind w:left="475" w:right="888"/>
        <w:jc w:val="both"/>
      </w:pPr>
      <w:r>
        <w:rPr/>
        <w:t>surprises on the market, our community could not rule them out if circumstances were to evolve</w:t>
      </w:r>
      <w:r>
        <w:rPr>
          <w:spacing w:val="-4"/>
        </w:rPr>
        <w:t> </w:t>
      </w:r>
      <w:r>
        <w:rPr/>
        <w:t>where</w:t>
      </w:r>
      <w:r>
        <w:rPr>
          <w:spacing w:val="-4"/>
        </w:rPr>
        <w:t> </w:t>
      </w:r>
      <w:r>
        <w:rPr/>
        <w:t>the</w:t>
      </w:r>
      <w:r>
        <w:rPr>
          <w:spacing w:val="-4"/>
        </w:rPr>
        <w:t> </w:t>
      </w:r>
      <w:r>
        <w:rPr/>
        <w:t>market</w:t>
      </w:r>
      <w:r>
        <w:rPr>
          <w:spacing w:val="-3"/>
        </w:rPr>
        <w:t> </w:t>
      </w:r>
      <w:r>
        <w:rPr/>
        <w:t>misperceived</w:t>
      </w:r>
      <w:r>
        <w:rPr>
          <w:spacing w:val="-4"/>
        </w:rPr>
        <w:t> </w:t>
      </w:r>
      <w:r>
        <w:rPr/>
        <w:t>the</w:t>
      </w:r>
      <w:r>
        <w:rPr>
          <w:spacing w:val="-4"/>
        </w:rPr>
        <w:t> </w:t>
      </w:r>
      <w:r>
        <w:rPr/>
        <w:t>implications</w:t>
      </w:r>
      <w:r>
        <w:rPr>
          <w:spacing w:val="-4"/>
        </w:rPr>
        <w:t> </w:t>
      </w:r>
      <w:r>
        <w:rPr/>
        <w:t>of</w:t>
      </w:r>
      <w:r>
        <w:rPr>
          <w:spacing w:val="-3"/>
        </w:rPr>
        <w:t> </w:t>
      </w:r>
      <w:r>
        <w:rPr/>
        <w:t>a</w:t>
      </w:r>
      <w:r>
        <w:rPr>
          <w:spacing w:val="-4"/>
        </w:rPr>
        <w:t> </w:t>
      </w:r>
      <w:r>
        <w:rPr/>
        <w:t>central</w:t>
      </w:r>
      <w:r>
        <w:rPr>
          <w:spacing w:val="-4"/>
        </w:rPr>
        <w:t> </w:t>
      </w:r>
      <w:r>
        <w:rPr/>
        <w:t>bank’s</w:t>
      </w:r>
      <w:r>
        <w:rPr>
          <w:spacing w:val="-4"/>
        </w:rPr>
        <w:t> </w:t>
      </w:r>
      <w:r>
        <w:rPr/>
        <w:t>analysis</w:t>
      </w:r>
      <w:r>
        <w:rPr>
          <w:spacing w:val="-3"/>
        </w:rPr>
        <w:t> </w:t>
      </w:r>
      <w:r>
        <w:rPr/>
        <w:t>of</w:t>
      </w:r>
      <w:r>
        <w:rPr>
          <w:spacing w:val="-4"/>
        </w:rPr>
        <w:t> </w:t>
      </w:r>
      <w:r>
        <w:rPr>
          <w:spacing w:val="-2"/>
        </w:rPr>
        <w:t>the </w:t>
      </w:r>
      <w:r>
        <w:rPr/>
        <w:t>outlook.</w:t>
      </w:r>
    </w:p>
    <w:p>
      <w:pPr>
        <w:pStyle w:val="BodyText"/>
        <w:spacing w:before="2"/>
        <w:rPr>
          <w:sz w:val="36"/>
        </w:rPr>
      </w:pPr>
    </w:p>
    <w:p>
      <w:pPr>
        <w:pStyle w:val="BodyText"/>
        <w:spacing w:line="364" w:lineRule="auto"/>
        <w:ind w:left="475" w:right="734"/>
      </w:pPr>
      <w:r>
        <w:rPr/>
        <w:t>But perhaps the most important point for the pricing of risk in capital markets is the following. To the extent that a structural story of some kind holds true, the consequent reduction in risk premia, and the associated rise in asset prices, would broadly be a one-off</w:t>
      </w:r>
    </w:p>
    <w:p>
      <w:pPr>
        <w:pStyle w:val="BodyText"/>
        <w:spacing w:line="357" w:lineRule="auto"/>
        <w:ind w:left="475" w:right="642"/>
        <w:jc w:val="both"/>
      </w:pPr>
      <w:r>
        <w:rPr/>
        <w:t>– </w:t>
      </w:r>
      <w:r>
        <w:rPr>
          <w:spacing w:val="-3"/>
        </w:rPr>
        <w:t>even </w:t>
      </w:r>
      <w:r>
        <w:rPr/>
        <w:t>if </w:t>
      </w:r>
      <w:r>
        <w:rPr>
          <w:spacing w:val="-4"/>
        </w:rPr>
        <w:t>drawn </w:t>
      </w:r>
      <w:r>
        <w:rPr/>
        <w:t>out. In other words, </w:t>
      </w:r>
      <w:r>
        <w:rPr>
          <w:spacing w:val="-4"/>
        </w:rPr>
        <w:t>it would </w:t>
      </w:r>
      <w:r>
        <w:rPr>
          <w:spacing w:val="-3"/>
        </w:rPr>
        <w:t>not </w:t>
      </w:r>
      <w:r>
        <w:rPr/>
        <w:t>be </w:t>
      </w:r>
      <w:r>
        <w:rPr>
          <w:spacing w:val="-4"/>
        </w:rPr>
        <w:t>sensib </w:t>
      </w:r>
      <w:r>
        <w:rPr>
          <w:spacing w:val="-3"/>
        </w:rPr>
        <w:t>le </w:t>
      </w:r>
      <w:r>
        <w:rPr/>
        <w:t>for market participants both </w:t>
      </w:r>
      <w:r>
        <w:rPr>
          <w:spacing w:val="-4"/>
        </w:rPr>
        <w:t>to </w:t>
      </w:r>
      <w:r>
        <w:rPr/>
        <w:t>place weight on </w:t>
      </w:r>
      <w:r>
        <w:rPr>
          <w:spacing w:val="-10"/>
        </w:rPr>
        <w:t>the </w:t>
      </w:r>
      <w:r>
        <w:rPr>
          <w:spacing w:val="-3"/>
        </w:rPr>
        <w:t>argument </w:t>
      </w:r>
      <w:r>
        <w:rPr/>
        <w:t>that risk premia were lower because there </w:t>
      </w:r>
      <w:r>
        <w:rPr>
          <w:spacing w:val="-4"/>
        </w:rPr>
        <w:t>was </w:t>
      </w:r>
      <w:r>
        <w:rPr/>
        <w:t>fundamentally less risk, and at the same time to extrapolate </w:t>
      </w:r>
      <w:r>
        <w:rPr>
          <w:i/>
        </w:rPr>
        <w:t>ex post </w:t>
      </w:r>
      <w:r>
        <w:rPr/>
        <w:t>returns on assets into the </w:t>
      </w:r>
      <w:r>
        <w:rPr>
          <w:spacing w:val="-3"/>
        </w:rPr>
        <w:t>future.</w:t>
      </w:r>
    </w:p>
    <w:p>
      <w:pPr>
        <w:pStyle w:val="BodyText"/>
        <w:spacing w:line="357" w:lineRule="auto"/>
        <w:ind w:left="475" w:right="642"/>
      </w:pPr>
      <w:r>
        <w:rPr/>
        <w:t>Headline returns would be lower than in the hypothesised ‘old world’ when risk premia were higher; and would be a lot lower than during the period when risk premia were falling to a new, lower level (Diagram A).</w:t>
      </w:r>
    </w:p>
    <w:p>
      <w:pPr>
        <w:pStyle w:val="BodyText"/>
        <w:rPr>
          <w:sz w:val="36"/>
        </w:rPr>
      </w:pPr>
    </w:p>
    <w:p>
      <w:pPr>
        <w:pStyle w:val="BodyText"/>
        <w:spacing w:line="360" w:lineRule="auto" w:before="1"/>
        <w:ind w:left="475" w:right="684"/>
      </w:pPr>
      <w:r>
        <w:rPr>
          <w:spacing w:val="-5"/>
        </w:rPr>
        <w:t>This </w:t>
      </w:r>
      <w:r>
        <w:rPr/>
        <w:t>may </w:t>
      </w:r>
      <w:r>
        <w:rPr>
          <w:spacing w:val="-6"/>
        </w:rPr>
        <w:t>not </w:t>
      </w:r>
      <w:r>
        <w:rPr/>
        <w:t>be completely idle speculation in a market environment where, </w:t>
      </w:r>
      <w:r>
        <w:rPr>
          <w:spacing w:val="-3"/>
        </w:rPr>
        <w:t>anecdotally, </w:t>
      </w:r>
      <w:r>
        <w:rPr/>
        <w:t>fund managers have been chasing returns. And, </w:t>
      </w:r>
      <w:r>
        <w:rPr>
          <w:spacing w:val="6"/>
        </w:rPr>
        <w:t>of </w:t>
      </w:r>
      <w:r>
        <w:rPr>
          <w:spacing w:val="-3"/>
        </w:rPr>
        <w:t>course, </w:t>
      </w:r>
      <w:r>
        <w:rPr/>
        <w:t>to the </w:t>
      </w:r>
      <w:r>
        <w:rPr>
          <w:spacing w:val="-3"/>
        </w:rPr>
        <w:t>extent that </w:t>
      </w:r>
      <w:r>
        <w:rPr/>
        <w:t>past returns </w:t>
      </w:r>
      <w:r>
        <w:rPr>
          <w:spacing w:val="-4"/>
        </w:rPr>
        <w:t>have </w:t>
      </w:r>
      <w:r>
        <w:rPr/>
        <w:t>in </w:t>
      </w:r>
      <w:r>
        <w:rPr>
          <w:spacing w:val="-3"/>
        </w:rPr>
        <w:t>degree </w:t>
      </w:r>
      <w:r>
        <w:rPr/>
        <w:t>been extrapolated </w:t>
      </w:r>
      <w:r>
        <w:rPr>
          <w:spacing w:val="-3"/>
        </w:rPr>
        <w:t>into </w:t>
      </w:r>
      <w:r>
        <w:rPr/>
        <w:t>the </w:t>
      </w:r>
      <w:r>
        <w:rPr>
          <w:spacing w:val="-3"/>
        </w:rPr>
        <w:t>future, </w:t>
      </w:r>
      <w:r>
        <w:rPr/>
        <w:t>the effect might be an over compression </w:t>
      </w:r>
      <w:r>
        <w:rPr>
          <w:spacing w:val="5"/>
        </w:rPr>
        <w:t>of </w:t>
      </w:r>
      <w:r>
        <w:rPr/>
        <w:t>risk</w:t>
      </w:r>
      <w:r>
        <w:rPr>
          <w:spacing w:val="-3"/>
        </w:rPr>
        <w:t> </w:t>
      </w:r>
      <w:r>
        <w:rPr/>
        <w:t>premia.</w:t>
      </w:r>
    </w:p>
    <w:p>
      <w:pPr>
        <w:pStyle w:val="BodyText"/>
        <w:spacing w:before="11"/>
        <w:rPr>
          <w:sz w:val="35"/>
        </w:rPr>
      </w:pPr>
    </w:p>
    <w:p>
      <w:pPr>
        <w:pStyle w:val="BodyText"/>
        <w:spacing w:line="360" w:lineRule="auto"/>
        <w:ind w:left="475" w:right="739"/>
      </w:pPr>
      <w:r>
        <w:rPr/>
        <w:t>That </w:t>
      </w:r>
      <w:r>
        <w:rPr>
          <w:spacing w:val="-3"/>
        </w:rPr>
        <w:t>has </w:t>
      </w:r>
      <w:r>
        <w:rPr/>
        <w:t>to be for you and other market participants to judge. What, from the sidelines,</w:t>
      </w:r>
      <w:r>
        <w:rPr>
          <w:spacing w:val="-35"/>
        </w:rPr>
        <w:t> </w:t>
      </w:r>
      <w:r>
        <w:rPr/>
        <w:t>we </w:t>
      </w:r>
      <w:r>
        <w:rPr>
          <w:spacing w:val="-4"/>
        </w:rPr>
        <w:t>have </w:t>
      </w:r>
      <w:r>
        <w:rPr/>
        <w:t>observed is striking innovation in ways of taking and distributing risk, against a background of strong asset-price performance in recent years </w:t>
      </w:r>
      <w:r>
        <w:rPr>
          <w:spacing w:val="2"/>
        </w:rPr>
        <w:t>and </w:t>
      </w:r>
      <w:r>
        <w:rPr/>
        <w:t>a presently benign macroeconomic environment. </w:t>
      </w:r>
      <w:r>
        <w:rPr>
          <w:spacing w:val="-3"/>
        </w:rPr>
        <w:t>Over </w:t>
      </w:r>
      <w:r>
        <w:rPr/>
        <w:t>the </w:t>
      </w:r>
      <w:r>
        <w:rPr>
          <w:spacing w:val="-3"/>
        </w:rPr>
        <w:t>past </w:t>
      </w:r>
      <w:r>
        <w:rPr/>
        <w:t>few  years and currently, </w:t>
      </w:r>
      <w:r>
        <w:rPr>
          <w:spacing w:val="-6"/>
        </w:rPr>
        <w:t>this </w:t>
      </w:r>
      <w:r>
        <w:rPr/>
        <w:t>has, perhaps, </w:t>
      </w:r>
      <w:r>
        <w:rPr>
          <w:spacing w:val="-4"/>
        </w:rPr>
        <w:t>been </w:t>
      </w:r>
      <w:r>
        <w:rPr/>
        <w:t>most obvious, and most topical, </w:t>
      </w:r>
      <w:r>
        <w:rPr>
          <w:spacing w:val="-3"/>
        </w:rPr>
        <w:t>in </w:t>
      </w:r>
      <w:r>
        <w:rPr>
          <w:spacing w:val="-4"/>
        </w:rPr>
        <w:t>the </w:t>
      </w:r>
      <w:r>
        <w:rPr/>
        <w:t>structured finance </w:t>
      </w:r>
      <w:r>
        <w:rPr>
          <w:spacing w:val="-3"/>
        </w:rPr>
        <w:t>markets. </w:t>
      </w:r>
      <w:r>
        <w:rPr/>
        <w:t>These are </w:t>
      </w:r>
      <w:r>
        <w:rPr>
          <w:spacing w:val="-2"/>
        </w:rPr>
        <w:t>the </w:t>
      </w:r>
      <w:r>
        <w:rPr/>
        <w:t>markets in which portfolios of loans to households and companies – or synthetic versions of </w:t>
      </w:r>
      <w:r>
        <w:rPr>
          <w:spacing w:val="-3"/>
        </w:rPr>
        <w:t>such loans created </w:t>
      </w:r>
      <w:r>
        <w:rPr/>
        <w:t>via </w:t>
      </w:r>
      <w:r>
        <w:rPr>
          <w:spacing w:val="-3"/>
        </w:rPr>
        <w:t>credit </w:t>
      </w:r>
      <w:r>
        <w:rPr/>
        <w:t>derivatives – are bundled up into, for example, collateralised loan obligations (CLOs) and collateralised debt obligations of asset-backed </w:t>
      </w:r>
      <w:r>
        <w:rPr>
          <w:spacing w:val="-3"/>
        </w:rPr>
        <w:t>securities </w:t>
      </w:r>
      <w:r>
        <w:rPr/>
        <w:t>(CDOs of ABS). The slicing and dicing </w:t>
      </w:r>
      <w:r>
        <w:rPr>
          <w:spacing w:val="2"/>
        </w:rPr>
        <w:t>of </w:t>
      </w:r>
      <w:r>
        <w:rPr/>
        <w:t>credit portfolios </w:t>
      </w:r>
      <w:r>
        <w:rPr>
          <w:spacing w:val="-3"/>
        </w:rPr>
        <w:t>into </w:t>
      </w:r>
      <w:r>
        <w:rPr/>
        <w:t>different risk </w:t>
      </w:r>
      <w:r>
        <w:rPr>
          <w:spacing w:val="-3"/>
        </w:rPr>
        <w:t>tranches can give </w:t>
      </w:r>
      <w:r>
        <w:rPr/>
        <w:t>end- </w:t>
      </w:r>
      <w:r>
        <w:rPr>
          <w:spacing w:val="-3"/>
        </w:rPr>
        <w:t>investors </w:t>
      </w:r>
      <w:r>
        <w:rPr/>
        <w:t>access to assets more finely tailored to their particular demands and risk appetites. In most circumstances, </w:t>
      </w:r>
      <w:r>
        <w:rPr>
          <w:spacing w:val="-10"/>
        </w:rPr>
        <w:t>that </w:t>
      </w:r>
      <w:r>
        <w:rPr/>
        <w:t>should distribute risk more effectively, buttressing the stability of the market and of the financial system as a</w:t>
      </w:r>
      <w:r>
        <w:rPr>
          <w:spacing w:val="-16"/>
        </w:rPr>
        <w:t> </w:t>
      </w:r>
      <w:r>
        <w:rPr/>
        <w:t>whole.</w:t>
      </w:r>
    </w:p>
    <w:p>
      <w:pPr>
        <w:pStyle w:val="BodyText"/>
        <w:spacing w:before="13"/>
        <w:ind w:left="475"/>
      </w:pPr>
      <w:r>
        <w:rPr/>
        <w:t>Looking ahead, a fe w questions are nevertheless posed by market participants.</w:t>
      </w:r>
    </w:p>
    <w:p>
      <w:pPr>
        <w:spacing w:after="0"/>
        <w:sectPr>
          <w:pgSz w:w="11920" w:h="16840"/>
          <w:pgMar w:header="711" w:footer="0" w:top="960" w:bottom="280" w:left="800" w:right="1180"/>
        </w:sectPr>
      </w:pPr>
    </w:p>
    <w:p>
      <w:pPr>
        <w:pStyle w:val="BodyText"/>
        <w:rPr>
          <w:sz w:val="20"/>
        </w:rPr>
      </w:pPr>
    </w:p>
    <w:p>
      <w:pPr>
        <w:pStyle w:val="BodyText"/>
        <w:spacing w:line="360" w:lineRule="auto" w:before="229"/>
        <w:ind w:left="475" w:right="734"/>
      </w:pPr>
      <w:r>
        <w:rPr>
          <w:spacing w:val="-3"/>
        </w:rPr>
        <w:t>One </w:t>
      </w:r>
      <w:r>
        <w:rPr/>
        <w:t>is </w:t>
      </w:r>
      <w:r>
        <w:rPr>
          <w:spacing w:val="-4"/>
        </w:rPr>
        <w:t>whether </w:t>
      </w:r>
      <w:r>
        <w:rPr>
          <w:spacing w:val="-3"/>
        </w:rPr>
        <w:t>the </w:t>
      </w:r>
      <w:r>
        <w:rPr/>
        <w:t>CDO factory has amplified the compression of credit spreads. The </w:t>
      </w:r>
      <w:r>
        <w:rPr>
          <w:spacing w:val="-3"/>
        </w:rPr>
        <w:t>argument </w:t>
      </w:r>
      <w:r>
        <w:rPr/>
        <w:t>advanced </w:t>
      </w:r>
      <w:r>
        <w:rPr>
          <w:spacing w:val="-5"/>
        </w:rPr>
        <w:t>goes </w:t>
      </w:r>
      <w:r>
        <w:rPr/>
        <w:t>roughly as follows: that, as credit spreads have fallen, the returns </w:t>
      </w:r>
      <w:r>
        <w:rPr>
          <w:spacing w:val="-3"/>
        </w:rPr>
        <w:t>have </w:t>
      </w:r>
      <w:r>
        <w:rPr/>
        <w:t>become </w:t>
      </w:r>
      <w:r>
        <w:rPr>
          <w:spacing w:val="-3"/>
        </w:rPr>
        <w:t>unattractive unless leveraged </w:t>
      </w:r>
      <w:r>
        <w:rPr>
          <w:spacing w:val="3"/>
        </w:rPr>
        <w:t>up; </w:t>
      </w:r>
      <w:r>
        <w:rPr>
          <w:spacing w:val="-3"/>
        </w:rPr>
        <w:t>that the </w:t>
      </w:r>
      <w:r>
        <w:rPr/>
        <w:t>new technology for acquiring </w:t>
      </w:r>
      <w:r>
        <w:rPr>
          <w:spacing w:val="-5"/>
        </w:rPr>
        <w:t>leverage </w:t>
      </w:r>
      <w:r>
        <w:rPr>
          <w:vertAlign w:val="superscript"/>
        </w:rPr>
        <w:t>6</w:t>
      </w:r>
      <w:r>
        <w:rPr>
          <w:vertAlign w:val="baseline"/>
        </w:rPr>
        <w:t> has drawn new sources of capital – including hedge funds – in to </w:t>
      </w:r>
      <w:r>
        <w:rPr>
          <w:spacing w:val="-3"/>
          <w:vertAlign w:val="baseline"/>
        </w:rPr>
        <w:t>the </w:t>
      </w:r>
      <w:r>
        <w:rPr>
          <w:spacing w:val="-4"/>
          <w:vertAlign w:val="baseline"/>
        </w:rPr>
        <w:t>credit </w:t>
      </w:r>
      <w:r>
        <w:rPr>
          <w:spacing w:val="-3"/>
          <w:vertAlign w:val="baseline"/>
        </w:rPr>
        <w:t>markets; </w:t>
      </w:r>
      <w:r>
        <w:rPr>
          <w:vertAlign w:val="baseline"/>
        </w:rPr>
        <w:t>and </w:t>
      </w:r>
      <w:r>
        <w:rPr>
          <w:spacing w:val="-3"/>
          <w:vertAlign w:val="baseline"/>
        </w:rPr>
        <w:t>that </w:t>
      </w:r>
      <w:r>
        <w:rPr>
          <w:spacing w:val="-6"/>
          <w:vertAlign w:val="baseline"/>
        </w:rPr>
        <w:t>this  </w:t>
      </w:r>
      <w:r>
        <w:rPr>
          <w:vertAlign w:val="baseline"/>
        </w:rPr>
        <w:t>increase in demand </w:t>
      </w:r>
      <w:r>
        <w:rPr>
          <w:spacing w:val="-5"/>
          <w:vertAlign w:val="baseline"/>
        </w:rPr>
        <w:t>has </w:t>
      </w:r>
      <w:r>
        <w:rPr>
          <w:vertAlign w:val="baseline"/>
        </w:rPr>
        <w:t>fed through to a lower price for credit risk – ie </w:t>
      </w:r>
      <w:r>
        <w:rPr>
          <w:spacing w:val="-6"/>
          <w:vertAlign w:val="baseline"/>
        </w:rPr>
        <w:t>lower </w:t>
      </w:r>
      <w:r>
        <w:rPr>
          <w:vertAlign w:val="baseline"/>
        </w:rPr>
        <w:t>spreads, easier convenants, etc – in the </w:t>
      </w:r>
      <w:r>
        <w:rPr>
          <w:spacing w:val="-3"/>
          <w:vertAlign w:val="baseline"/>
        </w:rPr>
        <w:t>underlying loan markets, including for financing </w:t>
      </w:r>
      <w:r>
        <w:rPr>
          <w:vertAlign w:val="baseline"/>
        </w:rPr>
        <w:t>LBOs. These new instruments </w:t>
      </w:r>
      <w:r>
        <w:rPr>
          <w:spacing w:val="-3"/>
          <w:vertAlign w:val="baseline"/>
        </w:rPr>
        <w:t>have </w:t>
      </w:r>
      <w:r>
        <w:rPr>
          <w:vertAlign w:val="baseline"/>
        </w:rPr>
        <w:t>of course emerged, and so have been priced, during a period when the default rate has been extraordinarily</w:t>
      </w:r>
      <w:r>
        <w:rPr>
          <w:spacing w:val="20"/>
          <w:vertAlign w:val="baseline"/>
        </w:rPr>
        <w:t> </w:t>
      </w:r>
      <w:r>
        <w:rPr>
          <w:vertAlign w:val="baseline"/>
        </w:rPr>
        <w:t>low.</w:t>
      </w:r>
    </w:p>
    <w:p>
      <w:pPr>
        <w:pStyle w:val="BodyText"/>
        <w:spacing w:before="5"/>
        <w:rPr>
          <w:sz w:val="35"/>
        </w:rPr>
      </w:pPr>
    </w:p>
    <w:p>
      <w:pPr>
        <w:pStyle w:val="BodyText"/>
        <w:spacing w:line="360" w:lineRule="auto" w:before="1"/>
        <w:ind w:left="475" w:right="651"/>
      </w:pPr>
      <w:r>
        <w:rPr/>
        <w:t>A second question is whether the trade off between the demand for financial engineering and the demand for liquidity in the structured finance markets, not just amongst leveraged players, could switch – back to liquidity – if market conditions were to shift from benign to stressed. An illustration of what </w:t>
      </w:r>
      <w:r>
        <w:rPr>
          <w:u w:val="single"/>
        </w:rPr>
        <w:t>can</w:t>
      </w:r>
      <w:r>
        <w:rPr/>
        <w:t> potentially happen is perhaps provided by the disruption just over a decade ago in the US Collateralised Mortgage Obligation (CMO) market. After a period of ever more refined financial engineering of mortgage claims into capital market instruments, resulting in some fairly illiquid tranches being created, stress occurred when the dollar yield curve rose sharply in 1994. This underlines the importance of industry scenario analysis building in some allowance for the possibility of system-wide liquidity stresses.</w:t>
      </w:r>
    </w:p>
    <w:p>
      <w:pPr>
        <w:pStyle w:val="BodyText"/>
        <w:spacing w:before="6"/>
        <w:rPr>
          <w:sz w:val="36"/>
        </w:rPr>
      </w:pPr>
    </w:p>
    <w:p>
      <w:pPr>
        <w:pStyle w:val="BodyText"/>
        <w:spacing w:line="360" w:lineRule="auto"/>
        <w:ind w:left="475" w:right="690"/>
      </w:pPr>
      <w:r>
        <w:rPr/>
        <w:pict>
          <v:shape style="position:absolute;margin-left:90.75pt;margin-top:129.328125pt;width:144pt;height:.1pt;mso-position-horizontal-relative:page;mso-position-vertical-relative:paragraph;z-index:-251653120;mso-wrap-distance-left:0;mso-wrap-distance-right:0" coordorigin="1815,2587" coordsize="2880,0" path="m1815,2587l4695,2587e" filled="false" stroked="true" strokeweight=".75pt" strokecolor="#000000">
            <v:path arrowok="t"/>
            <v:stroke dashstyle="solid"/>
            <w10:wrap type="topAndBottom"/>
          </v:shape>
        </w:pict>
      </w:r>
      <w:r>
        <w:rPr/>
        <w:t>A counterpart to whether market volatility could occur is the question of whether risk</w:t>
      </w:r>
      <w:r>
        <w:rPr>
          <w:spacing w:val="-43"/>
        </w:rPr>
        <w:t> </w:t>
      </w:r>
      <w:r>
        <w:rPr/>
        <w:t>could flow back to the banking sector in adverse circumstances. Over the past decade, </w:t>
      </w:r>
      <w:r>
        <w:rPr>
          <w:spacing w:val="-3"/>
        </w:rPr>
        <w:t>many </w:t>
      </w:r>
      <w:r>
        <w:rPr>
          <w:spacing w:val="-7"/>
        </w:rPr>
        <w:t>banks </w:t>
      </w:r>
      <w:r>
        <w:rPr>
          <w:spacing w:val="-4"/>
        </w:rPr>
        <w:t>ha </w:t>
      </w:r>
      <w:r>
        <w:rPr/>
        <w:t>ve </w:t>
      </w:r>
      <w:r>
        <w:rPr>
          <w:spacing w:val="-4"/>
        </w:rPr>
        <w:t>moved </w:t>
      </w:r>
      <w:r>
        <w:rPr/>
        <w:t>towards business </w:t>
      </w:r>
      <w:r>
        <w:rPr>
          <w:spacing w:val="-5"/>
        </w:rPr>
        <w:t>models </w:t>
      </w:r>
      <w:r>
        <w:rPr/>
        <w:t>based around originating and distributing credit assets rather than holding them. But no one suggests that banks escape the risk completely. They warehouse risk before it can be securitized, and those warehouses will </w:t>
      </w:r>
      <w:r>
        <w:rPr>
          <w:spacing w:val="-5"/>
        </w:rPr>
        <w:t>probably </w:t>
      </w:r>
      <w:r>
        <w:rPr>
          <w:spacing w:val="-4"/>
        </w:rPr>
        <w:t>have grown wit </w:t>
      </w:r>
      <w:r>
        <w:rPr/>
        <w:t>h the </w:t>
      </w:r>
      <w:r>
        <w:rPr>
          <w:spacing w:val="-3"/>
        </w:rPr>
        <w:t>volumes flowing through </w:t>
      </w:r>
      <w:r>
        <w:rPr/>
        <w:t>the </w:t>
      </w:r>
      <w:r>
        <w:rPr>
          <w:spacing w:val="-3"/>
        </w:rPr>
        <w:t>securitisation markets. To</w:t>
      </w:r>
      <w:r>
        <w:rPr>
          <w:spacing w:val="6"/>
        </w:rPr>
        <w:t> </w:t>
      </w:r>
      <w:r>
        <w:rPr/>
        <w:t>a</w:t>
      </w:r>
    </w:p>
    <w:p>
      <w:pPr>
        <w:spacing w:line="252" w:lineRule="auto" w:before="44"/>
        <w:ind w:left="475" w:right="628" w:firstLine="0"/>
        <w:jc w:val="left"/>
        <w:rPr>
          <w:sz w:val="19"/>
        </w:rPr>
      </w:pPr>
      <w:r>
        <w:rPr>
          <w:w w:val="105"/>
          <w:position w:val="9"/>
          <w:sz w:val="13"/>
        </w:rPr>
        <w:t>6 </w:t>
      </w:r>
      <w:r>
        <w:rPr>
          <w:w w:val="105"/>
          <w:sz w:val="19"/>
        </w:rPr>
        <w:t>Leverage, in this sense, can be understood as the sensitivity of the spread over risk-free rates on a particular credit instrument to a given change in credit spreads generally. In a CDO, the credit risk on an asset portfolio is split into tranches of varying seniority. The vast majority of expected losses from credit risk are concentrated in the most junior (or ‘equity’) tranche. In consequence, the prices of such junior tranches are highly sensitive (up to 20 times greater than the price of the entire portfolio) to changes in the general level of credit spreads, giving a highly leveraged exposure. In turn, CDO tranches may be repackaged into 'CDOs of CDOs' or leveraged in other ways. For example, a popular product has been so-called 'leveraged super-senior' in which an investor sells credit protection on part of most senior tranche of a CDO but earns an additional return by agreeing to bear losses if, say, the tranche’s market value breaches a trigger point. For further information see Belsham, T. N. Vause and S. Wells, ‘Credit correlation: interpretation and risks’, Bank of England </w:t>
      </w:r>
      <w:r>
        <w:rPr>
          <w:i/>
          <w:w w:val="105"/>
          <w:sz w:val="19"/>
        </w:rPr>
        <w:t>Financial Stability Review</w:t>
      </w:r>
      <w:r>
        <w:rPr>
          <w:w w:val="105"/>
          <w:sz w:val="19"/>
        </w:rPr>
        <w:t>, December 2005, pages 103-115; and Rule, D., ‘The credit derivatives market: its development and possible implications for financial stability’, Bank of England </w:t>
      </w:r>
      <w:r>
        <w:rPr>
          <w:i/>
          <w:w w:val="105"/>
          <w:sz w:val="19"/>
        </w:rPr>
        <w:t>Financial Stability </w:t>
      </w:r>
      <w:r>
        <w:rPr>
          <w:i/>
          <w:w w:val="105"/>
          <w:sz w:val="19"/>
        </w:rPr>
        <w:t>Review</w:t>
      </w:r>
      <w:r>
        <w:rPr>
          <w:w w:val="105"/>
          <w:sz w:val="19"/>
        </w:rPr>
        <w:t>, June 2001, pages 117-140.</w:t>
      </w:r>
    </w:p>
    <w:p>
      <w:pPr>
        <w:spacing w:after="0" w:line="252" w:lineRule="auto"/>
        <w:jc w:val="left"/>
        <w:rPr>
          <w:sz w:val="19"/>
        </w:rPr>
        <w:sectPr>
          <w:pgSz w:w="11920" w:h="16840"/>
          <w:pgMar w:header="711" w:footer="0" w:top="960" w:bottom="280" w:left="800" w:right="1180"/>
        </w:sectPr>
      </w:pPr>
    </w:p>
    <w:p>
      <w:pPr>
        <w:pStyle w:val="BodyText"/>
        <w:rPr>
          <w:sz w:val="20"/>
        </w:rPr>
      </w:pPr>
    </w:p>
    <w:p>
      <w:pPr>
        <w:pStyle w:val="BodyText"/>
        <w:spacing w:line="360" w:lineRule="auto" w:before="229"/>
        <w:ind w:left="475" w:right="698"/>
      </w:pPr>
      <w:r>
        <w:rPr/>
        <w:t>greater or lesser extent, they hold on to </w:t>
      </w:r>
      <w:r>
        <w:rPr>
          <w:spacing w:val="-5"/>
        </w:rPr>
        <w:t>loans </w:t>
      </w:r>
      <w:r>
        <w:rPr/>
        <w:t>and securitised participations if they think them attractive, or perhaps punitively expensive to distribute. Through their prime brokerage operations, they finance leveraged holdings against collateral. And they sometimes provide committed lines of credit. Overall, this is akin to writing deeply out-of- the-money options, exposing the banking system to tail risk. That should not be </w:t>
      </w:r>
      <w:r>
        <w:rPr>
          <w:spacing w:val="-2"/>
        </w:rPr>
        <w:t>too </w:t>
      </w:r>
      <w:r>
        <w:rPr/>
        <w:t>surprising given that commercial banks’ liabilities are money, and so they are in </w:t>
      </w:r>
      <w:r>
        <w:rPr>
          <w:spacing w:val="-2"/>
        </w:rPr>
        <w:t>the </w:t>
      </w:r>
      <w:r>
        <w:rPr/>
        <w:t>business of providing </w:t>
      </w:r>
      <w:r>
        <w:rPr>
          <w:spacing w:val="-3"/>
        </w:rPr>
        <w:t>liquidity insurance. </w:t>
      </w:r>
      <w:r>
        <w:rPr/>
        <w:t>But it </w:t>
      </w:r>
      <w:r>
        <w:rPr>
          <w:spacing w:val="-3"/>
        </w:rPr>
        <w:t>does make </w:t>
      </w:r>
      <w:r>
        <w:rPr/>
        <w:t>it </w:t>
      </w:r>
      <w:r>
        <w:rPr>
          <w:spacing w:val="-3"/>
        </w:rPr>
        <w:t>difficult </w:t>
      </w:r>
      <w:r>
        <w:rPr/>
        <w:t>for </w:t>
      </w:r>
      <w:r>
        <w:rPr>
          <w:spacing w:val="-3"/>
        </w:rPr>
        <w:t>market </w:t>
      </w:r>
      <w:r>
        <w:rPr/>
        <w:t>participants to assess, and price for, how much risk </w:t>
      </w:r>
      <w:r>
        <w:rPr>
          <w:spacing w:val="-3"/>
        </w:rPr>
        <w:t>there </w:t>
      </w:r>
      <w:r>
        <w:rPr>
          <w:spacing w:val="-4"/>
        </w:rPr>
        <w:t>is, </w:t>
      </w:r>
      <w:r>
        <w:rPr/>
        <w:t>albeit contingently, in </w:t>
      </w:r>
      <w:r>
        <w:rPr>
          <w:spacing w:val="-3"/>
        </w:rPr>
        <w:t>the </w:t>
      </w:r>
      <w:r>
        <w:rPr>
          <w:spacing w:val="-4"/>
        </w:rPr>
        <w:t>system </w:t>
      </w:r>
      <w:r>
        <w:rPr/>
        <w:t>as a</w:t>
      </w:r>
      <w:r>
        <w:rPr>
          <w:spacing w:val="15"/>
        </w:rPr>
        <w:t> </w:t>
      </w:r>
      <w:r>
        <w:rPr/>
        <w:t>whole.</w:t>
      </w:r>
    </w:p>
    <w:p>
      <w:pPr>
        <w:pStyle w:val="BodyText"/>
        <w:rPr>
          <w:sz w:val="36"/>
        </w:rPr>
      </w:pPr>
    </w:p>
    <w:p>
      <w:pPr>
        <w:pStyle w:val="Heading2"/>
        <w:spacing w:before="0"/>
        <w:ind w:left="475"/>
      </w:pPr>
      <w:r>
        <w:rPr/>
        <w:t>Conclusion</w:t>
      </w:r>
    </w:p>
    <w:p>
      <w:pPr>
        <w:pStyle w:val="BodyText"/>
        <w:rPr>
          <w:b/>
          <w:sz w:val="26"/>
        </w:rPr>
      </w:pPr>
    </w:p>
    <w:p>
      <w:pPr>
        <w:pStyle w:val="BodyText"/>
        <w:spacing w:before="8"/>
        <w:rPr>
          <w:b/>
          <w:sz w:val="21"/>
        </w:rPr>
      </w:pPr>
    </w:p>
    <w:p>
      <w:pPr>
        <w:pStyle w:val="BodyText"/>
        <w:spacing w:line="360" w:lineRule="auto" w:before="1"/>
        <w:ind w:left="475" w:right="642"/>
      </w:pPr>
      <w:r>
        <w:rPr/>
        <w:t>Many of the developments I have reviewed are, of course, good news. Most obviously, longer life expectancy! Greater macro economic stability; financial innovation distributing risk more efficiently – these are pretty good things too, including for you as corporate treasurers. As a result, some risks have been reduced or are now easier to manage.</w:t>
      </w:r>
    </w:p>
    <w:p>
      <w:pPr>
        <w:pStyle w:val="BodyText"/>
        <w:rPr>
          <w:sz w:val="36"/>
        </w:rPr>
      </w:pPr>
    </w:p>
    <w:p>
      <w:pPr>
        <w:pStyle w:val="BodyText"/>
        <w:spacing w:line="360" w:lineRule="auto"/>
        <w:ind w:left="475" w:right="642"/>
      </w:pPr>
      <w:r>
        <w:rPr/>
        <w:t>But risk management challenges do unquestionably remain for you as corporate treasurers. Some, such as those arising from pension provision, essentially boil down to your appetite for risk and the mix of business/financial risk you want. Others stem from a range of uncertainties in capital markets. When and how global imbalances will be resolved.</w:t>
      </w:r>
    </w:p>
    <w:p>
      <w:pPr>
        <w:pStyle w:val="BodyText"/>
        <w:spacing w:line="352" w:lineRule="auto" w:before="9"/>
        <w:ind w:left="475" w:right="294"/>
      </w:pPr>
      <w:r>
        <w:rPr/>
        <w:t>Whether risk is underpriced. </w:t>
      </w:r>
      <w:r>
        <w:rPr>
          <w:spacing w:val="-4"/>
        </w:rPr>
        <w:t>How still- </w:t>
      </w:r>
      <w:r>
        <w:rPr/>
        <w:t>new </w:t>
      </w:r>
      <w:r>
        <w:rPr>
          <w:spacing w:val="-3"/>
        </w:rPr>
        <w:t>structured finance markets would withstand </w:t>
      </w:r>
      <w:r>
        <w:rPr/>
        <w:t>a marked pick up in defaults. You </w:t>
      </w:r>
      <w:r>
        <w:rPr>
          <w:spacing w:val="-3"/>
        </w:rPr>
        <w:t>will each have your </w:t>
      </w:r>
      <w:r>
        <w:rPr/>
        <w:t>own</w:t>
      </w:r>
      <w:r>
        <w:rPr>
          <w:spacing w:val="54"/>
        </w:rPr>
        <w:t> </w:t>
      </w:r>
      <w:r>
        <w:rPr>
          <w:spacing w:val="-3"/>
        </w:rPr>
        <w:t>list.</w:t>
      </w:r>
    </w:p>
    <w:p>
      <w:pPr>
        <w:pStyle w:val="BodyText"/>
        <w:spacing w:before="4"/>
        <w:rPr>
          <w:sz w:val="36"/>
        </w:rPr>
      </w:pPr>
    </w:p>
    <w:p>
      <w:pPr>
        <w:pStyle w:val="BodyText"/>
        <w:spacing w:line="364" w:lineRule="auto" w:before="1"/>
        <w:ind w:left="475" w:right="294"/>
      </w:pPr>
      <w:r>
        <w:rPr/>
        <w:t>Those uncertainties and risks have to be identified, priced and ma naged. The official sector cannot make them go away.</w:t>
      </w:r>
    </w:p>
    <w:p>
      <w:pPr>
        <w:pStyle w:val="BodyText"/>
        <w:spacing w:before="3"/>
        <w:rPr>
          <w:sz w:val="35"/>
        </w:rPr>
      </w:pPr>
    </w:p>
    <w:p>
      <w:pPr>
        <w:pStyle w:val="BodyText"/>
        <w:spacing w:line="360" w:lineRule="auto"/>
        <w:ind w:left="475" w:right="500"/>
      </w:pPr>
      <w:r>
        <w:rPr/>
        <w:t>But it </w:t>
      </w:r>
      <w:r>
        <w:rPr>
          <w:u w:val="single"/>
        </w:rPr>
        <w:t>is</w:t>
      </w:r>
      <w:r>
        <w:rPr/>
        <w:t> our mission to reduce uncertainties stemming from monetary policy and its implementation. Some important sources of uncertainty in the past were, in fact, avoidable. For some years now, monetary policy decision taking has benefited from having a clear framework and from the Bank being transparent about its analysis of the economic outlook. Yesterday, by modernising the sterling money markets, the Bank provided a similarly clear framework for how we implement those interest rate decisions. I hope it makes your jobs a little easier.</w:t>
      </w:r>
    </w:p>
    <w:p>
      <w:pPr>
        <w:spacing w:after="0" w:line="360" w:lineRule="auto"/>
        <w:sectPr>
          <w:pgSz w:w="11920" w:h="16840"/>
          <w:pgMar w:header="711" w:footer="0" w:top="960" w:bottom="280" w:left="800" w:right="1180"/>
        </w:sectPr>
      </w:pPr>
    </w:p>
    <w:p>
      <w:pPr>
        <w:pStyle w:val="Heading2"/>
        <w:spacing w:before="76"/>
      </w:pPr>
      <w:r>
        <w:rPr/>
        <w:t>ANNEX: CHARTS/TABLES</w:t>
      </w:r>
    </w:p>
    <w:p>
      <w:pPr>
        <w:pStyle w:val="BodyText"/>
        <w:rPr>
          <w:b/>
          <w:sz w:val="26"/>
        </w:rPr>
      </w:pPr>
    </w:p>
    <w:p>
      <w:pPr>
        <w:pStyle w:val="BodyText"/>
        <w:spacing w:before="8"/>
        <w:rPr>
          <w:b/>
          <w:sz w:val="21"/>
        </w:rPr>
      </w:pPr>
    </w:p>
    <w:p>
      <w:pPr>
        <w:spacing w:before="0"/>
        <w:ind w:left="115" w:right="0" w:firstLine="0"/>
        <w:jc w:val="left"/>
        <w:rPr>
          <w:b/>
          <w:sz w:val="24"/>
        </w:rPr>
      </w:pPr>
      <w:r>
        <w:rPr>
          <w:b/>
          <w:color w:val="FF0000"/>
          <w:sz w:val="24"/>
        </w:rPr>
        <w:t>Table 1: Annualised volatility of UK interest and inflation rates</w:t>
      </w:r>
    </w:p>
    <w:p>
      <w:pPr>
        <w:pStyle w:val="BodyText"/>
        <w:rPr>
          <w:b/>
          <w:sz w:val="19"/>
        </w:rPr>
      </w:pPr>
    </w:p>
    <w:tbl>
      <w:tblPr>
        <w:tblW w:w="0" w:type="auto"/>
        <w:jc w:val="left"/>
        <w:tblInd w:w="2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29"/>
        <w:gridCol w:w="1560"/>
        <w:gridCol w:w="1605"/>
        <w:gridCol w:w="1766"/>
      </w:tblGrid>
      <w:tr>
        <w:trPr>
          <w:trHeight w:val="603" w:hRule="atLeast"/>
        </w:trPr>
        <w:tc>
          <w:tcPr>
            <w:tcW w:w="1429" w:type="dxa"/>
          </w:tcPr>
          <w:p>
            <w:pPr>
              <w:pStyle w:val="TableParagraph"/>
              <w:spacing w:line="240" w:lineRule="auto" w:before="0"/>
              <w:ind w:left="0"/>
              <w:jc w:val="left"/>
              <w:rPr>
                <w:sz w:val="20"/>
              </w:rPr>
            </w:pPr>
          </w:p>
        </w:tc>
        <w:tc>
          <w:tcPr>
            <w:tcW w:w="1560" w:type="dxa"/>
          </w:tcPr>
          <w:p>
            <w:pPr>
              <w:pStyle w:val="TableParagraph"/>
              <w:spacing w:line="240" w:lineRule="auto" w:before="16"/>
              <w:ind w:left="159" w:right="138"/>
              <w:rPr>
                <w:sz w:val="24"/>
              </w:rPr>
            </w:pPr>
            <w:r>
              <w:rPr>
                <w:sz w:val="24"/>
              </w:rPr>
              <w:t>10-year spot</w:t>
            </w:r>
          </w:p>
          <w:p>
            <w:pPr>
              <w:pStyle w:val="TableParagraph"/>
              <w:spacing w:before="39"/>
              <w:ind w:left="132" w:right="138"/>
              <w:rPr>
                <w:sz w:val="24"/>
              </w:rPr>
            </w:pPr>
            <w:r>
              <w:rPr>
                <w:sz w:val="24"/>
              </w:rPr>
              <w:t>yield</w:t>
            </w:r>
          </w:p>
        </w:tc>
        <w:tc>
          <w:tcPr>
            <w:tcW w:w="1605" w:type="dxa"/>
          </w:tcPr>
          <w:p>
            <w:pPr>
              <w:pStyle w:val="TableParagraph"/>
              <w:spacing w:line="240" w:lineRule="auto" w:before="16"/>
              <w:ind w:right="19"/>
              <w:rPr>
                <w:sz w:val="24"/>
              </w:rPr>
            </w:pPr>
            <w:r>
              <w:rPr>
                <w:w w:val="95"/>
                <w:sz w:val="24"/>
              </w:rPr>
              <w:t>10-year forward</w:t>
            </w:r>
          </w:p>
          <w:p>
            <w:pPr>
              <w:pStyle w:val="TableParagraph"/>
              <w:spacing w:before="39"/>
              <w:ind w:right="61"/>
              <w:rPr>
                <w:sz w:val="24"/>
              </w:rPr>
            </w:pPr>
            <w:r>
              <w:rPr>
                <w:sz w:val="24"/>
              </w:rPr>
              <w:t>yield</w:t>
            </w:r>
          </w:p>
        </w:tc>
        <w:tc>
          <w:tcPr>
            <w:tcW w:w="1766" w:type="dxa"/>
          </w:tcPr>
          <w:p>
            <w:pPr>
              <w:pStyle w:val="TableParagraph"/>
              <w:spacing w:line="240" w:lineRule="auto" w:before="16"/>
              <w:ind w:left="84" w:right="59"/>
              <w:rPr>
                <w:sz w:val="24"/>
              </w:rPr>
            </w:pPr>
            <w:r>
              <w:rPr>
                <w:sz w:val="24"/>
              </w:rPr>
              <w:t>10-year forward</w:t>
            </w:r>
          </w:p>
          <w:p>
            <w:pPr>
              <w:pStyle w:val="TableParagraph"/>
              <w:spacing w:before="39"/>
              <w:ind w:left="84" w:right="59"/>
              <w:rPr>
                <w:sz w:val="24"/>
              </w:rPr>
            </w:pPr>
            <w:r>
              <w:rPr>
                <w:sz w:val="24"/>
              </w:rPr>
              <w:t>inflation rate</w:t>
            </w:r>
          </w:p>
        </w:tc>
      </w:tr>
      <w:tr>
        <w:trPr>
          <w:trHeight w:val="285" w:hRule="atLeast"/>
        </w:trPr>
        <w:tc>
          <w:tcPr>
            <w:tcW w:w="1429" w:type="dxa"/>
          </w:tcPr>
          <w:p>
            <w:pPr>
              <w:pStyle w:val="TableParagraph"/>
              <w:ind w:left="45"/>
              <w:jc w:val="left"/>
              <w:rPr>
                <w:sz w:val="24"/>
              </w:rPr>
            </w:pPr>
            <w:r>
              <w:rPr>
                <w:sz w:val="24"/>
              </w:rPr>
              <w:t>1970-1992</w:t>
            </w:r>
          </w:p>
        </w:tc>
        <w:tc>
          <w:tcPr>
            <w:tcW w:w="1560" w:type="dxa"/>
          </w:tcPr>
          <w:p>
            <w:pPr>
              <w:pStyle w:val="TableParagraph"/>
              <w:ind w:left="159" w:right="107"/>
              <w:rPr>
                <w:sz w:val="24"/>
              </w:rPr>
            </w:pPr>
            <w:r>
              <w:rPr>
                <w:sz w:val="24"/>
              </w:rPr>
              <w:t>211</w:t>
            </w:r>
          </w:p>
        </w:tc>
        <w:tc>
          <w:tcPr>
            <w:tcW w:w="1605" w:type="dxa"/>
          </w:tcPr>
          <w:p>
            <w:pPr>
              <w:pStyle w:val="TableParagraph"/>
              <w:ind w:right="4"/>
              <w:rPr>
                <w:sz w:val="24"/>
              </w:rPr>
            </w:pPr>
            <w:r>
              <w:rPr>
                <w:sz w:val="24"/>
              </w:rPr>
              <w:t>236</w:t>
            </w:r>
          </w:p>
        </w:tc>
        <w:tc>
          <w:tcPr>
            <w:tcW w:w="1766" w:type="dxa"/>
          </w:tcPr>
          <w:p>
            <w:pPr>
              <w:pStyle w:val="TableParagraph"/>
              <w:spacing w:line="240" w:lineRule="auto" w:before="0"/>
              <w:ind w:left="0"/>
              <w:jc w:val="left"/>
              <w:rPr>
                <w:sz w:val="20"/>
              </w:rPr>
            </w:pPr>
          </w:p>
        </w:tc>
      </w:tr>
      <w:tr>
        <w:trPr>
          <w:trHeight w:val="277" w:hRule="atLeast"/>
        </w:trPr>
        <w:tc>
          <w:tcPr>
            <w:tcW w:w="1429" w:type="dxa"/>
          </w:tcPr>
          <w:p>
            <w:pPr>
              <w:pStyle w:val="TableParagraph"/>
              <w:spacing w:line="245" w:lineRule="exact"/>
              <w:ind w:left="45"/>
              <w:jc w:val="left"/>
              <w:rPr>
                <w:sz w:val="24"/>
              </w:rPr>
            </w:pPr>
            <w:r>
              <w:rPr>
                <w:sz w:val="24"/>
              </w:rPr>
              <w:t>1985-1992</w:t>
            </w:r>
          </w:p>
        </w:tc>
        <w:tc>
          <w:tcPr>
            <w:tcW w:w="1560" w:type="dxa"/>
          </w:tcPr>
          <w:p>
            <w:pPr>
              <w:pStyle w:val="TableParagraph"/>
              <w:spacing w:line="240" w:lineRule="auto" w:before="0"/>
              <w:ind w:left="0"/>
              <w:jc w:val="left"/>
              <w:rPr>
                <w:sz w:val="20"/>
              </w:rPr>
            </w:pPr>
          </w:p>
        </w:tc>
        <w:tc>
          <w:tcPr>
            <w:tcW w:w="1605" w:type="dxa"/>
          </w:tcPr>
          <w:p>
            <w:pPr>
              <w:pStyle w:val="TableParagraph"/>
              <w:spacing w:line="240" w:lineRule="auto" w:before="0"/>
              <w:ind w:left="0"/>
              <w:jc w:val="left"/>
              <w:rPr>
                <w:sz w:val="20"/>
              </w:rPr>
            </w:pPr>
          </w:p>
        </w:tc>
        <w:tc>
          <w:tcPr>
            <w:tcW w:w="1766" w:type="dxa"/>
          </w:tcPr>
          <w:p>
            <w:pPr>
              <w:pStyle w:val="TableParagraph"/>
              <w:spacing w:line="245" w:lineRule="exact"/>
              <w:ind w:left="84" w:right="29"/>
              <w:rPr>
                <w:sz w:val="24"/>
              </w:rPr>
            </w:pPr>
            <w:r>
              <w:rPr>
                <w:sz w:val="24"/>
              </w:rPr>
              <w:t>124</w:t>
            </w:r>
          </w:p>
        </w:tc>
      </w:tr>
      <w:tr>
        <w:trPr>
          <w:trHeight w:val="277" w:hRule="atLeast"/>
        </w:trPr>
        <w:tc>
          <w:tcPr>
            <w:tcW w:w="1429" w:type="dxa"/>
          </w:tcPr>
          <w:p>
            <w:pPr>
              <w:pStyle w:val="TableParagraph"/>
              <w:spacing w:line="238" w:lineRule="exact" w:before="19"/>
              <w:ind w:left="45"/>
              <w:jc w:val="left"/>
              <w:rPr>
                <w:sz w:val="24"/>
              </w:rPr>
            </w:pPr>
            <w:r>
              <w:rPr>
                <w:sz w:val="24"/>
              </w:rPr>
              <w:t>1993-2006</w:t>
            </w:r>
          </w:p>
        </w:tc>
        <w:tc>
          <w:tcPr>
            <w:tcW w:w="1560" w:type="dxa"/>
          </w:tcPr>
          <w:p>
            <w:pPr>
              <w:pStyle w:val="TableParagraph"/>
              <w:spacing w:line="238" w:lineRule="exact" w:before="19"/>
              <w:ind w:left="159" w:right="107"/>
              <w:rPr>
                <w:sz w:val="24"/>
              </w:rPr>
            </w:pPr>
            <w:r>
              <w:rPr>
                <w:sz w:val="24"/>
              </w:rPr>
              <w:t>125</w:t>
            </w:r>
          </w:p>
        </w:tc>
        <w:tc>
          <w:tcPr>
            <w:tcW w:w="1605" w:type="dxa"/>
          </w:tcPr>
          <w:p>
            <w:pPr>
              <w:pStyle w:val="TableParagraph"/>
              <w:spacing w:line="238" w:lineRule="exact" w:before="19"/>
              <w:ind w:right="4"/>
              <w:rPr>
                <w:sz w:val="24"/>
              </w:rPr>
            </w:pPr>
            <w:r>
              <w:rPr>
                <w:sz w:val="24"/>
              </w:rPr>
              <w:t>117</w:t>
            </w:r>
          </w:p>
        </w:tc>
        <w:tc>
          <w:tcPr>
            <w:tcW w:w="1766" w:type="dxa"/>
          </w:tcPr>
          <w:p>
            <w:pPr>
              <w:pStyle w:val="TableParagraph"/>
              <w:spacing w:line="238" w:lineRule="exact" w:before="19"/>
              <w:ind w:left="84" w:right="29"/>
              <w:rPr>
                <w:sz w:val="24"/>
              </w:rPr>
            </w:pPr>
            <w:r>
              <w:rPr>
                <w:sz w:val="24"/>
              </w:rPr>
              <w:t>85</w:t>
            </w:r>
          </w:p>
        </w:tc>
      </w:tr>
      <w:tr>
        <w:trPr>
          <w:trHeight w:val="285" w:hRule="atLeast"/>
        </w:trPr>
        <w:tc>
          <w:tcPr>
            <w:tcW w:w="1429" w:type="dxa"/>
          </w:tcPr>
          <w:p>
            <w:pPr>
              <w:pStyle w:val="TableParagraph"/>
              <w:ind w:left="45"/>
              <w:jc w:val="left"/>
              <w:rPr>
                <w:sz w:val="24"/>
              </w:rPr>
            </w:pPr>
            <w:r>
              <w:rPr>
                <w:sz w:val="24"/>
              </w:rPr>
              <w:t>1998-2006</w:t>
            </w:r>
          </w:p>
        </w:tc>
        <w:tc>
          <w:tcPr>
            <w:tcW w:w="1560" w:type="dxa"/>
          </w:tcPr>
          <w:p>
            <w:pPr>
              <w:pStyle w:val="TableParagraph"/>
              <w:ind w:left="159" w:right="107"/>
              <w:rPr>
                <w:sz w:val="24"/>
              </w:rPr>
            </w:pPr>
            <w:r>
              <w:rPr>
                <w:sz w:val="24"/>
              </w:rPr>
              <w:t>98</w:t>
            </w:r>
          </w:p>
        </w:tc>
        <w:tc>
          <w:tcPr>
            <w:tcW w:w="1605" w:type="dxa"/>
          </w:tcPr>
          <w:p>
            <w:pPr>
              <w:pStyle w:val="TableParagraph"/>
              <w:ind w:right="4"/>
              <w:rPr>
                <w:sz w:val="24"/>
              </w:rPr>
            </w:pPr>
            <w:r>
              <w:rPr>
                <w:sz w:val="24"/>
              </w:rPr>
              <w:t>78</w:t>
            </w:r>
          </w:p>
        </w:tc>
        <w:tc>
          <w:tcPr>
            <w:tcW w:w="1766" w:type="dxa"/>
          </w:tcPr>
          <w:p>
            <w:pPr>
              <w:pStyle w:val="TableParagraph"/>
              <w:ind w:left="84" w:right="29"/>
              <w:rPr>
                <w:sz w:val="24"/>
              </w:rPr>
            </w:pPr>
            <w:r>
              <w:rPr>
                <w:sz w:val="24"/>
              </w:rPr>
              <w:t>54</w:t>
            </w:r>
          </w:p>
        </w:tc>
      </w:tr>
      <w:tr>
        <w:trPr>
          <w:trHeight w:val="551" w:hRule="atLeast"/>
        </w:trPr>
        <w:tc>
          <w:tcPr>
            <w:tcW w:w="6360" w:type="dxa"/>
            <w:gridSpan w:val="4"/>
          </w:tcPr>
          <w:p>
            <w:pPr>
              <w:pStyle w:val="TableParagraph"/>
              <w:spacing w:line="270" w:lineRule="atLeast" w:before="5"/>
              <w:ind w:left="45"/>
              <w:jc w:val="left"/>
              <w:rPr>
                <w:sz w:val="18"/>
              </w:rPr>
            </w:pPr>
            <w:r>
              <w:rPr>
                <w:sz w:val="18"/>
              </w:rPr>
              <w:t>Note: Average monthly standard deviation, annualised and expressed in basis points Source: Bloomberg and BoE calculations</w:t>
            </w:r>
          </w:p>
        </w:tc>
      </w:tr>
    </w:tbl>
    <w:p>
      <w:pPr>
        <w:pStyle w:val="BodyText"/>
        <w:rPr>
          <w:b/>
          <w:sz w:val="26"/>
        </w:rPr>
      </w:pPr>
    </w:p>
    <w:p>
      <w:pPr>
        <w:pStyle w:val="BodyText"/>
        <w:spacing w:before="2"/>
        <w:rPr>
          <w:b/>
          <w:sz w:val="26"/>
        </w:rPr>
      </w:pPr>
    </w:p>
    <w:p>
      <w:pPr>
        <w:spacing w:before="1"/>
        <w:ind w:left="115" w:right="0" w:firstLine="0"/>
        <w:jc w:val="left"/>
        <w:rPr>
          <w:b/>
          <w:sz w:val="24"/>
        </w:rPr>
      </w:pPr>
      <w:r>
        <w:rPr>
          <w:b/>
          <w:color w:val="FF0000"/>
          <w:sz w:val="24"/>
        </w:rPr>
        <w:t>Chart 1: Volatility of sterling overnight interest rates</w:t>
      </w:r>
    </w:p>
    <w:p>
      <w:pPr>
        <w:pStyle w:val="BodyText"/>
        <w:spacing w:before="8"/>
        <w:rPr>
          <w:b/>
          <w:sz w:val="13"/>
        </w:rPr>
      </w:pPr>
    </w:p>
    <w:p>
      <w:pPr>
        <w:spacing w:before="95"/>
        <w:ind w:left="0" w:right="3208" w:firstLine="0"/>
        <w:jc w:val="right"/>
        <w:rPr>
          <w:sz w:val="22"/>
        </w:rPr>
      </w:pPr>
      <w:r>
        <w:rPr>
          <w:spacing w:val="6"/>
          <w:sz w:val="22"/>
        </w:rPr>
        <w:t>Per</w:t>
      </w:r>
      <w:r>
        <w:rPr>
          <w:spacing w:val="-6"/>
          <w:sz w:val="22"/>
        </w:rPr>
        <w:t> </w:t>
      </w:r>
      <w:r>
        <w:rPr>
          <w:spacing w:val="9"/>
          <w:sz w:val="22"/>
        </w:rPr>
        <w:t>cent</w:t>
      </w:r>
    </w:p>
    <w:p>
      <w:pPr>
        <w:spacing w:before="11"/>
        <w:ind w:left="0" w:right="3178" w:firstLine="0"/>
        <w:jc w:val="right"/>
        <w:rPr>
          <w:sz w:val="21"/>
        </w:rPr>
      </w:pPr>
      <w:r>
        <w:rPr/>
        <w:pict>
          <v:group style="position:absolute;margin-left:61.5pt;margin-top:6.227735pt;width:301.9pt;height:157.15pt;mso-position-horizontal-relative:page;mso-position-vertical-relative:paragraph;z-index:251668480" coordorigin="1230,125" coordsize="6038,3143">
            <v:shape style="position:absolute;left:1230;top:124;width:6038;height:3143" type="#_x0000_t75" stroked="false">
              <v:imagedata r:id="rId10" o:title=""/>
            </v:shape>
            <v:shape style="position:absolute;left:3420;top:150;width:1280;height:393" type="#_x0000_t202" filled="false" stroked="false">
              <v:textbox inset="0,0,0,0">
                <w:txbxContent>
                  <w:p>
                    <w:pPr>
                      <w:spacing w:line="273" w:lineRule="auto" w:before="0"/>
                      <w:ind w:left="59" w:right="0" w:hanging="60"/>
                      <w:jc w:val="left"/>
                      <w:rPr>
                        <w:sz w:val="16"/>
                      </w:rPr>
                    </w:pPr>
                    <w:r>
                      <w:rPr>
                        <w:sz w:val="16"/>
                      </w:rPr>
                      <w:t>Extension of BoE lending facilities</w:t>
                    </w:r>
                  </w:p>
                </w:txbxContent>
              </v:textbox>
              <w10:wrap type="none"/>
            </v:shape>
            <v:shape style="position:absolute;left:5580;top:195;width:1010;height:393" type="#_x0000_t202" filled="false" stroked="false">
              <v:textbox inset="0,0,0,0">
                <w:txbxContent>
                  <w:p>
                    <w:pPr>
                      <w:spacing w:line="273" w:lineRule="auto" w:before="0"/>
                      <w:ind w:left="194" w:right="0" w:hanging="195"/>
                      <w:jc w:val="left"/>
                      <w:rPr>
                        <w:sz w:val="16"/>
                      </w:rPr>
                    </w:pPr>
                    <w:r>
                      <w:rPr>
                        <w:sz w:val="16"/>
                      </w:rPr>
                      <w:t>MMR Interim Reforms</w:t>
                    </w:r>
                  </w:p>
                </w:txbxContent>
              </v:textbox>
              <w10:wrap type="none"/>
            </v:shape>
            <v:shape style="position:absolute;left:4815;top:1388;width:395;height:265" type="#_x0000_t202" filled="false" stroked="false">
              <v:textbox inset="0,0,0,0">
                <w:txbxContent>
                  <w:p>
                    <w:pPr>
                      <w:spacing w:line="265" w:lineRule="exact" w:before="0"/>
                      <w:ind w:left="0" w:right="0" w:firstLine="0"/>
                      <w:jc w:val="left"/>
                      <w:rPr>
                        <w:sz w:val="24"/>
                      </w:rPr>
                    </w:pPr>
                    <w:r>
                      <w:rPr>
                        <w:color w:val="000080"/>
                        <w:spacing w:val="-8"/>
                        <w:w w:val="95"/>
                        <w:sz w:val="24"/>
                      </w:rPr>
                      <w:t>high</w:t>
                    </w:r>
                  </w:p>
                </w:txbxContent>
              </v:textbox>
              <w10:wrap type="none"/>
            </v:shape>
            <v:shape style="position:absolute;left:5205;top:2303;width:350;height:265" type="#_x0000_t202" filled="false" stroked="false">
              <v:textbox inset="0,0,0,0">
                <w:txbxContent>
                  <w:p>
                    <w:pPr>
                      <w:spacing w:line="265" w:lineRule="exact" w:before="0"/>
                      <w:ind w:left="0" w:right="0" w:firstLine="0"/>
                      <w:jc w:val="left"/>
                      <w:rPr>
                        <w:sz w:val="24"/>
                      </w:rPr>
                    </w:pPr>
                    <w:r>
                      <w:rPr>
                        <w:color w:val="FF00FF"/>
                        <w:w w:val="95"/>
                        <w:sz w:val="24"/>
                      </w:rPr>
                      <w:t>low</w:t>
                    </w:r>
                  </w:p>
                </w:txbxContent>
              </v:textbox>
              <w10:wrap type="none"/>
            </v:shape>
            <w10:wrap type="none"/>
          </v:group>
        </w:pict>
      </w:r>
      <w:r>
        <w:rPr>
          <w:spacing w:val="4"/>
          <w:w w:val="95"/>
          <w:sz w:val="21"/>
        </w:rPr>
        <w:t>15</w:t>
      </w:r>
    </w:p>
    <w:p>
      <w:pPr>
        <w:pStyle w:val="BodyText"/>
        <w:spacing w:before="7"/>
      </w:pPr>
    </w:p>
    <w:p>
      <w:pPr>
        <w:spacing w:before="91"/>
        <w:ind w:left="6550" w:right="0" w:firstLine="0"/>
        <w:jc w:val="left"/>
        <w:rPr>
          <w:sz w:val="21"/>
        </w:rPr>
      </w:pPr>
      <w:r>
        <w:rPr>
          <w:spacing w:val="5"/>
          <w:sz w:val="21"/>
        </w:rPr>
        <w:t>10</w:t>
      </w:r>
    </w:p>
    <w:p>
      <w:pPr>
        <w:pStyle w:val="BodyText"/>
        <w:spacing w:before="5"/>
        <w:rPr>
          <w:sz w:val="32"/>
        </w:rPr>
      </w:pPr>
    </w:p>
    <w:p>
      <w:pPr>
        <w:spacing w:before="0"/>
        <w:ind w:left="6550" w:right="0" w:firstLine="0"/>
        <w:jc w:val="left"/>
        <w:rPr>
          <w:sz w:val="21"/>
        </w:rPr>
      </w:pPr>
      <w:r>
        <w:rPr>
          <w:w w:val="95"/>
          <w:sz w:val="21"/>
        </w:rPr>
        <w:t>5</w:t>
      </w:r>
    </w:p>
    <w:p>
      <w:pPr>
        <w:pStyle w:val="BodyText"/>
        <w:rPr>
          <w:sz w:val="22"/>
        </w:rPr>
      </w:pPr>
    </w:p>
    <w:p>
      <w:pPr>
        <w:spacing w:before="136"/>
        <w:ind w:left="6550" w:right="0" w:firstLine="0"/>
        <w:jc w:val="left"/>
        <w:rPr>
          <w:sz w:val="21"/>
        </w:rPr>
      </w:pPr>
      <w:r>
        <w:rPr>
          <w:w w:val="95"/>
          <w:sz w:val="21"/>
        </w:rPr>
        <w:t>0</w:t>
      </w:r>
    </w:p>
    <w:p>
      <w:pPr>
        <w:pStyle w:val="BodyText"/>
        <w:spacing w:before="3"/>
        <w:rPr>
          <w:sz w:val="23"/>
        </w:rPr>
      </w:pPr>
    </w:p>
    <w:p>
      <w:pPr>
        <w:spacing w:before="91"/>
        <w:ind w:left="6550" w:right="0" w:firstLine="0"/>
        <w:jc w:val="left"/>
        <w:rPr>
          <w:sz w:val="21"/>
        </w:rPr>
      </w:pPr>
      <w:r>
        <w:rPr>
          <w:spacing w:val="6"/>
          <w:sz w:val="21"/>
        </w:rPr>
        <w:t>-5</w:t>
      </w:r>
    </w:p>
    <w:p>
      <w:pPr>
        <w:pStyle w:val="BodyText"/>
        <w:spacing w:before="7"/>
      </w:pPr>
    </w:p>
    <w:p>
      <w:pPr>
        <w:spacing w:before="90"/>
        <w:ind w:left="6550" w:right="0" w:firstLine="0"/>
        <w:jc w:val="left"/>
        <w:rPr>
          <w:sz w:val="21"/>
        </w:rPr>
      </w:pPr>
      <w:r>
        <w:rPr>
          <w:sz w:val="21"/>
        </w:rPr>
        <w:t>-10</w:t>
      </w:r>
    </w:p>
    <w:p>
      <w:pPr>
        <w:tabs>
          <w:tab w:pos="1555" w:val="left" w:leader="none"/>
          <w:tab w:pos="2874" w:val="left" w:leader="none"/>
          <w:tab w:pos="4194" w:val="left" w:leader="none"/>
          <w:tab w:pos="5514" w:val="left" w:leader="none"/>
        </w:tabs>
        <w:spacing w:before="59"/>
        <w:ind w:left="235" w:right="0" w:firstLine="0"/>
        <w:jc w:val="left"/>
        <w:rPr>
          <w:sz w:val="21"/>
        </w:rPr>
      </w:pPr>
      <w:r>
        <w:rPr>
          <w:spacing w:val="3"/>
          <w:sz w:val="21"/>
        </w:rPr>
        <w:t>1994</w:t>
        <w:tab/>
      </w:r>
      <w:r>
        <w:rPr>
          <w:spacing w:val="9"/>
          <w:sz w:val="21"/>
        </w:rPr>
        <w:t>1996</w:t>
        <w:tab/>
      </w:r>
      <w:r>
        <w:rPr>
          <w:spacing w:val="6"/>
          <w:sz w:val="21"/>
        </w:rPr>
        <w:t>1999</w:t>
        <w:tab/>
      </w:r>
      <w:r>
        <w:rPr>
          <w:spacing w:val="3"/>
          <w:sz w:val="21"/>
        </w:rPr>
        <w:t>2002</w:t>
        <w:tab/>
      </w:r>
      <w:r>
        <w:rPr>
          <w:spacing w:val="5"/>
          <w:sz w:val="21"/>
        </w:rPr>
        <w:t>2004</w:t>
      </w:r>
    </w:p>
    <w:p>
      <w:pPr>
        <w:spacing w:before="45"/>
        <w:ind w:left="250" w:right="0" w:firstLine="0"/>
        <w:jc w:val="left"/>
        <w:rPr>
          <w:sz w:val="16"/>
        </w:rPr>
      </w:pPr>
      <w:r>
        <w:rPr>
          <w:sz w:val="16"/>
        </w:rPr>
        <w:t>Source: BoE calculations</w:t>
      </w:r>
    </w:p>
    <w:p>
      <w:pPr>
        <w:spacing w:after="0"/>
        <w:jc w:val="left"/>
        <w:rPr>
          <w:sz w:val="16"/>
        </w:rPr>
        <w:sectPr>
          <w:headerReference w:type="default" r:id="rId8"/>
          <w:footerReference w:type="default" r:id="rId9"/>
          <w:pgSz w:w="11920" w:h="16840"/>
          <w:pgMar w:header="0" w:footer="985" w:top="1360" w:bottom="1180" w:left="800" w:right="1180"/>
        </w:sectPr>
      </w:pPr>
    </w:p>
    <w:p>
      <w:pPr>
        <w:pStyle w:val="BodyText"/>
        <w:rPr>
          <w:sz w:val="15"/>
        </w:rPr>
      </w:pPr>
    </w:p>
    <w:p>
      <w:pPr>
        <w:spacing w:line="231" w:lineRule="exact" w:before="95"/>
        <w:ind w:left="3202" w:right="644" w:firstLine="0"/>
        <w:jc w:val="center"/>
        <w:rPr>
          <w:sz w:val="22"/>
        </w:rPr>
      </w:pPr>
      <w:r>
        <w:rPr>
          <w:sz w:val="22"/>
        </w:rPr>
        <w:t>Per cent</w:t>
      </w:r>
    </w:p>
    <w:p>
      <w:pPr>
        <w:spacing w:line="231" w:lineRule="exact" w:before="0"/>
        <w:ind w:left="6745" w:right="0" w:firstLine="0"/>
        <w:jc w:val="left"/>
        <w:rPr>
          <w:sz w:val="22"/>
        </w:rPr>
      </w:pPr>
      <w:r>
        <w:rPr/>
        <w:pict>
          <v:group style="position:absolute;margin-left:58.875pt;margin-top:4.320068pt;width:312.75pt;height:162pt;mso-position-horizontal-relative:page;mso-position-vertical-relative:paragraph;z-index:251672576" coordorigin="1178,86" coordsize="6255,3240">
            <v:shape style="position:absolute;left:1177;top:86;width:6255;height:3240" type="#_x0000_t75" stroked="false">
              <v:imagedata r:id="rId13" o:title=""/>
            </v:shape>
            <v:shape style="position:absolute;left:4784;top:954;width:100;height:199" type="#_x0000_t202" filled="false" stroked="false">
              <v:textbox inset="0,0,0,0">
                <w:txbxContent>
                  <w:p>
                    <w:pPr>
                      <w:spacing w:line="199" w:lineRule="exact" w:before="0"/>
                      <w:ind w:left="0" w:right="0" w:firstLine="0"/>
                      <w:jc w:val="left"/>
                      <w:rPr>
                        <w:b/>
                        <w:sz w:val="18"/>
                      </w:rPr>
                    </w:pPr>
                    <w:r>
                      <w:rPr>
                        <w:b/>
                        <w:color w:val="000080"/>
                        <w:w w:val="88"/>
                        <w:sz w:val="18"/>
                      </w:rPr>
                      <w:t>£</w:t>
                    </w:r>
                  </w:p>
                </w:txbxContent>
              </v:textbox>
              <w10:wrap type="none"/>
            </v:shape>
            <v:shape style="position:absolute;left:1470;top:1659;width:100;height:199" type="#_x0000_t202" filled="false" stroked="false">
              <v:textbox inset="0,0,0,0">
                <w:txbxContent>
                  <w:p>
                    <w:pPr>
                      <w:spacing w:line="199" w:lineRule="exact" w:before="0"/>
                      <w:ind w:left="0" w:right="0" w:firstLine="0"/>
                      <w:jc w:val="left"/>
                      <w:rPr>
                        <w:b/>
                        <w:sz w:val="18"/>
                      </w:rPr>
                    </w:pPr>
                    <w:r>
                      <w:rPr>
                        <w:b/>
                        <w:color w:val="008000"/>
                        <w:w w:val="88"/>
                        <w:sz w:val="18"/>
                      </w:rPr>
                      <w:t>€</w:t>
                    </w:r>
                  </w:p>
                </w:txbxContent>
              </v:textbox>
              <w10:wrap type="none"/>
            </v:shape>
            <v:shape style="position:absolute;left:2925;top:2019;width:336;height:199" type="#_x0000_t202" filled="false" stroked="false">
              <v:textbox inset="0,0,0,0">
                <w:txbxContent>
                  <w:p>
                    <w:pPr>
                      <w:spacing w:line="199" w:lineRule="exact" w:before="0"/>
                      <w:ind w:left="0" w:right="0" w:firstLine="0"/>
                      <w:jc w:val="left"/>
                      <w:rPr>
                        <w:b/>
                        <w:sz w:val="18"/>
                      </w:rPr>
                    </w:pPr>
                    <w:r>
                      <w:rPr>
                        <w:b/>
                        <w:color w:val="FF00FF"/>
                        <w:w w:val="90"/>
                        <w:sz w:val="18"/>
                      </w:rPr>
                      <w:t>US$</w:t>
                    </w:r>
                  </w:p>
                </w:txbxContent>
              </v:textbox>
              <w10:wrap type="none"/>
            </v:shape>
            <w10:wrap type="none"/>
          </v:group>
        </w:pict>
      </w:r>
      <w:r>
        <w:rPr>
          <w:w w:val="90"/>
          <w:sz w:val="22"/>
        </w:rPr>
        <w:t>7</w:t>
      </w:r>
    </w:p>
    <w:p>
      <w:pPr>
        <w:spacing w:before="212"/>
        <w:ind w:left="6745" w:right="0" w:firstLine="0"/>
        <w:jc w:val="left"/>
        <w:rPr>
          <w:sz w:val="22"/>
        </w:rPr>
      </w:pPr>
      <w:r>
        <w:rPr>
          <w:w w:val="90"/>
          <w:sz w:val="22"/>
        </w:rPr>
        <w:t>6</w:t>
      </w:r>
    </w:p>
    <w:p>
      <w:pPr>
        <w:spacing w:before="197"/>
        <w:ind w:left="6745" w:right="0" w:firstLine="0"/>
        <w:jc w:val="left"/>
        <w:rPr>
          <w:sz w:val="22"/>
        </w:rPr>
      </w:pPr>
      <w:r>
        <w:rPr>
          <w:w w:val="90"/>
          <w:sz w:val="22"/>
        </w:rPr>
        <w:t>5</w:t>
      </w:r>
    </w:p>
    <w:p>
      <w:pPr>
        <w:spacing w:before="212"/>
        <w:ind w:left="6745" w:right="0" w:firstLine="0"/>
        <w:jc w:val="left"/>
        <w:rPr>
          <w:sz w:val="22"/>
        </w:rPr>
      </w:pPr>
      <w:r>
        <w:rPr>
          <w:w w:val="90"/>
          <w:sz w:val="22"/>
        </w:rPr>
        <w:t>4</w:t>
      </w:r>
    </w:p>
    <w:p>
      <w:pPr>
        <w:spacing w:before="212"/>
        <w:ind w:left="6745" w:right="0" w:firstLine="0"/>
        <w:jc w:val="left"/>
        <w:rPr>
          <w:sz w:val="22"/>
        </w:rPr>
      </w:pPr>
      <w:r>
        <w:rPr>
          <w:w w:val="90"/>
          <w:sz w:val="22"/>
        </w:rPr>
        <w:t>3</w:t>
      </w:r>
    </w:p>
    <w:p>
      <w:pPr>
        <w:spacing w:before="197"/>
        <w:ind w:left="6745" w:right="0" w:firstLine="0"/>
        <w:jc w:val="left"/>
        <w:rPr>
          <w:sz w:val="22"/>
        </w:rPr>
      </w:pPr>
      <w:r>
        <w:rPr>
          <w:w w:val="90"/>
          <w:sz w:val="22"/>
        </w:rPr>
        <w:t>2</w:t>
      </w:r>
    </w:p>
    <w:p>
      <w:pPr>
        <w:spacing w:before="197"/>
        <w:ind w:left="6745" w:right="0" w:firstLine="0"/>
        <w:jc w:val="left"/>
        <w:rPr>
          <w:sz w:val="22"/>
        </w:rPr>
      </w:pPr>
      <w:r>
        <w:rPr>
          <w:w w:val="90"/>
          <w:sz w:val="22"/>
        </w:rPr>
        <w:t>1</w:t>
      </w:r>
    </w:p>
    <w:p>
      <w:pPr>
        <w:spacing w:before="212"/>
        <w:ind w:left="6745" w:right="0" w:firstLine="0"/>
        <w:jc w:val="left"/>
        <w:rPr>
          <w:sz w:val="22"/>
        </w:rPr>
      </w:pPr>
      <w:r>
        <w:rPr>
          <w:w w:val="90"/>
          <w:sz w:val="22"/>
        </w:rPr>
        <w:t>0</w:t>
      </w:r>
    </w:p>
    <w:p>
      <w:pPr>
        <w:tabs>
          <w:tab w:pos="1044" w:val="left" w:leader="none"/>
          <w:tab w:pos="1884" w:val="left" w:leader="none"/>
          <w:tab w:pos="2724" w:val="left" w:leader="none"/>
          <w:tab w:pos="3564" w:val="left" w:leader="none"/>
          <w:tab w:pos="4404" w:val="left" w:leader="none"/>
          <w:tab w:pos="5244" w:val="left" w:leader="none"/>
          <w:tab w:pos="6069" w:val="left" w:leader="none"/>
        </w:tabs>
        <w:spacing w:before="107"/>
        <w:ind w:left="219" w:right="0" w:firstLine="0"/>
        <w:jc w:val="left"/>
        <w:rPr>
          <w:sz w:val="22"/>
        </w:rPr>
      </w:pPr>
      <w:r>
        <w:rPr>
          <w:sz w:val="22"/>
        </w:rPr>
        <w:t>1999</w:t>
        <w:tab/>
      </w:r>
      <w:r>
        <w:rPr>
          <w:spacing w:val="-3"/>
          <w:sz w:val="22"/>
        </w:rPr>
        <w:t>2000</w:t>
        <w:tab/>
        <w:t>2001</w:t>
        <w:tab/>
      </w:r>
      <w:r>
        <w:rPr>
          <w:sz w:val="22"/>
        </w:rPr>
        <w:t>2002</w:t>
        <w:tab/>
        <w:t>2003</w:t>
        <w:tab/>
        <w:t>2004</w:t>
        <w:tab/>
      </w:r>
      <w:r>
        <w:rPr>
          <w:spacing w:val="-6"/>
          <w:sz w:val="22"/>
        </w:rPr>
        <w:t>2005</w:t>
        <w:tab/>
      </w:r>
      <w:r>
        <w:rPr>
          <w:spacing w:val="-3"/>
          <w:sz w:val="22"/>
        </w:rPr>
        <w:t>2006</w:t>
      </w:r>
    </w:p>
    <w:p>
      <w:pPr>
        <w:spacing w:before="43"/>
        <w:ind w:left="249" w:right="0" w:firstLine="0"/>
        <w:jc w:val="left"/>
        <w:rPr>
          <w:sz w:val="16"/>
        </w:rPr>
      </w:pPr>
      <w:r>
        <w:rPr>
          <w:sz w:val="16"/>
        </w:rPr>
        <w:t>Source: Bloomberg and BoE calculations</w:t>
      </w:r>
    </w:p>
    <w:p>
      <w:pPr>
        <w:pStyle w:val="BodyText"/>
        <w:rPr>
          <w:sz w:val="20"/>
        </w:rPr>
      </w:pPr>
    </w:p>
    <w:p>
      <w:pPr>
        <w:pStyle w:val="BodyText"/>
        <w:rPr>
          <w:sz w:val="20"/>
        </w:rPr>
      </w:pPr>
    </w:p>
    <w:p>
      <w:pPr>
        <w:pStyle w:val="BodyText"/>
        <w:rPr>
          <w:sz w:val="20"/>
        </w:rPr>
      </w:pPr>
    </w:p>
    <w:p>
      <w:pPr>
        <w:pStyle w:val="BodyText"/>
        <w:spacing w:before="9"/>
        <w:rPr>
          <w:sz w:val="25"/>
        </w:rPr>
      </w:pPr>
    </w:p>
    <w:p>
      <w:pPr>
        <w:pStyle w:val="Heading2"/>
        <w:spacing w:before="90"/>
      </w:pPr>
      <w:r>
        <w:rPr>
          <w:color w:val="FF0000"/>
        </w:rPr>
        <w:t>Chart 3: Cumulative folded distributions of overnight/policy rate spreads</w:t>
      </w:r>
    </w:p>
    <w:p>
      <w:pPr>
        <w:pStyle w:val="BodyText"/>
        <w:spacing w:before="3"/>
        <w:rPr>
          <w:b/>
          <w:sz w:val="21"/>
        </w:rPr>
      </w:pPr>
    </w:p>
    <w:p>
      <w:pPr>
        <w:spacing w:after="0"/>
        <w:rPr>
          <w:sz w:val="21"/>
        </w:rPr>
        <w:sectPr>
          <w:headerReference w:type="default" r:id="rId11"/>
          <w:footerReference w:type="default" r:id="rId12"/>
          <w:pgSz w:w="11920" w:h="16840"/>
          <w:pgMar w:header="1716" w:footer="985" w:top="1980" w:bottom="1180" w:left="800" w:right="1180"/>
        </w:sectPr>
      </w:pPr>
    </w:p>
    <w:p>
      <w:pPr>
        <w:spacing w:before="106"/>
        <w:ind w:left="432" w:right="0" w:firstLine="0"/>
        <w:jc w:val="center"/>
        <w:rPr>
          <w:b/>
          <w:i/>
          <w:sz w:val="18"/>
        </w:rPr>
      </w:pPr>
      <w:r>
        <w:rPr>
          <w:b/>
          <w:i/>
          <w:sz w:val="18"/>
        </w:rPr>
        <w:t>Sample period: Jan 2002 - 11 Mar 2005</w:t>
      </w:r>
    </w:p>
    <w:p>
      <w:pPr>
        <w:tabs>
          <w:tab w:pos="4319" w:val="left" w:leader="none"/>
        </w:tabs>
        <w:spacing w:before="76"/>
        <w:ind w:left="405" w:right="0" w:firstLine="0"/>
        <w:jc w:val="center"/>
        <w:rPr>
          <w:sz w:val="15"/>
        </w:rPr>
      </w:pPr>
      <w:r>
        <w:rPr/>
        <w:pict>
          <v:group style="position:absolute;margin-left:75pt;margin-top:7.801953pt;width:179.25pt;height:147.75pt;mso-position-horizontal-relative:page;mso-position-vertical-relative:paragraph;z-index:-252903424" coordorigin="1500,156" coordsize="3585,2955">
            <v:shape style="position:absolute;left:1500;top:156;width:3585;height:2955" type="#_x0000_t75" stroked="false">
              <v:imagedata r:id="rId14" o:title=""/>
            </v:shape>
            <v:shape style="position:absolute;left:4605;top:276;width:98;height:783" type="#_x0000_t202" filled="false" stroked="false">
              <v:textbox inset="0,0,0,0">
                <w:txbxContent>
                  <w:p>
                    <w:pPr>
                      <w:spacing w:line="167" w:lineRule="exact" w:before="0"/>
                      <w:ind w:left="0" w:right="0" w:firstLine="0"/>
                      <w:jc w:val="left"/>
                      <w:rPr>
                        <w:sz w:val="15"/>
                      </w:rPr>
                    </w:pPr>
                    <w:r>
                      <w:rPr>
                        <w:w w:val="102"/>
                        <w:sz w:val="15"/>
                      </w:rPr>
                      <w:t>£</w:t>
                    </w:r>
                  </w:p>
                  <w:p>
                    <w:pPr>
                      <w:spacing w:before="127"/>
                      <w:ind w:left="0" w:right="0" w:firstLine="0"/>
                      <w:jc w:val="left"/>
                      <w:rPr>
                        <w:sz w:val="15"/>
                      </w:rPr>
                    </w:pPr>
                    <w:r>
                      <w:rPr>
                        <w:w w:val="102"/>
                        <w:sz w:val="15"/>
                      </w:rPr>
                      <w:t>$</w:t>
                    </w:r>
                  </w:p>
                  <w:p>
                    <w:pPr>
                      <w:spacing w:before="143"/>
                      <w:ind w:left="0" w:right="0" w:firstLine="0"/>
                      <w:jc w:val="left"/>
                      <w:rPr>
                        <w:sz w:val="15"/>
                      </w:rPr>
                    </w:pPr>
                    <w:r>
                      <w:rPr>
                        <w:w w:val="102"/>
                        <w:sz w:val="15"/>
                      </w:rPr>
                      <w:t>€</w:t>
                    </w:r>
                  </w:p>
                </w:txbxContent>
              </v:textbox>
              <w10:wrap type="none"/>
            </v:shape>
            <v:shape style="position:absolute;left:1605;top:1491;width:873;height:348" type="#_x0000_t202" filled="false" stroked="false">
              <v:textbox inset="0,0,0,0">
                <w:txbxContent>
                  <w:p>
                    <w:pPr>
                      <w:spacing w:line="249" w:lineRule="auto" w:before="0"/>
                      <w:ind w:left="44" w:right="0" w:hanging="45"/>
                      <w:jc w:val="left"/>
                      <w:rPr>
                        <w:sz w:val="15"/>
                      </w:rPr>
                    </w:pPr>
                    <w:r>
                      <w:rPr>
                        <w:sz w:val="15"/>
                      </w:rPr>
                      <w:t>Interquartile </w:t>
                    </w:r>
                    <w:r>
                      <w:rPr>
                        <w:w w:val="105"/>
                        <w:sz w:val="15"/>
                      </w:rPr>
                      <w:t>Range</w:t>
                    </w:r>
                  </w:p>
                </w:txbxContent>
              </v:textbox>
              <w10:wrap type="none"/>
            </v:shape>
            <w10:wrap type="none"/>
          </v:group>
        </w:pict>
      </w:r>
      <w:r>
        <w:rPr>
          <w:spacing w:val="6"/>
          <w:w w:val="105"/>
          <w:sz w:val="15"/>
        </w:rPr>
        <w:t>50</w:t>
        <w:tab/>
      </w:r>
      <w:r>
        <w:rPr>
          <w:spacing w:val="12"/>
          <w:w w:val="105"/>
          <w:sz w:val="15"/>
        </w:rPr>
        <w:t>50</w:t>
      </w:r>
    </w:p>
    <w:p>
      <w:pPr>
        <w:pStyle w:val="BodyText"/>
        <w:rPr>
          <w:sz w:val="16"/>
        </w:rPr>
      </w:pPr>
    </w:p>
    <w:p>
      <w:pPr>
        <w:pStyle w:val="BodyText"/>
        <w:spacing w:before="1"/>
        <w:rPr>
          <w:sz w:val="21"/>
        </w:rPr>
      </w:pPr>
    </w:p>
    <w:p>
      <w:pPr>
        <w:tabs>
          <w:tab w:pos="4319" w:val="left" w:leader="none"/>
        </w:tabs>
        <w:spacing w:before="1"/>
        <w:ind w:left="405" w:right="0" w:firstLine="0"/>
        <w:jc w:val="center"/>
        <w:rPr>
          <w:sz w:val="15"/>
        </w:rPr>
      </w:pPr>
      <w:r>
        <w:rPr/>
        <w:pict>
          <v:shape style="position:absolute;margin-left:51.520668pt;margin-top:-2.187306pt;width:10.4pt;height:103.25pt;mso-position-horizontal-relative:page;mso-position-vertical-relative:paragraph;z-index:251679744" type="#_x0000_t202" filled="false" stroked="false">
            <v:textbox inset="0,0,0,0" style="layout-flow:vertical;mso-layout-flow-alt:bottom-to-top">
              <w:txbxContent>
                <w:p>
                  <w:pPr>
                    <w:spacing w:before="14"/>
                    <w:ind w:left="20" w:right="0" w:firstLine="0"/>
                    <w:jc w:val="left"/>
                    <w:rPr>
                      <w:sz w:val="15"/>
                    </w:rPr>
                  </w:pPr>
                  <w:r>
                    <w:rPr>
                      <w:w w:val="105"/>
                      <w:sz w:val="15"/>
                    </w:rPr>
                    <w:t>Cumulative frequency, per cent</w:t>
                  </w:r>
                </w:p>
              </w:txbxContent>
            </v:textbox>
            <w10:wrap type="none"/>
          </v:shape>
        </w:pict>
      </w:r>
      <w:r>
        <w:rPr/>
        <w:pict>
          <v:shape style="position:absolute;margin-left:271.270660pt;margin-top:-2.187306pt;width:10.4pt;height:103.25pt;mso-position-horizontal-relative:page;mso-position-vertical-relative:paragraph;z-index:251680768" type="#_x0000_t202" filled="false" stroked="false">
            <v:textbox inset="0,0,0,0" style="layout-flow:vertical;mso-layout-flow-alt:bottom-to-top">
              <w:txbxContent>
                <w:p>
                  <w:pPr>
                    <w:spacing w:before="14"/>
                    <w:ind w:left="20" w:right="0" w:firstLine="0"/>
                    <w:jc w:val="left"/>
                    <w:rPr>
                      <w:sz w:val="15"/>
                    </w:rPr>
                  </w:pPr>
                  <w:r>
                    <w:rPr>
                      <w:w w:val="105"/>
                      <w:sz w:val="15"/>
                    </w:rPr>
                    <w:t>Cumulative frequency, per cent</w:t>
                  </w:r>
                </w:p>
              </w:txbxContent>
            </v:textbox>
            <w10:wrap type="none"/>
          </v:shape>
        </w:pict>
      </w:r>
      <w:r>
        <w:rPr>
          <w:spacing w:val="6"/>
          <w:w w:val="105"/>
          <w:sz w:val="15"/>
        </w:rPr>
        <w:t>40</w:t>
        <w:tab/>
      </w:r>
      <w:r>
        <w:rPr>
          <w:spacing w:val="12"/>
          <w:w w:val="105"/>
          <w:sz w:val="15"/>
        </w:rPr>
        <w:t>60</w:t>
      </w:r>
    </w:p>
    <w:p>
      <w:pPr>
        <w:pStyle w:val="BodyText"/>
        <w:rPr>
          <w:sz w:val="16"/>
        </w:rPr>
      </w:pPr>
    </w:p>
    <w:p>
      <w:pPr>
        <w:pStyle w:val="BodyText"/>
        <w:spacing w:before="10"/>
        <w:rPr>
          <w:sz w:val="19"/>
        </w:rPr>
      </w:pPr>
    </w:p>
    <w:p>
      <w:pPr>
        <w:tabs>
          <w:tab w:pos="4319" w:val="left" w:leader="none"/>
        </w:tabs>
        <w:spacing w:before="0"/>
        <w:ind w:left="405" w:right="0" w:firstLine="0"/>
        <w:jc w:val="center"/>
        <w:rPr>
          <w:sz w:val="15"/>
        </w:rPr>
      </w:pPr>
      <w:r>
        <w:rPr>
          <w:spacing w:val="6"/>
          <w:w w:val="105"/>
          <w:sz w:val="15"/>
        </w:rPr>
        <w:t>30</w:t>
        <w:tab/>
      </w:r>
      <w:r>
        <w:rPr>
          <w:spacing w:val="12"/>
          <w:w w:val="105"/>
          <w:sz w:val="15"/>
        </w:rPr>
        <w:t>70</w:t>
      </w:r>
    </w:p>
    <w:p>
      <w:pPr>
        <w:pStyle w:val="BodyText"/>
        <w:rPr>
          <w:sz w:val="16"/>
        </w:rPr>
      </w:pPr>
    </w:p>
    <w:p>
      <w:pPr>
        <w:pStyle w:val="BodyText"/>
        <w:spacing w:before="6"/>
        <w:rPr>
          <w:sz w:val="18"/>
        </w:rPr>
      </w:pPr>
    </w:p>
    <w:p>
      <w:pPr>
        <w:tabs>
          <w:tab w:pos="4319" w:val="left" w:leader="none"/>
        </w:tabs>
        <w:spacing w:before="0"/>
        <w:ind w:left="405" w:right="0" w:firstLine="0"/>
        <w:jc w:val="center"/>
        <w:rPr>
          <w:sz w:val="15"/>
        </w:rPr>
      </w:pPr>
      <w:r>
        <w:rPr>
          <w:spacing w:val="6"/>
          <w:w w:val="105"/>
          <w:sz w:val="15"/>
        </w:rPr>
        <w:t>20</w:t>
        <w:tab/>
      </w:r>
      <w:r>
        <w:rPr>
          <w:spacing w:val="12"/>
          <w:w w:val="105"/>
          <w:sz w:val="15"/>
        </w:rPr>
        <w:t>80</w:t>
      </w:r>
    </w:p>
    <w:p>
      <w:pPr>
        <w:pStyle w:val="BodyText"/>
        <w:rPr>
          <w:sz w:val="16"/>
        </w:rPr>
      </w:pPr>
    </w:p>
    <w:p>
      <w:pPr>
        <w:pStyle w:val="BodyText"/>
        <w:spacing w:before="2"/>
        <w:rPr>
          <w:sz w:val="21"/>
        </w:rPr>
      </w:pPr>
    </w:p>
    <w:p>
      <w:pPr>
        <w:tabs>
          <w:tab w:pos="4319" w:val="left" w:leader="none"/>
        </w:tabs>
        <w:spacing w:before="0"/>
        <w:ind w:left="405" w:right="0" w:firstLine="0"/>
        <w:jc w:val="center"/>
        <w:rPr>
          <w:sz w:val="15"/>
        </w:rPr>
      </w:pPr>
      <w:r>
        <w:rPr>
          <w:spacing w:val="6"/>
          <w:w w:val="105"/>
          <w:sz w:val="15"/>
        </w:rPr>
        <w:t>10</w:t>
        <w:tab/>
      </w:r>
      <w:r>
        <w:rPr>
          <w:spacing w:val="12"/>
          <w:w w:val="105"/>
          <w:sz w:val="15"/>
        </w:rPr>
        <w:t>90</w:t>
      </w:r>
    </w:p>
    <w:p>
      <w:pPr>
        <w:spacing w:before="100"/>
        <w:ind w:left="535" w:right="0" w:firstLine="0"/>
        <w:jc w:val="left"/>
        <w:rPr>
          <w:b/>
          <w:i/>
          <w:sz w:val="17"/>
        </w:rPr>
      </w:pPr>
      <w:r>
        <w:rPr/>
        <w:br w:type="column"/>
      </w:r>
      <w:r>
        <w:rPr>
          <w:b/>
          <w:i/>
          <w:w w:val="105"/>
          <w:sz w:val="17"/>
        </w:rPr>
        <w:t>Sample period: 14 Mar 2005 - May 2005</w:t>
      </w:r>
    </w:p>
    <w:p>
      <w:pPr>
        <w:tabs>
          <w:tab w:pos="4374" w:val="left" w:leader="none"/>
        </w:tabs>
        <w:spacing w:before="93"/>
        <w:ind w:left="445" w:right="0" w:firstLine="0"/>
        <w:jc w:val="left"/>
        <w:rPr>
          <w:sz w:val="15"/>
        </w:rPr>
      </w:pPr>
      <w:r>
        <w:rPr/>
        <w:pict>
          <v:group style="position:absolute;margin-left:328.5pt;margin-top:7.901953pt;width:180pt;height:148.9pt;mso-position-horizontal-relative:page;mso-position-vertical-relative:paragraph;z-index:-252900352" coordorigin="6570,158" coordsize="3600,2978">
            <v:shape style="position:absolute;left:6570;top:158;width:3600;height:2978" type="#_x0000_t75" stroked="false">
              <v:imagedata r:id="rId15" o:title=""/>
            </v:shape>
            <v:shape style="position:absolute;left:9690;top:293;width:98;height:782" type="#_x0000_t202" filled="false" stroked="false">
              <v:textbox inset="0,0,0,0">
                <w:txbxContent>
                  <w:p>
                    <w:pPr>
                      <w:spacing w:line="167" w:lineRule="exact" w:before="0"/>
                      <w:ind w:left="0" w:right="0" w:firstLine="0"/>
                      <w:jc w:val="left"/>
                      <w:rPr>
                        <w:sz w:val="15"/>
                      </w:rPr>
                    </w:pPr>
                    <w:r>
                      <w:rPr>
                        <w:w w:val="102"/>
                        <w:sz w:val="15"/>
                      </w:rPr>
                      <w:t>£</w:t>
                    </w:r>
                  </w:p>
                  <w:p>
                    <w:pPr>
                      <w:spacing w:before="127"/>
                      <w:ind w:left="0" w:right="0" w:firstLine="0"/>
                      <w:jc w:val="left"/>
                      <w:rPr>
                        <w:sz w:val="15"/>
                      </w:rPr>
                    </w:pPr>
                    <w:r>
                      <w:rPr>
                        <w:w w:val="102"/>
                        <w:sz w:val="15"/>
                      </w:rPr>
                      <w:t>$</w:t>
                    </w:r>
                  </w:p>
                  <w:p>
                    <w:pPr>
                      <w:spacing w:before="143"/>
                      <w:ind w:left="0" w:right="0" w:firstLine="0"/>
                      <w:jc w:val="left"/>
                      <w:rPr>
                        <w:sz w:val="15"/>
                      </w:rPr>
                    </w:pPr>
                    <w:r>
                      <w:rPr>
                        <w:w w:val="102"/>
                        <w:sz w:val="15"/>
                      </w:rPr>
                      <w:t>€</w:t>
                    </w:r>
                  </w:p>
                </w:txbxContent>
              </v:textbox>
              <w10:wrap type="none"/>
            </v:shape>
            <v:shape style="position:absolute;left:6675;top:1493;width:873;height:362" type="#_x0000_t202" filled="false" stroked="false">
              <v:textbox inset="0,0,0,0">
                <w:txbxContent>
                  <w:p>
                    <w:pPr>
                      <w:spacing w:line="271" w:lineRule="auto" w:before="0"/>
                      <w:ind w:left="44" w:right="0" w:hanging="45"/>
                      <w:jc w:val="left"/>
                      <w:rPr>
                        <w:sz w:val="15"/>
                      </w:rPr>
                    </w:pPr>
                    <w:r>
                      <w:rPr>
                        <w:sz w:val="15"/>
                      </w:rPr>
                      <w:t>Interquartile </w:t>
                    </w:r>
                    <w:r>
                      <w:rPr>
                        <w:w w:val="105"/>
                        <w:sz w:val="15"/>
                      </w:rPr>
                      <w:t>Range</w:t>
                    </w:r>
                  </w:p>
                </w:txbxContent>
              </v:textbox>
              <w10:wrap type="none"/>
            </v:shape>
            <w10:wrap type="none"/>
          </v:group>
        </w:pict>
      </w:r>
      <w:r>
        <w:rPr>
          <w:spacing w:val="6"/>
          <w:w w:val="105"/>
          <w:sz w:val="15"/>
        </w:rPr>
        <w:t>50</w:t>
        <w:tab/>
      </w:r>
      <w:r>
        <w:rPr>
          <w:spacing w:val="12"/>
          <w:w w:val="105"/>
          <w:sz w:val="15"/>
        </w:rPr>
        <w:t>50</w:t>
      </w:r>
    </w:p>
    <w:p>
      <w:pPr>
        <w:pStyle w:val="BodyText"/>
        <w:rPr>
          <w:sz w:val="16"/>
        </w:rPr>
      </w:pPr>
    </w:p>
    <w:p>
      <w:pPr>
        <w:pStyle w:val="BodyText"/>
        <w:spacing w:before="10"/>
        <w:rPr>
          <w:sz w:val="19"/>
        </w:rPr>
      </w:pPr>
    </w:p>
    <w:p>
      <w:pPr>
        <w:tabs>
          <w:tab w:pos="4374" w:val="left" w:leader="none"/>
        </w:tabs>
        <w:spacing w:before="0"/>
        <w:ind w:left="445" w:right="0" w:firstLine="0"/>
        <w:jc w:val="left"/>
        <w:rPr>
          <w:sz w:val="15"/>
        </w:rPr>
      </w:pPr>
      <w:r>
        <w:rPr/>
        <w:pict>
          <v:shape style="position:absolute;margin-left:305.04303pt;margin-top:-.73552pt;width:10.35pt;height:101.75pt;mso-position-horizontal-relative:page;mso-position-vertical-relative:paragraph;z-index:251681792" type="#_x0000_t202" filled="false" stroked="false">
            <v:textbox inset="0,0,0,0" style="layout-flow:vertical;mso-layout-flow-alt:bottom-to-top">
              <w:txbxContent>
                <w:p>
                  <w:pPr>
                    <w:spacing w:before="14"/>
                    <w:ind w:left="20" w:right="0" w:firstLine="0"/>
                    <w:jc w:val="left"/>
                    <w:rPr>
                      <w:sz w:val="15"/>
                    </w:rPr>
                  </w:pPr>
                  <w:r>
                    <w:rPr>
                      <w:w w:val="105"/>
                      <w:sz w:val="15"/>
                    </w:rPr>
                    <w:t>Cumulative frequency, per cent</w:t>
                  </w:r>
                </w:p>
              </w:txbxContent>
            </v:textbox>
            <w10:wrap type="none"/>
          </v:shape>
        </w:pict>
      </w:r>
      <w:r>
        <w:rPr/>
        <w:pict>
          <v:shape style="position:absolute;margin-left:525.543030pt;margin-top:-.73552pt;width:10.35pt;height:101.75pt;mso-position-horizontal-relative:page;mso-position-vertical-relative:paragraph;z-index:251682816" type="#_x0000_t202" filled="false" stroked="false">
            <v:textbox inset="0,0,0,0" style="layout-flow:vertical;mso-layout-flow-alt:bottom-to-top">
              <w:txbxContent>
                <w:p>
                  <w:pPr>
                    <w:spacing w:before="14"/>
                    <w:ind w:left="20" w:right="0" w:firstLine="0"/>
                    <w:jc w:val="left"/>
                    <w:rPr>
                      <w:sz w:val="15"/>
                    </w:rPr>
                  </w:pPr>
                  <w:r>
                    <w:rPr>
                      <w:w w:val="105"/>
                      <w:sz w:val="15"/>
                    </w:rPr>
                    <w:t>Cumulative frequency, per cent</w:t>
                  </w:r>
                </w:p>
              </w:txbxContent>
            </v:textbox>
            <w10:wrap type="none"/>
          </v:shape>
        </w:pict>
      </w:r>
      <w:r>
        <w:rPr>
          <w:spacing w:val="6"/>
          <w:w w:val="105"/>
          <w:sz w:val="15"/>
        </w:rPr>
        <w:t>40</w:t>
        <w:tab/>
      </w:r>
      <w:r>
        <w:rPr>
          <w:spacing w:val="12"/>
          <w:w w:val="105"/>
          <w:sz w:val="15"/>
        </w:rPr>
        <w:t>60</w:t>
      </w:r>
    </w:p>
    <w:p>
      <w:pPr>
        <w:pStyle w:val="BodyText"/>
        <w:rPr>
          <w:sz w:val="16"/>
        </w:rPr>
      </w:pPr>
    </w:p>
    <w:p>
      <w:pPr>
        <w:pStyle w:val="BodyText"/>
        <w:spacing w:before="2"/>
        <w:rPr>
          <w:sz w:val="21"/>
        </w:rPr>
      </w:pPr>
    </w:p>
    <w:p>
      <w:pPr>
        <w:tabs>
          <w:tab w:pos="4374" w:val="left" w:leader="none"/>
        </w:tabs>
        <w:spacing w:before="0"/>
        <w:ind w:left="445" w:right="0" w:firstLine="0"/>
        <w:jc w:val="left"/>
        <w:rPr>
          <w:sz w:val="15"/>
        </w:rPr>
      </w:pPr>
      <w:r>
        <w:rPr>
          <w:spacing w:val="6"/>
          <w:w w:val="105"/>
          <w:sz w:val="15"/>
        </w:rPr>
        <w:t>30</w:t>
        <w:tab/>
      </w:r>
      <w:r>
        <w:rPr>
          <w:spacing w:val="12"/>
          <w:w w:val="105"/>
          <w:sz w:val="15"/>
        </w:rPr>
        <w:t>70</w:t>
      </w:r>
    </w:p>
    <w:p>
      <w:pPr>
        <w:pStyle w:val="BodyText"/>
        <w:rPr>
          <w:sz w:val="16"/>
        </w:rPr>
      </w:pPr>
    </w:p>
    <w:p>
      <w:pPr>
        <w:pStyle w:val="BodyText"/>
        <w:spacing w:before="10"/>
        <w:rPr>
          <w:sz w:val="19"/>
        </w:rPr>
      </w:pPr>
    </w:p>
    <w:p>
      <w:pPr>
        <w:tabs>
          <w:tab w:pos="4374" w:val="left" w:leader="none"/>
        </w:tabs>
        <w:spacing w:before="0"/>
        <w:ind w:left="445" w:right="0" w:firstLine="0"/>
        <w:jc w:val="left"/>
        <w:rPr>
          <w:sz w:val="15"/>
        </w:rPr>
      </w:pPr>
      <w:r>
        <w:rPr>
          <w:spacing w:val="6"/>
          <w:w w:val="105"/>
          <w:sz w:val="15"/>
        </w:rPr>
        <w:t>20</w:t>
        <w:tab/>
      </w:r>
      <w:r>
        <w:rPr>
          <w:spacing w:val="12"/>
          <w:w w:val="105"/>
          <w:sz w:val="15"/>
        </w:rPr>
        <w:t>80</w:t>
      </w:r>
    </w:p>
    <w:p>
      <w:pPr>
        <w:pStyle w:val="BodyText"/>
        <w:rPr>
          <w:sz w:val="16"/>
        </w:rPr>
      </w:pPr>
    </w:p>
    <w:p>
      <w:pPr>
        <w:pStyle w:val="BodyText"/>
        <w:spacing w:before="10"/>
        <w:rPr>
          <w:sz w:val="19"/>
        </w:rPr>
      </w:pPr>
    </w:p>
    <w:p>
      <w:pPr>
        <w:tabs>
          <w:tab w:pos="4374" w:val="left" w:leader="none"/>
        </w:tabs>
        <w:spacing w:before="0"/>
        <w:ind w:left="445" w:right="0" w:firstLine="0"/>
        <w:jc w:val="left"/>
        <w:rPr>
          <w:sz w:val="15"/>
        </w:rPr>
      </w:pPr>
      <w:r>
        <w:rPr>
          <w:spacing w:val="6"/>
          <w:w w:val="105"/>
          <w:sz w:val="15"/>
        </w:rPr>
        <w:t>10</w:t>
        <w:tab/>
      </w:r>
      <w:r>
        <w:rPr>
          <w:spacing w:val="12"/>
          <w:w w:val="105"/>
          <w:sz w:val="15"/>
        </w:rPr>
        <w:t>90</w:t>
      </w:r>
    </w:p>
    <w:p>
      <w:pPr>
        <w:spacing w:after="0"/>
        <w:jc w:val="left"/>
        <w:rPr>
          <w:sz w:val="15"/>
        </w:rPr>
        <w:sectPr>
          <w:type w:val="continuous"/>
          <w:pgSz w:w="11920" w:h="16840"/>
          <w:pgMar w:top="1180" w:bottom="280" w:left="800" w:right="1180"/>
          <w:cols w:num="2" w:equalWidth="0">
            <w:col w:w="4580" w:space="490"/>
            <w:col w:w="4870"/>
          </w:cols>
        </w:sectPr>
      </w:pPr>
    </w:p>
    <w:p>
      <w:pPr>
        <w:pStyle w:val="BodyText"/>
        <w:spacing w:before="8"/>
        <w:rPr>
          <w:sz w:val="27"/>
        </w:rPr>
      </w:pPr>
    </w:p>
    <w:p>
      <w:pPr>
        <w:spacing w:after="0"/>
        <w:rPr>
          <w:sz w:val="27"/>
        </w:rPr>
        <w:sectPr>
          <w:type w:val="continuous"/>
          <w:pgSz w:w="11920" w:h="16840"/>
          <w:pgMar w:top="1180" w:bottom="280" w:left="800" w:right="1180"/>
        </w:sectPr>
      </w:pPr>
    </w:p>
    <w:p>
      <w:pPr>
        <w:spacing w:before="94"/>
        <w:ind w:left="535" w:right="0" w:firstLine="0"/>
        <w:jc w:val="left"/>
        <w:rPr>
          <w:sz w:val="15"/>
        </w:rPr>
      </w:pPr>
      <w:r>
        <w:rPr>
          <w:w w:val="102"/>
          <w:sz w:val="15"/>
        </w:rPr>
        <w:t>0</w:t>
      </w:r>
    </w:p>
    <w:p>
      <w:pPr>
        <w:spacing w:before="53"/>
        <w:ind w:left="609" w:right="0" w:firstLine="0"/>
        <w:jc w:val="left"/>
        <w:rPr>
          <w:sz w:val="15"/>
        </w:rPr>
      </w:pPr>
      <w:r>
        <w:rPr>
          <w:w w:val="105"/>
          <w:sz w:val="15"/>
        </w:rPr>
        <w:t>-1.0 -0.8 -0.6 -0.4 -0.2 0.0 0.2 0.4 0.6 0.8 1.0</w:t>
      </w:r>
    </w:p>
    <w:p>
      <w:pPr>
        <w:spacing w:before="94"/>
        <w:ind w:left="-40" w:right="0" w:firstLine="0"/>
        <w:jc w:val="left"/>
        <w:rPr>
          <w:sz w:val="15"/>
        </w:rPr>
      </w:pPr>
      <w:r>
        <w:rPr/>
        <w:br w:type="column"/>
      </w:r>
      <w:r>
        <w:rPr>
          <w:w w:val="105"/>
          <w:sz w:val="15"/>
        </w:rPr>
        <w:t>100</w:t>
      </w:r>
    </w:p>
    <w:p>
      <w:pPr>
        <w:spacing w:before="94"/>
        <w:ind w:left="535" w:right="0" w:firstLine="0"/>
        <w:jc w:val="left"/>
        <w:rPr>
          <w:sz w:val="15"/>
        </w:rPr>
      </w:pPr>
      <w:r>
        <w:rPr/>
        <w:br w:type="column"/>
      </w:r>
      <w:r>
        <w:rPr>
          <w:w w:val="105"/>
          <w:sz w:val="15"/>
        </w:rPr>
        <w:t>0</w:t>
      </w:r>
    </w:p>
    <w:p>
      <w:pPr>
        <w:spacing w:before="53"/>
        <w:ind w:left="609" w:right="0" w:firstLine="0"/>
        <w:jc w:val="left"/>
        <w:rPr>
          <w:sz w:val="15"/>
        </w:rPr>
      </w:pPr>
      <w:r>
        <w:rPr>
          <w:w w:val="105"/>
          <w:sz w:val="15"/>
        </w:rPr>
        <w:t>-1.0 -0.8 -0.6 -0.4 -0.2</w:t>
      </w:r>
    </w:p>
    <w:p>
      <w:pPr>
        <w:pStyle w:val="BodyText"/>
        <w:rPr>
          <w:sz w:val="16"/>
        </w:rPr>
      </w:pPr>
      <w:r>
        <w:rPr/>
        <w:br w:type="column"/>
      </w:r>
      <w:r>
        <w:rPr>
          <w:sz w:val="16"/>
        </w:rPr>
      </w:r>
    </w:p>
    <w:p>
      <w:pPr>
        <w:spacing w:before="135"/>
        <w:ind w:left="65" w:right="0" w:firstLine="0"/>
        <w:jc w:val="left"/>
        <w:rPr>
          <w:sz w:val="15"/>
        </w:rPr>
      </w:pPr>
      <w:r>
        <w:rPr>
          <w:sz w:val="15"/>
        </w:rPr>
        <w:t>0.0</w:t>
      </w:r>
    </w:p>
    <w:p>
      <w:pPr>
        <w:pStyle w:val="BodyText"/>
        <w:rPr>
          <w:sz w:val="16"/>
        </w:rPr>
      </w:pPr>
      <w:r>
        <w:rPr/>
        <w:br w:type="column"/>
      </w:r>
      <w:r>
        <w:rPr>
          <w:sz w:val="16"/>
        </w:rPr>
      </w:r>
    </w:p>
    <w:p>
      <w:pPr>
        <w:spacing w:before="135"/>
        <w:ind w:left="65" w:right="0" w:firstLine="0"/>
        <w:jc w:val="left"/>
        <w:rPr>
          <w:sz w:val="15"/>
        </w:rPr>
      </w:pPr>
      <w:r>
        <w:rPr>
          <w:w w:val="105"/>
          <w:sz w:val="15"/>
        </w:rPr>
        <w:t>0.2 0.4 0.6 0.8 1.0</w:t>
      </w:r>
    </w:p>
    <w:p>
      <w:pPr>
        <w:spacing w:before="94"/>
        <w:ind w:left="-40" w:right="0" w:firstLine="0"/>
        <w:jc w:val="left"/>
        <w:rPr>
          <w:sz w:val="15"/>
        </w:rPr>
      </w:pPr>
      <w:r>
        <w:rPr/>
        <w:br w:type="column"/>
      </w:r>
      <w:r>
        <w:rPr>
          <w:w w:val="105"/>
          <w:sz w:val="15"/>
        </w:rPr>
        <w:t>100</w:t>
      </w:r>
    </w:p>
    <w:p>
      <w:pPr>
        <w:spacing w:after="0"/>
        <w:jc w:val="left"/>
        <w:rPr>
          <w:sz w:val="15"/>
        </w:rPr>
        <w:sectPr>
          <w:type w:val="continuous"/>
          <w:pgSz w:w="11920" w:h="16840"/>
          <w:pgMar w:top="1180" w:bottom="280" w:left="800" w:right="1180"/>
          <w:cols w:num="6" w:equalWidth="0">
            <w:col w:w="4360" w:space="40"/>
            <w:col w:w="270" w:space="400"/>
            <w:col w:w="2304" w:space="40"/>
            <w:col w:w="291" w:space="39"/>
            <w:col w:w="1700" w:space="40"/>
            <w:col w:w="456"/>
          </w:cols>
        </w:sectPr>
      </w:pPr>
    </w:p>
    <w:p>
      <w:pPr>
        <w:tabs>
          <w:tab w:pos="5466" w:val="left" w:leader="none"/>
        </w:tabs>
        <w:spacing w:before="82"/>
        <w:ind w:left="321" w:right="0" w:firstLine="0"/>
        <w:jc w:val="center"/>
        <w:rPr>
          <w:sz w:val="15"/>
        </w:rPr>
      </w:pPr>
      <w:r>
        <w:rPr>
          <w:spacing w:val="7"/>
          <w:w w:val="105"/>
          <w:sz w:val="15"/>
        </w:rPr>
        <w:t>Percentage</w:t>
      </w:r>
      <w:r>
        <w:rPr>
          <w:spacing w:val="6"/>
          <w:w w:val="105"/>
          <w:sz w:val="15"/>
        </w:rPr>
        <w:t> points</w:t>
        <w:tab/>
      </w:r>
      <w:r>
        <w:rPr>
          <w:spacing w:val="7"/>
          <w:w w:val="105"/>
          <w:sz w:val="15"/>
        </w:rPr>
        <w:t>Percentage</w:t>
      </w:r>
      <w:r>
        <w:rPr>
          <w:spacing w:val="13"/>
          <w:w w:val="105"/>
          <w:sz w:val="15"/>
        </w:rPr>
        <w:t> </w:t>
      </w:r>
      <w:r>
        <w:rPr>
          <w:spacing w:val="8"/>
          <w:w w:val="105"/>
          <w:sz w:val="15"/>
        </w:rPr>
        <w:t>points</w:t>
      </w:r>
    </w:p>
    <w:p>
      <w:pPr>
        <w:spacing w:after="0"/>
        <w:jc w:val="center"/>
        <w:rPr>
          <w:sz w:val="15"/>
        </w:rPr>
        <w:sectPr>
          <w:type w:val="continuous"/>
          <w:pgSz w:w="11920" w:h="16840"/>
          <w:pgMar w:top="1180" w:bottom="280" w:left="800" w:right="1180"/>
        </w:sectPr>
      </w:pPr>
    </w:p>
    <w:p>
      <w:pPr>
        <w:pStyle w:val="BodyText"/>
        <w:spacing w:before="6"/>
        <w:rPr>
          <w:sz w:val="21"/>
        </w:rPr>
      </w:pPr>
    </w:p>
    <w:p>
      <w:pPr>
        <w:spacing w:line="246" w:lineRule="exact" w:before="95"/>
        <w:ind w:left="0" w:right="3283" w:firstLine="0"/>
        <w:jc w:val="right"/>
        <w:rPr>
          <w:sz w:val="22"/>
        </w:rPr>
      </w:pPr>
      <w:r>
        <w:rPr>
          <w:sz w:val="22"/>
        </w:rPr>
        <w:t>£ billion</w:t>
      </w:r>
    </w:p>
    <w:p>
      <w:pPr>
        <w:spacing w:line="246" w:lineRule="exact" w:before="0"/>
        <w:ind w:left="0" w:right="3209" w:firstLine="0"/>
        <w:jc w:val="right"/>
        <w:rPr>
          <w:sz w:val="22"/>
        </w:rPr>
      </w:pPr>
      <w:r>
        <w:rPr/>
        <w:pict>
          <v:group style="position:absolute;margin-left:61.875pt;margin-top:5.820068pt;width:294pt;height:149.25pt;mso-position-horizontal-relative:page;mso-position-vertical-relative:paragraph;z-index:251685888" coordorigin="1238,116" coordsize="5880,2985">
            <v:shape style="position:absolute;left:1245;top:123;width:5865;height:2970" coordorigin="1245,124" coordsize="5865,2970" path="m7035,124l7035,3094,7110,3094m7035,2599l7110,2599m7035,2104l7110,2104m7035,1624l7110,1624m7035,1114l7110,1114m7035,619l7110,619m7035,124l7110,124m1245,3094l7035,3094m1245,3094l1245,3019m1965,3094l1965,3019m2685,3094l2685,3019m3405,3094l3405,3019m4125,3094l4125,3019m4815,3094l4815,3019m5535,3094l5535,3019m6255,3094l6255,3019m6975,3094l6975,3019e" filled="false" stroked="true" strokeweight=".75pt" strokecolor="#000000">
              <v:path arrowok="t"/>
              <v:stroke dashstyle="solid"/>
            </v:shape>
            <v:line style="position:absolute" from="1245,2194" to="1305,2194" stroked="true" strokeweight="1.5pt" strokecolor="#000080">
              <v:stroke dashstyle="solid"/>
            </v:line>
            <v:shape style="position:absolute;left:1305;top:543;width:5670;height:1650" coordorigin="1305,544" coordsize="5670,1650" path="m1305,2194l1365,2119m1365,2119l1425,2164m1425,2164l1485,2179m1485,2179l1545,2119m1545,2119l1605,2164m1605,2164l1665,2149m1665,2149l1725,2104m1725,2104l1785,2119m1785,2119l1845,2059m1845,2059l1905,2134m1905,2134l1965,2089m1965,2089l2025,2104m2025,2104l2085,1954m2085,1954l2145,2044m2145,2044l2205,2074m2205,2074l2265,1984m2265,1984l2325,2044m2325,2044l2385,2029m2385,2029l2445,1999m2445,1999l2505,2029m2505,2029l2565,1984m2565,1984l2625,2044m2625,2044l2685,1984m2685,1984l2745,2014m2745,2014l2805,1924m2805,1924l2865,1954m2865,1954l2925,1894m2925,1894l2985,1879m2985,1879l3045,1894m3045,1894l3105,1864m3105,1864l3165,1864m3165,1864l3225,1864m3225,1864l3285,1849m3285,1849l3345,1864m3345,1864l3405,1864m3405,1864l3465,1879m3465,1879l3525,1804m3525,1804l3585,1789m3585,1789l3645,1774m3645,1774l3705,1729m3705,1729l3765,1774m3765,1774l3825,1789m3825,1789l3885,1729m3885,1729l3945,1774m3945,1774l4005,1714m4005,1714l4065,1774m4065,1774l4125,1744m4125,1744l4170,1744m4170,1744l4230,1699m4230,1699l4290,1669m4290,1669l4350,1699m4350,1699l4410,1624m4410,1624l4470,1639m4470,1639l4515,1639m4515,1639l4575,1624m4575,1624l4635,1609m4635,1609l4695,1579m4695,1579l4755,1489m4755,1489l4815,1489m4815,1489l4875,1504m4875,1504l4935,1309m4935,1309l4995,1414m4995,1414l5055,1369m5055,1369l5115,1369m5115,1369l5175,1399m5175,1399l5235,1384m5235,1384l5295,1204m5295,1204l5355,1219m5355,1219l5415,1174m5415,1174l5475,1219m5475,1219l5535,1204m5535,1204l5595,1234m5595,1234l5655,1069m5655,1069l5715,1054m5715,1054l5775,1084m5775,1084l5835,949m5835,949l5895,994m5895,994l5955,964m5955,964l6015,934m6015,934l6075,964m6075,964l6135,904m6135,904l6195,889m6195,889l6255,889m6255,889l6315,949m6315,949l6375,754m6375,754l6435,844m6435,844l6495,724m6495,724l6555,649m6555,649l6615,679m6615,679l6675,649m6675,649l6735,619m6735,619l6795,649m6795,649l6855,544m6855,544l6915,589m6915,589l6975,619e" filled="false" stroked="true" strokeweight="1.5pt" strokecolor="#000080">
              <v:path arrowok="t"/>
              <v:stroke dashstyle="solid"/>
            </v:shape>
            <v:line style="position:absolute" from="6975,619" to="7035,604" stroked="true" strokeweight="1.5pt" strokecolor="#000080">
              <v:stroke dashstyle="solid"/>
            </v:line>
            <v:line style="position:absolute" from="1245,1729" to="1305,1729" stroked="true" strokeweight="1.5pt" strokecolor="#ff00ff">
              <v:stroke dashstyle="solid"/>
            </v:line>
            <v:shape style="position:absolute;left:1305;top:1248;width:5670;height:540" coordorigin="1305,1249" coordsize="5670,540" path="m1305,1729l1365,1714m1365,1714l1425,1714m1425,1714l1485,1654m1485,1654l1545,1654m1545,1654l1605,1639m1605,1639l1665,1624m1665,1624l1725,1684m1725,1684l1785,1729m1785,1729l1845,1759m1845,1759l1905,1624m1905,1624l1965,1699m1965,1699l2025,1669m2025,1669l2085,1654m2085,1654l2145,1624m2145,1624l2205,1549m2205,1549l2265,1654m2265,1654l2325,1639m2325,1639l2385,1714m2385,1714l2445,1714m2445,1714l2505,1684m2505,1684l2565,1684m2565,1684l2625,1579m2625,1579l2685,1789m2685,1789l2745,1729m2745,1729l2805,1669m2805,1669l2865,1579m2865,1579l2925,1564m2925,1564l2985,1519m2985,1519l3045,1579m3045,1579l3105,1459m3105,1459l3165,1504m3165,1504l3225,1549m3225,1549l3285,1564m3285,1564l3345,1489m3345,1489l3405,1624m3405,1624l3465,1654m3465,1654l3525,1594m3525,1594l3585,1669m3585,1669l3645,1639m3645,1639l3705,1564m3705,1564l3765,1594m3765,1594l3825,1579m3825,1579l3885,1594m3885,1594l3945,1594m3945,1594l4005,1594m4005,1594l4065,1489m4065,1489l4125,1594m4125,1594l4170,1609m4170,1609l4230,1609m4230,1609l4290,1609m4290,1609l4350,1519m4350,1519l4410,1549m4410,1549l4470,1579m4470,1579l4515,1579m4515,1579l4575,1594m4575,1594l4635,1549m4635,1549l4695,1549m4695,1549l4755,1474m4755,1474l4815,1594m4815,1594l4875,1579m4875,1579l4935,1579m4935,1579l4995,1534m4995,1534l5055,1549m5055,1549l5115,1519m5115,1519l5175,1534m5175,1534l5235,1534m5235,1534l5295,1609m5295,1609l5355,1609m5355,1609l5415,1519m5415,1519l5475,1399m5475,1399l5535,1549m5535,1549l5595,1519m5595,1519l5655,1504m5655,1504l5715,1549m5715,1549l5775,1429m5775,1429l5835,1474m5835,1474l5895,1474m5895,1474l5955,1444m5955,1444l6015,1459m6015,1459l6075,1489m6075,1489l6135,1459m6135,1459l6195,1444m6195,1444l6255,1459m6255,1459l6315,1489m6315,1489l6375,1459m6375,1459l6435,1354m6435,1354l6495,1294m6495,1294l6555,1309m6555,1309l6615,1339m6615,1339l6675,1384m6675,1384l6735,1429m6735,1429l6795,1414m6795,1414l6855,1354m6855,1354l6915,1249m6915,1249l6975,1324e" filled="false" stroked="true" strokeweight="1.5pt" strokecolor="#ff00ff">
              <v:path arrowok="t"/>
              <v:stroke dashstyle="solid"/>
            </v:shape>
            <v:line style="position:absolute" from="6975,1324" to="7035,1294" stroked="true" strokeweight="1.5pt" strokecolor="#ff00ff">
              <v:stroke dashstyle="solid"/>
            </v:line>
            <v:shape style="position:absolute;left:1259;top:1080;width:2705;height:265" type="#_x0000_t202" filled="false" stroked="false">
              <v:textbox inset="0,0,0,0">
                <w:txbxContent>
                  <w:p>
                    <w:pPr>
                      <w:spacing w:line="265" w:lineRule="exact" w:before="0"/>
                      <w:ind w:left="0" w:right="0" w:firstLine="0"/>
                      <w:jc w:val="left"/>
                      <w:rPr>
                        <w:sz w:val="24"/>
                      </w:rPr>
                    </w:pPr>
                    <w:r>
                      <w:rPr>
                        <w:color w:val="FF00FF"/>
                        <w:sz w:val="24"/>
                      </w:rPr>
                      <w:t>time</w:t>
                    </w:r>
                    <w:r>
                      <w:rPr>
                        <w:color w:val="FF00FF"/>
                        <w:spacing w:val="-31"/>
                        <w:sz w:val="24"/>
                      </w:rPr>
                      <w:t> </w:t>
                    </w:r>
                    <w:r>
                      <w:rPr>
                        <w:color w:val="FF00FF"/>
                        <w:sz w:val="24"/>
                      </w:rPr>
                      <w:t>deposits,</w:t>
                    </w:r>
                    <w:r>
                      <w:rPr>
                        <w:color w:val="FF00FF"/>
                        <w:spacing w:val="-30"/>
                        <w:sz w:val="24"/>
                      </w:rPr>
                      <w:t> </w:t>
                    </w:r>
                    <w:r>
                      <w:rPr>
                        <w:color w:val="FF00FF"/>
                        <w:sz w:val="24"/>
                      </w:rPr>
                      <w:t>repos</w:t>
                    </w:r>
                    <w:r>
                      <w:rPr>
                        <w:color w:val="FF00FF"/>
                        <w:spacing w:val="-30"/>
                        <w:sz w:val="24"/>
                      </w:rPr>
                      <w:t> </w:t>
                    </w:r>
                    <w:r>
                      <w:rPr>
                        <w:color w:val="FF00FF"/>
                        <w:sz w:val="24"/>
                      </w:rPr>
                      <w:t>and</w:t>
                    </w:r>
                    <w:r>
                      <w:rPr>
                        <w:color w:val="FF00FF"/>
                        <w:spacing w:val="-31"/>
                        <w:sz w:val="24"/>
                      </w:rPr>
                      <w:t> </w:t>
                    </w:r>
                    <w:r>
                      <w:rPr>
                        <w:color w:val="FF00FF"/>
                        <w:sz w:val="24"/>
                      </w:rPr>
                      <w:t>CDs</w:t>
                    </w:r>
                  </w:p>
                </w:txbxContent>
              </v:textbox>
              <w10:wrap type="none"/>
            </v:shape>
            <v:shape style="position:absolute;left:2009;top:2280;width:3049;height:265" type="#_x0000_t202" filled="false" stroked="false">
              <v:textbox inset="0,0,0,0">
                <w:txbxContent>
                  <w:p>
                    <w:pPr>
                      <w:spacing w:line="265" w:lineRule="exact" w:before="0"/>
                      <w:ind w:left="0" w:right="0" w:firstLine="0"/>
                      <w:jc w:val="left"/>
                      <w:rPr>
                        <w:sz w:val="24"/>
                      </w:rPr>
                    </w:pPr>
                    <w:r>
                      <w:rPr>
                        <w:color w:val="000080"/>
                        <w:w w:val="95"/>
                        <w:sz w:val="24"/>
                      </w:rPr>
                      <w:t>interest</w:t>
                    </w:r>
                    <w:r>
                      <w:rPr>
                        <w:color w:val="000080"/>
                        <w:spacing w:val="-22"/>
                        <w:w w:val="95"/>
                        <w:sz w:val="24"/>
                      </w:rPr>
                      <w:t> </w:t>
                    </w:r>
                    <w:r>
                      <w:rPr>
                        <w:color w:val="000080"/>
                        <w:w w:val="95"/>
                        <w:sz w:val="24"/>
                      </w:rPr>
                      <w:t>rate</w:t>
                    </w:r>
                    <w:r>
                      <w:rPr>
                        <w:color w:val="000080"/>
                        <w:spacing w:val="-21"/>
                        <w:w w:val="95"/>
                        <w:sz w:val="24"/>
                      </w:rPr>
                      <w:t> </w:t>
                    </w:r>
                    <w:r>
                      <w:rPr>
                        <w:color w:val="000080"/>
                        <w:w w:val="95"/>
                        <w:sz w:val="24"/>
                      </w:rPr>
                      <w:t>bearing</w:t>
                    </w:r>
                    <w:r>
                      <w:rPr>
                        <w:color w:val="000080"/>
                        <w:spacing w:val="-21"/>
                        <w:w w:val="95"/>
                        <w:sz w:val="24"/>
                      </w:rPr>
                      <w:t> </w:t>
                    </w:r>
                    <w:r>
                      <w:rPr>
                        <w:color w:val="000080"/>
                        <w:w w:val="95"/>
                        <w:sz w:val="24"/>
                      </w:rPr>
                      <w:t>sight</w:t>
                    </w:r>
                    <w:r>
                      <w:rPr>
                        <w:color w:val="000080"/>
                        <w:spacing w:val="-21"/>
                        <w:w w:val="95"/>
                        <w:sz w:val="24"/>
                      </w:rPr>
                      <w:t> </w:t>
                    </w:r>
                    <w:r>
                      <w:rPr>
                        <w:color w:val="000080"/>
                        <w:w w:val="95"/>
                        <w:sz w:val="24"/>
                      </w:rPr>
                      <w:t>deposits</w:t>
                    </w:r>
                  </w:p>
                </w:txbxContent>
              </v:textbox>
              <w10:wrap type="none"/>
            </v:shape>
            <w10:wrap type="none"/>
          </v:group>
        </w:pict>
      </w:r>
      <w:r>
        <w:rPr>
          <w:spacing w:val="-2"/>
          <w:w w:val="95"/>
          <w:sz w:val="22"/>
        </w:rPr>
        <w:t>120</w:t>
      </w:r>
    </w:p>
    <w:p>
      <w:pPr>
        <w:pStyle w:val="BodyText"/>
        <w:rPr>
          <w:sz w:val="21"/>
        </w:rPr>
      </w:pPr>
    </w:p>
    <w:p>
      <w:pPr>
        <w:spacing w:before="0"/>
        <w:ind w:left="6415" w:right="0" w:firstLine="0"/>
        <w:jc w:val="left"/>
        <w:rPr>
          <w:sz w:val="22"/>
        </w:rPr>
      </w:pPr>
      <w:r>
        <w:rPr>
          <w:sz w:val="22"/>
        </w:rPr>
        <w:t>100</w:t>
      </w:r>
    </w:p>
    <w:p>
      <w:pPr>
        <w:pStyle w:val="BodyText"/>
        <w:spacing w:before="1"/>
        <w:rPr>
          <w:sz w:val="21"/>
        </w:rPr>
      </w:pPr>
    </w:p>
    <w:p>
      <w:pPr>
        <w:spacing w:before="0"/>
        <w:ind w:left="6415" w:right="0" w:firstLine="0"/>
        <w:jc w:val="left"/>
        <w:rPr>
          <w:sz w:val="22"/>
        </w:rPr>
      </w:pPr>
      <w:r>
        <w:rPr>
          <w:sz w:val="22"/>
        </w:rPr>
        <w:t>80</w:t>
      </w:r>
    </w:p>
    <w:p>
      <w:pPr>
        <w:pStyle w:val="BodyText"/>
        <w:spacing w:before="4"/>
        <w:rPr>
          <w:sz w:val="22"/>
        </w:rPr>
      </w:pPr>
    </w:p>
    <w:p>
      <w:pPr>
        <w:spacing w:before="0"/>
        <w:ind w:left="6415" w:right="0" w:firstLine="0"/>
        <w:jc w:val="left"/>
        <w:rPr>
          <w:sz w:val="22"/>
        </w:rPr>
      </w:pPr>
      <w:r>
        <w:rPr>
          <w:sz w:val="22"/>
        </w:rPr>
        <w:t>60</w:t>
      </w:r>
    </w:p>
    <w:p>
      <w:pPr>
        <w:pStyle w:val="BodyText"/>
        <w:spacing w:before="8"/>
        <w:rPr>
          <w:sz w:val="19"/>
        </w:rPr>
      </w:pPr>
    </w:p>
    <w:p>
      <w:pPr>
        <w:spacing w:before="1"/>
        <w:ind w:left="6415" w:right="0" w:firstLine="0"/>
        <w:jc w:val="left"/>
        <w:rPr>
          <w:sz w:val="22"/>
        </w:rPr>
      </w:pPr>
      <w:r>
        <w:rPr>
          <w:sz w:val="22"/>
        </w:rPr>
        <w:t>40</w:t>
      </w:r>
    </w:p>
    <w:p>
      <w:pPr>
        <w:pStyle w:val="BodyText"/>
        <w:rPr>
          <w:sz w:val="21"/>
        </w:rPr>
      </w:pPr>
    </w:p>
    <w:p>
      <w:pPr>
        <w:spacing w:before="0"/>
        <w:ind w:left="6415" w:right="0" w:firstLine="0"/>
        <w:jc w:val="left"/>
        <w:rPr>
          <w:sz w:val="22"/>
        </w:rPr>
      </w:pPr>
      <w:r>
        <w:rPr>
          <w:sz w:val="22"/>
        </w:rPr>
        <w:t>20</w:t>
      </w:r>
    </w:p>
    <w:p>
      <w:pPr>
        <w:pStyle w:val="BodyText"/>
        <w:rPr>
          <w:sz w:val="21"/>
        </w:rPr>
      </w:pPr>
    </w:p>
    <w:p>
      <w:pPr>
        <w:spacing w:before="1"/>
        <w:ind w:left="6415" w:right="0" w:firstLine="0"/>
        <w:jc w:val="left"/>
        <w:rPr>
          <w:sz w:val="22"/>
        </w:rPr>
      </w:pPr>
      <w:r>
        <w:rPr>
          <w:w w:val="95"/>
          <w:sz w:val="22"/>
        </w:rPr>
        <w:t>0</w:t>
      </w:r>
    </w:p>
    <w:p>
      <w:pPr>
        <w:tabs>
          <w:tab w:pos="954" w:val="left" w:leader="none"/>
          <w:tab w:pos="1674" w:val="left" w:leader="none"/>
          <w:tab w:pos="2394" w:val="left" w:leader="none"/>
          <w:tab w:pos="3114" w:val="left" w:leader="none"/>
          <w:tab w:pos="3804" w:val="left" w:leader="none"/>
          <w:tab w:pos="4524" w:val="left" w:leader="none"/>
          <w:tab w:pos="5244" w:val="left" w:leader="none"/>
          <w:tab w:pos="5964" w:val="left" w:leader="none"/>
        </w:tabs>
        <w:spacing w:before="107"/>
        <w:ind w:left="234" w:right="0" w:firstLine="0"/>
        <w:jc w:val="left"/>
        <w:rPr>
          <w:sz w:val="22"/>
        </w:rPr>
      </w:pPr>
      <w:r>
        <w:rPr>
          <w:sz w:val="22"/>
        </w:rPr>
        <w:t>1998</w:t>
        <w:tab/>
        <w:t>1999</w:t>
        <w:tab/>
        <w:t>2000</w:t>
        <w:tab/>
        <w:t>2001</w:t>
        <w:tab/>
        <w:t>2002</w:t>
        <w:tab/>
        <w:t>2003</w:t>
        <w:tab/>
        <w:t>2004</w:t>
        <w:tab/>
        <w:t>2005</w:t>
        <w:tab/>
        <w:t>2006</w:t>
      </w:r>
    </w:p>
    <w:p>
      <w:pPr>
        <w:spacing w:before="28"/>
        <w:ind w:left="265" w:right="0" w:firstLine="0"/>
        <w:jc w:val="left"/>
        <w:rPr>
          <w:sz w:val="16"/>
        </w:rPr>
      </w:pPr>
      <w:r>
        <w:rPr>
          <w:sz w:val="16"/>
        </w:rPr>
        <w:t>Source: BoE</w:t>
      </w:r>
    </w:p>
    <w:p>
      <w:pPr>
        <w:pStyle w:val="BodyText"/>
        <w:spacing w:before="9"/>
        <w:rPr>
          <w:sz w:val="21"/>
        </w:rPr>
      </w:pPr>
    </w:p>
    <w:p>
      <w:pPr>
        <w:pStyle w:val="Heading2"/>
        <w:spacing w:line="364" w:lineRule="auto" w:before="1"/>
        <w:ind w:right="3339"/>
      </w:pPr>
      <w:r>
        <w:rPr>
          <w:color w:val="FF0000"/>
        </w:rPr>
        <w:t>Chart 5: UK corporate sector retained earnings, investment and financial balance</w:t>
      </w:r>
    </w:p>
    <w:p>
      <w:pPr>
        <w:spacing w:before="29"/>
        <w:ind w:left="683" w:right="644" w:firstLine="0"/>
        <w:jc w:val="center"/>
        <w:rPr>
          <w:sz w:val="21"/>
        </w:rPr>
      </w:pPr>
      <w:r>
        <w:rPr>
          <w:sz w:val="21"/>
        </w:rPr>
        <w:t>% of gross operating surplus</w:t>
      </w:r>
    </w:p>
    <w:p>
      <w:pPr>
        <w:spacing w:before="103"/>
        <w:ind w:left="6130" w:right="0" w:firstLine="0"/>
        <w:jc w:val="left"/>
        <w:rPr>
          <w:sz w:val="21"/>
        </w:rPr>
      </w:pPr>
      <w:r>
        <w:rPr/>
        <w:pict>
          <v:group style="position:absolute;margin-left:52.875pt;margin-top:6.779878pt;width:288.75pt;height:150.7pt;mso-position-horizontal-relative:page;mso-position-vertical-relative:paragraph;z-index:251689984" coordorigin="1058,136" coordsize="5775,3014">
            <v:shape style="position:absolute;left:1065;top:1994;width:360;height:165" coordorigin="1065,1994" coordsize="360,165" path="m1125,1994l1065,1994,1065,2114,1125,2114,1125,1994m1275,2024l1215,2024,1215,2114,1275,2114,1275,2024m1350,2114l1290,2114,1290,2144,1350,2144,1350,2114m1425,2114l1365,2114,1365,2159,1425,2159,1425,2114e" filled="true" fillcolor="#008000" stroked="false">
              <v:path arrowok="t"/>
              <v:fill type="solid"/>
            </v:shape>
            <v:line style="position:absolute" from="1470,2114" to="1470,2309" stroked="true" strokeweight="3pt" strokecolor="#008000">
              <v:stroke dashstyle="solid"/>
            </v:line>
            <v:rect style="position:absolute;left:1515;top:2114;width:60;height:120" filled="true" fillcolor="#008000" stroked="false">
              <v:fill type="solid"/>
            </v:rect>
            <v:line style="position:absolute" from="1620,2114" to="1620,2474" stroked="true" strokeweight="3pt" strokecolor="#008000">
              <v:stroke dashstyle="solid"/>
            </v:line>
            <v:line style="position:absolute" from="1695,2114" to="1695,2414" stroked="true" strokeweight="3pt" strokecolor="#008000">
              <v:stroke dashstyle="solid"/>
            </v:line>
            <v:line style="position:absolute" from="1770,2114" to="1770,2579" stroked="true" strokeweight="3pt" strokecolor="#008000">
              <v:stroke dashstyle="solid"/>
            </v:line>
            <v:line style="position:absolute" from="1845,2114" to="1845,2819" stroked="true" strokeweight="3pt" strokecolor="#008000">
              <v:stroke dashstyle="solid"/>
            </v:line>
            <v:line style="position:absolute" from="1920,2114" to="1920,2594" stroked="true" strokeweight="3pt" strokecolor="#008000">
              <v:stroke dashstyle="solid"/>
            </v:line>
            <v:line style="position:absolute" from="1995,2114" to="1995,2759" stroked="true" strokeweight="3pt" strokecolor="#008000">
              <v:stroke dashstyle="solid"/>
            </v:line>
            <v:line style="position:absolute" from="2070,2114" to="2070,2819" stroked="true" strokeweight="3pt" strokecolor="#008000">
              <v:stroke dashstyle="solid"/>
            </v:line>
            <v:line style="position:absolute" from="2145,2114" to="2145,2609" stroked="true" strokeweight="3pt" strokecolor="#008000">
              <v:stroke dashstyle="solid"/>
            </v:line>
            <v:line style="position:absolute" from="2220,2114" to="2220,2339" stroked="true" strokeweight="3pt" strokecolor="#008000">
              <v:stroke dashstyle="solid"/>
            </v:line>
            <v:line style="position:absolute" from="2295,2114" to="2295,2519" stroked="true" strokeweight="3pt" strokecolor="#008000">
              <v:stroke dashstyle="solid"/>
            </v:line>
            <v:rect style="position:absolute;left:2340;top:2114;width:60;height:30" filled="true" fillcolor="#008000" stroked="false">
              <v:fill type="solid"/>
            </v:rect>
            <v:line style="position:absolute" from="2445,2114" to="2445,2354" stroked="true" strokeweight="3pt" strokecolor="#008000">
              <v:stroke dashstyle="solid"/>
            </v:line>
            <v:line style="position:absolute" from="2520,2114" to="2520,2264" stroked="true" strokeweight="3pt" strokecolor="#008000">
              <v:stroke dashstyle="solid"/>
            </v:line>
            <v:line style="position:absolute" from="2595,2114" to="2595,2504" stroked="true" strokeweight="3pt" strokecolor="#008000">
              <v:stroke dashstyle="solid"/>
            </v:line>
            <v:shape style="position:absolute;left:2640;top:2114;width:135;height:45" coordorigin="2640,2114" coordsize="135,45" path="m2700,2114l2640,2114,2640,2159,2700,2159,2700,2114m2775,2114l2715,2114,2715,2159,2775,2159,2775,2114e" filled="true" fillcolor="#008000" stroked="false">
              <v:path arrowok="t"/>
              <v:fill type="solid"/>
            </v:shape>
            <v:line style="position:absolute" from="2820,2114" to="2820,2339" stroked="true" strokeweight="3pt" strokecolor="#008000">
              <v:stroke dashstyle="solid"/>
            </v:line>
            <v:shape style="position:absolute;left:2865;top:1979;width:285;height:195" coordorigin="2865,1979" coordsize="285,195" path="m2925,2009l2865,2009,2865,2114,2925,2114,2925,2009m3000,2114l2940,2114,2940,2174,3000,2174,3000,2114m3075,1994l3015,1994,3015,2114,3075,2114,3075,1994m3150,1979l3090,1979,3090,2114,3150,2114,3150,1979e" filled="true" fillcolor="#008000" stroked="false">
              <v:path arrowok="t"/>
              <v:fill type="solid"/>
            </v:shape>
            <v:line style="position:absolute" from="3195,1754" to="3195,2114" stroked="true" strokeweight="3pt" strokecolor="#008000">
              <v:stroke dashstyle="solid"/>
            </v:line>
            <v:line style="position:absolute" from="3270,1889" to="3270,2114" stroked="true" strokeweight="3pt" strokecolor="#008000">
              <v:stroke dashstyle="solid"/>
            </v:line>
            <v:rect style="position:absolute;left:3315;top:1979;width:60;height:135" filled="true" fillcolor="#008000" stroked="false">
              <v:fill type="solid"/>
            </v:rect>
            <v:line style="position:absolute" from="3420,1964" to="3420,2114" stroked="true" strokeweight="3pt" strokecolor="#008000">
              <v:stroke dashstyle="solid"/>
            </v:line>
            <v:line style="position:absolute" from="3495,1904" to="3495,2114" stroked="true" strokeweight="3pt" strokecolor="#008000">
              <v:stroke dashstyle="solid"/>
            </v:line>
            <v:shape style="position:absolute;left:3540;top:2114;width:135;height:105" coordorigin="3540,2114" coordsize="135,105" path="m3600,2114l3540,2114,3540,2219,3600,2219,3600,2114m3675,2114l3615,2114,3615,2159,3675,2159,3675,2114e" filled="true" fillcolor="#008000" stroked="false">
              <v:path arrowok="t"/>
              <v:fill type="solid"/>
            </v:shape>
            <v:line style="position:absolute" from="3795,2114" to="3795,2399" stroked="true" strokeweight="3pt" strokecolor="#008000">
              <v:stroke dashstyle="solid"/>
            </v:line>
            <v:line style="position:absolute" from="3870,1904" to="3870,2114" stroked="true" strokeweight="3pt" strokecolor="#008000">
              <v:stroke dashstyle="solid"/>
            </v:line>
            <v:shape style="position:absolute;left:3915;top:2009;width:360;height:225" coordorigin="3915,2009" coordsize="360,225" path="m3975,2054l3915,2054,3915,2114,3975,2114,3975,2054m4050,2009l3990,2009,3990,2114,4050,2114,4050,2009m4125,2039l4065,2039,4065,2114,4125,2114,4125,2039m4200,2114l4140,2114,4140,2234,4200,2234,4200,2114m4275,2114l4215,2114,4215,2144,4275,2144,4275,2114e" filled="true" fillcolor="#008000" stroked="false">
              <v:path arrowok="t"/>
              <v:fill type="solid"/>
            </v:shape>
            <v:line style="position:absolute" from="4313,2114" to="4313,2369" stroked="true" strokeweight="2.25pt" strokecolor="#008000">
              <v:stroke dashstyle="solid"/>
            </v:line>
            <v:line style="position:absolute" from="4380,2114" to="4380,2324" stroked="true" strokeweight="3pt" strokecolor="#008000">
              <v:stroke dashstyle="solid"/>
            </v:line>
            <v:shape style="position:absolute;left:4425;top:2009;width:285;height:195" coordorigin="4425,2009" coordsize="285,195" path="m4485,2114l4425,2114,4425,2204,4485,2204,4485,2114m4560,2114l4500,2114,4500,2189,4560,2189,4560,2114m4635,2114l4575,2114,4575,2174,4635,2174,4635,2114m4710,2009l4650,2009,4650,2114,4710,2114,4710,2009e" filled="true" fillcolor="#008000" stroked="false">
              <v:path arrowok="t"/>
              <v:fill type="solid"/>
            </v:shape>
            <v:line style="position:absolute" from="4755,2114" to="4755,2429" stroked="true" strokeweight="3pt" strokecolor="#008000">
              <v:stroke dashstyle="solid"/>
            </v:line>
            <v:line style="position:absolute" from="4830,2114" to="4830,2414" stroked="true" strokeweight="3pt" strokecolor="#008000">
              <v:stroke dashstyle="solid"/>
            </v:line>
            <v:line style="position:absolute" from="4905,2114" to="4905,2369" stroked="true" strokeweight="3pt" strokecolor="#008000">
              <v:stroke dashstyle="solid"/>
            </v:line>
            <v:line style="position:absolute" from="4980,2114" to="4980,2369" stroked="true" strokeweight="3pt" strokecolor="#008000">
              <v:stroke dashstyle="solid"/>
            </v:line>
            <v:shape style="position:absolute;left:5025;top:2114;width:210;height:135" coordorigin="5025,2114" coordsize="210,135" path="m5085,2114l5025,2114,5025,2189,5085,2189,5085,2114m5160,2114l5100,2114,5100,2249,5160,2249,5160,2114m5235,2114l5175,2114,5175,2249,5235,2249,5235,2114e" filled="true" fillcolor="#008000" stroked="false">
              <v:path arrowok="t"/>
              <v:fill type="solid"/>
            </v:shape>
            <v:line style="position:absolute" from="5280,2114" to="5280,2294" stroked="true" strokeweight="3pt" strokecolor="#008000">
              <v:stroke dashstyle="solid"/>
            </v:line>
            <v:line style="position:absolute" from="5355,2114" to="5355,2369" stroked="true" strokeweight="3pt" strokecolor="#008000">
              <v:stroke dashstyle="solid"/>
            </v:line>
            <v:line style="position:absolute" from="5430,2114" to="5430,2279" stroked="true" strokeweight="3pt" strokecolor="#008000">
              <v:stroke dashstyle="solid"/>
            </v:line>
            <v:line style="position:absolute" from="5505,2114" to="5505,2354" stroked="true" strokeweight="3pt" strokecolor="#008000">
              <v:stroke dashstyle="solid"/>
            </v:line>
            <v:shape style="position:absolute;left:5625;top:1994;width:210;height:120" coordorigin="5625,1994" coordsize="210,120" path="m5685,2024l5625,2024,5625,2114,5685,2114,5685,2024m5760,1994l5700,1994,5700,2114,5760,2114,5760,1994m5835,2039l5775,2039,5775,2114,5835,2114,5835,2039e" filled="true" fillcolor="#008000" stroked="false">
              <v:path arrowok="t"/>
              <v:fill type="solid"/>
            </v:shape>
            <v:line style="position:absolute" from="5880,1799" to="5880,2114" stroked="true" strokeweight="3pt" strokecolor="#008000">
              <v:stroke dashstyle="solid"/>
            </v:line>
            <v:shape style="position:absolute;left:5925;top:1979;width:135;height:135" coordorigin="5925,1979" coordsize="135,135" path="m5985,1979l5925,1979,5925,2114,5985,2114,5985,1979m6060,1979l6000,1979,6000,2114,6060,2114,6060,1979e" filled="true" fillcolor="#008000" stroked="false">
              <v:path arrowok="t"/>
              <v:fill type="solid"/>
            </v:shape>
            <v:line style="position:absolute" from="6105,1964" to="6105,2114" stroked="true" strokeweight="3pt" strokecolor="#008000">
              <v:stroke dashstyle="solid"/>
            </v:line>
            <v:line style="position:absolute" from="6180,1934" to="6180,2114" stroked="true" strokeweight="3pt" strokecolor="#008000">
              <v:stroke dashstyle="solid"/>
            </v:line>
            <v:line style="position:absolute" from="6255,1904" to="6255,2114" stroked="true" strokeweight="3pt" strokecolor="#008000">
              <v:stroke dashstyle="solid"/>
            </v:line>
            <v:rect style="position:absolute;left:6300;top:2009;width:60;height:105" filled="true" fillcolor="#008000" stroked="false">
              <v:fill type="solid"/>
            </v:rect>
            <v:line style="position:absolute" from="6405,1904" to="6405,2114" stroked="true" strokeweight="3pt" strokecolor="#008000">
              <v:stroke dashstyle="solid"/>
            </v:line>
            <v:line style="position:absolute" from="6480,1964" to="6480,2114" stroked="true" strokeweight="3pt" strokecolor="#008000">
              <v:stroke dashstyle="solid"/>
            </v:line>
            <v:line style="position:absolute" from="6555,1784" to="6555,2114" stroked="true" strokeweight="3pt" strokecolor="#008000">
              <v:stroke dashstyle="solid"/>
            </v:line>
            <v:line style="position:absolute" from="6630,1934" to="6630,2114" stroked="true" strokeweight="3pt" strokecolor="#008000">
              <v:stroke dashstyle="solid"/>
            </v:line>
            <v:line style="position:absolute" from="6705,1874" to="6705,2114" stroked="true" strokeweight="3pt" strokecolor="#008000">
              <v:stroke dashstyle="solid"/>
            </v:line>
            <v:shape style="position:absolute;left:1065;top:224;width:5760;height:2925" coordorigin="1065,224" coordsize="5760,2925" path="m6750,224l6750,3074,6825,3074m6750,2594l6825,2594m6750,2114l6825,2114m6750,1649l6825,1649m6750,1184l6825,1184m6750,704l6825,704m6750,224l6825,224m1065,3074l6750,3074m1065,3149l1065,3074m1665,3149l1665,3074m2265,3149l2265,3074m2865,3149l2865,3074m3465,3149l3465,3074m4065,3149l4065,3074m4650,3149l4650,3074m5250,3149l5250,3074m5850,3149l5850,3074m6450,3149l6450,3074e" filled="false" stroked="true" strokeweight=".75pt" strokecolor="#000000">
              <v:path arrowok="t"/>
              <v:stroke dashstyle="solid"/>
            </v:shape>
            <v:shape style="position:absolute;left:1110;top:644;width:5610;height:645" coordorigin="1110,644" coordsize="5610,645" path="m1110,779l1185,824,1260,764,1335,764,1410,869,1485,1004,1560,839,1635,884,1710,1034,1785,1124,1860,1259,1935,1229,2010,1214,2085,1289,2160,1259,2235,1199,2310,1199,2385,1049,2460,1244,2535,1064,2610,1214,2685,1049,2760,1049,2835,1154,2910,914,2985,1004,3060,869,3135,824,3210,719,3285,809,3360,944,3435,794,3510,914,3585,959,3660,959,3735,974,3810,1214,3885,824,3960,989,4035,914,4110,944,4185,1094,4260,944,4320,1124,4395,1049,4470,959,4545,884,4620,854,4695,644,4770,1184,4845,1064,4920,1019,4995,1064,5070,899,5145,914,5220,929,5295,974,5370,1019,5445,944,5520,1079,5595,869,5670,809,5745,779,5820,764,5895,764,5970,824,6045,794,6120,719,6195,749,6270,764,6345,884,6420,749,6495,839,6570,704,6645,779,6720,869e" filled="false" stroked="true" strokeweight=".75pt" strokecolor="#ff00ff">
              <v:path arrowok="t"/>
              <v:stroke dashstyle="solid"/>
            </v:shape>
            <v:shape style="position:absolute;left:1110;top:554;width:5610;height:585" coordorigin="1110,554" coordsize="5610,585" path="m1110,929l1185,854,1260,869,1335,779,1410,869,1485,854,1560,704,1635,554,1710,779,1785,689,1860,614,1935,779,2010,614,2085,629,2160,779,2235,1004,2310,794,2385,1019,2460,1019,2535,914,2610,839,2685,1004,2760,1004,2835,929,2910,1019,2985,959,3060,1019,3135,989,3210,1094,3285,1064,3360,1094,3435,974,3510,1139,3585,854,3660,914,3735,959,3810,944,3885,1049,3960,1049,4035,1019,4110,1019,4185,959,4260,914,4320,884,4395,839,4470,869,4545,824,4620,809,4695,749,4770,869,4845,779,4920,779,4995,809,5070,839,5145,779,5220,809,5295,809,5370,779,5445,779,5520,824,5595,869,5670,899,5745,899,5820,839,5895,1049,5970,959,6045,929,6120,839,6195,929,6270,959,6345,974,6420,944,6495,944,6570,1034,6645,974,6720,1094e" filled="false" stroked="true" strokeweight=".75pt" strokecolor="#000080">
              <v:path arrowok="t"/>
              <v:stroke dashstyle="solid"/>
            </v:shape>
            <v:line style="position:absolute" from="1103,2114" to="6728,2114" stroked="true" strokeweight=".75pt" strokecolor="#000000">
              <v:stroke dashstyle="solid"/>
            </v:line>
            <v:shape style="position:absolute;left:4905;top:135;width:1670;height:526" type="#_x0000_t202" filled="false" stroked="false">
              <v:textbox inset="0,0,0,0">
                <w:txbxContent>
                  <w:p>
                    <w:pPr>
                      <w:spacing w:line="239" w:lineRule="exact" w:before="0"/>
                      <w:ind w:left="16" w:right="18" w:firstLine="0"/>
                      <w:jc w:val="center"/>
                      <w:rPr>
                        <w:sz w:val="21"/>
                      </w:rPr>
                    </w:pPr>
                    <w:r>
                      <w:rPr>
                        <w:color w:val="FF00FF"/>
                        <w:sz w:val="21"/>
                      </w:rPr>
                      <w:t>Saving</w:t>
                    </w:r>
                  </w:p>
                  <w:p>
                    <w:pPr>
                      <w:spacing w:before="43"/>
                      <w:ind w:left="-1" w:right="18" w:firstLine="0"/>
                      <w:jc w:val="center"/>
                      <w:rPr>
                        <w:sz w:val="21"/>
                      </w:rPr>
                    </w:pPr>
                    <w:r>
                      <w:rPr>
                        <w:color w:val="FF00FF"/>
                        <w:spacing w:val="2"/>
                        <w:sz w:val="21"/>
                      </w:rPr>
                      <w:t>(retained</w:t>
                    </w:r>
                    <w:r>
                      <w:rPr>
                        <w:color w:val="FF00FF"/>
                        <w:spacing w:val="31"/>
                        <w:sz w:val="21"/>
                      </w:rPr>
                      <w:t> </w:t>
                    </w:r>
                    <w:r>
                      <w:rPr>
                        <w:color w:val="FF00FF"/>
                        <w:sz w:val="21"/>
                      </w:rPr>
                      <w:t>earnings)</w:t>
                    </w:r>
                  </w:p>
                </w:txbxContent>
              </v:textbox>
              <w10:wrap type="none"/>
            </v:shape>
            <v:shape style="position:absolute;left:5475;top:1215;width:995;height:241" type="#_x0000_t202" filled="false" stroked="false">
              <v:textbox inset="0,0,0,0">
                <w:txbxContent>
                  <w:p>
                    <w:pPr>
                      <w:spacing w:line="239" w:lineRule="exact" w:before="0"/>
                      <w:ind w:left="0" w:right="0" w:firstLine="0"/>
                      <w:jc w:val="left"/>
                      <w:rPr>
                        <w:sz w:val="21"/>
                      </w:rPr>
                    </w:pPr>
                    <w:r>
                      <w:rPr>
                        <w:color w:val="000080"/>
                        <w:sz w:val="21"/>
                      </w:rPr>
                      <w:t>Investment</w:t>
                    </w:r>
                  </w:p>
                </w:txbxContent>
              </v:textbox>
              <w10:wrap type="none"/>
            </v:shape>
            <v:shape style="position:absolute;left:3540;top:2670;width:1520;height:241" type="#_x0000_t202" filled="false" stroked="false">
              <v:textbox inset="0,0,0,0">
                <w:txbxContent>
                  <w:p>
                    <w:pPr>
                      <w:spacing w:line="239" w:lineRule="exact" w:before="0"/>
                      <w:ind w:left="0" w:right="0" w:firstLine="0"/>
                      <w:jc w:val="left"/>
                      <w:rPr>
                        <w:sz w:val="21"/>
                      </w:rPr>
                    </w:pPr>
                    <w:r>
                      <w:rPr>
                        <w:color w:val="008000"/>
                        <w:sz w:val="21"/>
                      </w:rPr>
                      <w:t>Financial balance</w:t>
                    </w:r>
                  </w:p>
                </w:txbxContent>
              </v:textbox>
              <w10:wrap type="none"/>
            </v:shape>
            <w10:wrap type="none"/>
          </v:group>
        </w:pict>
      </w:r>
      <w:r>
        <w:rPr>
          <w:sz w:val="21"/>
        </w:rPr>
        <w:t>80</w:t>
      </w:r>
    </w:p>
    <w:p>
      <w:pPr>
        <w:pStyle w:val="BodyText"/>
        <w:spacing w:before="8"/>
        <w:rPr>
          <w:sz w:val="20"/>
        </w:rPr>
      </w:pPr>
    </w:p>
    <w:p>
      <w:pPr>
        <w:spacing w:before="1"/>
        <w:ind w:left="6130" w:right="0" w:firstLine="0"/>
        <w:jc w:val="left"/>
        <w:rPr>
          <w:sz w:val="21"/>
        </w:rPr>
      </w:pPr>
      <w:r>
        <w:rPr>
          <w:sz w:val="21"/>
        </w:rPr>
        <w:t>60</w:t>
      </w:r>
    </w:p>
    <w:p>
      <w:pPr>
        <w:pStyle w:val="BodyText"/>
        <w:spacing w:before="8"/>
        <w:rPr>
          <w:sz w:val="20"/>
        </w:rPr>
      </w:pPr>
    </w:p>
    <w:p>
      <w:pPr>
        <w:spacing w:before="0"/>
        <w:ind w:left="6130" w:right="0" w:firstLine="0"/>
        <w:jc w:val="left"/>
        <w:rPr>
          <w:sz w:val="21"/>
        </w:rPr>
      </w:pPr>
      <w:r>
        <w:rPr>
          <w:sz w:val="21"/>
        </w:rPr>
        <w:t>40</w:t>
      </w:r>
    </w:p>
    <w:p>
      <w:pPr>
        <w:pStyle w:val="BodyText"/>
        <w:spacing w:before="9"/>
        <w:rPr>
          <w:sz w:val="20"/>
        </w:rPr>
      </w:pPr>
    </w:p>
    <w:p>
      <w:pPr>
        <w:spacing w:before="0"/>
        <w:ind w:left="6130" w:right="0" w:firstLine="0"/>
        <w:jc w:val="left"/>
        <w:rPr>
          <w:sz w:val="21"/>
        </w:rPr>
      </w:pPr>
      <w:r>
        <w:rPr>
          <w:sz w:val="21"/>
        </w:rPr>
        <w:t>20</w:t>
      </w:r>
    </w:p>
    <w:p>
      <w:pPr>
        <w:pStyle w:val="BodyText"/>
        <w:spacing w:before="5"/>
        <w:rPr>
          <w:sz w:val="19"/>
        </w:rPr>
      </w:pPr>
    </w:p>
    <w:p>
      <w:pPr>
        <w:spacing w:before="0"/>
        <w:ind w:left="6130" w:right="0" w:firstLine="0"/>
        <w:jc w:val="left"/>
        <w:rPr>
          <w:sz w:val="21"/>
        </w:rPr>
      </w:pPr>
      <w:r>
        <w:rPr>
          <w:w w:val="100"/>
          <w:sz w:val="21"/>
        </w:rPr>
        <w:t>0</w:t>
      </w:r>
    </w:p>
    <w:p>
      <w:pPr>
        <w:pStyle w:val="BodyText"/>
        <w:spacing w:before="5"/>
        <w:rPr>
          <w:sz w:val="19"/>
        </w:rPr>
      </w:pPr>
    </w:p>
    <w:p>
      <w:pPr>
        <w:spacing w:before="0"/>
        <w:ind w:left="6130" w:right="0" w:firstLine="0"/>
        <w:jc w:val="left"/>
        <w:rPr>
          <w:sz w:val="21"/>
        </w:rPr>
      </w:pPr>
      <w:r>
        <w:rPr>
          <w:sz w:val="21"/>
        </w:rPr>
        <w:t>-20</w:t>
      </w:r>
    </w:p>
    <w:p>
      <w:pPr>
        <w:pStyle w:val="BodyText"/>
        <w:spacing w:before="8"/>
        <w:rPr>
          <w:sz w:val="20"/>
        </w:rPr>
      </w:pPr>
    </w:p>
    <w:p>
      <w:pPr>
        <w:spacing w:before="0"/>
        <w:ind w:left="6130" w:right="0" w:firstLine="0"/>
        <w:jc w:val="left"/>
        <w:rPr>
          <w:sz w:val="21"/>
        </w:rPr>
      </w:pPr>
      <w:r>
        <w:rPr>
          <w:sz w:val="21"/>
        </w:rPr>
        <w:t>-40</w:t>
      </w:r>
    </w:p>
    <w:p>
      <w:pPr>
        <w:spacing w:before="104"/>
        <w:ind w:left="100" w:right="0" w:firstLine="0"/>
        <w:jc w:val="left"/>
        <w:rPr>
          <w:sz w:val="21"/>
        </w:rPr>
      </w:pPr>
      <w:r>
        <w:rPr>
          <w:sz w:val="21"/>
        </w:rPr>
        <w:t>1987 1989 1991 1993 1995 1997 1999 2001 2003 2005</w:t>
      </w:r>
    </w:p>
    <w:p>
      <w:pPr>
        <w:spacing w:before="6"/>
        <w:ind w:left="294" w:right="0" w:firstLine="0"/>
        <w:jc w:val="left"/>
        <w:rPr>
          <w:sz w:val="17"/>
        </w:rPr>
      </w:pPr>
      <w:r>
        <w:rPr>
          <w:sz w:val="17"/>
        </w:rPr>
        <w:t>Source: ONS</w:t>
      </w:r>
    </w:p>
    <w:p>
      <w:pPr>
        <w:spacing w:after="0"/>
        <w:jc w:val="left"/>
        <w:rPr>
          <w:sz w:val="17"/>
        </w:rPr>
        <w:sectPr>
          <w:headerReference w:type="default" r:id="rId16"/>
          <w:footerReference w:type="default" r:id="rId17"/>
          <w:pgSz w:w="11920" w:h="16840"/>
          <w:pgMar w:header="1716" w:footer="985" w:top="1980" w:bottom="1180" w:left="800" w:right="1180"/>
        </w:sectPr>
      </w:pPr>
    </w:p>
    <w:p>
      <w:pPr>
        <w:spacing w:before="144"/>
        <w:ind w:left="115" w:right="0" w:firstLine="0"/>
        <w:jc w:val="left"/>
        <w:rPr>
          <w:b/>
          <w:sz w:val="24"/>
        </w:rPr>
      </w:pPr>
      <w:r>
        <w:rPr>
          <w:b/>
          <w:color w:val="FF0000"/>
          <w:sz w:val="24"/>
        </w:rPr>
        <w:t>(</w:t>
      </w:r>
      <w:r>
        <w:rPr>
          <w:b/>
          <w:i/>
          <w:color w:val="FF0000"/>
          <w:sz w:val="24"/>
        </w:rPr>
        <w:t>average 2003-04</w:t>
      </w:r>
      <w:r>
        <w:rPr>
          <w:b/>
          <w:color w:val="FF0000"/>
          <w:sz w:val="24"/>
        </w:rPr>
        <w:t>)</w:t>
      </w:r>
    </w:p>
    <w:p>
      <w:pPr>
        <w:pStyle w:val="BodyText"/>
        <w:spacing w:before="11"/>
        <w:rPr>
          <w:b/>
          <w:sz w:val="25"/>
        </w:rPr>
      </w:pPr>
    </w:p>
    <w:p>
      <w:pPr>
        <w:spacing w:before="100"/>
        <w:ind w:left="4750" w:right="0" w:firstLine="0"/>
        <w:jc w:val="left"/>
        <w:rPr>
          <w:sz w:val="16"/>
        </w:rPr>
      </w:pPr>
      <w:r>
        <w:rPr>
          <w:w w:val="110"/>
          <w:sz w:val="16"/>
        </w:rPr>
        <w:t>Per cent of gross saving</w:t>
      </w:r>
    </w:p>
    <w:p>
      <w:pPr>
        <w:spacing w:before="101"/>
        <w:ind w:left="3563" w:right="644" w:firstLine="0"/>
        <w:jc w:val="center"/>
        <w:rPr>
          <w:sz w:val="16"/>
        </w:rPr>
      </w:pPr>
      <w:r>
        <w:rPr/>
        <w:pict>
          <v:group style="position:absolute;margin-left:56.625pt;margin-top:8.393750pt;width:296.25pt;height:133.15pt;mso-position-horizontal-relative:page;mso-position-vertical-relative:paragraph;z-index:251691008" coordorigin="1133,168" coordsize="5925,2663">
            <v:rect style="position:absolute;left:1335;top:460;width:315;height:2310" filled="true" fillcolor="#9999ff" stroked="false">
              <v:fill type="solid"/>
            </v:rect>
            <v:rect style="position:absolute;left:1335;top:460;width:315;height:2310" filled="false" stroked="true" strokeweight=".75pt" strokecolor="#000000">
              <v:stroke dashstyle="solid"/>
            </v:rect>
            <v:rect style="position:absolute;left:2070;top:2035;width:315;height:735" filled="true" fillcolor="#9999ff" stroked="false">
              <v:fill type="solid"/>
            </v:rect>
            <v:rect style="position:absolute;left:2070;top:2035;width:315;height:735" filled="false" stroked="true" strokeweight=".75pt" strokecolor="#000000">
              <v:stroke dashstyle="solid"/>
            </v:rect>
            <v:rect style="position:absolute;left:2805;top:2275;width:315;height:495" filled="true" fillcolor="#9999ff" stroked="false">
              <v:fill type="solid"/>
            </v:rect>
            <v:rect style="position:absolute;left:2805;top:2275;width:315;height:495" filled="false" stroked="true" strokeweight=".75pt" strokecolor="#000000">
              <v:stroke dashstyle="solid"/>
            </v:rect>
            <v:rect style="position:absolute;left:3540;top:2005;width:315;height:765" filled="true" fillcolor="#9999ff" stroked="false">
              <v:fill type="solid"/>
            </v:rect>
            <v:rect style="position:absolute;left:3540;top:2005;width:315;height:765" filled="false" stroked="true" strokeweight=".75pt" strokecolor="#000000">
              <v:stroke dashstyle="solid"/>
            </v:rect>
            <v:rect style="position:absolute;left:4275;top:2230;width:300;height:540" filled="true" fillcolor="#9999ff" stroked="false">
              <v:fill type="solid"/>
            </v:rect>
            <v:rect style="position:absolute;left:4275;top:2230;width:300;height:540" filled="false" stroked="true" strokeweight=".75pt" strokecolor="#000000">
              <v:stroke dashstyle="solid"/>
            </v:rect>
            <v:line style="position:absolute" from="4995,2703" to="5295,2703" stroked="true" strokeweight="6.75pt" strokecolor="#9999ff">
              <v:stroke dashstyle="solid"/>
            </v:line>
            <v:rect style="position:absolute;left:4995;top:2635;width:300;height:135" filled="false" stroked="true" strokeweight=".75pt" strokecolor="#000000">
              <v:stroke dashstyle="solid"/>
            </v:rect>
            <v:line style="position:absolute" from="5730,2703" to="6030,2703" stroked="true" strokeweight="6.75pt" strokecolor="#9999ff">
              <v:stroke dashstyle="solid"/>
            </v:line>
            <v:rect style="position:absolute;left:5730;top:2635;width:300;height:135" filled="false" stroked="true" strokeweight=".75pt" strokecolor="#000000">
              <v:stroke dashstyle="solid"/>
            </v:rect>
            <v:rect style="position:absolute;left:6465;top:2470;width:300;height:300" filled="true" fillcolor="#9999ff" stroked="false">
              <v:fill type="solid"/>
            </v:rect>
            <v:rect style="position:absolute;left:6465;top:2470;width:300;height:300" filled="false" stroked="true" strokeweight=".75pt" strokecolor="#000000">
              <v:stroke dashstyle="solid"/>
            </v:rect>
            <v:shape style="position:absolute;left:1140;top:175;width:5910;height:2655" coordorigin="1140,175" coordsize="5910,2655" path="m6990,175l6990,2770,7050,2770m6990,2350l7050,2350m6990,1915l7050,1915m6990,1480l7050,1480m6990,1045l7050,1045m6990,625l7050,625m6990,175l7050,175m1140,2770l6990,2770m1140,2830l1140,2770m1875,2830l1875,2770m2595,2830l2595,2770m3330,2830l3330,2770m4065,2830l4065,2770m4785,2830l4785,2770m5520,2830l5520,2770m6255,2830l6255,2770m6990,2830l6990,2770e" filled="false" stroked="true" strokeweight=".75pt" strokecolor="#000000">
              <v:path arrowok="t"/>
              <v:stroke dashstyle="solid"/>
            </v:shape>
            <w10:wrap type="none"/>
          </v:group>
        </w:pict>
      </w:r>
      <w:r>
        <w:rPr>
          <w:w w:val="110"/>
          <w:sz w:val="16"/>
        </w:rPr>
        <w:t>60</w:t>
      </w:r>
    </w:p>
    <w:p>
      <w:pPr>
        <w:pStyle w:val="BodyText"/>
        <w:spacing w:before="5"/>
        <w:rPr>
          <w:sz w:val="14"/>
        </w:rPr>
      </w:pPr>
    </w:p>
    <w:p>
      <w:pPr>
        <w:spacing w:before="100"/>
        <w:ind w:left="3563" w:right="644" w:firstLine="0"/>
        <w:jc w:val="center"/>
        <w:rPr>
          <w:sz w:val="16"/>
        </w:rPr>
      </w:pPr>
      <w:r>
        <w:rPr>
          <w:w w:val="110"/>
          <w:sz w:val="16"/>
        </w:rPr>
        <w:t>50</w:t>
      </w:r>
    </w:p>
    <w:p>
      <w:pPr>
        <w:pStyle w:val="BodyText"/>
        <w:spacing w:before="9"/>
        <w:rPr>
          <w:sz w:val="11"/>
        </w:rPr>
      </w:pPr>
    </w:p>
    <w:p>
      <w:pPr>
        <w:spacing w:before="101"/>
        <w:ind w:left="3563" w:right="644" w:firstLine="0"/>
        <w:jc w:val="center"/>
        <w:rPr>
          <w:sz w:val="16"/>
        </w:rPr>
      </w:pPr>
      <w:r>
        <w:rPr>
          <w:w w:val="110"/>
          <w:sz w:val="16"/>
        </w:rPr>
        <w:t>40</w:t>
      </w:r>
    </w:p>
    <w:p>
      <w:pPr>
        <w:pStyle w:val="BodyText"/>
        <w:spacing w:before="1"/>
        <w:rPr>
          <w:sz w:val="13"/>
        </w:rPr>
      </w:pPr>
    </w:p>
    <w:p>
      <w:pPr>
        <w:spacing w:before="100"/>
        <w:ind w:left="3563" w:right="644" w:firstLine="0"/>
        <w:jc w:val="center"/>
        <w:rPr>
          <w:sz w:val="16"/>
        </w:rPr>
      </w:pPr>
      <w:r>
        <w:rPr>
          <w:w w:val="110"/>
          <w:sz w:val="16"/>
        </w:rPr>
        <w:t>30</w:t>
      </w:r>
    </w:p>
    <w:p>
      <w:pPr>
        <w:pStyle w:val="BodyText"/>
        <w:spacing w:before="1"/>
        <w:rPr>
          <w:sz w:val="13"/>
        </w:rPr>
      </w:pPr>
    </w:p>
    <w:p>
      <w:pPr>
        <w:spacing w:before="101"/>
        <w:ind w:left="3563" w:right="644" w:firstLine="0"/>
        <w:jc w:val="center"/>
        <w:rPr>
          <w:sz w:val="16"/>
        </w:rPr>
      </w:pPr>
      <w:r>
        <w:rPr>
          <w:w w:val="110"/>
          <w:sz w:val="16"/>
        </w:rPr>
        <w:t>20</w:t>
      </w:r>
    </w:p>
    <w:p>
      <w:pPr>
        <w:pStyle w:val="BodyText"/>
        <w:spacing w:before="1"/>
        <w:rPr>
          <w:sz w:val="13"/>
        </w:rPr>
      </w:pPr>
    </w:p>
    <w:p>
      <w:pPr>
        <w:spacing w:before="100"/>
        <w:ind w:left="3563" w:right="644" w:firstLine="0"/>
        <w:jc w:val="center"/>
        <w:rPr>
          <w:sz w:val="16"/>
        </w:rPr>
      </w:pPr>
      <w:r>
        <w:rPr>
          <w:w w:val="110"/>
          <w:sz w:val="16"/>
        </w:rPr>
        <w:t>10</w:t>
      </w:r>
    </w:p>
    <w:p>
      <w:pPr>
        <w:pStyle w:val="BodyText"/>
        <w:spacing w:before="10"/>
        <w:rPr>
          <w:sz w:val="11"/>
        </w:rPr>
      </w:pPr>
    </w:p>
    <w:p>
      <w:pPr>
        <w:spacing w:before="100"/>
        <w:ind w:left="2829" w:right="0" w:firstLine="0"/>
        <w:jc w:val="center"/>
        <w:rPr>
          <w:sz w:val="16"/>
        </w:rPr>
      </w:pPr>
      <w:r>
        <w:rPr>
          <w:w w:val="111"/>
          <w:sz w:val="16"/>
        </w:rPr>
        <w:t>0</w:t>
      </w:r>
    </w:p>
    <w:p>
      <w:pPr>
        <w:tabs>
          <w:tab w:pos="1329" w:val="left" w:leader="none"/>
        </w:tabs>
        <w:spacing w:line="276" w:lineRule="auto" w:before="50"/>
        <w:ind w:left="235" w:right="4015" w:firstLine="330"/>
        <w:jc w:val="both"/>
        <w:rPr>
          <w:sz w:val="14"/>
        </w:rPr>
      </w:pPr>
      <w:r>
        <w:rPr>
          <w:spacing w:val="7"/>
          <w:w w:val="110"/>
          <w:sz w:val="15"/>
        </w:rPr>
        <w:t>UK</w:t>
        <w:tab/>
      </w:r>
      <w:r>
        <w:rPr>
          <w:spacing w:val="6"/>
          <w:w w:val="110"/>
          <w:sz w:val="15"/>
        </w:rPr>
        <w:t>US    </w:t>
      </w:r>
      <w:r>
        <w:rPr>
          <w:spacing w:val="53"/>
          <w:w w:val="110"/>
          <w:sz w:val="15"/>
        </w:rPr>
        <w:t> </w:t>
      </w:r>
      <w:r>
        <w:rPr>
          <w:spacing w:val="3"/>
          <w:w w:val="110"/>
          <w:sz w:val="15"/>
        </w:rPr>
        <w:t>France     Canada      </w:t>
      </w:r>
      <w:r>
        <w:rPr>
          <w:w w:val="110"/>
          <w:sz w:val="15"/>
        </w:rPr>
        <w:t>Italy      Japan     </w:t>
      </w:r>
      <w:r>
        <w:rPr>
          <w:spacing w:val="3"/>
          <w:w w:val="110"/>
          <w:sz w:val="15"/>
        </w:rPr>
        <w:t>Germany      G7 </w:t>
      </w:r>
      <w:r>
        <w:rPr>
          <w:spacing w:val="4"/>
          <w:w w:val="110"/>
          <w:sz w:val="14"/>
        </w:rPr>
        <w:t>Note: Gross </w:t>
      </w:r>
      <w:r>
        <w:rPr>
          <w:spacing w:val="5"/>
          <w:w w:val="110"/>
          <w:sz w:val="14"/>
        </w:rPr>
        <w:t>saving </w:t>
      </w:r>
      <w:r>
        <w:rPr>
          <w:spacing w:val="3"/>
          <w:w w:val="110"/>
          <w:sz w:val="14"/>
        </w:rPr>
        <w:t>is </w:t>
      </w:r>
      <w:r>
        <w:rPr>
          <w:spacing w:val="5"/>
          <w:w w:val="110"/>
          <w:sz w:val="14"/>
        </w:rPr>
        <w:t>defined </w:t>
      </w:r>
      <w:r>
        <w:rPr>
          <w:spacing w:val="3"/>
          <w:w w:val="110"/>
          <w:sz w:val="14"/>
        </w:rPr>
        <w:t>as </w:t>
      </w:r>
      <w:r>
        <w:rPr>
          <w:spacing w:val="5"/>
          <w:w w:val="110"/>
          <w:sz w:val="14"/>
        </w:rPr>
        <w:t>non-financial corporate profits </w:t>
      </w:r>
      <w:r>
        <w:rPr>
          <w:spacing w:val="4"/>
          <w:w w:val="110"/>
          <w:sz w:val="14"/>
        </w:rPr>
        <w:t>after net </w:t>
      </w:r>
      <w:r>
        <w:rPr>
          <w:spacing w:val="5"/>
          <w:w w:val="110"/>
          <w:sz w:val="14"/>
        </w:rPr>
        <w:t>interest </w:t>
      </w:r>
      <w:r>
        <w:rPr>
          <w:spacing w:val="6"/>
          <w:w w:val="110"/>
          <w:sz w:val="14"/>
        </w:rPr>
        <w:t>and </w:t>
      </w:r>
      <w:r>
        <w:rPr>
          <w:spacing w:val="3"/>
          <w:w w:val="110"/>
          <w:sz w:val="14"/>
        </w:rPr>
        <w:t>taxes, less dividends paid. Source:</w:t>
      </w:r>
      <w:r>
        <w:rPr>
          <w:spacing w:val="38"/>
          <w:w w:val="110"/>
          <w:sz w:val="14"/>
        </w:rPr>
        <w:t> </w:t>
      </w:r>
      <w:r>
        <w:rPr>
          <w:spacing w:val="4"/>
          <w:w w:val="110"/>
          <w:sz w:val="14"/>
        </w:rPr>
        <w:t>IMF</w:t>
      </w:r>
    </w:p>
    <w:p>
      <w:pPr>
        <w:pStyle w:val="Heading2"/>
        <w:spacing w:before="142"/>
      </w:pPr>
      <w:r>
        <w:rPr>
          <w:color w:val="FF0000"/>
        </w:rPr>
        <w:t>Chart 7: Contributions to growth in UK non-financial company sterling deposits</w:t>
      </w:r>
    </w:p>
    <w:p>
      <w:pPr>
        <w:pStyle w:val="BodyText"/>
        <w:spacing w:before="2"/>
        <w:rPr>
          <w:b/>
          <w:sz w:val="14"/>
        </w:rPr>
      </w:pPr>
    </w:p>
    <w:p>
      <w:pPr>
        <w:spacing w:after="0"/>
        <w:rPr>
          <w:sz w:val="14"/>
        </w:rPr>
        <w:sectPr>
          <w:headerReference w:type="default" r:id="rId18"/>
          <w:footerReference w:type="default" r:id="rId19"/>
          <w:pgSz w:w="11920" w:h="16840"/>
          <w:pgMar w:header="1716" w:footer="985" w:top="1980" w:bottom="1180" w:left="800" w:right="1180"/>
        </w:sectPr>
      </w:pPr>
    </w:p>
    <w:p>
      <w:pPr>
        <w:spacing w:line="180" w:lineRule="exact" w:before="92"/>
        <w:ind w:left="1000" w:right="0" w:firstLine="0"/>
        <w:jc w:val="left"/>
        <w:rPr>
          <w:sz w:val="17"/>
        </w:rPr>
      </w:pPr>
      <w:r>
        <w:rPr/>
        <w:pict>
          <v:group style="position:absolute;margin-left:69.375pt;margin-top:6.160547pt;width:18pt;height:14.25pt;mso-position-horizontal-relative:page;mso-position-vertical-relative:paragraph;z-index:251693056" coordorigin="1388,123" coordsize="360,285">
            <v:line style="position:absolute" from="1395,183" to="1740,183" stroked="true" strokeweight="5.25pt" strokecolor="#bfbfbf">
              <v:stroke dashstyle="solid"/>
            </v:line>
            <v:rect style="position:absolute;left:1395;top:130;width:345;height:105" filled="false" stroked="true" strokeweight=".75pt" strokecolor="#000000">
              <v:stroke dashstyle="solid"/>
            </v:rect>
            <v:line style="position:absolute" from="1395,356" to="1740,356" stroked="true" strokeweight="4.5pt" strokecolor="#3366ff">
              <v:stroke dashstyle="solid"/>
            </v:line>
            <v:rect style="position:absolute;left:1395;top:310;width:345;height:90" filled="false" stroked="true" strokeweight=".75pt" strokecolor="#000000">
              <v:stroke dashstyle="solid"/>
            </v:rect>
            <w10:wrap type="none"/>
          </v:group>
        </w:pict>
      </w:r>
      <w:r>
        <w:rPr>
          <w:sz w:val="17"/>
        </w:rPr>
        <w:t>Other</w:t>
      </w:r>
    </w:p>
    <w:p>
      <w:pPr>
        <w:spacing w:line="211" w:lineRule="auto" w:before="4"/>
        <w:ind w:left="1000" w:right="-1" w:firstLine="0"/>
        <w:jc w:val="left"/>
        <w:rPr>
          <w:sz w:val="17"/>
        </w:rPr>
      </w:pPr>
      <w:r>
        <w:rPr/>
        <w:pict>
          <v:group style="position:absolute;margin-left:69.375pt;margin-top:10.558281pt;width:321pt;height:171pt;mso-position-horizontal-relative:page;mso-position-vertical-relative:paragraph;z-index:-252887040" coordorigin="1388,211" coordsize="6420,3420">
            <v:line style="position:absolute" from="1800,2896" to="2115,2896" stroked="true" strokeweight=".75pt" strokecolor="#ffcc00">
              <v:stroke dashstyle="solid"/>
            </v:line>
            <v:rect style="position:absolute;left:1792;top:2881;width:330;height:30" filled="true" fillcolor="#000000" stroked="false">
              <v:fill type="solid"/>
            </v:rect>
            <v:rect style="position:absolute;left:1800;top:2858;width:315;height:30" filled="true" fillcolor="#ff0000" stroked="false">
              <v:fill type="solid"/>
            </v:rect>
            <v:rect style="position:absolute;left:1792;top:2851;width:330;height:45" filled="true" fillcolor="#000000" stroked="false">
              <v:fill type="solid"/>
            </v:rect>
            <v:line style="position:absolute" from="1800,2851" to="2115,2851" stroked="true" strokeweight=".75pt" strokecolor="#00ff00">
              <v:stroke dashstyle="solid"/>
            </v:line>
            <v:rect style="position:absolute;left:1792;top:2836;width:330;height:30" filled="true" fillcolor="#000000" stroked="false">
              <v:fill type="solid"/>
            </v:rect>
            <v:rect style="position:absolute;left:1800;top:2543;width:315;height:300" filled="true" fillcolor="#ff00ff" stroked="false">
              <v:fill type="solid"/>
            </v:rect>
            <v:rect style="position:absolute;left:1800;top:2543;width:315;height:300" filled="false" stroked="true" strokeweight=".75pt" strokecolor="#000000">
              <v:stroke dashstyle="solid"/>
            </v:rect>
            <v:rect style="position:absolute;left:1800;top:2438;width:315;height:105" filled="true" fillcolor="#660066" stroked="false">
              <v:fill type="solid"/>
            </v:rect>
            <v:rect style="position:absolute;left:1800;top:2438;width:315;height:105" filled="false" stroked="true" strokeweight=".75pt" strokecolor="#000000">
              <v:stroke dashstyle="solid"/>
            </v:rect>
            <v:line style="position:absolute" from="1800,2911" to="2115,2911" stroked="true" strokeweight=".75pt" strokecolor="#ffff00">
              <v:stroke dashstyle="solid"/>
            </v:line>
            <v:rect style="position:absolute;left:1792;top:2896;width:330;height:30" filled="true" fillcolor="#000000" stroked="false">
              <v:fill type="solid"/>
            </v:rect>
            <v:rect style="position:absolute;left:1800;top:2228;width:315;height:210" filled="true" fillcolor="#3366ff" stroked="false">
              <v:fill type="solid"/>
            </v:rect>
            <v:rect style="position:absolute;left:1800;top:2228;width:315;height:210" filled="false" stroked="true" strokeweight=".75pt" strokecolor="#000000">
              <v:stroke dashstyle="solid"/>
            </v:rect>
            <v:rect style="position:absolute;left:1800;top:1943;width:315;height:285" filled="true" fillcolor="#bfbfbf" stroked="false">
              <v:fill type="solid"/>
            </v:rect>
            <v:rect style="position:absolute;left:1800;top:1943;width:315;height:285" filled="false" stroked="true" strokeweight=".75pt" strokecolor="#000000">
              <v:stroke dashstyle="solid"/>
            </v:rect>
            <v:rect style="position:absolute;left:2580;top:2903;width:315;height:75" filled="true" fillcolor="#ffcc00" stroked="false">
              <v:fill type="solid"/>
            </v:rect>
            <v:rect style="position:absolute;left:2580;top:2903;width:315;height:75" filled="false" stroked="true" strokeweight=".75pt" strokecolor="#000000">
              <v:stroke dashstyle="solid"/>
            </v:rect>
            <v:rect style="position:absolute;left:2580;top:2978;width:315;height:435" filled="true" fillcolor="#ff0000" stroked="false">
              <v:fill type="solid"/>
            </v:rect>
            <v:rect style="position:absolute;left:2580;top:2978;width:315;height:435" filled="false" stroked="true" strokeweight=".75pt" strokecolor="#000000">
              <v:stroke dashstyle="solid"/>
            </v:rect>
            <v:rect style="position:absolute;left:2580;top:2783;width:315;height:120" filled="true" fillcolor="#00ff00" stroked="false">
              <v:fill type="solid"/>
            </v:rect>
            <v:rect style="position:absolute;left:2580;top:2783;width:315;height:120" filled="false" stroked="true" strokeweight=".75pt" strokecolor="#000000">
              <v:stroke dashstyle="solid"/>
            </v:rect>
            <v:rect style="position:absolute;left:2580;top:2678;width:315;height:105" filled="true" fillcolor="#ff00ff" stroked="false">
              <v:fill type="solid"/>
            </v:rect>
            <v:rect style="position:absolute;left:2580;top:2678;width:315;height:105" filled="false" stroked="true" strokeweight=".75pt" strokecolor="#000000">
              <v:stroke dashstyle="solid"/>
            </v:rect>
            <v:rect style="position:absolute;left:2580;top:2558;width:315;height:120" filled="true" fillcolor="#660066" stroked="false">
              <v:fill type="solid"/>
            </v:rect>
            <v:rect style="position:absolute;left:2580;top:2558;width:315;height:120" filled="false" stroked="true" strokeweight=".75pt" strokecolor="#000000">
              <v:stroke dashstyle="solid"/>
            </v:rect>
            <v:rect style="position:absolute;left:2580;top:2093;width:315;height:465" filled="true" fillcolor="#ffff00" stroked="false">
              <v:fill type="solid"/>
            </v:rect>
            <v:rect style="position:absolute;left:2580;top:2093;width:315;height:465" filled="false" stroked="true" strokeweight=".75pt" strokecolor="#000000">
              <v:stroke dashstyle="solid"/>
            </v:rect>
            <v:rect style="position:absolute;left:2580;top:1778;width:315;height:315" filled="true" fillcolor="#3366ff" stroked="false">
              <v:fill type="solid"/>
            </v:rect>
            <v:rect style="position:absolute;left:2580;top:1778;width:315;height:315" filled="false" stroked="true" strokeweight=".75pt" strokecolor="#000000">
              <v:stroke dashstyle="solid"/>
            </v:rect>
            <v:rect style="position:absolute;left:2580;top:1448;width:315;height:330" filled="true" fillcolor="#bfbfbf" stroked="false">
              <v:fill type="solid"/>
            </v:rect>
            <v:rect style="position:absolute;left:2580;top:1448;width:315;height:330" filled="false" stroked="true" strokeweight=".75pt" strokecolor="#000000">
              <v:stroke dashstyle="solid"/>
            </v:rect>
            <v:line style="position:absolute" from="3345,2941" to="3645,2941" stroked="true" strokeweight="3.75pt" strokecolor="#ffcc00">
              <v:stroke dashstyle="solid"/>
            </v:line>
            <v:rect style="position:absolute;left:3345;top:2903;width:300;height:75" filled="false" stroked="true" strokeweight=".75pt" strokecolor="#000000">
              <v:stroke dashstyle="solid"/>
            </v:rect>
            <v:line style="position:absolute" from="3345,2896" to="3645,2896" stroked="true" strokeweight=".75pt" strokecolor="#ff0000">
              <v:stroke dashstyle="solid"/>
            </v:line>
            <v:rect style="position:absolute;left:3337;top:2881;width:315;height:30" filled="true" fillcolor="#000000" stroked="false">
              <v:fill type="solid"/>
            </v:rect>
            <v:rect style="position:absolute;left:3345;top:2843;width:300;height:45" filled="true" fillcolor="#00ff00" stroked="false">
              <v:fill type="solid"/>
            </v:rect>
            <v:rect style="position:absolute;left:3345;top:2843;width:300;height:45" filled="false" stroked="true" strokeweight=".75pt" strokecolor="#000000">
              <v:stroke dashstyle="solid"/>
            </v:rect>
            <v:rect style="position:absolute;left:3345;top:2693;width:300;height:150" filled="true" fillcolor="#ff00ff" stroked="false">
              <v:fill type="solid"/>
            </v:rect>
            <v:rect style="position:absolute;left:3345;top:2693;width:300;height:150" filled="false" stroked="true" strokeweight=".75pt" strokecolor="#000000">
              <v:stroke dashstyle="solid"/>
            </v:rect>
            <v:rect style="position:absolute;left:3345;top:2543;width:300;height:150" filled="true" fillcolor="#ffff00" stroked="false">
              <v:fill type="solid"/>
            </v:rect>
            <v:rect style="position:absolute;left:3345;top:2543;width:300;height:150" filled="false" stroked="true" strokeweight=".75pt" strokecolor="#000000">
              <v:stroke dashstyle="solid"/>
            </v:rect>
            <v:rect style="position:absolute;left:3345;top:2108;width:300;height:435" filled="true" fillcolor="#3366ff" stroked="false">
              <v:fill type="solid"/>
            </v:rect>
            <v:rect style="position:absolute;left:3345;top:2108;width:300;height:435" filled="false" stroked="true" strokeweight=".75pt" strokecolor="#000000">
              <v:stroke dashstyle="solid"/>
            </v:rect>
            <v:rect style="position:absolute;left:3345;top:1583;width:300;height:525" filled="true" fillcolor="#bfbfbf" stroked="false">
              <v:fill type="solid"/>
            </v:rect>
            <v:rect style="position:absolute;left:3345;top:1583;width:300;height:525" filled="false" stroked="true" strokeweight=".75pt" strokecolor="#000000">
              <v:stroke dashstyle="solid"/>
            </v:rect>
            <v:rect style="position:absolute;left:4110;top:2753;width:315;height:150" filled="true" fillcolor="#ffcc00" stroked="false">
              <v:fill type="solid"/>
            </v:rect>
            <v:rect style="position:absolute;left:4110;top:2753;width:315;height:150" filled="false" stroked="true" strokeweight=".75pt" strokecolor="#000000">
              <v:stroke dashstyle="solid"/>
            </v:rect>
            <v:line style="position:absolute" from="4110,2911" to="4425,2911" stroked="true" strokeweight=".75pt" strokecolor="#ff0000">
              <v:stroke dashstyle="solid"/>
            </v:line>
            <v:line style="position:absolute" from="4103,2911" to="4433,2911" stroked="true" strokeweight="1.5pt" strokecolor="#000000">
              <v:stroke dashstyle="solid"/>
            </v:line>
            <v:rect style="position:absolute;left:4110;top:2603;width:315;height:150" filled="true" fillcolor="#00ff00" stroked="false">
              <v:fill type="solid"/>
            </v:rect>
            <v:rect style="position:absolute;left:4110;top:2603;width:315;height:150" filled="false" stroked="true" strokeweight=".75pt" strokecolor="#000000">
              <v:stroke dashstyle="solid"/>
            </v:rect>
            <v:rect style="position:absolute;left:4110;top:2363;width:315;height:240" filled="true" fillcolor="#ff00ff" stroked="false">
              <v:fill type="solid"/>
            </v:rect>
            <v:rect style="position:absolute;left:4110;top:2363;width:315;height:240" filled="false" stroked="true" strokeweight=".75pt" strokecolor="#000000">
              <v:stroke dashstyle="solid"/>
            </v:rect>
            <v:rect style="position:absolute;left:4110;top:2018;width:315;height:345" filled="true" fillcolor="#660066" stroked="false">
              <v:fill type="solid"/>
            </v:rect>
            <v:rect style="position:absolute;left:4110;top:2018;width:315;height:345" filled="false" stroked="true" strokeweight=".75pt" strokecolor="#000000">
              <v:stroke dashstyle="solid"/>
            </v:rect>
            <v:rect style="position:absolute;left:4110;top:1913;width:315;height:105" filled="true" fillcolor="#ffff00" stroked="false">
              <v:fill type="solid"/>
            </v:rect>
            <v:rect style="position:absolute;left:4110;top:1913;width:315;height:105" filled="false" stroked="true" strokeweight=".75pt" strokecolor="#000000">
              <v:stroke dashstyle="solid"/>
            </v:rect>
            <v:rect style="position:absolute;left:4110;top:1658;width:315;height:255" filled="true" fillcolor="#3366ff" stroked="false">
              <v:fill type="solid"/>
            </v:rect>
            <v:rect style="position:absolute;left:4110;top:1658;width:315;height:255" filled="false" stroked="true" strokeweight=".75pt" strokecolor="#000000">
              <v:stroke dashstyle="solid"/>
            </v:rect>
            <v:rect style="position:absolute;left:4110;top:1523;width:315;height:135" filled="true" fillcolor="#bfbfbf" stroked="false">
              <v:fill type="solid"/>
            </v:rect>
            <v:rect style="position:absolute;left:4110;top:1523;width:315;height:135" filled="false" stroked="true" strokeweight=".75pt" strokecolor="#000000">
              <v:stroke dashstyle="solid"/>
            </v:rect>
            <v:rect style="position:absolute;left:4890;top:2903;width:315;height:60" filled="true" fillcolor="#ffcc00" stroked="false">
              <v:fill type="solid"/>
            </v:rect>
            <v:rect style="position:absolute;left:4890;top:2903;width:315;height:60" filled="false" stroked="true" strokeweight=".75pt" strokecolor="#000000">
              <v:stroke dashstyle="solid"/>
            </v:rect>
            <v:rect style="position:absolute;left:4890;top:2963;width:315;height:195" filled="true" fillcolor="#ff0000" stroked="false">
              <v:fill type="solid"/>
            </v:rect>
            <v:rect style="position:absolute;left:4890;top:2963;width:315;height:195" filled="false" stroked="true" strokeweight=".75pt" strokecolor="#000000">
              <v:stroke dashstyle="solid"/>
            </v:rect>
            <v:rect style="position:absolute;left:4890;top:2783;width:315;height:120" filled="true" fillcolor="#00ff00" stroked="false">
              <v:fill type="solid"/>
            </v:rect>
            <v:rect style="position:absolute;left:4890;top:2783;width:315;height:120" filled="false" stroked="true" strokeweight=".75pt" strokecolor="#000000">
              <v:stroke dashstyle="solid"/>
            </v:rect>
            <v:rect style="position:absolute;left:4890;top:2498;width:315;height:285" filled="true" fillcolor="#ff00ff" stroked="false">
              <v:fill type="solid"/>
            </v:rect>
            <v:rect style="position:absolute;left:4890;top:2498;width:315;height:285" filled="false" stroked="true" strokeweight=".75pt" strokecolor="#000000">
              <v:stroke dashstyle="solid"/>
            </v:rect>
            <v:line style="position:absolute" from="4890,2491" to="5205,2491" stroked="true" strokeweight=".75pt" strokecolor="#660066">
              <v:stroke dashstyle="solid"/>
            </v:line>
            <v:rect style="position:absolute;left:4882;top:2476;width:330;height:30" filled="true" fillcolor="#000000" stroked="false">
              <v:fill type="solid"/>
            </v:rect>
            <v:rect style="position:absolute;left:4890;top:2393;width:315;height:90" filled="true" fillcolor="#ffff00" stroked="false">
              <v:fill type="solid"/>
            </v:rect>
            <v:rect style="position:absolute;left:4890;top:2393;width:315;height:90" filled="false" stroked="true" strokeweight=".75pt" strokecolor="#000000">
              <v:stroke dashstyle="solid"/>
            </v:rect>
            <v:rect style="position:absolute;left:4890;top:1913;width:315;height:480" filled="true" fillcolor="#3366ff" stroked="false">
              <v:fill type="solid"/>
            </v:rect>
            <v:rect style="position:absolute;left:4890;top:1913;width:315;height:480" filled="false" stroked="true" strokeweight=".75pt" strokecolor="#000000">
              <v:stroke dashstyle="solid"/>
            </v:rect>
            <v:rect style="position:absolute;left:4890;top:1628;width:315;height:285" filled="true" fillcolor="#bfbfbf" stroked="false">
              <v:fill type="solid"/>
            </v:rect>
            <v:rect style="position:absolute;left:4890;top:1628;width:315;height:285" filled="false" stroked="true" strokeweight=".75pt" strokecolor="#000000">
              <v:stroke dashstyle="solid"/>
            </v:rect>
            <v:rect style="position:absolute;left:5670;top:2798;width:315;height:105" filled="true" fillcolor="#ffcc00" stroked="false">
              <v:fill type="solid"/>
            </v:rect>
            <v:rect style="position:absolute;left:5670;top:2798;width:315;height:105" filled="false" stroked="true" strokeweight=".75pt" strokecolor="#000000">
              <v:stroke dashstyle="solid"/>
            </v:rect>
            <v:rect style="position:absolute;left:5670;top:2723;width:315;height:75" filled="true" fillcolor="#00ff00" stroked="false">
              <v:fill type="solid"/>
            </v:rect>
            <v:rect style="position:absolute;left:5670;top:2723;width:315;height:75" filled="false" stroked="true" strokeweight=".75pt" strokecolor="#000000">
              <v:stroke dashstyle="solid"/>
            </v:rect>
            <v:rect style="position:absolute;left:5670;top:2483;width:315;height:240" filled="true" fillcolor="#ff00ff" stroked="false">
              <v:fill type="solid"/>
            </v:rect>
            <v:rect style="position:absolute;left:5670;top:2483;width:315;height:240" filled="false" stroked="true" strokeweight=".75pt" strokecolor="#000000">
              <v:stroke dashstyle="solid"/>
            </v:rect>
            <v:rect style="position:absolute;left:5670;top:2333;width:315;height:150" filled="true" fillcolor="#660066" stroked="false">
              <v:fill type="solid"/>
            </v:rect>
            <v:rect style="position:absolute;left:5670;top:2333;width:315;height:150" filled="false" stroked="true" strokeweight=".75pt" strokecolor="#000000">
              <v:stroke dashstyle="solid"/>
            </v:rect>
            <v:rect style="position:absolute;left:5670;top:2903;width:315;height:60" filled="true" fillcolor="#ffff00" stroked="false">
              <v:fill type="solid"/>
            </v:rect>
            <v:rect style="position:absolute;left:5670;top:2903;width:315;height:60" filled="false" stroked="true" strokeweight=".75pt" strokecolor="#000000">
              <v:stroke dashstyle="solid"/>
            </v:rect>
            <v:rect style="position:absolute;left:5670;top:1853;width:315;height:480" filled="true" fillcolor="#3366ff" stroked="false">
              <v:fill type="solid"/>
            </v:rect>
            <v:rect style="position:absolute;left:5670;top:1853;width:315;height:480" filled="false" stroked="true" strokeweight=".75pt" strokecolor="#000000">
              <v:stroke dashstyle="solid"/>
            </v:rect>
            <v:rect style="position:absolute;left:5670;top:1508;width:315;height:345" filled="true" fillcolor="#bfbfbf" stroked="false">
              <v:fill type="solid"/>
            </v:rect>
            <v:rect style="position:absolute;left:5670;top:1508;width:315;height:345" filled="false" stroked="true" strokeweight=".75pt" strokecolor="#000000">
              <v:stroke dashstyle="solid"/>
            </v:rect>
            <v:rect style="position:absolute;left:6450;top:2858;width:285;height:45" filled="true" fillcolor="#ffcc00" stroked="false">
              <v:fill type="solid"/>
            </v:rect>
            <v:rect style="position:absolute;left:6450;top:2858;width:285;height:45" filled="false" stroked="true" strokeweight=".75pt" strokecolor="#000000">
              <v:stroke dashstyle="solid"/>
            </v:rect>
            <v:rect style="position:absolute;left:6450;top:2648;width:285;height:210" filled="true" fillcolor="#ff0000" stroked="false">
              <v:fill type="solid"/>
            </v:rect>
            <v:rect style="position:absolute;left:6450;top:2648;width:285;height:210" filled="false" stroked="true" strokeweight=".75pt" strokecolor="#000000">
              <v:stroke dashstyle="solid"/>
            </v:rect>
            <v:rect style="position:absolute;left:6450;top:2513;width:285;height:135" filled="true" fillcolor="#00ff00" stroked="false">
              <v:fill type="solid"/>
            </v:rect>
            <v:rect style="position:absolute;left:6450;top:2513;width:285;height:135" filled="false" stroked="true" strokeweight=".75pt" strokecolor="#000000">
              <v:stroke dashstyle="solid"/>
            </v:rect>
            <v:rect style="position:absolute;left:6450;top:2348;width:285;height:165" filled="true" fillcolor="#ff00ff" stroked="false">
              <v:fill type="solid"/>
            </v:rect>
            <v:rect style="position:absolute;left:6450;top:2348;width:285;height:165" filled="false" stroked="true" strokeweight=".75pt" strokecolor="#000000">
              <v:stroke dashstyle="solid"/>
            </v:rect>
            <v:rect style="position:absolute;left:6450;top:2243;width:285;height:105" filled="true" fillcolor="#660066" stroked="false">
              <v:fill type="solid"/>
            </v:rect>
            <v:rect style="position:absolute;left:6450;top:2243;width:285;height:105" filled="false" stroked="true" strokeweight=".75pt" strokecolor="#000000">
              <v:stroke dashstyle="solid"/>
            </v:rect>
            <v:rect style="position:absolute;left:6450;top:2198;width:285;height:45" filled="true" fillcolor="#ffff00" stroked="false">
              <v:fill type="solid"/>
            </v:rect>
            <v:rect style="position:absolute;left:6450;top:2198;width:285;height:45" filled="false" stroked="true" strokeweight=".75pt" strokecolor="#000000">
              <v:stroke dashstyle="solid"/>
            </v:rect>
            <v:rect style="position:absolute;left:6450;top:1883;width:285;height:315" filled="true" fillcolor="#3366ff" stroked="false">
              <v:fill type="solid"/>
            </v:rect>
            <v:rect style="position:absolute;left:6450;top:1883;width:285;height:315" filled="false" stroked="true" strokeweight=".75pt" strokecolor="#000000">
              <v:stroke dashstyle="solid"/>
            </v:rect>
            <v:rect style="position:absolute;left:6450;top:1478;width:285;height:405" filled="true" fillcolor="#bfbfbf" stroked="false">
              <v:fill type="solid"/>
            </v:rect>
            <v:rect style="position:absolute;left:6450;top:1478;width:285;height:405" filled="false" stroked="true" strokeweight=".75pt" strokecolor="#000000">
              <v:stroke dashstyle="solid"/>
            </v:rect>
            <v:rect style="position:absolute;left:7200;top:2768;width:315;height:135" filled="true" fillcolor="#ffcc00" stroked="false">
              <v:fill type="solid"/>
            </v:rect>
            <v:rect style="position:absolute;left:7200;top:2768;width:315;height:135" filled="false" stroked="true" strokeweight=".75pt" strokecolor="#000000">
              <v:stroke dashstyle="solid"/>
            </v:rect>
            <v:rect style="position:absolute;left:7200;top:2603;width:315;height:165" filled="true" fillcolor="#ff0000" stroked="false">
              <v:fill type="solid"/>
            </v:rect>
            <v:rect style="position:absolute;left:7200;top:2603;width:315;height:165" filled="false" stroked="true" strokeweight=".75pt" strokecolor="#000000">
              <v:stroke dashstyle="solid"/>
            </v:rect>
            <v:rect style="position:absolute;left:7200;top:2468;width:315;height:135" filled="true" fillcolor="#00ff00" stroked="false">
              <v:fill type="solid"/>
            </v:rect>
            <v:rect style="position:absolute;left:7200;top:2468;width:315;height:135" filled="false" stroked="true" strokeweight=".75pt" strokecolor="#000000">
              <v:stroke dashstyle="solid"/>
            </v:rect>
            <v:rect style="position:absolute;left:7200;top:2138;width:315;height:330" filled="true" fillcolor="#ff00ff" stroked="false">
              <v:fill type="solid"/>
            </v:rect>
            <v:rect style="position:absolute;left:7200;top:2138;width:315;height:330" filled="false" stroked="true" strokeweight=".75pt" strokecolor="#000000">
              <v:stroke dashstyle="solid"/>
            </v:rect>
            <v:rect style="position:absolute;left:7200;top:2903;width:315;height:30" filled="true" fillcolor="#660066" stroked="false">
              <v:fill type="solid"/>
            </v:rect>
            <v:rect style="position:absolute;left:7192;top:2896;width:330;height:45" filled="true" fillcolor="#000000" stroked="false">
              <v:fill type="solid"/>
            </v:rect>
            <v:rect style="position:absolute;left:7200;top:2933;width:315;height:30" filled="true" fillcolor="#ffff00" stroked="false">
              <v:fill type="solid"/>
            </v:rect>
            <v:rect style="position:absolute;left:7192;top:2926;width:330;height:45" filled="true" fillcolor="#000000" stroked="false">
              <v:fill type="solid"/>
            </v:rect>
            <v:rect style="position:absolute;left:7200;top:1418;width:315;height:720" filled="true" fillcolor="#3366ff" stroked="false">
              <v:fill type="solid"/>
            </v:rect>
            <v:rect style="position:absolute;left:7200;top:1418;width:315;height:720" filled="false" stroked="true" strokeweight=".75pt" strokecolor="#000000">
              <v:stroke dashstyle="solid"/>
            </v:rect>
            <v:rect style="position:absolute;left:7200;top:998;width:315;height:420" filled="true" fillcolor="#bfbfbf" stroked="false">
              <v:fill type="solid"/>
            </v:rect>
            <v:shape style="position:absolute;left:1575;top:743;width:6225;height:2880" coordorigin="1575,744" coordsize="6225,2880" path="m7200,999l7515,999,7515,1419,7200,1419,7200,999xm7755,744l7755,3624,7800,3624m7755,3264l7800,3264m7755,2904l7800,2904m7755,2544l7800,2544m7755,2184l7800,2184m7755,1824l7800,1824m7755,1449l7800,1449m7755,1104l7800,1104m7755,744l7800,744m1575,2904l7755,2904m1575,2964l1575,2904m2340,2964l2340,2904m3120,2964l3120,2904m3885,2964l3885,2904m4665,2964l4665,2904m5430,2964l5430,2904m6210,2964l6210,2904m6975,2964l6975,2904m7755,2964l7755,2904m1950,1959l2730,1944,3495,1659,4275,1539,5040,1884,5820,1569,6585,1479,7365,1074e" filled="false" stroked="true" strokeweight=".75pt" strokecolor="#000000">
              <v:path arrowok="t"/>
              <v:stroke dashstyle="solid"/>
            </v:shape>
            <v:line style="position:absolute" from="1395,264" to="1740,264" stroked="true" strokeweight="4.5pt" strokecolor="#ffff00">
              <v:stroke dashstyle="solid"/>
            </v:line>
            <v:rect style="position:absolute;left:1395;top:218;width:345;height:90" filled="false" stroked="true" strokeweight=".75pt" strokecolor="#000000">
              <v:stroke dashstyle="solid"/>
            </v:rect>
            <v:line style="position:absolute" from="1395,436" to="1740,436" stroked="true" strokeweight="5.25pt" strokecolor="#660066">
              <v:stroke dashstyle="solid"/>
            </v:line>
            <v:rect style="position:absolute;left:1395;top:383;width:345;height:105" filled="false" stroked="true" strokeweight=".75pt" strokecolor="#000000">
              <v:stroke dashstyle="solid"/>
            </v:rect>
            <v:line style="position:absolute" from="1395,616" to="1740,616" stroked="true" strokeweight="5.25pt" strokecolor="#ff00ff">
              <v:stroke dashstyle="solid"/>
            </v:line>
            <v:rect style="position:absolute;left:1395;top:563;width:345;height:105" filled="false" stroked="true" strokeweight=".75pt" strokecolor="#000000">
              <v:stroke dashstyle="solid"/>
            </v:rect>
            <v:line style="position:absolute" from="1395,789" to="1740,789" stroked="true" strokeweight="4.5pt" strokecolor="#00ff00">
              <v:stroke dashstyle="solid"/>
            </v:line>
            <v:rect style="position:absolute;left:1395;top:743;width:345;height:90" filled="false" stroked="true" strokeweight=".75pt" strokecolor="#000000">
              <v:stroke dashstyle="solid"/>
            </v:rect>
            <v:line style="position:absolute" from="1395,954" to="1740,954" stroked="true" strokeweight="4.5pt" strokecolor="#ff0000">
              <v:stroke dashstyle="solid"/>
            </v:line>
            <v:rect style="position:absolute;left:1395;top:908;width:345;height:90" filled="false" stroked="true" strokeweight=".75pt" strokecolor="#000000">
              <v:stroke dashstyle="solid"/>
            </v:rect>
            <v:line style="position:absolute" from="1395,1141" to="1740,1141" stroked="true" strokeweight="5.25pt" strokecolor="#ffcc00">
              <v:stroke dashstyle="solid"/>
            </v:line>
            <v:shape style="position:absolute;left:1395;top:1088;width:360;height:225" coordorigin="1395,1089" coordsize="360,225" path="m1395,1194l1740,1194,1740,1089,1395,1089,1395,1194xm1395,1314l1755,1314e" filled="false" stroked="true" strokeweight=".75pt" strokecolor="#000000">
              <v:path arrowok="t"/>
              <v:stroke dashstyle="solid"/>
            </v:shape>
            <w10:wrap type="none"/>
          </v:group>
        </w:pict>
      </w:r>
      <w:r>
        <w:rPr>
          <w:w w:val="95"/>
          <w:sz w:val="17"/>
        </w:rPr>
        <w:t>Legal, Accountancy &amp; Other Business Activities </w:t>
      </w:r>
      <w:r>
        <w:rPr>
          <w:sz w:val="17"/>
        </w:rPr>
        <w:t>Transport, Storage &amp; Communication Wholesale &amp; Retail Trade</w:t>
      </w:r>
    </w:p>
    <w:p>
      <w:pPr>
        <w:spacing w:line="201" w:lineRule="auto" w:before="30"/>
        <w:ind w:left="1000" w:right="1593" w:firstLine="0"/>
        <w:jc w:val="left"/>
        <w:rPr>
          <w:sz w:val="17"/>
        </w:rPr>
      </w:pPr>
      <w:r>
        <w:rPr>
          <w:sz w:val="17"/>
        </w:rPr>
        <w:t>Real Estate </w:t>
      </w:r>
      <w:r>
        <w:rPr>
          <w:w w:val="95"/>
          <w:sz w:val="17"/>
        </w:rPr>
        <w:t>Construction </w:t>
      </w:r>
      <w:r>
        <w:rPr>
          <w:w w:val="90"/>
          <w:sz w:val="17"/>
        </w:rPr>
        <w:t>Manufacturing</w:t>
      </w:r>
    </w:p>
    <w:p>
      <w:pPr>
        <w:spacing w:line="220" w:lineRule="auto" w:before="4"/>
        <w:ind w:left="1000" w:right="1232" w:firstLine="0"/>
        <w:jc w:val="left"/>
        <w:rPr>
          <w:sz w:val="17"/>
        </w:rPr>
      </w:pPr>
      <w:r>
        <w:rPr>
          <w:w w:val="95"/>
          <w:sz w:val="17"/>
        </w:rPr>
        <w:t>Utilities &amp; Primary Industries </w:t>
      </w:r>
      <w:r>
        <w:rPr>
          <w:sz w:val="17"/>
        </w:rPr>
        <w:t>Total</w:t>
      </w:r>
    </w:p>
    <w:p>
      <w:pPr>
        <w:pStyle w:val="BodyText"/>
        <w:rPr>
          <w:sz w:val="18"/>
        </w:rPr>
      </w:pPr>
      <w:r>
        <w:rPr/>
        <w:br w:type="column"/>
      </w:r>
      <w:r>
        <w:rPr>
          <w:sz w:val="18"/>
        </w:rPr>
      </w:r>
    </w:p>
    <w:p>
      <w:pPr>
        <w:pStyle w:val="BodyText"/>
        <w:spacing w:before="3"/>
        <w:rPr>
          <w:sz w:val="21"/>
        </w:rPr>
      </w:pPr>
    </w:p>
    <w:p>
      <w:pPr>
        <w:spacing w:before="0"/>
        <w:ind w:left="0" w:right="2564" w:firstLine="0"/>
        <w:jc w:val="right"/>
        <w:rPr>
          <w:sz w:val="17"/>
        </w:rPr>
      </w:pPr>
      <w:r>
        <w:rPr>
          <w:spacing w:val="3"/>
          <w:w w:val="95"/>
          <w:sz w:val="17"/>
        </w:rPr>
        <w:t>Percentage</w:t>
      </w:r>
      <w:r>
        <w:rPr>
          <w:spacing w:val="-22"/>
          <w:w w:val="95"/>
          <w:sz w:val="17"/>
        </w:rPr>
        <w:t> </w:t>
      </w:r>
      <w:r>
        <w:rPr>
          <w:spacing w:val="3"/>
          <w:w w:val="95"/>
          <w:sz w:val="17"/>
        </w:rPr>
        <w:t>point</w:t>
      </w:r>
      <w:r>
        <w:rPr>
          <w:spacing w:val="-21"/>
          <w:w w:val="95"/>
          <w:sz w:val="17"/>
        </w:rPr>
        <w:t> </w:t>
      </w:r>
      <w:r>
        <w:rPr>
          <w:spacing w:val="3"/>
          <w:w w:val="95"/>
          <w:sz w:val="17"/>
        </w:rPr>
        <w:t>contributions</w:t>
      </w:r>
      <w:r>
        <w:rPr>
          <w:spacing w:val="-22"/>
          <w:w w:val="95"/>
          <w:sz w:val="17"/>
        </w:rPr>
        <w:t> </w:t>
      </w:r>
      <w:r>
        <w:rPr>
          <w:spacing w:val="4"/>
          <w:w w:val="95"/>
          <w:sz w:val="17"/>
        </w:rPr>
        <w:t>to</w:t>
      </w:r>
    </w:p>
    <w:p>
      <w:pPr>
        <w:spacing w:before="30"/>
        <w:ind w:left="0" w:right="2592" w:firstLine="0"/>
        <w:jc w:val="right"/>
        <w:rPr>
          <w:sz w:val="17"/>
        </w:rPr>
      </w:pPr>
      <w:r>
        <w:rPr>
          <w:w w:val="95"/>
          <w:sz w:val="17"/>
        </w:rPr>
        <w:t>change</w:t>
      </w:r>
      <w:r>
        <w:rPr>
          <w:spacing w:val="-18"/>
          <w:w w:val="95"/>
          <w:sz w:val="17"/>
        </w:rPr>
        <w:t> </w:t>
      </w:r>
      <w:r>
        <w:rPr>
          <w:w w:val="95"/>
          <w:sz w:val="17"/>
        </w:rPr>
        <w:t>on</w:t>
      </w:r>
      <w:r>
        <w:rPr>
          <w:spacing w:val="-17"/>
          <w:w w:val="95"/>
          <w:sz w:val="17"/>
        </w:rPr>
        <w:t> </w:t>
      </w:r>
      <w:r>
        <w:rPr>
          <w:w w:val="95"/>
          <w:sz w:val="17"/>
        </w:rPr>
        <w:t>a</w:t>
      </w:r>
      <w:r>
        <w:rPr>
          <w:spacing w:val="-18"/>
          <w:w w:val="95"/>
          <w:sz w:val="17"/>
        </w:rPr>
        <w:t> </w:t>
      </w:r>
      <w:r>
        <w:rPr>
          <w:w w:val="95"/>
          <w:sz w:val="17"/>
        </w:rPr>
        <w:t>year</w:t>
      </w:r>
      <w:r>
        <w:rPr>
          <w:spacing w:val="-17"/>
          <w:w w:val="95"/>
          <w:sz w:val="17"/>
        </w:rPr>
        <w:t> </w:t>
      </w:r>
      <w:r>
        <w:rPr>
          <w:w w:val="95"/>
          <w:sz w:val="17"/>
        </w:rPr>
        <w:t>ago</w:t>
      </w:r>
    </w:p>
    <w:p>
      <w:pPr>
        <w:spacing w:before="29"/>
        <w:ind w:left="2858" w:right="2655" w:firstLine="0"/>
        <w:jc w:val="center"/>
        <w:rPr>
          <w:sz w:val="17"/>
        </w:rPr>
      </w:pPr>
      <w:r>
        <w:rPr>
          <w:sz w:val="17"/>
        </w:rPr>
        <w:t>12</w:t>
      </w:r>
    </w:p>
    <w:p>
      <w:pPr>
        <w:pStyle w:val="BodyText"/>
        <w:spacing w:before="4"/>
        <w:rPr>
          <w:sz w:val="14"/>
        </w:rPr>
      </w:pPr>
    </w:p>
    <w:p>
      <w:pPr>
        <w:spacing w:before="0"/>
        <w:ind w:left="2858" w:right="2655" w:firstLine="0"/>
        <w:jc w:val="center"/>
        <w:rPr>
          <w:sz w:val="17"/>
        </w:rPr>
      </w:pPr>
      <w:r>
        <w:rPr>
          <w:sz w:val="17"/>
        </w:rPr>
        <w:t>10</w:t>
      </w:r>
    </w:p>
    <w:p>
      <w:pPr>
        <w:pStyle w:val="BodyText"/>
        <w:spacing w:before="3"/>
        <w:rPr>
          <w:sz w:val="14"/>
        </w:rPr>
      </w:pPr>
    </w:p>
    <w:p>
      <w:pPr>
        <w:spacing w:before="0"/>
        <w:ind w:left="130" w:right="0" w:firstLine="0"/>
        <w:jc w:val="center"/>
        <w:rPr>
          <w:sz w:val="17"/>
        </w:rPr>
      </w:pPr>
      <w:r>
        <w:rPr>
          <w:w w:val="90"/>
          <w:sz w:val="17"/>
        </w:rPr>
        <w:t>8</w:t>
      </w:r>
    </w:p>
    <w:p>
      <w:pPr>
        <w:pStyle w:val="BodyText"/>
        <w:spacing w:before="4"/>
        <w:rPr>
          <w:sz w:val="14"/>
        </w:rPr>
      </w:pPr>
    </w:p>
    <w:p>
      <w:pPr>
        <w:spacing w:before="0"/>
        <w:ind w:left="130" w:right="0" w:firstLine="0"/>
        <w:jc w:val="center"/>
        <w:rPr>
          <w:sz w:val="17"/>
        </w:rPr>
      </w:pPr>
      <w:r>
        <w:rPr>
          <w:w w:val="90"/>
          <w:sz w:val="17"/>
        </w:rPr>
        <w:t>6</w:t>
      </w:r>
    </w:p>
    <w:p>
      <w:pPr>
        <w:spacing w:after="0"/>
        <w:jc w:val="center"/>
        <w:rPr>
          <w:sz w:val="17"/>
        </w:rPr>
        <w:sectPr>
          <w:type w:val="continuous"/>
          <w:pgSz w:w="11920" w:h="16840"/>
          <w:pgMar w:top="1180" w:bottom="280" w:left="800" w:right="1180"/>
          <w:cols w:num="2" w:equalWidth="0">
            <w:col w:w="4177" w:space="40"/>
            <w:col w:w="5723"/>
          </w:cols>
        </w:sectPr>
      </w:pPr>
    </w:p>
    <w:p>
      <w:pPr>
        <w:pStyle w:val="BodyText"/>
        <w:spacing w:before="7"/>
        <w:rPr>
          <w:sz w:val="15"/>
        </w:rPr>
      </w:pPr>
    </w:p>
    <w:p>
      <w:pPr>
        <w:spacing w:before="0"/>
        <w:ind w:left="0" w:right="2756" w:firstLine="0"/>
        <w:jc w:val="right"/>
        <w:rPr>
          <w:sz w:val="17"/>
        </w:rPr>
      </w:pPr>
      <w:r>
        <w:rPr>
          <w:w w:val="90"/>
          <w:sz w:val="17"/>
        </w:rPr>
        <w:t>4</w:t>
      </w:r>
    </w:p>
    <w:p>
      <w:pPr>
        <w:spacing w:before="149"/>
        <w:ind w:left="0" w:right="2756" w:firstLine="0"/>
        <w:jc w:val="right"/>
        <w:rPr>
          <w:sz w:val="17"/>
        </w:rPr>
      </w:pPr>
      <w:r>
        <w:rPr>
          <w:w w:val="90"/>
          <w:sz w:val="17"/>
        </w:rPr>
        <w:t>2</w:t>
      </w:r>
    </w:p>
    <w:p>
      <w:pPr>
        <w:spacing w:after="0"/>
        <w:jc w:val="right"/>
        <w:rPr>
          <w:sz w:val="17"/>
        </w:rPr>
        <w:sectPr>
          <w:type w:val="continuous"/>
          <w:pgSz w:w="11920" w:h="16840"/>
          <w:pgMar w:top="1180" w:bottom="280" w:left="800" w:right="118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1765" w:val="left" w:leader="none"/>
        </w:tabs>
        <w:spacing w:before="120"/>
        <w:ind w:left="985" w:right="0" w:firstLine="0"/>
        <w:jc w:val="left"/>
        <w:rPr>
          <w:sz w:val="17"/>
        </w:rPr>
      </w:pPr>
      <w:r>
        <w:rPr>
          <w:sz w:val="17"/>
        </w:rPr>
        <w:t>1998</w:t>
        <w:tab/>
        <w:t>1999</w:t>
      </w:r>
    </w:p>
    <w:p>
      <w:pPr>
        <w:spacing w:before="15"/>
        <w:ind w:left="235" w:right="0" w:firstLine="0"/>
        <w:jc w:val="left"/>
        <w:rPr>
          <w:sz w:val="17"/>
        </w:rPr>
      </w:pPr>
      <w:r>
        <w:rPr>
          <w:sz w:val="17"/>
        </w:rPr>
        <w:t>Source: BoE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tabs>
          <w:tab w:pos="1000" w:val="left" w:leader="none"/>
          <w:tab w:pos="1765" w:val="left" w:leader="none"/>
        </w:tabs>
        <w:spacing w:before="120"/>
        <w:ind w:left="235" w:right="0" w:firstLine="0"/>
        <w:jc w:val="left"/>
        <w:rPr>
          <w:sz w:val="17"/>
        </w:rPr>
      </w:pPr>
      <w:r>
        <w:rPr>
          <w:spacing w:val="3"/>
          <w:sz w:val="17"/>
        </w:rPr>
        <w:t>2000</w:t>
        <w:tab/>
      </w:r>
      <w:r>
        <w:rPr>
          <w:spacing w:val="6"/>
          <w:sz w:val="17"/>
        </w:rPr>
        <w:t>2001</w:t>
        <w:tab/>
      </w:r>
      <w:r>
        <w:rPr>
          <w:sz w:val="17"/>
        </w:rPr>
        <w:t>2002</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spacing w:before="120"/>
        <w:ind w:left="235" w:right="0" w:firstLine="0"/>
        <w:jc w:val="left"/>
        <w:rPr>
          <w:sz w:val="17"/>
        </w:rPr>
      </w:pPr>
      <w:r>
        <w:rPr>
          <w:sz w:val="17"/>
        </w:rPr>
        <w:t>2003</w:t>
      </w:r>
    </w:p>
    <w:p>
      <w:pPr>
        <w:pStyle w:val="BodyText"/>
        <w:spacing w:before="7"/>
        <w:rPr>
          <w:sz w:val="15"/>
        </w:rPr>
      </w:pPr>
      <w:r>
        <w:rPr/>
        <w:br w:type="column"/>
      </w:r>
      <w:r>
        <w:rPr>
          <w:sz w:val="15"/>
        </w:rPr>
      </w:r>
    </w:p>
    <w:p>
      <w:pPr>
        <w:spacing w:before="0"/>
        <w:ind w:left="0" w:right="1051" w:firstLine="0"/>
        <w:jc w:val="center"/>
        <w:rPr>
          <w:sz w:val="17"/>
        </w:rPr>
      </w:pPr>
      <w:r>
        <w:rPr>
          <w:w w:val="90"/>
          <w:sz w:val="17"/>
        </w:rPr>
        <w:t>0</w:t>
      </w:r>
    </w:p>
    <w:p>
      <w:pPr>
        <w:spacing w:before="150"/>
        <w:ind w:left="0" w:right="1007" w:firstLine="0"/>
        <w:jc w:val="center"/>
        <w:rPr>
          <w:sz w:val="17"/>
        </w:rPr>
      </w:pPr>
      <w:r>
        <w:rPr>
          <w:spacing w:val="-4"/>
          <w:sz w:val="17"/>
        </w:rPr>
        <w:t>-2</w:t>
      </w:r>
    </w:p>
    <w:p>
      <w:pPr>
        <w:pStyle w:val="BodyText"/>
        <w:spacing w:before="3"/>
        <w:rPr>
          <w:sz w:val="14"/>
        </w:rPr>
      </w:pPr>
    </w:p>
    <w:p>
      <w:pPr>
        <w:spacing w:before="1"/>
        <w:ind w:left="0" w:right="1007" w:firstLine="0"/>
        <w:jc w:val="center"/>
        <w:rPr>
          <w:sz w:val="17"/>
        </w:rPr>
      </w:pPr>
      <w:r>
        <w:rPr>
          <w:spacing w:val="-4"/>
          <w:sz w:val="17"/>
        </w:rPr>
        <w:t>-4</w:t>
      </w:r>
    </w:p>
    <w:p>
      <w:pPr>
        <w:tabs>
          <w:tab w:pos="764" w:val="left" w:leader="none"/>
        </w:tabs>
        <w:spacing w:before="74"/>
        <w:ind w:left="0" w:right="2957" w:firstLine="0"/>
        <w:jc w:val="center"/>
        <w:rPr>
          <w:sz w:val="17"/>
        </w:rPr>
      </w:pPr>
      <w:r>
        <w:rPr>
          <w:spacing w:val="3"/>
          <w:sz w:val="17"/>
        </w:rPr>
        <w:t>2004</w:t>
        <w:tab/>
      </w:r>
      <w:r>
        <w:rPr>
          <w:spacing w:val="9"/>
          <w:sz w:val="17"/>
        </w:rPr>
        <w:t>2005</w:t>
      </w:r>
    </w:p>
    <w:p>
      <w:pPr>
        <w:spacing w:after="0"/>
        <w:jc w:val="center"/>
        <w:rPr>
          <w:sz w:val="17"/>
        </w:rPr>
        <w:sectPr>
          <w:type w:val="continuous"/>
          <w:pgSz w:w="11920" w:h="16840"/>
          <w:pgMar w:top="1180" w:bottom="280" w:left="800" w:right="1180"/>
          <w:cols w:num="4" w:equalWidth="0">
            <w:col w:w="2121" w:space="189"/>
            <w:col w:w="2121" w:space="189"/>
            <w:col w:w="591" w:space="189"/>
            <w:col w:w="4540"/>
          </w:cols>
        </w:sectPr>
      </w:pPr>
    </w:p>
    <w:p>
      <w:pPr>
        <w:pStyle w:val="BodyText"/>
        <w:spacing w:before="6"/>
        <w:rPr>
          <w:sz w:val="17"/>
        </w:rPr>
      </w:pPr>
    </w:p>
    <w:p>
      <w:pPr>
        <w:spacing w:before="90"/>
        <w:ind w:left="0" w:right="3601" w:firstLine="0"/>
        <w:jc w:val="right"/>
        <w:rPr>
          <w:sz w:val="21"/>
        </w:rPr>
      </w:pPr>
      <w:r>
        <w:rPr>
          <w:spacing w:val="4"/>
          <w:sz w:val="21"/>
        </w:rPr>
        <w:t>Per</w:t>
      </w:r>
      <w:r>
        <w:rPr>
          <w:spacing w:val="-19"/>
          <w:sz w:val="21"/>
        </w:rPr>
        <w:t> </w:t>
      </w:r>
      <w:r>
        <w:rPr>
          <w:spacing w:val="5"/>
          <w:sz w:val="21"/>
        </w:rPr>
        <w:t>cent</w:t>
      </w:r>
      <w:r>
        <w:rPr>
          <w:spacing w:val="-19"/>
          <w:sz w:val="21"/>
        </w:rPr>
        <w:t> </w:t>
      </w:r>
      <w:r>
        <w:rPr>
          <w:spacing w:val="3"/>
          <w:sz w:val="21"/>
        </w:rPr>
        <w:t>of</w:t>
      </w:r>
      <w:r>
        <w:rPr>
          <w:spacing w:val="-19"/>
          <w:sz w:val="21"/>
        </w:rPr>
        <w:t> </w:t>
      </w:r>
      <w:r>
        <w:rPr>
          <w:spacing w:val="5"/>
          <w:sz w:val="21"/>
        </w:rPr>
        <w:t>gross</w:t>
      </w:r>
      <w:r>
        <w:rPr>
          <w:spacing w:val="-19"/>
          <w:sz w:val="21"/>
        </w:rPr>
        <w:t> </w:t>
      </w:r>
      <w:r>
        <w:rPr>
          <w:spacing w:val="6"/>
          <w:sz w:val="21"/>
        </w:rPr>
        <w:t>corporate</w:t>
      </w:r>
      <w:r>
        <w:rPr>
          <w:spacing w:val="-19"/>
          <w:sz w:val="21"/>
        </w:rPr>
        <w:t> </w:t>
      </w:r>
      <w:r>
        <w:rPr>
          <w:spacing w:val="7"/>
          <w:sz w:val="21"/>
        </w:rPr>
        <w:t>savings</w:t>
      </w:r>
    </w:p>
    <w:p>
      <w:pPr>
        <w:spacing w:before="62"/>
        <w:ind w:left="0" w:right="3583" w:firstLine="0"/>
        <w:jc w:val="right"/>
        <w:rPr>
          <w:sz w:val="19"/>
        </w:rPr>
      </w:pPr>
      <w:r>
        <w:rPr/>
        <w:pict>
          <v:group style="position:absolute;margin-left:60.375pt;margin-top:7.844141pt;width:284.25pt;height:150.75pt;mso-position-horizontal-relative:page;mso-position-vertical-relative:paragraph;z-index:251694080" coordorigin="1208,157" coordsize="5685,3015">
            <v:shape style="position:absolute;left:1215;top:164;width:5670;height:3000" coordorigin="1215,164" coordsize="5670,3000" path="m6825,164l6825,3164,6885,3164m6825,2564l6885,2564m6825,1964l6885,1964m6825,1364l6885,1364m6825,764l6885,764m6825,164l6885,164m1215,3164l6825,3164m1215,3164l1215,3104m1920,3164l1920,3104m2640,3164l2640,3104m3345,3164l3345,3104m4050,3164l4050,3104m4755,3164l4755,3104m5460,3164l5460,3104m6180,3164l6180,3104e" filled="false" stroked="true" strokeweight=".75pt" strokecolor="#000000">
              <v:path arrowok="t"/>
              <v:stroke dashstyle="solid"/>
            </v:shape>
            <v:shape style="position:absolute;left:1215;top:989;width:480;height:525" type="#_x0000_t75" stroked="false">
              <v:imagedata r:id="rId22" o:title=""/>
            </v:shape>
            <v:shape style="position:absolute;left:1680;top:779;width:5040;height:1380" coordorigin="1680,779" coordsize="5040,1380" path="m1680,1499l1770,1109m1770,1109l1845,1589m1845,1589l1935,1529m1935,1529l2025,1784m2025,1784l2115,1694m2115,1694l2205,1559m2205,1559l2295,1904m2295,1904l2385,1874m2385,1874l2475,2024m2475,2024l2565,1934m2565,1934l2655,2159m2655,2159l2745,2144m2745,2144l2835,1994m2835,1994l2910,2114m2910,2114l3000,2009m3000,2009l3090,1799m3090,1799l3180,1949m3180,1949l3270,2054m3270,2054l3360,1664m3360,1664l3450,2024m3450,2024l3540,1919m3540,1919l3630,2129m3630,2129l3720,2054m3720,2054l3810,1964m3810,1964l3900,1889m3900,1889l3990,1754m3990,1754l4065,1949m4065,1949l4155,1904m4155,1904l4245,2084m4245,2084l4320,1994m4320,1994l4410,1844m4410,1844l4500,1439m4500,1439l4590,1679m4590,1679l4680,1499m4680,1499l4770,1559m4770,1559l4860,1604m4860,1604l4950,1424m4950,1424l5040,1109m5040,1109l5130,1124m5130,1124l5205,1274m5205,1274l5295,1289m5295,1289l5385,1304m5385,1304l5475,1769m5475,1769l5565,1694m5565,1694l5655,1679m5655,1679l5745,1724m5745,1724l5835,1664m5835,1664l5925,1454m5925,1454l6015,1364m6015,1364l6105,1319m6105,1319l6195,1244m6195,1244l6270,1454m6270,1454l6360,1379m6360,1379l6450,1484m6450,1484l6540,1184m6540,1184l6630,1244m6630,1244l6720,779e" filled="false" stroked="true" strokeweight="1.5pt" strokecolor="#000080">
              <v:path arrowok="t"/>
              <v:stroke dashstyle="solid"/>
            </v:shape>
            <v:line style="position:absolute" from="6720,779" to="6810,794" stroked="true" strokeweight="1.5pt" strokecolor="#000080">
              <v:stroke dashstyle="solid"/>
            </v:line>
            <w10:wrap type="none"/>
          </v:group>
        </w:pict>
      </w:r>
      <w:r>
        <w:rPr>
          <w:spacing w:val="-3"/>
          <w:w w:val="95"/>
          <w:sz w:val="19"/>
        </w:rPr>
        <w:t>50</w:t>
      </w:r>
    </w:p>
    <w:p>
      <w:pPr>
        <w:pStyle w:val="BodyText"/>
        <w:spacing w:before="10"/>
      </w:pPr>
    </w:p>
    <w:p>
      <w:pPr>
        <w:spacing w:before="96"/>
        <w:ind w:left="3233" w:right="644" w:firstLine="0"/>
        <w:jc w:val="center"/>
        <w:rPr>
          <w:sz w:val="19"/>
        </w:rPr>
      </w:pPr>
      <w:r>
        <w:rPr>
          <w:sz w:val="19"/>
        </w:rPr>
        <w:t>40</w:t>
      </w:r>
    </w:p>
    <w:p>
      <w:pPr>
        <w:pStyle w:val="BodyText"/>
        <w:spacing w:before="10"/>
      </w:pPr>
    </w:p>
    <w:p>
      <w:pPr>
        <w:spacing w:before="96"/>
        <w:ind w:left="3233" w:right="644" w:firstLine="0"/>
        <w:jc w:val="center"/>
        <w:rPr>
          <w:sz w:val="19"/>
        </w:rPr>
      </w:pPr>
      <w:r>
        <w:rPr>
          <w:sz w:val="19"/>
        </w:rPr>
        <w:t>30</w:t>
      </w:r>
    </w:p>
    <w:p>
      <w:pPr>
        <w:pStyle w:val="BodyText"/>
        <w:spacing w:before="9"/>
      </w:pPr>
    </w:p>
    <w:p>
      <w:pPr>
        <w:spacing w:before="96"/>
        <w:ind w:left="3233" w:right="644" w:firstLine="0"/>
        <w:jc w:val="center"/>
        <w:rPr>
          <w:sz w:val="19"/>
        </w:rPr>
      </w:pPr>
      <w:r>
        <w:rPr>
          <w:sz w:val="19"/>
        </w:rPr>
        <w:t>20</w:t>
      </w:r>
    </w:p>
    <w:p>
      <w:pPr>
        <w:pStyle w:val="BodyText"/>
        <w:spacing w:before="10"/>
      </w:pPr>
    </w:p>
    <w:p>
      <w:pPr>
        <w:spacing w:before="96"/>
        <w:ind w:left="3233" w:right="644" w:firstLine="0"/>
        <w:jc w:val="center"/>
        <w:rPr>
          <w:sz w:val="19"/>
        </w:rPr>
      </w:pPr>
      <w:r>
        <w:rPr>
          <w:sz w:val="19"/>
        </w:rPr>
        <w:t>10</w:t>
      </w:r>
    </w:p>
    <w:p>
      <w:pPr>
        <w:pStyle w:val="BodyText"/>
        <w:spacing w:before="9"/>
      </w:pPr>
    </w:p>
    <w:p>
      <w:pPr>
        <w:spacing w:before="96"/>
        <w:ind w:left="2501" w:right="0" w:firstLine="0"/>
        <w:jc w:val="center"/>
        <w:rPr>
          <w:sz w:val="19"/>
        </w:rPr>
      </w:pPr>
      <w:r>
        <w:rPr>
          <w:w w:val="95"/>
          <w:sz w:val="19"/>
        </w:rPr>
        <w:t>0</w:t>
      </w:r>
    </w:p>
    <w:p>
      <w:pPr>
        <w:tabs>
          <w:tab w:pos="955" w:val="left" w:leader="none"/>
          <w:tab w:pos="1675" w:val="left" w:leader="none"/>
          <w:tab w:pos="2380" w:val="left" w:leader="none"/>
          <w:tab w:pos="3085" w:val="left" w:leader="none"/>
          <w:tab w:pos="3789" w:val="left" w:leader="none"/>
          <w:tab w:pos="4494" w:val="left" w:leader="none"/>
          <w:tab w:pos="5214" w:val="left" w:leader="none"/>
        </w:tabs>
        <w:spacing w:before="67"/>
        <w:ind w:left="250" w:right="0" w:firstLine="0"/>
        <w:jc w:val="left"/>
        <w:rPr>
          <w:sz w:val="19"/>
        </w:rPr>
      </w:pPr>
      <w:r>
        <w:rPr>
          <w:sz w:val="19"/>
        </w:rPr>
        <w:t>1990</w:t>
        <w:tab/>
        <w:t>1992</w:t>
        <w:tab/>
        <w:t>1994</w:t>
        <w:tab/>
        <w:t>1996</w:t>
        <w:tab/>
        <w:t>1998</w:t>
        <w:tab/>
        <w:t>2000</w:t>
        <w:tab/>
        <w:t>2002</w:t>
        <w:tab/>
        <w:t>2004</w:t>
      </w:r>
    </w:p>
    <w:p>
      <w:pPr>
        <w:spacing w:before="49"/>
        <w:ind w:left="250" w:right="0" w:firstLine="0"/>
        <w:jc w:val="left"/>
        <w:rPr>
          <w:sz w:val="16"/>
        </w:rPr>
      </w:pPr>
      <w:r>
        <w:rPr>
          <w:sz w:val="16"/>
        </w:rPr>
        <w:t>Source: ONS</w:t>
      </w:r>
    </w:p>
    <w:p>
      <w:pPr>
        <w:pStyle w:val="Heading2"/>
        <w:spacing w:before="162"/>
      </w:pPr>
      <w:r>
        <w:rPr>
          <w:color w:val="FF0000"/>
        </w:rPr>
        <w:t>Chart 9: Employer pensions contributions</w:t>
      </w:r>
    </w:p>
    <w:p>
      <w:pPr>
        <w:pStyle w:val="BodyText"/>
        <w:spacing w:before="3"/>
        <w:rPr>
          <w:b/>
          <w:sz w:val="15"/>
        </w:rPr>
      </w:pPr>
    </w:p>
    <w:p>
      <w:pPr>
        <w:spacing w:line="205" w:lineRule="exact" w:before="95"/>
        <w:ind w:left="0" w:right="3343" w:firstLine="0"/>
        <w:jc w:val="right"/>
        <w:rPr>
          <w:sz w:val="20"/>
        </w:rPr>
      </w:pPr>
      <w:r>
        <w:rPr>
          <w:w w:val="105"/>
          <w:sz w:val="20"/>
        </w:rPr>
        <w:t>£ billion, 2005 </w:t>
      </w:r>
      <w:r>
        <w:rPr>
          <w:spacing w:val="-2"/>
          <w:w w:val="105"/>
          <w:sz w:val="20"/>
        </w:rPr>
        <w:t>prices</w:t>
      </w:r>
    </w:p>
    <w:p>
      <w:pPr>
        <w:spacing w:line="205" w:lineRule="exact" w:before="0"/>
        <w:ind w:left="0" w:right="3372" w:firstLine="0"/>
        <w:jc w:val="right"/>
        <w:rPr>
          <w:sz w:val="20"/>
        </w:rPr>
      </w:pPr>
      <w:r>
        <w:rPr/>
        <w:pict>
          <v:group style="position:absolute;margin-left:68.625pt;margin-top:3.211426pt;width:284.25pt;height:158.65pt;mso-position-horizontal-relative:page;mso-position-vertical-relative:paragraph;z-index:251695104" coordorigin="1373,64" coordsize="5685,3173">
            <v:shape style="position:absolute;left:1380;top:71;width:5670;height:3165" coordorigin="1380,72" coordsize="5670,3165" path="m6975,72l6975,3162,7050,3162m6975,2652l7050,2652m6975,2127l7050,2127m6975,1632l7050,1632m6975,1107l7050,1107m6975,597l7050,597m6975,72l7050,72m1380,3162l6975,3162m1380,3237l1380,3162m2175,3237l2175,3162m2985,3237l2985,3162m3780,3237l3780,3162m4575,3237l4575,3162m5370,3237l5370,3162m6180,3237l6180,3162m6975,3237l6975,3162e" filled="false" stroked="true" strokeweight=".75pt" strokecolor="#000000">
              <v:path arrowok="t"/>
              <v:stroke dashstyle="solid"/>
            </v:shape>
            <v:line style="position:absolute" from="1560,2209" to="1995,2209" stroked="true" strokeweight="2.25pt" strokecolor="#000080">
              <v:stroke dashstyle="solid"/>
            </v:line>
            <v:line style="position:absolute" from="1980,2202" to="2385,2142" stroked="true" strokeweight="1.5pt" strokecolor="#000080">
              <v:stroke dashstyle="solid"/>
            </v:line>
            <v:line style="position:absolute" from="2370,2127" to="2805,2127" stroked="true" strokeweight="3pt" strokecolor="#000080">
              <v:stroke dashstyle="solid"/>
            </v:line>
            <v:line style="position:absolute" from="2790,2112" to="3180,2112" stroked="true" strokeweight="1.5pt" strokecolor="#000080">
              <v:stroke dashstyle="solid"/>
            </v:line>
            <v:line style="position:absolute" from="3165,2097" to="3600,2097" stroked="true" strokeweight="3pt" strokecolor="#000080">
              <v:stroke dashstyle="solid"/>
            </v:line>
            <v:shape style="position:absolute;left:3585;top:656;width:3195;height:1425" coordorigin="3585,657" coordsize="3195,1425" path="m3585,2082l3990,2007m3990,2007l4380,1932m4380,1932l4770,1827m4770,1827l5175,1722m5175,1722l5580,1512m5580,1512l5970,1077m5970,1077l6375,867m6375,867l6780,657e" filled="false" stroked="true" strokeweight="1.5pt" strokecolor="#000080">
              <v:path arrowok="t"/>
              <v:stroke dashstyle="solid"/>
            </v:shape>
            <w10:wrap type="none"/>
          </v:group>
        </w:pict>
      </w:r>
      <w:r>
        <w:rPr>
          <w:spacing w:val="-1"/>
          <w:w w:val="105"/>
          <w:sz w:val="20"/>
        </w:rPr>
        <w:t>60</w:t>
      </w:r>
    </w:p>
    <w:p>
      <w:pPr>
        <w:pStyle w:val="BodyText"/>
        <w:spacing w:before="1"/>
        <w:rPr>
          <w:sz w:val="16"/>
        </w:rPr>
      </w:pPr>
    </w:p>
    <w:p>
      <w:pPr>
        <w:spacing w:before="95"/>
        <w:ind w:left="3624" w:right="644" w:firstLine="0"/>
        <w:jc w:val="center"/>
        <w:rPr>
          <w:sz w:val="20"/>
        </w:rPr>
      </w:pPr>
      <w:r>
        <w:rPr>
          <w:w w:val="105"/>
          <w:sz w:val="20"/>
        </w:rPr>
        <w:t>50</w:t>
      </w:r>
    </w:p>
    <w:p>
      <w:pPr>
        <w:pStyle w:val="BodyText"/>
        <w:spacing w:before="5"/>
        <w:rPr>
          <w:sz w:val="17"/>
        </w:rPr>
      </w:pPr>
    </w:p>
    <w:p>
      <w:pPr>
        <w:spacing w:before="95"/>
        <w:ind w:left="3624" w:right="644" w:firstLine="0"/>
        <w:jc w:val="center"/>
        <w:rPr>
          <w:sz w:val="20"/>
        </w:rPr>
      </w:pPr>
      <w:r>
        <w:rPr>
          <w:w w:val="105"/>
          <w:sz w:val="20"/>
        </w:rPr>
        <w:t>40</w:t>
      </w:r>
    </w:p>
    <w:p>
      <w:pPr>
        <w:pStyle w:val="BodyText"/>
        <w:spacing w:before="1"/>
        <w:rPr>
          <w:sz w:val="16"/>
        </w:rPr>
      </w:pPr>
    </w:p>
    <w:p>
      <w:pPr>
        <w:spacing w:before="95"/>
        <w:ind w:left="3624" w:right="644" w:firstLine="0"/>
        <w:jc w:val="center"/>
        <w:rPr>
          <w:sz w:val="20"/>
        </w:rPr>
      </w:pPr>
      <w:r>
        <w:rPr>
          <w:w w:val="105"/>
          <w:sz w:val="20"/>
        </w:rPr>
        <w:t>30</w:t>
      </w:r>
    </w:p>
    <w:p>
      <w:pPr>
        <w:pStyle w:val="BodyText"/>
        <w:spacing w:before="1"/>
        <w:rPr>
          <w:sz w:val="16"/>
        </w:rPr>
      </w:pPr>
    </w:p>
    <w:p>
      <w:pPr>
        <w:spacing w:before="95"/>
        <w:ind w:left="3624" w:right="644" w:firstLine="0"/>
        <w:jc w:val="center"/>
        <w:rPr>
          <w:sz w:val="20"/>
        </w:rPr>
      </w:pPr>
      <w:r>
        <w:rPr>
          <w:w w:val="105"/>
          <w:sz w:val="20"/>
        </w:rPr>
        <w:t>20</w:t>
      </w:r>
    </w:p>
    <w:p>
      <w:pPr>
        <w:pStyle w:val="BodyText"/>
        <w:spacing w:before="1"/>
        <w:rPr>
          <w:sz w:val="16"/>
        </w:rPr>
      </w:pPr>
    </w:p>
    <w:p>
      <w:pPr>
        <w:spacing w:before="95"/>
        <w:ind w:left="3624" w:right="644" w:firstLine="0"/>
        <w:jc w:val="center"/>
        <w:rPr>
          <w:sz w:val="20"/>
        </w:rPr>
      </w:pPr>
      <w:r>
        <w:rPr>
          <w:w w:val="105"/>
          <w:sz w:val="20"/>
        </w:rPr>
        <w:t>10</w:t>
      </w:r>
    </w:p>
    <w:p>
      <w:pPr>
        <w:pStyle w:val="BodyText"/>
        <w:spacing w:before="4"/>
        <w:rPr>
          <w:sz w:val="17"/>
        </w:rPr>
      </w:pPr>
    </w:p>
    <w:p>
      <w:pPr>
        <w:spacing w:before="96"/>
        <w:ind w:left="2875" w:right="0" w:firstLine="0"/>
        <w:jc w:val="center"/>
        <w:rPr>
          <w:sz w:val="20"/>
        </w:rPr>
      </w:pPr>
      <w:r>
        <w:rPr>
          <w:w w:val="105"/>
          <w:sz w:val="20"/>
        </w:rPr>
        <w:t>0</w:t>
      </w:r>
    </w:p>
    <w:p>
      <w:pPr>
        <w:tabs>
          <w:tab w:pos="809" w:val="left" w:leader="none"/>
          <w:tab w:pos="1604" w:val="left" w:leader="none"/>
          <w:tab w:pos="2415" w:val="left" w:leader="none"/>
          <w:tab w:pos="3195" w:val="left" w:leader="none"/>
          <w:tab w:pos="4005" w:val="left" w:leader="none"/>
          <w:tab w:pos="4800" w:val="left" w:leader="none"/>
        </w:tabs>
        <w:spacing w:before="100"/>
        <w:ind w:left="0" w:right="3588" w:firstLine="0"/>
        <w:jc w:val="center"/>
        <w:rPr>
          <w:sz w:val="20"/>
        </w:rPr>
      </w:pPr>
      <w:r>
        <w:rPr>
          <w:w w:val="105"/>
          <w:sz w:val="20"/>
        </w:rPr>
        <w:t>1992</w:t>
        <w:tab/>
        <w:t>1994</w:t>
        <w:tab/>
        <w:t>1996</w:t>
        <w:tab/>
        <w:t>1998</w:t>
        <w:tab/>
        <w:t>2000</w:t>
        <w:tab/>
        <w:t>2002</w:t>
        <w:tab/>
        <w:t>2004</w:t>
      </w:r>
    </w:p>
    <w:p>
      <w:pPr>
        <w:spacing w:before="41"/>
        <w:ind w:left="234" w:right="0" w:firstLine="0"/>
        <w:jc w:val="left"/>
        <w:rPr>
          <w:sz w:val="15"/>
        </w:rPr>
      </w:pPr>
      <w:r>
        <w:rPr>
          <w:w w:val="105"/>
          <w:sz w:val="15"/>
        </w:rPr>
        <w:t>Source: ONS; data shown are expressed in 2005 prices using RPI inflation</w:t>
      </w:r>
    </w:p>
    <w:p>
      <w:pPr>
        <w:spacing w:after="0"/>
        <w:jc w:val="left"/>
        <w:rPr>
          <w:sz w:val="15"/>
        </w:rPr>
        <w:sectPr>
          <w:headerReference w:type="default" r:id="rId20"/>
          <w:footerReference w:type="default" r:id="rId21"/>
          <w:pgSz w:w="11920" w:h="16840"/>
          <w:pgMar w:header="1716" w:footer="985" w:top="1980" w:bottom="1180" w:left="800" w:right="1180"/>
        </w:sectPr>
      </w:pPr>
    </w:p>
    <w:p>
      <w:pPr>
        <w:pStyle w:val="BodyText"/>
        <w:spacing w:before="3"/>
        <w:rPr>
          <w:sz w:val="17"/>
        </w:rPr>
      </w:pPr>
    </w:p>
    <w:p>
      <w:pPr>
        <w:spacing w:after="0"/>
        <w:rPr>
          <w:sz w:val="17"/>
        </w:rPr>
        <w:sectPr>
          <w:headerReference w:type="default" r:id="rId23"/>
          <w:footerReference w:type="default" r:id="rId24"/>
          <w:pgSz w:w="11920" w:h="16840"/>
          <w:pgMar w:header="1716" w:footer="985" w:top="1980" w:bottom="1180" w:left="800" w:right="118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tabs>
          <w:tab w:pos="1089" w:val="left" w:leader="none"/>
          <w:tab w:pos="1959" w:val="left" w:leader="none"/>
          <w:tab w:pos="2829" w:val="left" w:leader="none"/>
          <w:tab w:pos="3684" w:val="left" w:leader="none"/>
          <w:tab w:pos="4554" w:val="left" w:leader="none"/>
          <w:tab w:pos="5424" w:val="left" w:leader="none"/>
        </w:tabs>
        <w:spacing w:line="231" w:lineRule="exact" w:before="182"/>
        <w:ind w:left="220" w:right="0" w:firstLine="0"/>
        <w:jc w:val="left"/>
        <w:rPr>
          <w:sz w:val="21"/>
        </w:rPr>
      </w:pPr>
      <w:r>
        <w:rPr>
          <w:sz w:val="21"/>
        </w:rPr>
        <w:t>1992</w:t>
        <w:tab/>
        <w:t>1994</w:t>
        <w:tab/>
        <w:t>1996</w:t>
        <w:tab/>
        <w:t>1998</w:t>
        <w:tab/>
        <w:t>2000</w:t>
        <w:tab/>
        <w:t>2002</w:t>
        <w:tab/>
        <w:t>2004</w:t>
      </w:r>
    </w:p>
    <w:p>
      <w:pPr>
        <w:spacing w:line="162" w:lineRule="exact" w:before="0"/>
        <w:ind w:left="250" w:right="0" w:firstLine="0"/>
        <w:jc w:val="left"/>
        <w:rPr>
          <w:sz w:val="15"/>
        </w:rPr>
      </w:pPr>
      <w:r>
        <w:rPr>
          <w:w w:val="105"/>
          <w:sz w:val="15"/>
        </w:rPr>
        <w:t>Note: Covers self-administered occupational schemes only</w:t>
      </w:r>
    </w:p>
    <w:p>
      <w:pPr>
        <w:spacing w:before="22"/>
        <w:ind w:left="250" w:right="0" w:firstLine="0"/>
        <w:jc w:val="left"/>
        <w:rPr>
          <w:sz w:val="15"/>
        </w:rPr>
      </w:pPr>
      <w:r>
        <w:rPr>
          <w:w w:val="105"/>
          <w:sz w:val="15"/>
        </w:rPr>
        <w:t>Source: ONS</w:t>
      </w:r>
    </w:p>
    <w:p>
      <w:pPr>
        <w:pStyle w:val="BodyText"/>
        <w:spacing w:before="2"/>
        <w:rPr>
          <w:sz w:val="14"/>
        </w:rPr>
      </w:pPr>
    </w:p>
    <w:p>
      <w:pPr>
        <w:pStyle w:val="Heading2"/>
        <w:spacing w:before="1"/>
      </w:pPr>
      <w:r>
        <w:rPr>
          <w:color w:val="FF0000"/>
        </w:rPr>
        <w:t>Chart 11: UK business investment</w:t>
      </w:r>
    </w:p>
    <w:p>
      <w:pPr>
        <w:spacing w:before="93"/>
        <w:ind w:left="434" w:right="0" w:firstLine="0"/>
        <w:jc w:val="left"/>
        <w:rPr>
          <w:sz w:val="21"/>
        </w:rPr>
      </w:pPr>
      <w:r>
        <w:rPr/>
        <w:br w:type="column"/>
      </w:r>
      <w:r>
        <w:rPr>
          <w:sz w:val="21"/>
        </w:rPr>
        <w:t>n</w:t>
      </w:r>
    </w:p>
    <w:p>
      <w:pPr>
        <w:spacing w:before="59"/>
        <w:ind w:left="490" w:right="0" w:firstLine="0"/>
        <w:jc w:val="left"/>
        <w:rPr>
          <w:sz w:val="21"/>
        </w:rPr>
      </w:pPr>
      <w:r>
        <w:rPr/>
        <w:pict>
          <v:group style="position:absolute;margin-left:49.875pt;margin-top:-11.68968pt;width:312.150pt;height:170.35pt;mso-position-horizontal-relative:page;mso-position-vertical-relative:paragraph;z-index:251698176" coordorigin="998,-234" coordsize="6243,3407">
            <v:rect style="position:absolute;left:1080;top:3075;width:285;height:75" filled="true" fillcolor="#000080" stroked="false">
              <v:fill type="solid"/>
            </v:rect>
            <v:rect style="position:absolute;left:1080;top:2700;width:285;height:375" filled="true" fillcolor="#ff00ff" stroked="false">
              <v:fill type="solid"/>
            </v:rect>
            <v:rect style="position:absolute;left:1515;top:3000;width:285;height:150" filled="true" fillcolor="#000080" stroked="false">
              <v:fill type="solid"/>
            </v:rect>
            <v:rect style="position:absolute;left:1515;top:2610;width:285;height:390" filled="true" fillcolor="#ff00ff" stroked="false">
              <v:fill type="solid"/>
            </v:rect>
            <v:rect style="position:absolute;left:1950;top:3045;width:285;height:105" filled="true" fillcolor="#000080" stroked="false">
              <v:fill type="solid"/>
            </v:rect>
            <v:rect style="position:absolute;left:1950;top:2535;width:285;height:510" filled="true" fillcolor="#ff00ff" stroked="false">
              <v:fill type="solid"/>
            </v:rect>
            <v:rect style="position:absolute;left:2385;top:3060;width:285;height:90" filled="true" fillcolor="#000080" stroked="false">
              <v:fill type="solid"/>
            </v:rect>
            <v:rect style="position:absolute;left:2385;top:2520;width:285;height:540" filled="true" fillcolor="#ff00ff" stroked="false">
              <v:fill type="solid"/>
            </v:rect>
            <v:rect style="position:absolute;left:2820;top:3060;width:285;height:90" filled="true" fillcolor="#000080" stroked="false">
              <v:fill type="solid"/>
            </v:rect>
            <v:rect style="position:absolute;left:2820;top:2475;width:285;height:585" filled="true" fillcolor="#ff00ff" stroked="false">
              <v:fill type="solid"/>
            </v:rect>
            <v:rect style="position:absolute;left:3255;top:3075;width:285;height:75" filled="true" fillcolor="#000080" stroked="false">
              <v:fill type="solid"/>
            </v:rect>
            <v:rect style="position:absolute;left:3255;top:2505;width:285;height:570" filled="true" fillcolor="#ff00ff" stroked="false">
              <v:fill type="solid"/>
            </v:rect>
            <v:rect style="position:absolute;left:3690;top:3060;width:300;height:90" filled="true" fillcolor="#000080" stroked="false">
              <v:fill type="solid"/>
            </v:rect>
            <v:rect style="position:absolute;left:3690;top:2505;width:300;height:555" filled="true" fillcolor="#ff00ff" stroked="false">
              <v:fill type="solid"/>
            </v:rect>
            <v:rect style="position:absolute;left:4140;top:3015;width:285;height:135" filled="true" fillcolor="#000080" stroked="false">
              <v:fill type="solid"/>
            </v:rect>
            <v:rect style="position:absolute;left:4140;top:2370;width:285;height:645" filled="true" fillcolor="#ff00ff" stroked="false">
              <v:fill type="solid"/>
            </v:rect>
            <v:rect style="position:absolute;left:4560;top:2955;width:285;height:195" filled="true" fillcolor="#000080" stroked="false">
              <v:fill type="solid"/>
            </v:rect>
            <v:rect style="position:absolute;left:4560;top:2235;width:285;height:720" filled="true" fillcolor="#ff00ff" stroked="false">
              <v:fill type="solid"/>
            </v:rect>
            <v:rect style="position:absolute;left:4995;top:2970;width:285;height:180" filled="true" fillcolor="#000080" stroked="false">
              <v:fill type="solid"/>
            </v:rect>
            <v:rect style="position:absolute;left:4995;top:2190;width:285;height:780" filled="true" fillcolor="#ff00ff" stroked="false">
              <v:fill type="solid"/>
            </v:rect>
            <v:rect style="position:absolute;left:5430;top:2865;width:285;height:285" filled="true" fillcolor="#000080" stroked="false">
              <v:fill type="solid"/>
            </v:rect>
            <v:rect style="position:absolute;left:5430;top:1950;width:285;height:915" filled="true" fillcolor="#ff00ff" stroked="false">
              <v:fill type="solid"/>
            </v:rect>
            <v:rect style="position:absolute;left:5865;top:2670;width:285;height:480" filled="true" fillcolor="#000080" stroked="false">
              <v:fill type="solid"/>
            </v:rect>
            <v:rect style="position:absolute;left:5865;top:1380;width:285;height:1290" filled="true" fillcolor="#ff00ff" stroked="false">
              <v:fill type="solid"/>
            </v:rect>
            <v:rect style="position:absolute;left:6300;top:2490;width:285;height:660" filled="true" fillcolor="#000080" stroked="false">
              <v:fill type="solid"/>
            </v:rect>
            <v:rect style="position:absolute;left:6300;top:990;width:285;height:1500" filled="true" fillcolor="#ff00ff" stroked="false">
              <v:fill type="solid"/>
            </v:rect>
            <v:rect style="position:absolute;left:6735;top:2340;width:285;height:810" filled="true" fillcolor="#000080" stroked="false">
              <v:fill type="solid"/>
            </v:rect>
            <v:rect style="position:absolute;left:6735;top:600;width:285;height:1740" filled="true" fillcolor="#ff00ff" stroked="false">
              <v:fill type="solid"/>
            </v:rect>
            <v:shape style="position:absolute;left:1005;top:180;width:6165;height:2985" coordorigin="1005,180" coordsize="6165,2985" path="m7095,180l7095,3165m7095,3165l7170,3165m7095,2730l7170,2730m7095,2310l7170,2310m7095,1890l7170,1890m7095,1455l7170,1455m7095,1020l7170,1020m7095,600l7170,600m7095,180l7170,180m1005,3165l7095,3165m1005,3165l1005,3090m1440,3165l1440,3090m1875,3165l1875,3090m2310,3165l2310,3090m2745,3165l2745,3090m3180,3165l3180,3090m3615,3165l3615,3090m4065,3165l4065,3090m4485,3165l4485,3090m4920,3165l4920,3090m5355,3165l5355,3090m5790,3165l5790,3090m6225,3165l6225,3090m6660,3165l6660,3090m7095,3165l7095,3090e" filled="false" stroked="true" strokeweight=".75pt" strokecolor="#000000">
              <v:path arrowok="t"/>
              <v:stroke dashstyle="solid"/>
            </v:shape>
            <v:shape style="position:absolute;left:1230;top:2520;width:1305;height:180" coordorigin="1230,2520" coordsize="1305,180" path="m1230,2700l1665,2610m1665,2610l2100,2535m2100,2535l2535,2520e" filled="false" stroked="true" strokeweight="1.5pt" strokecolor="#000000">
              <v:path arrowok="t"/>
              <v:stroke dashstyle="solid"/>
            </v:shape>
            <v:line style="position:absolute" from="2520,2498" to="2985,2498" stroked="true" strokeweight="3.75pt" strokecolor="#000000">
              <v:stroke dashstyle="solid"/>
            </v:line>
            <v:line style="position:absolute" from="2955,2490" to="3420,2490" stroked="true" strokeweight="3pt" strokecolor="#000000">
              <v:stroke dashstyle="solid"/>
            </v:line>
            <v:shape style="position:absolute;left:3405;top:2235;width:1290;height:270" coordorigin="3405,2235" coordsize="1290,270" path="m3405,2505l3840,2505m3840,2505l4275,2370m4275,2370l4695,2235e" filled="false" stroked="true" strokeweight="1.5pt" strokecolor="#000000">
              <v:path arrowok="t"/>
              <v:stroke dashstyle="solid"/>
            </v:shape>
            <v:line style="position:absolute" from="4680,2213" to="5145,2213" stroked="true" strokeweight="3.75pt" strokecolor="#000000">
              <v:stroke dashstyle="solid"/>
            </v:line>
            <v:shape style="position:absolute;left:5130;top:600;width:1740;height:1590" coordorigin="5130,600" coordsize="1740,1590" path="m5130,2190l5565,1950m5565,1950l6000,1380m6000,1380l6435,990m6435,990l6870,600e" filled="false" stroked="true" strokeweight="1.5pt" strokecolor="#000000">
              <v:path arrowok="t"/>
              <v:stroke dashstyle="solid"/>
            </v:shape>
            <v:rect style="position:absolute;left:1320;top:30;width:360;height:150" filled="true" fillcolor="#ff00ff" stroked="false">
              <v:fill type="solid"/>
            </v:rect>
            <v:line style="position:absolute" from="1320,503" to="1680,503" stroked="true" strokeweight="6.75pt" strokecolor="#000080">
              <v:stroke dashstyle="solid"/>
            </v:line>
            <v:line style="position:absolute" from="1320,885" to="1680,885" stroked="true" strokeweight="1.5pt" strokecolor="#000000">
              <v:stroke dashstyle="solid"/>
            </v:line>
            <v:shape style="position:absolute;left:6644;top:-234;width:595;height:235" type="#_x0000_t202" filled="false" stroked="false">
              <v:textbox inset="0,0,0,0">
                <w:txbxContent>
                  <w:p>
                    <w:pPr>
                      <w:spacing w:line="234" w:lineRule="exact" w:before="0"/>
                      <w:ind w:left="0" w:right="0" w:firstLine="0"/>
                      <w:jc w:val="left"/>
                      <w:rPr>
                        <w:sz w:val="21"/>
                      </w:rPr>
                    </w:pPr>
                    <w:r>
                      <w:rPr>
                        <w:sz w:val="21"/>
                      </w:rPr>
                      <w:t>£ </w:t>
                    </w:r>
                    <w:r>
                      <w:rPr>
                        <w:spacing w:val="-5"/>
                        <w:sz w:val="21"/>
                      </w:rPr>
                      <w:t>billio</w:t>
                    </w:r>
                  </w:p>
                </w:txbxContent>
              </v:textbox>
              <w10:wrap type="none"/>
            </v:shape>
            <v:shape style="position:absolute;left:1740;top:6;width:2510;height:1000" type="#_x0000_t202" filled="false" stroked="false">
              <v:textbox inset="0,0,0,0">
                <w:txbxContent>
                  <w:p>
                    <w:pPr>
                      <w:spacing w:line="234" w:lineRule="exact" w:before="0"/>
                      <w:ind w:left="0" w:right="0" w:firstLine="0"/>
                      <w:jc w:val="left"/>
                      <w:rPr>
                        <w:sz w:val="21"/>
                      </w:rPr>
                    </w:pPr>
                    <w:r>
                      <w:rPr>
                        <w:sz w:val="21"/>
                      </w:rPr>
                      <w:t>Regular contributions</w:t>
                    </w:r>
                  </w:p>
                  <w:p>
                    <w:pPr>
                      <w:spacing w:line="370" w:lineRule="atLeast" w:before="20"/>
                      <w:ind w:left="0" w:right="0" w:firstLine="0"/>
                      <w:jc w:val="left"/>
                      <w:rPr>
                        <w:sz w:val="21"/>
                      </w:rPr>
                    </w:pPr>
                    <w:r>
                      <w:rPr>
                        <w:sz w:val="21"/>
                      </w:rPr>
                      <w:t>Special/one-off contributions Total employer contributions</w:t>
                    </w:r>
                  </w:p>
                </w:txbxContent>
              </v:textbox>
              <w10:wrap type="none"/>
            </v:shape>
            <w10:wrap type="none"/>
          </v:group>
        </w:pict>
      </w:r>
      <w:r>
        <w:rPr>
          <w:sz w:val="21"/>
        </w:rPr>
        <w:t>35</w:t>
      </w:r>
    </w:p>
    <w:p>
      <w:pPr>
        <w:spacing w:before="178"/>
        <w:ind w:left="490" w:right="0" w:firstLine="0"/>
        <w:jc w:val="left"/>
        <w:rPr>
          <w:sz w:val="21"/>
        </w:rPr>
      </w:pPr>
      <w:r>
        <w:rPr>
          <w:sz w:val="21"/>
        </w:rPr>
        <w:t>30</w:t>
      </w:r>
    </w:p>
    <w:p>
      <w:pPr>
        <w:spacing w:before="194"/>
        <w:ind w:left="490" w:right="0" w:firstLine="0"/>
        <w:jc w:val="left"/>
        <w:rPr>
          <w:sz w:val="21"/>
        </w:rPr>
      </w:pPr>
      <w:r>
        <w:rPr>
          <w:sz w:val="21"/>
        </w:rPr>
        <w:t>25</w:t>
      </w:r>
    </w:p>
    <w:p>
      <w:pPr>
        <w:spacing w:before="178"/>
        <w:ind w:left="490" w:right="0" w:firstLine="0"/>
        <w:jc w:val="left"/>
        <w:rPr>
          <w:sz w:val="21"/>
        </w:rPr>
      </w:pPr>
      <w:r>
        <w:rPr>
          <w:sz w:val="21"/>
        </w:rPr>
        <w:t>20</w:t>
      </w:r>
    </w:p>
    <w:p>
      <w:pPr>
        <w:spacing w:before="194"/>
        <w:ind w:left="490" w:right="0" w:firstLine="0"/>
        <w:jc w:val="left"/>
        <w:rPr>
          <w:sz w:val="21"/>
        </w:rPr>
      </w:pPr>
      <w:r>
        <w:rPr>
          <w:sz w:val="21"/>
        </w:rPr>
        <w:t>15</w:t>
      </w:r>
    </w:p>
    <w:p>
      <w:pPr>
        <w:spacing w:before="178"/>
        <w:ind w:left="490" w:right="0" w:firstLine="0"/>
        <w:jc w:val="left"/>
        <w:rPr>
          <w:sz w:val="21"/>
        </w:rPr>
      </w:pPr>
      <w:r>
        <w:rPr>
          <w:sz w:val="21"/>
        </w:rPr>
        <w:t>10</w:t>
      </w:r>
    </w:p>
    <w:p>
      <w:pPr>
        <w:spacing w:before="194"/>
        <w:ind w:left="490" w:right="0" w:firstLine="0"/>
        <w:jc w:val="left"/>
        <w:rPr>
          <w:sz w:val="21"/>
        </w:rPr>
      </w:pPr>
      <w:r>
        <w:rPr>
          <w:w w:val="100"/>
          <w:sz w:val="21"/>
        </w:rPr>
        <w:t>5</w:t>
      </w:r>
    </w:p>
    <w:p>
      <w:pPr>
        <w:spacing w:before="178"/>
        <w:ind w:left="0" w:right="3357" w:firstLine="0"/>
        <w:jc w:val="right"/>
        <w:rPr>
          <w:sz w:val="21"/>
        </w:rPr>
      </w:pPr>
      <w:r>
        <w:rPr>
          <w:w w:val="100"/>
          <w:sz w:val="21"/>
        </w:rPr>
        <w:t>0</w:t>
      </w:r>
    </w:p>
    <w:p>
      <w:pPr>
        <w:spacing w:before="104"/>
        <w:ind w:left="0" w:right="3418" w:firstLine="0"/>
        <w:jc w:val="right"/>
        <w:rPr>
          <w:sz w:val="21"/>
        </w:rPr>
      </w:pPr>
      <w:r>
        <w:rPr>
          <w:sz w:val="21"/>
        </w:rPr>
        <w:t>2005</w:t>
      </w:r>
    </w:p>
    <w:p>
      <w:pPr>
        <w:spacing w:after="0"/>
        <w:jc w:val="right"/>
        <w:rPr>
          <w:sz w:val="21"/>
        </w:rPr>
        <w:sectPr>
          <w:type w:val="continuous"/>
          <w:pgSz w:w="11920" w:h="16840"/>
          <w:pgMar w:top="1180" w:bottom="280" w:left="800" w:right="1180"/>
          <w:cols w:num="2" w:equalWidth="0">
            <w:col w:w="5885" w:space="99"/>
            <w:col w:w="3956"/>
          </w:cols>
        </w:sectPr>
      </w:pPr>
    </w:p>
    <w:p>
      <w:pPr>
        <w:pStyle w:val="BodyText"/>
        <w:spacing w:before="8"/>
        <w:rPr>
          <w:sz w:val="14"/>
        </w:rPr>
      </w:pPr>
    </w:p>
    <w:p>
      <w:pPr>
        <w:spacing w:before="96"/>
        <w:ind w:left="0" w:right="3147" w:firstLine="0"/>
        <w:jc w:val="right"/>
        <w:rPr>
          <w:sz w:val="19"/>
        </w:rPr>
      </w:pPr>
      <w:r>
        <w:rPr>
          <w:sz w:val="19"/>
        </w:rPr>
        <w:t>Per cent of GDP, constant prices</w:t>
      </w:r>
    </w:p>
    <w:p>
      <w:pPr>
        <w:spacing w:before="18"/>
        <w:ind w:left="0" w:right="3209" w:firstLine="0"/>
        <w:jc w:val="right"/>
        <w:rPr>
          <w:sz w:val="21"/>
        </w:rPr>
      </w:pPr>
      <w:r>
        <w:rPr/>
        <w:pict>
          <v:group style="position:absolute;margin-left:61.875pt;margin-top:6.577734pt;width:299.650pt;height:156.75pt;mso-position-horizontal-relative:page;mso-position-vertical-relative:paragraph;z-index:251699200" coordorigin="1238,132" coordsize="5993,3135">
            <v:shape style="position:absolute;left:1245;top:139;width:5985;height:3120" coordorigin="1245,139" coordsize="5985,3120" path="m7170,139l7170,3259m7170,3259l7230,3259m7170,2629l7230,2629m7170,1999l7230,1999m7170,1399l7230,1399m7170,769l7230,769m7170,139l7230,139m1245,3259l7170,3259m1245,3259l1245,3199m2370,3259l2370,3199m3495,3259l3495,3199m4605,3259l4605,3199m5730,3259l5730,3199m6855,3259l6855,3199e" filled="false" stroked="true" strokeweight=".75pt" strokecolor="#000000">
              <v:path arrowok="t"/>
              <v:stroke dashstyle="solid"/>
            </v:shape>
            <v:line style="position:absolute" from="1260,1639" to="1350,1624" stroked="true" strokeweight="1.5pt" strokecolor="#000080">
              <v:stroke dashstyle="solid"/>
            </v:line>
            <v:shape style="position:absolute;left:1350;top:979;width:5715;height:1170" coordorigin="1350,979" coordsize="5715,1170" path="m1350,1624l1455,1654m1455,1654l1545,1684m1545,1684l1635,1729m1635,1729l1725,1834m1725,1834l1830,1954m1830,1954l1920,1879m1920,1879l2010,1879m2010,1879l2100,1924m2100,1924l2205,1954m2205,1954l2295,2059m2295,2059l2385,2014m2385,2014l2475,2119m2475,2119l2580,2134m2580,2134l2670,2119m2670,2119l2760,2104m2760,2104l2850,2149m2850,2149l2955,2089m2955,2089l3045,2029m3045,2029l3135,2089m3135,2089l3225,2014m3225,2014l3330,1909m3330,1909l3420,1894m3420,1894l3510,1819m3510,1819l3600,1774m3600,1774l3705,1774m3705,1774l3795,1819m3795,1819l3885,1714m3885,1714l3975,1639m3975,1639l4080,1624m4080,1624l4170,1474m4170,1474l4260,1294m4260,1294l4350,1219m4350,1219l4455,1114m4455,1114l4530,1114m4530,1114l4620,1159m4620,1159l4710,1219m4710,1219l4815,1114m4815,1114l4905,1189m4905,1189l4995,1264m4995,1264l5085,1249m5085,1249l5190,1129m5190,1129l5280,979m5280,979l5370,1114m5370,1114l5460,1144m5460,1144l5565,1174m5565,1174l5655,1309m5655,1309l5745,1249m5745,1249l5835,1234m5835,1234l5940,1279m5940,1279l6030,1174m6030,1174l6120,1384m6120,1384l6210,1339m6210,1339l6315,1459m6315,1459l6405,1369m6405,1369l6495,1399m6495,1399l6585,1399m6585,1399l6690,1339m6690,1339l6780,1384m6780,1384l6870,1384m6870,1384l6960,1369m6960,1369l7065,1354e" filled="false" stroked="true" strokeweight="1.5pt" strokecolor="#000080">
              <v:path arrowok="t"/>
              <v:stroke dashstyle="solid"/>
            </v:shape>
            <v:line style="position:absolute" from="7065,1354" to="7155,1399" stroked="true" strokeweight="1.5pt" strokecolor="#000080">
              <v:stroke dashstyle="solid"/>
            </v:line>
            <w10:wrap type="none"/>
          </v:group>
        </w:pict>
      </w:r>
      <w:r>
        <w:rPr>
          <w:spacing w:val="5"/>
          <w:w w:val="90"/>
          <w:sz w:val="21"/>
        </w:rPr>
        <w:t>14</w:t>
      </w:r>
    </w:p>
    <w:p>
      <w:pPr>
        <w:pStyle w:val="BodyText"/>
        <w:spacing w:before="11"/>
        <w:rPr>
          <w:sz w:val="25"/>
        </w:rPr>
      </w:pPr>
    </w:p>
    <w:p>
      <w:pPr>
        <w:spacing w:before="90"/>
        <w:ind w:left="6520" w:right="0" w:firstLine="0"/>
        <w:jc w:val="left"/>
        <w:rPr>
          <w:sz w:val="21"/>
        </w:rPr>
      </w:pPr>
      <w:r>
        <w:rPr>
          <w:spacing w:val="6"/>
          <w:sz w:val="21"/>
        </w:rPr>
        <w:t>12</w:t>
      </w:r>
    </w:p>
    <w:p>
      <w:pPr>
        <w:pStyle w:val="BodyText"/>
        <w:spacing w:before="11"/>
        <w:rPr>
          <w:sz w:val="25"/>
        </w:rPr>
      </w:pPr>
    </w:p>
    <w:p>
      <w:pPr>
        <w:spacing w:before="90"/>
        <w:ind w:left="6520" w:right="0" w:firstLine="0"/>
        <w:jc w:val="left"/>
        <w:rPr>
          <w:sz w:val="21"/>
        </w:rPr>
      </w:pPr>
      <w:r>
        <w:rPr>
          <w:spacing w:val="6"/>
          <w:sz w:val="21"/>
        </w:rPr>
        <w:t>10</w:t>
      </w:r>
    </w:p>
    <w:p>
      <w:pPr>
        <w:pStyle w:val="BodyText"/>
        <w:spacing w:before="7"/>
      </w:pPr>
    </w:p>
    <w:p>
      <w:pPr>
        <w:spacing w:before="91"/>
        <w:ind w:left="3198" w:right="0" w:firstLine="0"/>
        <w:jc w:val="center"/>
        <w:rPr>
          <w:sz w:val="21"/>
        </w:rPr>
      </w:pPr>
      <w:r>
        <w:rPr>
          <w:w w:val="93"/>
          <w:sz w:val="21"/>
        </w:rPr>
        <w:t>8</w:t>
      </w:r>
    </w:p>
    <w:p>
      <w:pPr>
        <w:pStyle w:val="BodyText"/>
        <w:spacing w:before="7"/>
      </w:pPr>
    </w:p>
    <w:p>
      <w:pPr>
        <w:spacing w:before="90"/>
        <w:ind w:left="3198" w:right="0" w:firstLine="0"/>
        <w:jc w:val="center"/>
        <w:rPr>
          <w:sz w:val="21"/>
        </w:rPr>
      </w:pPr>
      <w:r>
        <w:rPr>
          <w:w w:val="93"/>
          <w:sz w:val="21"/>
        </w:rPr>
        <w:t>6</w:t>
      </w:r>
    </w:p>
    <w:p>
      <w:pPr>
        <w:pStyle w:val="BodyText"/>
        <w:spacing w:before="11"/>
        <w:rPr>
          <w:sz w:val="25"/>
        </w:rPr>
      </w:pPr>
    </w:p>
    <w:p>
      <w:pPr>
        <w:spacing w:before="90"/>
        <w:ind w:left="6520" w:right="0" w:firstLine="0"/>
        <w:jc w:val="left"/>
        <w:rPr>
          <w:sz w:val="21"/>
        </w:rPr>
      </w:pPr>
      <w:r>
        <w:rPr>
          <w:w w:val="93"/>
          <w:sz w:val="21"/>
        </w:rPr>
        <w:t>4</w:t>
      </w:r>
    </w:p>
    <w:p>
      <w:pPr>
        <w:tabs>
          <w:tab w:pos="1374" w:val="left" w:leader="none"/>
          <w:tab w:pos="2499" w:val="left" w:leader="none"/>
          <w:tab w:pos="3624" w:val="left" w:leader="none"/>
          <w:tab w:pos="4734" w:val="left" w:leader="none"/>
          <w:tab w:pos="5859" w:val="left" w:leader="none"/>
        </w:tabs>
        <w:spacing w:before="59"/>
        <w:ind w:left="249" w:right="0" w:firstLine="0"/>
        <w:jc w:val="left"/>
        <w:rPr>
          <w:sz w:val="21"/>
        </w:rPr>
      </w:pPr>
      <w:r>
        <w:rPr>
          <w:spacing w:val="4"/>
          <w:sz w:val="21"/>
        </w:rPr>
        <w:t>1990</w:t>
        <w:tab/>
        <w:t>1993</w:t>
        <w:tab/>
        <w:t>1996</w:t>
        <w:tab/>
      </w:r>
      <w:r>
        <w:rPr>
          <w:sz w:val="21"/>
        </w:rPr>
        <w:t>1999</w:t>
        <w:tab/>
      </w:r>
      <w:r>
        <w:rPr>
          <w:spacing w:val="4"/>
          <w:sz w:val="21"/>
        </w:rPr>
        <w:t>2002</w:t>
        <w:tab/>
      </w:r>
      <w:r>
        <w:rPr>
          <w:spacing w:val="6"/>
          <w:sz w:val="21"/>
        </w:rPr>
        <w:t>2005</w:t>
      </w:r>
    </w:p>
    <w:p>
      <w:pPr>
        <w:spacing w:before="11"/>
        <w:ind w:left="234" w:right="0" w:firstLine="0"/>
        <w:jc w:val="left"/>
        <w:rPr>
          <w:sz w:val="18"/>
        </w:rPr>
      </w:pPr>
      <w:r>
        <w:rPr>
          <w:sz w:val="18"/>
        </w:rPr>
        <w:t>Source: ONS and BoE calculations</w:t>
      </w:r>
    </w:p>
    <w:p>
      <w:pPr>
        <w:spacing w:after="0"/>
        <w:jc w:val="left"/>
        <w:rPr>
          <w:sz w:val="18"/>
        </w:rPr>
        <w:sectPr>
          <w:type w:val="continuous"/>
          <w:pgSz w:w="11920" w:h="16840"/>
          <w:pgMar w:top="1180" w:bottom="280" w:left="800" w:right="1180"/>
        </w:sectPr>
      </w:pPr>
    </w:p>
    <w:p>
      <w:pPr>
        <w:pStyle w:val="BodyText"/>
        <w:spacing w:before="2"/>
        <w:rPr>
          <w:sz w:val="14"/>
        </w:rPr>
      </w:pPr>
    </w:p>
    <w:p>
      <w:pPr>
        <w:pStyle w:val="Heading1"/>
        <w:spacing w:before="91"/>
        <w:ind w:right="3256"/>
        <w:jc w:val="right"/>
      </w:pPr>
      <w:r>
        <w:rPr>
          <w:w w:val="95"/>
        </w:rPr>
        <w:t>percentage difference from trough in I/Y ratio</w:t>
      </w:r>
    </w:p>
    <w:p>
      <w:pPr>
        <w:spacing w:before="26"/>
        <w:ind w:left="0" w:right="3298" w:firstLine="0"/>
        <w:jc w:val="right"/>
        <w:rPr>
          <w:sz w:val="22"/>
        </w:rPr>
      </w:pPr>
      <w:r>
        <w:rPr/>
        <w:pict>
          <v:group style="position:absolute;margin-left:54.75pt;margin-top:8.194531pt;width:302.650pt;height:151.9pt;mso-position-horizontal-relative:page;mso-position-vertical-relative:paragraph;z-index:251702272" coordorigin="1095,164" coordsize="6053,3038">
            <v:shape style="position:absolute;left:1095;top:163;width:6053;height:3038" type="#_x0000_t75" stroked="false">
              <v:imagedata r:id="rId27" o:title=""/>
            </v:shape>
            <v:shape style="position:absolute;left:3030;top:1147;width:2435;height:279" type="#_x0000_t202" filled="false" stroked="false">
              <v:textbox inset="0,0,0,0">
                <w:txbxContent>
                  <w:p>
                    <w:pPr>
                      <w:spacing w:line="278" w:lineRule="exact" w:before="0"/>
                      <w:ind w:left="0" w:right="0" w:firstLine="0"/>
                      <w:jc w:val="left"/>
                      <w:rPr>
                        <w:sz w:val="25"/>
                      </w:rPr>
                    </w:pPr>
                    <w:r>
                      <w:rPr>
                        <w:color w:val="008000"/>
                        <w:w w:val="95"/>
                        <w:sz w:val="25"/>
                      </w:rPr>
                      <w:t>Average</w:t>
                    </w:r>
                    <w:r>
                      <w:rPr>
                        <w:color w:val="008000"/>
                        <w:spacing w:val="-40"/>
                        <w:w w:val="95"/>
                        <w:sz w:val="25"/>
                      </w:rPr>
                      <w:t> </w:t>
                    </w:r>
                    <w:r>
                      <w:rPr>
                        <w:color w:val="008000"/>
                        <w:w w:val="95"/>
                        <w:sz w:val="25"/>
                      </w:rPr>
                      <w:t>of</w:t>
                    </w:r>
                    <w:r>
                      <w:rPr>
                        <w:color w:val="008000"/>
                        <w:spacing w:val="-39"/>
                        <w:w w:val="95"/>
                        <w:sz w:val="25"/>
                      </w:rPr>
                      <w:t> </w:t>
                    </w:r>
                    <w:r>
                      <w:rPr>
                        <w:color w:val="008000"/>
                        <w:w w:val="95"/>
                        <w:sz w:val="25"/>
                      </w:rPr>
                      <w:t>past</w:t>
                    </w:r>
                    <w:r>
                      <w:rPr>
                        <w:color w:val="008000"/>
                        <w:spacing w:val="-39"/>
                        <w:w w:val="95"/>
                        <w:sz w:val="25"/>
                      </w:rPr>
                      <w:t> </w:t>
                    </w:r>
                    <w:r>
                      <w:rPr>
                        <w:color w:val="008000"/>
                        <w:w w:val="95"/>
                        <w:sz w:val="25"/>
                      </w:rPr>
                      <w:t>recoveries</w:t>
                    </w:r>
                  </w:p>
                </w:txbxContent>
              </v:textbox>
              <w10:wrap type="none"/>
            </v:shape>
            <v:shape style="position:absolute;left:5985;top:2572;width:710;height:279" type="#_x0000_t202" filled="false" stroked="false">
              <v:textbox inset="0,0,0,0">
                <w:txbxContent>
                  <w:p>
                    <w:pPr>
                      <w:spacing w:line="278" w:lineRule="exact" w:before="0"/>
                      <w:ind w:left="0" w:right="0" w:firstLine="0"/>
                      <w:jc w:val="left"/>
                      <w:rPr>
                        <w:sz w:val="25"/>
                      </w:rPr>
                    </w:pPr>
                    <w:r>
                      <w:rPr>
                        <w:color w:val="000080"/>
                        <w:w w:val="90"/>
                        <w:sz w:val="25"/>
                      </w:rPr>
                      <w:t>Current</w:t>
                    </w:r>
                  </w:p>
                </w:txbxContent>
              </v:textbox>
              <w10:wrap type="none"/>
            </v:shape>
            <w10:wrap type="none"/>
          </v:group>
        </w:pict>
      </w:r>
      <w:r>
        <w:rPr>
          <w:spacing w:val="5"/>
          <w:w w:val="90"/>
          <w:sz w:val="22"/>
        </w:rPr>
        <w:t>30</w:t>
      </w:r>
    </w:p>
    <w:p>
      <w:pPr>
        <w:pStyle w:val="BodyText"/>
        <w:spacing w:before="5"/>
        <w:rPr>
          <w:sz w:val="14"/>
        </w:rPr>
      </w:pPr>
    </w:p>
    <w:p>
      <w:pPr>
        <w:spacing w:before="91"/>
        <w:ind w:left="6430" w:right="0" w:firstLine="0"/>
        <w:jc w:val="left"/>
        <w:rPr>
          <w:sz w:val="22"/>
        </w:rPr>
      </w:pPr>
      <w:r>
        <w:rPr>
          <w:spacing w:val="6"/>
          <w:sz w:val="22"/>
        </w:rPr>
        <w:t>25</w:t>
      </w:r>
    </w:p>
    <w:p>
      <w:pPr>
        <w:pStyle w:val="BodyText"/>
        <w:rPr>
          <w:sz w:val="21"/>
        </w:rPr>
      </w:pPr>
    </w:p>
    <w:p>
      <w:pPr>
        <w:spacing w:before="1"/>
        <w:ind w:left="6430" w:right="0" w:firstLine="0"/>
        <w:jc w:val="left"/>
        <w:rPr>
          <w:sz w:val="22"/>
        </w:rPr>
      </w:pPr>
      <w:r>
        <w:rPr>
          <w:spacing w:val="6"/>
          <w:sz w:val="22"/>
        </w:rPr>
        <w:t>20</w:t>
      </w:r>
    </w:p>
    <w:p>
      <w:pPr>
        <w:pStyle w:val="BodyText"/>
        <w:spacing w:before="3"/>
        <w:rPr>
          <w:sz w:val="22"/>
        </w:rPr>
      </w:pPr>
    </w:p>
    <w:p>
      <w:pPr>
        <w:spacing w:before="1"/>
        <w:ind w:left="6430" w:right="0" w:firstLine="0"/>
        <w:jc w:val="left"/>
        <w:rPr>
          <w:sz w:val="22"/>
        </w:rPr>
      </w:pPr>
      <w:r>
        <w:rPr>
          <w:spacing w:val="6"/>
          <w:sz w:val="22"/>
        </w:rPr>
        <w:t>15</w:t>
      </w:r>
    </w:p>
    <w:p>
      <w:pPr>
        <w:pStyle w:val="BodyText"/>
        <w:spacing w:before="5"/>
        <w:rPr>
          <w:sz w:val="14"/>
        </w:rPr>
      </w:pPr>
    </w:p>
    <w:p>
      <w:pPr>
        <w:spacing w:before="91"/>
        <w:ind w:left="6430" w:right="0" w:firstLine="0"/>
        <w:jc w:val="left"/>
        <w:rPr>
          <w:sz w:val="22"/>
        </w:rPr>
      </w:pPr>
      <w:r>
        <w:rPr>
          <w:spacing w:val="6"/>
          <w:sz w:val="22"/>
        </w:rPr>
        <w:t>10</w:t>
      </w:r>
    </w:p>
    <w:p>
      <w:pPr>
        <w:pStyle w:val="BodyText"/>
        <w:rPr>
          <w:sz w:val="21"/>
        </w:rPr>
      </w:pPr>
    </w:p>
    <w:p>
      <w:pPr>
        <w:spacing w:before="0"/>
        <w:ind w:left="6430" w:right="0" w:firstLine="0"/>
        <w:jc w:val="left"/>
        <w:rPr>
          <w:sz w:val="22"/>
        </w:rPr>
      </w:pPr>
      <w:r>
        <w:rPr>
          <w:w w:val="89"/>
          <w:sz w:val="22"/>
        </w:rPr>
        <w:t>5</w:t>
      </w:r>
    </w:p>
    <w:p>
      <w:pPr>
        <w:pStyle w:val="BodyText"/>
        <w:spacing w:before="4"/>
        <w:rPr>
          <w:sz w:val="22"/>
        </w:rPr>
      </w:pPr>
    </w:p>
    <w:p>
      <w:pPr>
        <w:spacing w:before="0"/>
        <w:ind w:left="6430" w:right="0" w:firstLine="0"/>
        <w:jc w:val="left"/>
        <w:rPr>
          <w:sz w:val="22"/>
        </w:rPr>
      </w:pPr>
      <w:r>
        <w:rPr>
          <w:w w:val="89"/>
          <w:sz w:val="22"/>
        </w:rPr>
        <w:t>0</w:t>
      </w:r>
    </w:p>
    <w:p>
      <w:pPr>
        <w:tabs>
          <w:tab w:pos="940" w:val="left" w:leader="none"/>
          <w:tab w:pos="1645" w:val="left" w:leader="none"/>
          <w:tab w:pos="2350" w:val="left" w:leader="none"/>
          <w:tab w:pos="3085" w:val="left" w:leader="none"/>
          <w:tab w:pos="3775" w:val="left" w:leader="none"/>
          <w:tab w:pos="4480" w:val="left" w:leader="none"/>
          <w:tab w:pos="5184" w:val="left" w:leader="none"/>
          <w:tab w:pos="5889" w:val="left" w:leader="none"/>
        </w:tabs>
        <w:spacing w:line="189" w:lineRule="exact" w:before="81"/>
        <w:ind w:left="235" w:right="0" w:firstLine="0"/>
        <w:jc w:val="left"/>
        <w:rPr>
          <w:sz w:val="20"/>
        </w:rPr>
      </w:pPr>
      <w:r>
        <w:rPr>
          <w:sz w:val="20"/>
        </w:rPr>
        <w:t>-8</w:t>
        <w:tab/>
        <w:t>-6</w:t>
        <w:tab/>
        <w:t>-4</w:t>
        <w:tab/>
        <w:t>-2</w:t>
        <w:tab/>
        <w:t>0</w:t>
        <w:tab/>
        <w:t>2</w:t>
        <w:tab/>
        <w:t>4</w:t>
        <w:tab/>
        <w:t>6</w:t>
        <w:tab/>
        <w:t>8</w:t>
      </w:r>
    </w:p>
    <w:p>
      <w:pPr>
        <w:pStyle w:val="Heading1"/>
        <w:spacing w:line="247" w:lineRule="exact"/>
        <w:ind w:left="2110"/>
      </w:pPr>
      <w:r>
        <w:rPr/>
        <w:t>quarters relative to trough</w:t>
      </w:r>
    </w:p>
    <w:p>
      <w:pPr>
        <w:spacing w:before="68"/>
        <w:ind w:left="235" w:right="0" w:firstLine="0"/>
        <w:jc w:val="left"/>
        <w:rPr>
          <w:sz w:val="19"/>
        </w:rPr>
      </w:pPr>
      <w:r>
        <w:rPr>
          <w:sz w:val="19"/>
        </w:rPr>
        <w:t>Source: ONS and BoE calculations</w:t>
      </w:r>
    </w:p>
    <w:p>
      <w:pPr>
        <w:pStyle w:val="BodyText"/>
        <w:spacing w:before="8"/>
        <w:rPr>
          <w:sz w:val="18"/>
        </w:rPr>
      </w:pPr>
    </w:p>
    <w:p>
      <w:pPr>
        <w:pStyle w:val="Heading2"/>
        <w:spacing w:before="0"/>
      </w:pPr>
      <w:r>
        <w:rPr>
          <w:color w:val="FF0000"/>
        </w:rPr>
        <w:t>Chart 13: Revisions to UK business investment</w:t>
      </w:r>
    </w:p>
    <w:p>
      <w:pPr>
        <w:spacing w:before="191"/>
        <w:ind w:left="1015" w:right="593" w:firstLine="0"/>
        <w:jc w:val="center"/>
        <w:rPr>
          <w:sz w:val="19"/>
        </w:rPr>
      </w:pPr>
      <w:r>
        <w:rPr>
          <w:sz w:val="19"/>
        </w:rPr>
        <w:t>Percentage change on a  quarter earlier</w:t>
      </w:r>
    </w:p>
    <w:p>
      <w:pPr>
        <w:pStyle w:val="BodyText"/>
        <w:spacing w:before="35"/>
        <w:ind w:left="6400"/>
      </w:pPr>
      <w:r>
        <w:rPr/>
        <w:pict>
          <v:group style="position:absolute;margin-left:60.375pt;margin-top:4.546836pt;width:294.75pt;height:158.050pt;mso-position-horizontal-relative:page;mso-position-vertical-relative:paragraph;z-index:251706368" coordorigin="1208,91" coordsize="5895,3161">
            <v:shape style="position:absolute;left:1207;top:161;width:5895;height:3090" type="#_x0000_t75" stroked="false">
              <v:imagedata r:id="rId28" o:title=""/>
            </v:shape>
            <v:shape style="position:absolute;left:1424;top:90;width:1655;height:265" type="#_x0000_t202" filled="false" stroked="false">
              <v:textbox inset="0,0,0,0">
                <w:txbxContent>
                  <w:p>
                    <w:pPr>
                      <w:spacing w:line="265" w:lineRule="exact" w:before="0"/>
                      <w:ind w:left="0" w:right="0" w:firstLine="0"/>
                      <w:jc w:val="left"/>
                      <w:rPr>
                        <w:b/>
                        <w:sz w:val="24"/>
                      </w:rPr>
                    </w:pPr>
                    <w:r>
                      <w:rPr>
                        <w:b/>
                        <w:color w:val="FF00FF"/>
                        <w:w w:val="95"/>
                        <w:sz w:val="24"/>
                      </w:rPr>
                      <w:t>Initial Estimates</w:t>
                    </w:r>
                  </w:p>
                </w:txbxContent>
              </v:textbox>
              <w10:wrap type="none"/>
            </v:shape>
            <v:shape style="position:absolute;left:4829;top:210;width:1055;height:580" type="#_x0000_t202" filled="false" stroked="false">
              <v:textbox inset="0,0,0,0">
                <w:txbxContent>
                  <w:p>
                    <w:pPr>
                      <w:spacing w:line="265" w:lineRule="exact" w:before="0"/>
                      <w:ind w:left="0" w:right="0" w:firstLine="0"/>
                      <w:jc w:val="left"/>
                      <w:rPr>
                        <w:b/>
                        <w:sz w:val="24"/>
                      </w:rPr>
                    </w:pPr>
                    <w:r>
                      <w:rPr>
                        <w:b/>
                        <w:color w:val="BFBFBF"/>
                        <w:spacing w:val="5"/>
                        <w:w w:val="95"/>
                        <w:sz w:val="24"/>
                      </w:rPr>
                      <w:t>Susequent</w:t>
                    </w:r>
                  </w:p>
                  <w:p>
                    <w:pPr>
                      <w:spacing w:before="39"/>
                      <w:ind w:left="30" w:right="0" w:firstLine="0"/>
                      <w:jc w:val="left"/>
                      <w:rPr>
                        <w:b/>
                        <w:sz w:val="24"/>
                      </w:rPr>
                    </w:pPr>
                    <w:r>
                      <w:rPr>
                        <w:b/>
                        <w:color w:val="BFBFBF"/>
                        <w:spacing w:val="6"/>
                        <w:w w:val="95"/>
                        <w:sz w:val="24"/>
                      </w:rPr>
                      <w:t>Estimates</w:t>
                    </w:r>
                  </w:p>
                </w:txbxContent>
              </v:textbox>
              <w10:wrap type="none"/>
            </v:shape>
            <v:shape style="position:absolute;left:3179;top:2895;width:1205;height:265" type="#_x0000_t202" filled="false" stroked="false">
              <v:textbox inset="0,0,0,0">
                <w:txbxContent>
                  <w:p>
                    <w:pPr>
                      <w:spacing w:line="265" w:lineRule="exact" w:before="0"/>
                      <w:ind w:left="0" w:right="0" w:firstLine="0"/>
                      <w:jc w:val="left"/>
                      <w:rPr>
                        <w:b/>
                        <w:sz w:val="24"/>
                      </w:rPr>
                    </w:pPr>
                    <w:r>
                      <w:rPr>
                        <w:b/>
                        <w:color w:val="000080"/>
                        <w:w w:val="95"/>
                        <w:sz w:val="24"/>
                      </w:rPr>
                      <w:t>Latest Data</w:t>
                    </w:r>
                  </w:p>
                </w:txbxContent>
              </v:textbox>
              <w10:wrap type="none"/>
            </v:shape>
            <w10:wrap type="none"/>
          </v:group>
        </w:pict>
      </w:r>
      <w:r>
        <w:rPr>
          <w:spacing w:val="7"/>
        </w:rPr>
        <w:t>12</w:t>
      </w:r>
    </w:p>
    <w:p>
      <w:pPr>
        <w:pStyle w:val="BodyText"/>
        <w:spacing w:before="114"/>
        <w:ind w:left="6400"/>
      </w:pPr>
      <w:r>
        <w:rPr>
          <w:w w:val="93"/>
        </w:rPr>
        <w:t>9</w:t>
      </w:r>
    </w:p>
    <w:p>
      <w:pPr>
        <w:pStyle w:val="BodyText"/>
        <w:spacing w:before="114"/>
        <w:ind w:left="6400"/>
      </w:pPr>
      <w:r>
        <w:rPr>
          <w:w w:val="93"/>
        </w:rPr>
        <w:t>6</w:t>
      </w:r>
    </w:p>
    <w:p>
      <w:pPr>
        <w:pStyle w:val="BodyText"/>
        <w:spacing w:before="99"/>
        <w:ind w:left="6400"/>
      </w:pPr>
      <w:r>
        <w:rPr>
          <w:w w:val="93"/>
        </w:rPr>
        <w:t>3</w:t>
      </w:r>
    </w:p>
    <w:p>
      <w:pPr>
        <w:pStyle w:val="BodyText"/>
        <w:spacing w:before="114"/>
        <w:ind w:left="6400"/>
      </w:pPr>
      <w:r>
        <w:rPr>
          <w:w w:val="93"/>
        </w:rPr>
        <w:t>0</w:t>
      </w:r>
    </w:p>
    <w:p>
      <w:pPr>
        <w:pStyle w:val="BodyText"/>
        <w:spacing w:before="114"/>
        <w:ind w:left="6400"/>
      </w:pPr>
      <w:r>
        <w:rPr>
          <w:spacing w:val="11"/>
        </w:rPr>
        <w:t>-3</w:t>
      </w:r>
    </w:p>
    <w:p>
      <w:pPr>
        <w:pStyle w:val="BodyText"/>
        <w:spacing w:before="99"/>
        <w:ind w:left="6400"/>
      </w:pPr>
      <w:r>
        <w:rPr>
          <w:spacing w:val="11"/>
        </w:rPr>
        <w:t>-6</w:t>
      </w:r>
    </w:p>
    <w:p>
      <w:pPr>
        <w:pStyle w:val="BodyText"/>
        <w:spacing w:before="99"/>
        <w:ind w:left="6400"/>
      </w:pPr>
      <w:r>
        <w:rPr>
          <w:spacing w:val="11"/>
        </w:rPr>
        <w:t>-9</w:t>
      </w:r>
    </w:p>
    <w:p>
      <w:pPr>
        <w:pStyle w:val="BodyText"/>
        <w:spacing w:before="114"/>
        <w:ind w:left="6400"/>
      </w:pPr>
      <w:r>
        <w:rPr/>
        <w:t>-12</w:t>
      </w:r>
    </w:p>
    <w:p>
      <w:pPr>
        <w:pStyle w:val="BodyText"/>
        <w:tabs>
          <w:tab w:pos="1134" w:val="left" w:leader="none"/>
          <w:tab w:pos="2034" w:val="left" w:leader="none"/>
          <w:tab w:pos="2934" w:val="left" w:leader="none"/>
          <w:tab w:pos="3819" w:val="left" w:leader="none"/>
          <w:tab w:pos="4719" w:val="left" w:leader="none"/>
          <w:tab w:pos="5619" w:val="left" w:leader="none"/>
        </w:tabs>
        <w:spacing w:line="271" w:lineRule="exact" w:before="84"/>
        <w:ind w:left="234"/>
      </w:pPr>
      <w:r>
        <w:rPr>
          <w:spacing w:val="5"/>
        </w:rPr>
        <w:t>1993</w:t>
        <w:tab/>
        <w:t>1995</w:t>
        <w:tab/>
        <w:t>1997</w:t>
        <w:tab/>
        <w:t>1999</w:t>
        <w:tab/>
        <w:t>2001</w:t>
        <w:tab/>
        <w:t>2003</w:t>
        <w:tab/>
      </w:r>
      <w:r>
        <w:rPr>
          <w:spacing w:val="7"/>
        </w:rPr>
        <w:t>2005</w:t>
      </w:r>
    </w:p>
    <w:p>
      <w:pPr>
        <w:spacing w:line="202" w:lineRule="exact" w:before="0"/>
        <w:ind w:left="354" w:right="0" w:firstLine="0"/>
        <w:jc w:val="left"/>
        <w:rPr>
          <w:sz w:val="18"/>
        </w:rPr>
      </w:pPr>
      <w:r>
        <w:rPr>
          <w:sz w:val="18"/>
        </w:rPr>
        <w:t>Source: ONS</w:t>
      </w:r>
    </w:p>
    <w:p>
      <w:pPr>
        <w:spacing w:after="0" w:line="202" w:lineRule="exact"/>
        <w:jc w:val="left"/>
        <w:rPr>
          <w:sz w:val="18"/>
        </w:rPr>
        <w:sectPr>
          <w:headerReference w:type="default" r:id="rId25"/>
          <w:footerReference w:type="default" r:id="rId26"/>
          <w:pgSz w:w="11920" w:h="16840"/>
          <w:pgMar w:header="1716" w:footer="985" w:top="1980" w:bottom="1180" w:left="800" w:right="1180"/>
        </w:sectPr>
      </w:pPr>
    </w:p>
    <w:p>
      <w:pPr>
        <w:pStyle w:val="BodyText"/>
        <w:spacing w:before="8"/>
        <w:rPr>
          <w:sz w:val="15"/>
        </w:rPr>
      </w:pPr>
    </w:p>
    <w:p>
      <w:pPr>
        <w:spacing w:line="232" w:lineRule="exact" w:before="96"/>
        <w:ind w:left="0" w:right="3733" w:firstLine="0"/>
        <w:jc w:val="right"/>
        <w:rPr>
          <w:sz w:val="21"/>
        </w:rPr>
      </w:pPr>
      <w:r>
        <w:rPr>
          <w:sz w:val="21"/>
        </w:rPr>
        <w:t>Per cent</w:t>
      </w:r>
    </w:p>
    <w:p>
      <w:pPr>
        <w:spacing w:line="198" w:lineRule="exact" w:before="0"/>
        <w:ind w:left="0" w:right="3716" w:firstLine="0"/>
        <w:jc w:val="right"/>
        <w:rPr>
          <w:sz w:val="18"/>
        </w:rPr>
      </w:pPr>
      <w:r>
        <w:rPr/>
        <w:drawing>
          <wp:anchor distT="0" distB="0" distL="0" distR="0" allowOverlap="1" layoutInCell="1" locked="0" behindDoc="0" simplePos="0" relativeHeight="251713536">
            <wp:simplePos x="0" y="0"/>
            <wp:positionH relativeFrom="page">
              <wp:posOffset>766762</wp:posOffset>
            </wp:positionH>
            <wp:positionV relativeFrom="paragraph">
              <wp:posOffset>48457</wp:posOffset>
            </wp:positionV>
            <wp:extent cx="3581400" cy="1924050"/>
            <wp:effectExtent l="0" t="0" r="0" b="0"/>
            <wp:wrapNone/>
            <wp:docPr id="3" name="image9.png"/>
            <wp:cNvGraphicFramePr>
              <a:graphicFrameLocks noChangeAspect="1"/>
            </wp:cNvGraphicFramePr>
            <a:graphic>
              <a:graphicData uri="http://schemas.openxmlformats.org/drawingml/2006/picture">
                <pic:pic>
                  <pic:nvPicPr>
                    <pic:cNvPr id="4" name="image9.png"/>
                    <pic:cNvPicPr/>
                  </pic:nvPicPr>
                  <pic:blipFill>
                    <a:blip r:embed="rId31" cstate="print"/>
                    <a:stretch>
                      <a:fillRect/>
                    </a:stretch>
                  </pic:blipFill>
                  <pic:spPr>
                    <a:xfrm>
                      <a:off x="0" y="0"/>
                      <a:ext cx="3581400" cy="1924050"/>
                    </a:xfrm>
                    <a:prstGeom prst="rect">
                      <a:avLst/>
                    </a:prstGeom>
                  </pic:spPr>
                </pic:pic>
              </a:graphicData>
            </a:graphic>
          </wp:anchor>
        </w:drawing>
      </w:r>
      <w:r>
        <w:rPr>
          <w:w w:val="101"/>
          <w:sz w:val="18"/>
        </w:rPr>
        <w:t>6</w:t>
      </w:r>
    </w:p>
    <w:p>
      <w:pPr>
        <w:pStyle w:val="BodyText"/>
        <w:spacing w:before="4"/>
        <w:rPr>
          <w:sz w:val="26"/>
        </w:rPr>
      </w:pPr>
    </w:p>
    <w:p>
      <w:pPr>
        <w:spacing w:before="0"/>
        <w:ind w:left="2411" w:right="0" w:firstLine="0"/>
        <w:jc w:val="center"/>
        <w:rPr>
          <w:sz w:val="18"/>
        </w:rPr>
      </w:pPr>
      <w:r>
        <w:rPr>
          <w:w w:val="101"/>
          <w:sz w:val="18"/>
        </w:rPr>
        <w:t>5</w:t>
      </w:r>
    </w:p>
    <w:p>
      <w:pPr>
        <w:pStyle w:val="BodyText"/>
        <w:spacing w:before="1"/>
        <w:rPr>
          <w:sz w:val="25"/>
        </w:rPr>
      </w:pPr>
    </w:p>
    <w:p>
      <w:pPr>
        <w:spacing w:before="0"/>
        <w:ind w:left="2411" w:right="0" w:firstLine="0"/>
        <w:jc w:val="center"/>
        <w:rPr>
          <w:sz w:val="18"/>
        </w:rPr>
      </w:pPr>
      <w:r>
        <w:rPr>
          <w:w w:val="101"/>
          <w:sz w:val="18"/>
        </w:rPr>
        <w:t>4</w:t>
      </w:r>
    </w:p>
    <w:p>
      <w:pPr>
        <w:pStyle w:val="BodyText"/>
        <w:spacing w:before="4"/>
        <w:rPr>
          <w:sz w:val="26"/>
        </w:rPr>
      </w:pPr>
    </w:p>
    <w:p>
      <w:pPr>
        <w:spacing w:before="0"/>
        <w:ind w:left="2411" w:right="0" w:firstLine="0"/>
        <w:jc w:val="center"/>
        <w:rPr>
          <w:sz w:val="18"/>
        </w:rPr>
      </w:pPr>
      <w:r>
        <w:rPr>
          <w:w w:val="101"/>
          <w:sz w:val="18"/>
        </w:rPr>
        <w:t>3</w:t>
      </w:r>
    </w:p>
    <w:p>
      <w:pPr>
        <w:pStyle w:val="BodyText"/>
        <w:rPr>
          <w:sz w:val="25"/>
        </w:rPr>
      </w:pPr>
    </w:p>
    <w:p>
      <w:pPr>
        <w:spacing w:before="0"/>
        <w:ind w:left="2411" w:right="0" w:firstLine="0"/>
        <w:jc w:val="center"/>
        <w:rPr>
          <w:sz w:val="18"/>
        </w:rPr>
      </w:pPr>
      <w:r>
        <w:rPr>
          <w:w w:val="101"/>
          <w:sz w:val="18"/>
        </w:rPr>
        <w:t>2</w:t>
      </w:r>
    </w:p>
    <w:p>
      <w:pPr>
        <w:pStyle w:val="BodyText"/>
        <w:spacing w:before="4"/>
        <w:rPr>
          <w:sz w:val="26"/>
        </w:rPr>
      </w:pPr>
    </w:p>
    <w:p>
      <w:pPr>
        <w:spacing w:before="0"/>
        <w:ind w:left="2411" w:right="0" w:firstLine="0"/>
        <w:jc w:val="center"/>
        <w:rPr>
          <w:sz w:val="18"/>
        </w:rPr>
      </w:pPr>
      <w:r>
        <w:rPr>
          <w:w w:val="101"/>
          <w:sz w:val="18"/>
        </w:rPr>
        <w:t>1</w:t>
      </w:r>
    </w:p>
    <w:p>
      <w:pPr>
        <w:pStyle w:val="BodyText"/>
        <w:spacing w:before="6"/>
        <w:rPr>
          <w:sz w:val="16"/>
        </w:rPr>
      </w:pPr>
    </w:p>
    <w:p>
      <w:pPr>
        <w:spacing w:before="98"/>
        <w:ind w:left="6130" w:right="0" w:firstLine="0"/>
        <w:jc w:val="left"/>
        <w:rPr>
          <w:sz w:val="18"/>
        </w:rPr>
      </w:pPr>
      <w:r>
        <w:rPr>
          <w:w w:val="101"/>
          <w:sz w:val="18"/>
        </w:rPr>
        <w:t>0</w:t>
      </w:r>
    </w:p>
    <w:p>
      <w:pPr>
        <w:tabs>
          <w:tab w:pos="1599" w:val="left" w:leader="none"/>
          <w:tab w:pos="2964" w:val="left" w:leader="none"/>
          <w:tab w:pos="4314" w:val="left" w:leader="none"/>
          <w:tab w:pos="5679" w:val="left" w:leader="none"/>
        </w:tabs>
        <w:spacing w:before="64"/>
        <w:ind w:left="249" w:right="0" w:firstLine="0"/>
        <w:jc w:val="left"/>
        <w:rPr>
          <w:sz w:val="18"/>
        </w:rPr>
      </w:pPr>
      <w:r>
        <w:rPr>
          <w:sz w:val="18"/>
        </w:rPr>
        <w:t>1986</w:t>
        <w:tab/>
        <w:t>1991</w:t>
        <w:tab/>
        <w:t>1996</w:t>
        <w:tab/>
        <w:t>2001</w:t>
        <w:tab/>
        <w:t>2006</w:t>
      </w:r>
    </w:p>
    <w:p>
      <w:pPr>
        <w:spacing w:before="66"/>
        <w:ind w:left="235" w:right="0" w:firstLine="0"/>
        <w:jc w:val="left"/>
        <w:rPr>
          <w:sz w:val="16"/>
        </w:rPr>
      </w:pPr>
      <w:r>
        <w:rPr>
          <w:sz w:val="16"/>
        </w:rPr>
        <w:t>Source: Bloomberg and BoE calculations</w:t>
      </w:r>
    </w:p>
    <w:p>
      <w:pPr>
        <w:pStyle w:val="Heading2"/>
        <w:spacing w:before="162"/>
      </w:pPr>
      <w:r>
        <w:rPr>
          <w:color w:val="FF0000"/>
        </w:rPr>
        <w:t>Diagram A: Stylised effect on equity returns of a fall in risk premia</w:t>
      </w:r>
    </w:p>
    <w:p>
      <w:pPr>
        <w:spacing w:before="159"/>
        <w:ind w:left="3955" w:right="0" w:firstLine="0"/>
        <w:jc w:val="left"/>
        <w:rPr>
          <w:sz w:val="24"/>
        </w:rPr>
      </w:pPr>
      <w:r>
        <w:rPr>
          <w:sz w:val="24"/>
        </w:rPr>
        <w:t>One</w:t>
      </w:r>
      <w:r>
        <w:rPr>
          <w:position w:val="3"/>
          <w:sz w:val="24"/>
        </w:rPr>
        <w:t>-</w:t>
      </w:r>
      <w:r>
        <w:rPr>
          <w:sz w:val="24"/>
        </w:rPr>
        <w:t>period </w:t>
      </w:r>
      <w:r>
        <w:rPr>
          <w:i/>
          <w:sz w:val="24"/>
        </w:rPr>
        <w:t>ex</w:t>
      </w:r>
      <w:r>
        <w:rPr>
          <w:i/>
          <w:position w:val="3"/>
          <w:sz w:val="24"/>
        </w:rPr>
        <w:t>-</w:t>
      </w:r>
      <w:r>
        <w:rPr>
          <w:i/>
          <w:sz w:val="24"/>
        </w:rPr>
        <w:t>post </w:t>
      </w:r>
      <w:r>
        <w:rPr>
          <w:sz w:val="24"/>
        </w:rPr>
        <w:t>equity returns</w:t>
      </w:r>
    </w:p>
    <w:p>
      <w:pPr>
        <w:pStyle w:val="BodyText"/>
        <w:ind w:left="130"/>
        <w:rPr>
          <w:sz w:val="20"/>
        </w:rPr>
      </w:pPr>
      <w:r>
        <w:rPr>
          <w:sz w:val="20"/>
        </w:rPr>
        <w:pict>
          <v:group style="width:277.150pt;height:189.75pt;mso-position-horizontal-relative:char;mso-position-vertical-relative:line" coordorigin="0,0" coordsize="5543,3795">
            <v:shape style="position:absolute;left:0;top:0;width:5543;height:3795" type="#_x0000_t75" stroked="false">
              <v:imagedata r:id="rId32" o:title=""/>
            </v:shape>
            <v:shape style="position:absolute;left:1140;top:318;width:754;height:266" type="#_x0000_t202" filled="false" stroked="false">
              <v:textbox inset="0,0,0,0">
                <w:txbxContent>
                  <w:p>
                    <w:pPr>
                      <w:spacing w:line="266" w:lineRule="exact" w:before="0"/>
                      <w:ind w:left="0" w:right="0" w:firstLine="0"/>
                      <w:jc w:val="left"/>
                      <w:rPr>
                        <w:sz w:val="24"/>
                      </w:rPr>
                    </w:pPr>
                    <w:r>
                      <w:rPr>
                        <w:sz w:val="24"/>
                      </w:rPr>
                      <w:t>Time T</w:t>
                    </w:r>
                  </w:p>
                </w:txbxContent>
              </v:textbox>
              <w10:wrap type="none"/>
            </v:shape>
            <v:shape style="position:absolute;left:3645;top:348;width:996;height:266" type="#_x0000_t202" filled="false" stroked="false">
              <v:textbox inset="0,0,0,0">
                <w:txbxContent>
                  <w:p>
                    <w:pPr>
                      <w:spacing w:line="266" w:lineRule="exact" w:before="0"/>
                      <w:ind w:left="0" w:right="0" w:firstLine="0"/>
                      <w:jc w:val="left"/>
                      <w:rPr>
                        <w:sz w:val="24"/>
                      </w:rPr>
                    </w:pPr>
                    <w:r>
                      <w:rPr>
                        <w:sz w:val="24"/>
                      </w:rPr>
                      <w:t>Time T+x</w:t>
                    </w:r>
                  </w:p>
                </w:txbxContent>
              </v:textbox>
              <w10:wrap type="none"/>
            </v:shape>
            <v:shape style="position:absolute;left:1530;top:723;width:3260;height:266" type="#_x0000_t202" filled="false" stroked="false">
              <v:textbox inset="0,0,0,0">
                <w:txbxContent>
                  <w:p>
                    <w:pPr>
                      <w:spacing w:line="266" w:lineRule="exact" w:before="0"/>
                      <w:ind w:left="0" w:right="0" w:firstLine="0"/>
                      <w:jc w:val="left"/>
                      <w:rPr>
                        <w:sz w:val="24"/>
                      </w:rPr>
                    </w:pPr>
                    <w:r>
                      <w:rPr>
                        <w:sz w:val="24"/>
                      </w:rPr>
                      <w:t>Premium falls by Y% each period</w:t>
                    </w:r>
                  </w:p>
                </w:txbxContent>
              </v:textbox>
              <w10:wrap type="none"/>
            </v:shape>
            <v:shape style="position:absolute;left:300;top:1338;width:650;height:1286" type="#_x0000_t202" filled="false" stroked="false">
              <v:textbox inset="0,0,0,0">
                <w:txbxContent>
                  <w:p>
                    <w:pPr>
                      <w:spacing w:line="220" w:lineRule="auto" w:before="7"/>
                      <w:ind w:left="0" w:right="18" w:firstLine="65"/>
                      <w:jc w:val="center"/>
                      <w:rPr>
                        <w:sz w:val="24"/>
                      </w:rPr>
                    </w:pPr>
                    <w:r>
                      <w:rPr>
                        <w:sz w:val="24"/>
                      </w:rPr>
                      <w:t>Pre- </w:t>
                    </w:r>
                    <w:r>
                      <w:rPr>
                        <w:spacing w:val="-4"/>
                        <w:sz w:val="24"/>
                      </w:rPr>
                      <w:t>shock </w:t>
                    </w:r>
                    <w:r>
                      <w:rPr>
                        <w:spacing w:val="-3"/>
                        <w:sz w:val="24"/>
                      </w:rPr>
                      <w:t>steady </w:t>
                    </w:r>
                    <w:r>
                      <w:rPr>
                        <w:spacing w:val="-4"/>
                        <w:sz w:val="24"/>
                      </w:rPr>
                      <w:t>state </w:t>
                    </w:r>
                    <w:r>
                      <w:rPr>
                        <w:spacing w:val="-6"/>
                        <w:sz w:val="24"/>
                      </w:rPr>
                      <w:t>returns</w:t>
                    </w:r>
                  </w:p>
                </w:txbxContent>
              </v:textbox>
              <w10:wrap type="none"/>
            </v:shape>
            <v:shape style="position:absolute;left:4575;top:1338;width:650;height:1226" type="#_x0000_t202" filled="false" stroked="false">
              <v:textbox inset="0,0,0,0">
                <w:txbxContent>
                  <w:p>
                    <w:pPr>
                      <w:spacing w:line="201" w:lineRule="auto" w:before="25"/>
                      <w:ind w:left="30" w:right="4" w:firstLine="75"/>
                      <w:jc w:val="left"/>
                      <w:rPr>
                        <w:sz w:val="24"/>
                      </w:rPr>
                    </w:pPr>
                    <w:r>
                      <w:rPr>
                        <w:spacing w:val="-3"/>
                        <w:sz w:val="24"/>
                      </w:rPr>
                      <w:t>Post </w:t>
                    </w:r>
                    <w:r>
                      <w:rPr>
                        <w:spacing w:val="-4"/>
                        <w:sz w:val="24"/>
                      </w:rPr>
                      <w:t>shock </w:t>
                    </w:r>
                    <w:r>
                      <w:rPr>
                        <w:spacing w:val="-3"/>
                        <w:sz w:val="24"/>
                      </w:rPr>
                      <w:t>steady</w:t>
                    </w:r>
                  </w:p>
                  <w:p>
                    <w:pPr>
                      <w:spacing w:line="208" w:lineRule="auto" w:before="18"/>
                      <w:ind w:left="0" w:right="5" w:firstLine="105"/>
                      <w:jc w:val="left"/>
                      <w:rPr>
                        <w:sz w:val="24"/>
                      </w:rPr>
                    </w:pPr>
                    <w:r>
                      <w:rPr>
                        <w:spacing w:val="-4"/>
                        <w:sz w:val="24"/>
                      </w:rPr>
                      <w:t>state </w:t>
                    </w:r>
                    <w:r>
                      <w:rPr>
                        <w:spacing w:val="-6"/>
                        <w:sz w:val="24"/>
                      </w:rPr>
                      <w:t>returns</w:t>
                    </w:r>
                  </w:p>
                </w:txbxContent>
              </v:textbox>
              <w10:wrap type="none"/>
            </v:shape>
          </v:group>
        </w:pict>
      </w:r>
      <w:r>
        <w:rPr>
          <w:sz w:val="20"/>
        </w:rPr>
      </w:r>
    </w:p>
    <w:p>
      <w:pPr>
        <w:pStyle w:val="BodyText"/>
        <w:spacing w:before="163"/>
        <w:ind w:left="2740"/>
      </w:pPr>
      <w:r>
        <w:rPr/>
        <w:t>time</w:t>
      </w:r>
    </w:p>
    <w:sectPr>
      <w:headerReference w:type="default" r:id="rId29"/>
      <w:footerReference w:type="default" r:id="rId30"/>
      <w:pgSz w:w="11920" w:h="16840"/>
      <w:pgMar w:header="1716" w:footer="985" w:top="1980" w:bottom="1180" w:left="8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19808" coordorigin="803,15655" coordsize="240,210" path="m810,15663l1035,15663m803,15655l803,15865m810,15858l1035,15858m1043,15655l1043,15865e" filled="false" stroked="true" strokeweight=".75pt" strokecolor="#000000">
          <v:path arrowok="t"/>
          <v:stroke dashstyle="solid"/>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17760" coordorigin="803,15655" coordsize="240,210" path="m810,15663l1035,15663m803,15655l803,15865m810,15858l1035,15858m1043,15655l1043,15865e" filled="false" stroked="true" strokeweight=".75pt" strokecolor="#000000">
          <v:path arrowok="t"/>
          <v:stroke dashstyle="solid"/>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15712" coordorigin="803,15655" coordsize="240,210" path="m810,15663l1035,15663m803,15655l803,15865m810,15858l1035,15858m1043,15655l1043,15865e" filled="false" stroked="true" strokeweight=".75pt" strokecolor="#000000">
          <v:path arrowok="t"/>
          <v:stroke dashstyle="solid"/>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13664" coordorigin="803,15655" coordsize="240,210" path="m810,15663l1035,15663m803,15655l803,15865m810,15858l1035,15858m1043,15655l1043,15865e" filled="false" stroked="true" strokeweight=".75pt" strokecolor="#000000">
          <v:path arrowok="t"/>
          <v:stroke dashstyle="solid"/>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11616" coordorigin="803,15655" coordsize="240,210" path="m810,15663l1035,15663m803,15655l803,15865m810,15858l1035,15858m1043,15655l1043,15865e" filled="false" stroked="true" strokeweight=".75pt" strokecolor="#000000">
          <v:path arrowok="t"/>
          <v:stroke dashstyle="solid"/>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09568" coordorigin="803,15655" coordsize="240,210" path="m810,15663l1035,15663m803,15655l803,15865m810,15858l1035,15858m1043,15655l1043,15865e" filled="false" stroked="true" strokeweight=".75pt" strokecolor="#000000">
          <v:path arrowok="t"/>
          <v:stroke dashstyle="solid"/>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07520" coordorigin="803,15655" coordsize="240,210" path="m810,15663l1035,15663m803,15655l803,15865m810,15858l1035,15858m1043,15655l1043,15865e" filled="false" stroked="true" strokeweight=".75pt" strokecolor="#000000">
          <v:path arrowok="t"/>
          <v:stroke dashstyle="solid"/>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25pt;margin-top:782.75pt;width:12pt;height:10.5pt;mso-position-horizontal-relative:page;mso-position-vertical-relative:page;z-index:-252905472" coordorigin="803,15655" coordsize="240,210" path="m810,15663l1035,15663m803,15655l803,15865m810,15858l1035,15858m1043,15655l1043,15865e" filled="false" stroked="true" strokeweight=".75pt" strokecolor="#000000">
          <v:path arrowok="t"/>
          <v:stroke dashstyle="solid"/>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1.25pt;margin-top:34.556641pt;width:18pt;height:15.3pt;mso-position-horizontal-relative:page;mso-position-vertical-relative:page;z-index:-2529208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5pt;margin-top:84.806641pt;width:302.05pt;height:15.3pt;mso-position-horizontal-relative:page;mso-position-vertical-relative:page;z-index:-252918784" type="#_x0000_t202" filled="false" stroked="false">
          <v:textbox inset="0,0,0,0">
            <w:txbxContent>
              <w:p>
                <w:pPr>
                  <w:spacing w:before="10"/>
                  <w:ind w:left="20" w:right="0" w:firstLine="0"/>
                  <w:jc w:val="left"/>
                  <w:rPr>
                    <w:b/>
                    <w:sz w:val="24"/>
                  </w:rPr>
                </w:pPr>
                <w:r>
                  <w:rPr>
                    <w:b/>
                    <w:color w:val="FF0000"/>
                    <w:sz w:val="24"/>
                  </w:rPr>
                  <w:t>Chart 2: Volatility of international overnight interest rates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5pt;margin-top:84.806641pt;width:411.5pt;height:15.3pt;mso-position-horizontal-relative:page;mso-position-vertical-relative:page;z-index:-252916736" type="#_x0000_t202" filled="false" stroked="false">
          <v:textbox inset="0,0,0,0">
            <w:txbxContent>
              <w:p>
                <w:pPr>
                  <w:spacing w:before="10"/>
                  <w:ind w:left="20" w:right="0" w:firstLine="0"/>
                  <w:jc w:val="left"/>
                  <w:rPr>
                    <w:b/>
                    <w:sz w:val="24"/>
                  </w:rPr>
                </w:pPr>
                <w:r>
                  <w:rPr>
                    <w:b/>
                    <w:color w:val="FF0000"/>
                    <w:sz w:val="24"/>
                  </w:rPr>
                  <w:t>Chart 4: Outstanding sterling bank deposits by private non-financial companies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5pt;margin-top:84.806641pt;width:372.5pt;height:15.3pt;mso-position-horizontal-relative:page;mso-position-vertical-relative:page;z-index:-252914688" type="#_x0000_t202" filled="false" stroked="false">
          <v:textbox inset="0,0,0,0">
            <w:txbxContent>
              <w:p>
                <w:pPr>
                  <w:spacing w:before="10"/>
                  <w:ind w:left="20" w:right="0" w:firstLine="0"/>
                  <w:jc w:val="left"/>
                  <w:rPr>
                    <w:b/>
                    <w:sz w:val="24"/>
                  </w:rPr>
                </w:pPr>
                <w:r>
                  <w:rPr>
                    <w:b/>
                    <w:color w:val="FF0000"/>
                    <w:sz w:val="24"/>
                  </w:rPr>
                  <w:t>Chart 6: Accumulation of cash by private non-financial corporate sector</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5pt;margin-top:84.806641pt;width:216.5pt;height:15.3pt;mso-position-horizontal-relative:page;mso-position-vertical-relative:page;z-index:-252912640" type="#_x0000_t202" filled="false" stroked="false">
          <v:textbox inset="0,0,0,0">
            <w:txbxContent>
              <w:p>
                <w:pPr>
                  <w:spacing w:before="10"/>
                  <w:ind w:left="20" w:right="0" w:firstLine="0"/>
                  <w:jc w:val="left"/>
                  <w:rPr>
                    <w:b/>
                    <w:sz w:val="24"/>
                  </w:rPr>
                </w:pPr>
                <w:r>
                  <w:rPr>
                    <w:b/>
                    <w:color w:val="FF0000"/>
                    <w:spacing w:val="-3"/>
                    <w:sz w:val="24"/>
                  </w:rPr>
                  <w:t>Chart </w:t>
                </w:r>
                <w:r>
                  <w:rPr>
                    <w:b/>
                    <w:color w:val="FF0000"/>
                    <w:sz w:val="24"/>
                  </w:rPr>
                  <w:t>8: Employer pensions contributions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5pt;margin-top:84.806641pt;width:320.8pt;height:15.3pt;mso-position-horizontal-relative:page;mso-position-vertical-relative:page;z-index:-252910592" type="#_x0000_t202" filled="false" stroked="false">
          <v:textbox inset="0,0,0,0">
            <w:txbxContent>
              <w:p>
                <w:pPr>
                  <w:spacing w:before="10"/>
                  <w:ind w:left="20" w:right="0" w:firstLine="0"/>
                  <w:jc w:val="left"/>
                  <w:rPr>
                    <w:b/>
                    <w:sz w:val="24"/>
                  </w:rPr>
                </w:pPr>
                <w:r>
                  <w:rPr>
                    <w:b/>
                    <w:color w:val="FF0000"/>
                    <w:spacing w:val="-3"/>
                    <w:sz w:val="24"/>
                  </w:rPr>
                  <w:t>Chart</w:t>
                </w:r>
                <w:r>
                  <w:rPr>
                    <w:b/>
                    <w:color w:val="FF0000"/>
                    <w:spacing w:val="-10"/>
                    <w:sz w:val="24"/>
                  </w:rPr>
                  <w:t> </w:t>
                </w:r>
                <w:r>
                  <w:rPr>
                    <w:b/>
                    <w:color w:val="FF0000"/>
                    <w:sz w:val="24"/>
                  </w:rPr>
                  <w:t>10: </w:t>
                </w:r>
                <w:r>
                  <w:rPr>
                    <w:b/>
                    <w:color w:val="FF0000"/>
                    <w:spacing w:val="-5"/>
                    <w:sz w:val="24"/>
                  </w:rPr>
                  <w:t>One</w:t>
                </w:r>
                <w:r>
                  <w:rPr>
                    <w:b/>
                    <w:color w:val="FF0000"/>
                    <w:spacing w:val="-40"/>
                    <w:sz w:val="24"/>
                  </w:rPr>
                  <w:t> </w:t>
                </w:r>
                <w:r>
                  <w:rPr>
                    <w:b/>
                    <w:color w:val="FF0000"/>
                    <w:spacing w:val="-3"/>
                    <w:sz w:val="24"/>
                  </w:rPr>
                  <w:t>-off</w:t>
                </w:r>
                <w:r>
                  <w:rPr>
                    <w:b/>
                    <w:color w:val="FF0000"/>
                    <w:spacing w:val="-4"/>
                    <w:sz w:val="24"/>
                  </w:rPr>
                  <w:t> </w:t>
                </w:r>
                <w:r>
                  <w:rPr>
                    <w:b/>
                    <w:color w:val="FF0000"/>
                    <w:sz w:val="24"/>
                  </w:rPr>
                  <w:t>and</w:t>
                </w:r>
                <w:r>
                  <w:rPr>
                    <w:b/>
                    <w:color w:val="FF0000"/>
                    <w:spacing w:val="-4"/>
                    <w:sz w:val="24"/>
                  </w:rPr>
                  <w:t> </w:t>
                </w:r>
                <w:r>
                  <w:rPr>
                    <w:b/>
                    <w:color w:val="FF0000"/>
                    <w:sz w:val="24"/>
                  </w:rPr>
                  <w:t>regular</w:t>
                </w:r>
                <w:r>
                  <w:rPr>
                    <w:b/>
                    <w:color w:val="FF0000"/>
                    <w:spacing w:val="-3"/>
                    <w:sz w:val="24"/>
                  </w:rPr>
                  <w:t> </w:t>
                </w:r>
                <w:r>
                  <w:rPr>
                    <w:b/>
                    <w:color w:val="FF0000"/>
                    <w:sz w:val="24"/>
                  </w:rPr>
                  <w:t>employer</w:t>
                </w:r>
                <w:r>
                  <w:rPr>
                    <w:b/>
                    <w:color w:val="FF0000"/>
                    <w:spacing w:val="-4"/>
                    <w:sz w:val="24"/>
                  </w:rPr>
                  <w:t> </w:t>
                </w:r>
                <w:r>
                  <w:rPr>
                    <w:b/>
                    <w:color w:val="FF0000"/>
                    <w:sz w:val="24"/>
                  </w:rPr>
                  <w:t>pension</w:t>
                </w:r>
                <w:r>
                  <w:rPr>
                    <w:b/>
                    <w:color w:val="FF0000"/>
                    <w:spacing w:val="-4"/>
                    <w:sz w:val="24"/>
                  </w:rPr>
                  <w:t> </w:t>
                </w:r>
                <w:r>
                  <w:rPr>
                    <w:b/>
                    <w:color w:val="FF0000"/>
                    <w:sz w:val="24"/>
                  </w:rPr>
                  <w:t>contributions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5pt;margin-top:84.806641pt;width:233.05pt;height:15.3pt;mso-position-horizontal-relative:page;mso-position-vertical-relative:page;z-index:-252908544" type="#_x0000_t202" filled="false" stroked="false">
          <v:textbox inset="0,0,0,0">
            <w:txbxContent>
              <w:p>
                <w:pPr>
                  <w:spacing w:before="10"/>
                  <w:ind w:left="20" w:right="0" w:firstLine="0"/>
                  <w:jc w:val="left"/>
                  <w:rPr>
                    <w:b/>
                    <w:sz w:val="24"/>
                  </w:rPr>
                </w:pPr>
                <w:r>
                  <w:rPr>
                    <w:b/>
                    <w:color w:val="FF0000"/>
                    <w:sz w:val="24"/>
                  </w:rPr>
                  <w:t>Chart 12: UK business investment recoveries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5pt;margin-top:84.806641pt;width:269pt;height:15.3pt;mso-position-horizontal-relative:page;mso-position-vertical-relative:page;z-index:-252906496" type="#_x0000_t202" filled="false" stroked="false">
          <v:textbox inset="0,0,0,0">
            <w:txbxContent>
              <w:p>
                <w:pPr>
                  <w:spacing w:before="10"/>
                  <w:ind w:left="20" w:right="0" w:firstLine="0"/>
                  <w:jc w:val="left"/>
                  <w:rPr>
                    <w:b/>
                    <w:sz w:val="24"/>
                  </w:rPr>
                </w:pPr>
                <w:r>
                  <w:rPr>
                    <w:b/>
                    <w:color w:val="FF0000"/>
                    <w:sz w:val="24"/>
                  </w:rPr>
                  <w:t>Chart 14: Long-maturity real sterling forward rates</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outlineLvl w:val="1"/>
    </w:pPr>
    <w:rPr>
      <w:rFonts w:ascii="Times New Roman" w:hAnsi="Times New Roman" w:eastAsia="Times New Roman" w:cs="Times New Roman"/>
      <w:sz w:val="25"/>
      <w:szCs w:val="25"/>
    </w:rPr>
  </w:style>
  <w:style w:styleId="Heading2" w:type="paragraph">
    <w:name w:val="Heading 2"/>
    <w:basedOn w:val="Normal"/>
    <w:uiPriority w:val="1"/>
    <w:qFormat/>
    <w:pPr>
      <w:spacing w:before="10"/>
      <w:ind w:left="11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2" w:line="253" w:lineRule="exact"/>
      <w:ind w:left="40"/>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image" Target="media/image6.png"/><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eader" Target="header9.xml"/><Relationship Id="rId30" Type="http://schemas.openxmlformats.org/officeDocument/2006/relationships/footer" Target="footer8.xml"/><Relationship Id="rId31" Type="http://schemas.openxmlformats.org/officeDocument/2006/relationships/image" Target="media/image9.png"/><Relationship Id="rId3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Uncertaintly, the Implementation of Monetary Policy and the Management of Risk, Speech by Paul Tucker, 19 May 2006</dc:title>
  <dcterms:created xsi:type="dcterms:W3CDTF">2020-06-02T19:03:33Z</dcterms:created>
  <dcterms:modified xsi:type="dcterms:W3CDTF">2020-06-02T19:03:33Z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2006-05-19T00:00:00Z</vt:filetime>
  </property>
  <property fmtid="{D5CDD505-2E9C-101B-9397-08002B2CF9AE}" pid="3" name="Creator">
    <vt:lpwstr>#108524v1&lt;SECS_DOCS&gt; - ACT SPEECH 19 MAY 2006 - Microsoft Word</vt:lpwstr>
  </property>
  <property fmtid="{D5CDD505-2E9C-101B-9397-08002B2CF9AE}" pid="4" name="LastSaved">
    <vt:filetime>2020-06-02T00:00:00Z</vt:filetime>
  </property>
</Properties>
</file>