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13"/>
        <w:rPr>
          <w:rFonts w:ascii="Times New Roman"/>
          <w:sz w:val="20"/>
        </w:rPr>
      </w:pPr>
      <w:r>
        <w:rPr>
          <w:rFonts w:ascii="Times New Roman"/>
          <w:sz w:val="20"/>
        </w:rPr>
        <w:drawing>
          <wp:inline distT="0" distB="0" distL="0" distR="0">
            <wp:extent cx="2189666" cy="116205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189666" cy="1162050"/>
                    </a:xfrm>
                    <a:prstGeom prst="rect">
                      <a:avLst/>
                    </a:prstGeom>
                  </pic:spPr>
                </pic:pic>
              </a:graphicData>
            </a:graphic>
          </wp:inline>
        </w:drawing>
      </w:r>
      <w:r>
        <w:rPr>
          <w:rFonts w:ascii="Times New Roman"/>
          <w:sz w:val="20"/>
        </w:rPr>
      </w:r>
    </w:p>
    <w:p>
      <w:pPr>
        <w:pStyle w:val="BodyText"/>
        <w:spacing w:before="7"/>
        <w:rPr>
          <w:rFonts w:ascii="Times New Roman"/>
          <w:sz w:val="10"/>
        </w:rPr>
      </w:pPr>
    </w:p>
    <w:p>
      <w:pPr>
        <w:pStyle w:val="BodyText"/>
        <w:spacing w:line="30" w:lineRule="exact"/>
        <w:ind w:left="257"/>
        <w:rPr>
          <w:rFonts w:ascii="Times New Roman"/>
          <w:sz w:val="3"/>
        </w:rPr>
      </w:pPr>
      <w:r>
        <w:rPr>
          <w:rFonts w:ascii="Times New Roman"/>
          <w:position w:val="0"/>
          <w:sz w:val="3"/>
        </w:rPr>
        <w:pict>
          <v:group style="width:459.45pt;height:1.45pt;mso-position-horizontal-relative:char;mso-position-vertical-relative:line" coordorigin="0,0" coordsize="9189,29">
            <v:line style="position:absolute" from="0,14" to="6790,14" stroked="true" strokeweight="1.44pt" strokecolor="#000000">
              <v:stroke dashstyle="solid"/>
            </v:line>
            <v:line style="position:absolute" from="6776,14" to="9188,14" stroked="true" strokeweight="1.44pt" strokecolor="#000000">
              <v:stroke dashstyle="solid"/>
            </v:line>
          </v:group>
        </w:pict>
      </w:r>
      <w:r>
        <w:rPr>
          <w:rFonts w:ascii="Times New Roman"/>
          <w:position w:val="0"/>
          <w:sz w:val="3"/>
        </w:rPr>
      </w:r>
    </w:p>
    <w:p>
      <w:pPr>
        <w:pStyle w:val="BodyText"/>
        <w:rPr>
          <w:rFonts w:ascii="Times New Roman"/>
          <w:sz w:val="20"/>
        </w:rPr>
      </w:pPr>
    </w:p>
    <w:p>
      <w:pPr>
        <w:spacing w:before="246"/>
        <w:ind w:left="387" w:right="1078" w:firstLine="0"/>
        <w:jc w:val="left"/>
        <w:rPr>
          <w:b/>
          <w:sz w:val="30"/>
        </w:rPr>
      </w:pPr>
      <w:r>
        <w:rPr>
          <w:b/>
          <w:color w:val="6A709F"/>
          <w:sz w:val="30"/>
        </w:rPr>
        <w:t>When, why, and what’s next for low inflation?: No magic slippers needed</w:t>
      </w:r>
    </w:p>
    <w:p>
      <w:pPr>
        <w:pStyle w:val="BodyText"/>
        <w:rPr>
          <w:b/>
          <w:sz w:val="34"/>
        </w:rPr>
      </w:pPr>
    </w:p>
    <w:p>
      <w:pPr>
        <w:spacing w:before="221"/>
        <w:ind w:left="387" w:right="0" w:firstLine="0"/>
        <w:jc w:val="left"/>
        <w:rPr>
          <w:sz w:val="22"/>
        </w:rPr>
      </w:pPr>
      <w:r>
        <w:rPr>
          <w:sz w:val="22"/>
        </w:rPr>
        <w:t>Speech given by</w:t>
      </w:r>
    </w:p>
    <w:p>
      <w:pPr>
        <w:spacing w:before="136"/>
        <w:ind w:left="387" w:right="0" w:firstLine="0"/>
        <w:jc w:val="left"/>
        <w:rPr>
          <w:sz w:val="22"/>
        </w:rPr>
      </w:pPr>
      <w:r>
        <w:rPr>
          <w:sz w:val="22"/>
        </w:rPr>
        <w:t>Kristin Forbes, External MPC Member, Bank of England</w:t>
      </w:r>
    </w:p>
    <w:p>
      <w:pPr>
        <w:pStyle w:val="BodyText"/>
        <w:rPr>
          <w:sz w:val="24"/>
        </w:rPr>
      </w:pPr>
    </w:p>
    <w:p>
      <w:pPr>
        <w:pStyle w:val="BodyText"/>
        <w:spacing w:before="8"/>
        <w:rPr>
          <w:sz w:val="21"/>
        </w:rPr>
      </w:pPr>
    </w:p>
    <w:p>
      <w:pPr>
        <w:spacing w:line="369" w:lineRule="auto" w:before="0"/>
        <w:ind w:left="387" w:right="6518" w:firstLine="0"/>
        <w:jc w:val="left"/>
        <w:rPr>
          <w:sz w:val="22"/>
        </w:rPr>
      </w:pPr>
      <w:r>
        <w:rPr>
          <w:sz w:val="22"/>
        </w:rPr>
        <w:t>London School of Economics 17 June 2015</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pStyle w:val="BodyText"/>
        <w:spacing w:line="237" w:lineRule="auto"/>
        <w:ind w:left="387" w:right="1078"/>
      </w:pPr>
      <w:r>
        <w:rPr/>
        <w:t>Thanks to Tsveti Nenova, Ida Hjortsoe, and Lotte Adams for excellent assistance in preparing these remarks and the underlying research. Further thanks to Carleton Webb for his continual updates and improvements on the DGI data, and to James Cloyne, Matt Corder, Chris Jackson, Becky Maule, David</w:t>
      </w:r>
      <w:r>
        <w:rPr>
          <w:spacing w:val="-12"/>
        </w:rPr>
        <w:t> </w:t>
      </w:r>
      <w:r>
        <w:rPr/>
        <w:t>Miles,</w:t>
      </w:r>
      <w:r>
        <w:rPr>
          <w:spacing w:val="-11"/>
        </w:rPr>
        <w:t> </w:t>
      </w:r>
      <w:r>
        <w:rPr/>
        <w:t>Gareth</w:t>
      </w:r>
      <w:r>
        <w:rPr>
          <w:spacing w:val="-12"/>
        </w:rPr>
        <w:t> </w:t>
      </w:r>
      <w:r>
        <w:rPr/>
        <w:t>Ramsey,</w:t>
      </w:r>
      <w:r>
        <w:rPr>
          <w:spacing w:val="-10"/>
        </w:rPr>
        <w:t> </w:t>
      </w:r>
      <w:r>
        <w:rPr/>
        <w:t>Bradley</w:t>
      </w:r>
      <w:r>
        <w:rPr>
          <w:spacing w:val="-9"/>
        </w:rPr>
        <w:t> </w:t>
      </w:r>
      <w:r>
        <w:rPr/>
        <w:t>Speigner,</w:t>
      </w:r>
      <w:r>
        <w:rPr>
          <w:spacing w:val="-10"/>
        </w:rPr>
        <w:t> </w:t>
      </w:r>
      <w:r>
        <w:rPr/>
        <w:t>Gregory</w:t>
      </w:r>
      <w:r>
        <w:rPr>
          <w:spacing w:val="-11"/>
        </w:rPr>
        <w:t> </w:t>
      </w:r>
      <w:r>
        <w:rPr/>
        <w:t>Thwaites,</w:t>
      </w:r>
      <w:r>
        <w:rPr>
          <w:spacing w:val="-11"/>
        </w:rPr>
        <w:t> </w:t>
      </w:r>
      <w:r>
        <w:rPr/>
        <w:t>Martin</w:t>
      </w:r>
      <w:r>
        <w:rPr>
          <w:spacing w:val="-11"/>
        </w:rPr>
        <w:t> </w:t>
      </w:r>
      <w:r>
        <w:rPr/>
        <w:t>Weale,</w:t>
      </w:r>
      <w:r>
        <w:rPr>
          <w:spacing w:val="-9"/>
        </w:rPr>
        <w:t> </w:t>
      </w:r>
      <w:r>
        <w:rPr/>
        <w:t>and</w:t>
      </w:r>
      <w:r>
        <w:rPr>
          <w:spacing w:val="-12"/>
        </w:rPr>
        <w:t> </w:t>
      </w:r>
      <w:r>
        <w:rPr/>
        <w:t>Carleton</w:t>
      </w:r>
      <w:r>
        <w:rPr>
          <w:spacing w:val="-11"/>
        </w:rPr>
        <w:t> </w:t>
      </w:r>
      <w:r>
        <w:rPr/>
        <w:t>Webb for</w:t>
      </w:r>
      <w:r>
        <w:rPr>
          <w:spacing w:val="-9"/>
        </w:rPr>
        <w:t> </w:t>
      </w:r>
      <w:r>
        <w:rPr/>
        <w:t>helpful</w:t>
      </w:r>
      <w:r>
        <w:rPr>
          <w:spacing w:val="-8"/>
        </w:rPr>
        <w:t> </w:t>
      </w:r>
      <w:r>
        <w:rPr/>
        <w:t>comments</w:t>
      </w:r>
      <w:r>
        <w:rPr>
          <w:spacing w:val="-8"/>
        </w:rPr>
        <w:t> </w:t>
      </w:r>
      <w:r>
        <w:rPr/>
        <w:t>and</w:t>
      </w:r>
      <w:r>
        <w:rPr>
          <w:spacing w:val="-9"/>
        </w:rPr>
        <w:t> </w:t>
      </w:r>
      <w:r>
        <w:rPr/>
        <w:t>input.</w:t>
      </w:r>
      <w:r>
        <w:rPr>
          <w:spacing w:val="-9"/>
        </w:rPr>
        <w:t> </w:t>
      </w:r>
      <w:r>
        <w:rPr/>
        <w:t>The</w:t>
      </w:r>
      <w:r>
        <w:rPr>
          <w:spacing w:val="-8"/>
        </w:rPr>
        <w:t> </w:t>
      </w:r>
      <w:r>
        <w:rPr/>
        <w:t>views</w:t>
      </w:r>
      <w:r>
        <w:rPr>
          <w:spacing w:val="-7"/>
        </w:rPr>
        <w:t> </w:t>
      </w:r>
      <w:r>
        <w:rPr/>
        <w:t>expressed</w:t>
      </w:r>
      <w:r>
        <w:rPr>
          <w:spacing w:val="-8"/>
        </w:rPr>
        <w:t> </w:t>
      </w:r>
      <w:r>
        <w:rPr/>
        <w:t>are</w:t>
      </w:r>
      <w:r>
        <w:rPr>
          <w:spacing w:val="-8"/>
        </w:rPr>
        <w:t> </w:t>
      </w:r>
      <w:r>
        <w:rPr/>
        <w:t>my</w:t>
      </w:r>
      <w:r>
        <w:rPr>
          <w:spacing w:val="-8"/>
        </w:rPr>
        <w:t> </w:t>
      </w:r>
      <w:r>
        <w:rPr/>
        <w:t>own</w:t>
      </w:r>
      <w:r>
        <w:rPr>
          <w:spacing w:val="-8"/>
        </w:rPr>
        <w:t> </w:t>
      </w:r>
      <w:r>
        <w:rPr/>
        <w:t>and</w:t>
      </w:r>
      <w:r>
        <w:rPr>
          <w:spacing w:val="-9"/>
        </w:rPr>
        <w:t> </w:t>
      </w:r>
      <w:r>
        <w:rPr/>
        <w:t>do</w:t>
      </w:r>
      <w:r>
        <w:rPr>
          <w:spacing w:val="-9"/>
        </w:rPr>
        <w:t> </w:t>
      </w:r>
      <w:r>
        <w:rPr/>
        <w:t>not</w:t>
      </w:r>
      <w:r>
        <w:rPr>
          <w:spacing w:val="-9"/>
        </w:rPr>
        <w:t> </w:t>
      </w:r>
      <w:r>
        <w:rPr/>
        <w:t>necessarily</w:t>
      </w:r>
      <w:r>
        <w:rPr>
          <w:spacing w:val="-7"/>
        </w:rPr>
        <w:t> </w:t>
      </w:r>
      <w:r>
        <w:rPr/>
        <w:t>reflect</w:t>
      </w:r>
      <w:r>
        <w:rPr>
          <w:spacing w:val="-10"/>
        </w:rPr>
        <w:t> </w:t>
      </w:r>
      <w:r>
        <w:rPr/>
        <w:t>those of the Bank of England or other members of the Monetary Policy</w:t>
      </w:r>
      <w:r>
        <w:rPr>
          <w:spacing w:val="-32"/>
        </w:rPr>
        <w:t> </w:t>
      </w:r>
      <w:r>
        <w:rPr/>
        <w:t>Committee.</w:t>
      </w:r>
    </w:p>
    <w:p>
      <w:pPr>
        <w:spacing w:after="0" w:line="237" w:lineRule="auto"/>
        <w:sectPr>
          <w:footerReference w:type="default" r:id="rId5"/>
          <w:type w:val="continuous"/>
          <w:pgSz w:w="12240" w:h="15840"/>
          <w:pgMar w:footer="1240" w:top="1120" w:bottom="1440" w:left="1200" w:right="1060"/>
        </w:sectPr>
      </w:pPr>
    </w:p>
    <w:p>
      <w:pPr>
        <w:pStyle w:val="BodyText"/>
        <w:spacing w:line="357" w:lineRule="auto" w:before="79"/>
        <w:ind w:left="386" w:right="628"/>
      </w:pPr>
      <w:r>
        <w:rPr/>
        <w:t>What is the most famous example of deflation that you can think of? Japan immediately comes to mind for most people. From 1999 to 2011, prices in Japan fell by an average rate of 0.3% per year. But when I hear talk of deflation, I think of an even more memorable example—Dorothy and the Wizard of Oz. No, I did not misspeak. This famous children’s story is believed by some to be an allegory about the challenges of deflation in the United States in the late 19</w:t>
      </w:r>
      <w:r>
        <w:rPr>
          <w:vertAlign w:val="superscript"/>
        </w:rPr>
        <w:t>th</w:t>
      </w:r>
      <w:r>
        <w:rPr>
          <w:vertAlign w:val="baseline"/>
        </w:rPr>
        <w:t> and early 20</w:t>
      </w:r>
      <w:r>
        <w:rPr>
          <w:vertAlign w:val="superscript"/>
        </w:rPr>
        <w:t>th</w:t>
      </w:r>
      <w:r>
        <w:rPr>
          <w:vertAlign w:val="baseline"/>
        </w:rPr>
        <w:t> centuries.</w:t>
      </w:r>
      <w:r>
        <w:rPr>
          <w:vertAlign w:val="superscript"/>
        </w:rPr>
        <w:t>1</w:t>
      </w:r>
      <w:r>
        <w:rPr>
          <w:vertAlign w:val="baseline"/>
        </w:rPr>
        <w:t> It even includes a proposal to end deflation. And no, the proposal did not require a wizard. Let me explain.</w:t>
      </w:r>
    </w:p>
    <w:p>
      <w:pPr>
        <w:pStyle w:val="BodyText"/>
        <w:spacing w:before="8"/>
        <w:rPr>
          <w:sz w:val="27"/>
        </w:rPr>
      </w:pPr>
    </w:p>
    <w:p>
      <w:pPr>
        <w:pStyle w:val="BodyText"/>
        <w:spacing w:line="357" w:lineRule="auto"/>
        <w:ind w:left="386" w:right="712" w:hanging="1"/>
      </w:pPr>
      <w:r>
        <w:rPr/>
        <w:t>The US (and much of the world) experienced a period of sharp deflation at the end of the 19</w:t>
      </w:r>
      <w:r>
        <w:rPr>
          <w:vertAlign w:val="superscript"/>
        </w:rPr>
        <w:t>th</w:t>
      </w:r>
      <w:r>
        <w:rPr>
          <w:vertAlign w:val="baseline"/>
        </w:rPr>
        <w:t> century. Annual inflation was -0.9% on average between 1883 and 1897. Farmers were under particular duress as protracted</w:t>
      </w:r>
      <w:r>
        <w:rPr>
          <w:spacing w:val="-9"/>
          <w:vertAlign w:val="baseline"/>
        </w:rPr>
        <w:t> </w:t>
      </w:r>
      <w:r>
        <w:rPr>
          <w:vertAlign w:val="baseline"/>
        </w:rPr>
        <w:t>deflation</w:t>
      </w:r>
      <w:r>
        <w:rPr>
          <w:spacing w:val="-8"/>
          <w:vertAlign w:val="baseline"/>
        </w:rPr>
        <w:t> </w:t>
      </w:r>
      <w:r>
        <w:rPr>
          <w:vertAlign w:val="baseline"/>
        </w:rPr>
        <w:t>made</w:t>
      </w:r>
      <w:r>
        <w:rPr>
          <w:spacing w:val="-8"/>
          <w:vertAlign w:val="baseline"/>
        </w:rPr>
        <w:t> </w:t>
      </w:r>
      <w:r>
        <w:rPr>
          <w:vertAlign w:val="baseline"/>
        </w:rPr>
        <w:t>it</w:t>
      </w:r>
      <w:r>
        <w:rPr>
          <w:spacing w:val="-6"/>
          <w:vertAlign w:val="baseline"/>
        </w:rPr>
        <w:t> </w:t>
      </w:r>
      <w:r>
        <w:rPr>
          <w:vertAlign w:val="baseline"/>
        </w:rPr>
        <w:t>harder</w:t>
      </w:r>
      <w:r>
        <w:rPr>
          <w:spacing w:val="-8"/>
          <w:vertAlign w:val="baseline"/>
        </w:rPr>
        <w:t> </w:t>
      </w:r>
      <w:r>
        <w:rPr>
          <w:vertAlign w:val="baseline"/>
        </w:rPr>
        <w:t>for</w:t>
      </w:r>
      <w:r>
        <w:rPr>
          <w:spacing w:val="-8"/>
          <w:vertAlign w:val="baseline"/>
        </w:rPr>
        <w:t> </w:t>
      </w:r>
      <w:r>
        <w:rPr>
          <w:vertAlign w:val="baseline"/>
        </w:rPr>
        <w:t>them</w:t>
      </w:r>
      <w:r>
        <w:rPr>
          <w:spacing w:val="-8"/>
          <w:vertAlign w:val="baseline"/>
        </w:rPr>
        <w:t> </w:t>
      </w:r>
      <w:r>
        <w:rPr>
          <w:vertAlign w:val="baseline"/>
        </w:rPr>
        <w:t>to</w:t>
      </w:r>
      <w:r>
        <w:rPr>
          <w:spacing w:val="-8"/>
          <w:vertAlign w:val="baseline"/>
        </w:rPr>
        <w:t> </w:t>
      </w:r>
      <w:r>
        <w:rPr>
          <w:vertAlign w:val="baseline"/>
        </w:rPr>
        <w:t>repay</w:t>
      </w:r>
      <w:r>
        <w:rPr>
          <w:spacing w:val="-8"/>
          <w:vertAlign w:val="baseline"/>
        </w:rPr>
        <w:t> </w:t>
      </w:r>
      <w:r>
        <w:rPr>
          <w:vertAlign w:val="baseline"/>
        </w:rPr>
        <w:t>their</w:t>
      </w:r>
      <w:r>
        <w:rPr>
          <w:spacing w:val="-9"/>
          <w:vertAlign w:val="baseline"/>
        </w:rPr>
        <w:t> </w:t>
      </w:r>
      <w:r>
        <w:rPr>
          <w:vertAlign w:val="baseline"/>
        </w:rPr>
        <w:t>debt.</w:t>
      </w:r>
      <w:r>
        <w:rPr>
          <w:spacing w:val="-6"/>
          <w:vertAlign w:val="baseline"/>
        </w:rPr>
        <w:t> </w:t>
      </w:r>
      <w:r>
        <w:rPr>
          <w:vertAlign w:val="baseline"/>
        </w:rPr>
        <w:t>One</w:t>
      </w:r>
      <w:r>
        <w:rPr>
          <w:spacing w:val="-9"/>
          <w:vertAlign w:val="baseline"/>
        </w:rPr>
        <w:t> </w:t>
      </w:r>
      <w:r>
        <w:rPr>
          <w:vertAlign w:val="baseline"/>
        </w:rPr>
        <w:t>factor</w:t>
      </w:r>
      <w:r>
        <w:rPr>
          <w:spacing w:val="-9"/>
          <w:vertAlign w:val="baseline"/>
        </w:rPr>
        <w:t> </w:t>
      </w:r>
      <w:r>
        <w:rPr>
          <w:vertAlign w:val="baseline"/>
        </w:rPr>
        <w:t>contributing</w:t>
      </w:r>
      <w:r>
        <w:rPr>
          <w:spacing w:val="-9"/>
          <w:vertAlign w:val="baseline"/>
        </w:rPr>
        <w:t> </w:t>
      </w:r>
      <w:r>
        <w:rPr>
          <w:vertAlign w:val="baseline"/>
        </w:rPr>
        <w:t>to</w:t>
      </w:r>
      <w:r>
        <w:rPr>
          <w:spacing w:val="-9"/>
          <w:vertAlign w:val="baseline"/>
        </w:rPr>
        <w:t> </w:t>
      </w:r>
      <w:r>
        <w:rPr>
          <w:vertAlign w:val="baseline"/>
        </w:rPr>
        <w:t>deflation</w:t>
      </w:r>
      <w:r>
        <w:rPr>
          <w:spacing w:val="-8"/>
          <w:vertAlign w:val="baseline"/>
        </w:rPr>
        <w:t> </w:t>
      </w:r>
      <w:r>
        <w:rPr>
          <w:vertAlign w:val="baseline"/>
        </w:rPr>
        <w:t>was</w:t>
      </w:r>
      <w:r>
        <w:rPr>
          <w:spacing w:val="-7"/>
          <w:vertAlign w:val="baseline"/>
        </w:rPr>
        <w:t> </w:t>
      </w:r>
      <w:r>
        <w:rPr>
          <w:vertAlign w:val="baseline"/>
        </w:rPr>
        <w:t>the gold standard; under the gold standard, a country can only issue additional currency if it is backed by additional gold reserves. Gold reserves had not been growing as quickly as the economy, so not enough money</w:t>
      </w:r>
      <w:r>
        <w:rPr>
          <w:spacing w:val="-4"/>
          <w:vertAlign w:val="baseline"/>
        </w:rPr>
        <w:t> </w:t>
      </w:r>
      <w:r>
        <w:rPr>
          <w:vertAlign w:val="baseline"/>
        </w:rPr>
        <w:t>was</w:t>
      </w:r>
      <w:r>
        <w:rPr>
          <w:spacing w:val="-3"/>
          <w:vertAlign w:val="baseline"/>
        </w:rPr>
        <w:t> </w:t>
      </w:r>
      <w:r>
        <w:rPr>
          <w:vertAlign w:val="baseline"/>
        </w:rPr>
        <w:t>being</w:t>
      </w:r>
      <w:r>
        <w:rPr>
          <w:spacing w:val="-5"/>
          <w:vertAlign w:val="baseline"/>
        </w:rPr>
        <w:t> </w:t>
      </w:r>
      <w:r>
        <w:rPr>
          <w:vertAlign w:val="baseline"/>
        </w:rPr>
        <w:t>issued</w:t>
      </w:r>
      <w:r>
        <w:rPr>
          <w:spacing w:val="-6"/>
          <w:vertAlign w:val="baseline"/>
        </w:rPr>
        <w:t> </w:t>
      </w:r>
      <w:r>
        <w:rPr>
          <w:vertAlign w:val="baseline"/>
        </w:rPr>
        <w:t>to</w:t>
      </w:r>
      <w:r>
        <w:rPr>
          <w:spacing w:val="-6"/>
          <w:vertAlign w:val="baseline"/>
        </w:rPr>
        <w:t> </w:t>
      </w:r>
      <w:r>
        <w:rPr>
          <w:vertAlign w:val="baseline"/>
        </w:rPr>
        <w:t>support</w:t>
      </w:r>
      <w:r>
        <w:rPr>
          <w:spacing w:val="-3"/>
          <w:vertAlign w:val="baseline"/>
        </w:rPr>
        <w:t> </w:t>
      </w:r>
      <w:r>
        <w:rPr>
          <w:vertAlign w:val="baseline"/>
        </w:rPr>
        <w:t>prices.</w:t>
      </w:r>
      <w:r>
        <w:rPr>
          <w:spacing w:val="-4"/>
          <w:vertAlign w:val="baseline"/>
        </w:rPr>
        <w:t> </w:t>
      </w:r>
      <w:r>
        <w:rPr>
          <w:vertAlign w:val="baseline"/>
        </w:rPr>
        <w:t>You</w:t>
      </w:r>
      <w:r>
        <w:rPr>
          <w:spacing w:val="-5"/>
          <w:vertAlign w:val="baseline"/>
        </w:rPr>
        <w:t> </w:t>
      </w:r>
      <w:r>
        <w:rPr>
          <w:vertAlign w:val="baseline"/>
        </w:rPr>
        <w:t>are</w:t>
      </w:r>
      <w:r>
        <w:rPr>
          <w:spacing w:val="-5"/>
          <w:vertAlign w:val="baseline"/>
        </w:rPr>
        <w:t> </w:t>
      </w:r>
      <w:r>
        <w:rPr>
          <w:vertAlign w:val="baseline"/>
        </w:rPr>
        <w:t>probably</w:t>
      </w:r>
      <w:r>
        <w:rPr>
          <w:spacing w:val="-5"/>
          <w:vertAlign w:val="baseline"/>
        </w:rPr>
        <w:t> </w:t>
      </w:r>
      <w:r>
        <w:rPr>
          <w:vertAlign w:val="baseline"/>
        </w:rPr>
        <w:t>still</w:t>
      </w:r>
      <w:r>
        <w:rPr>
          <w:spacing w:val="-4"/>
          <w:vertAlign w:val="baseline"/>
        </w:rPr>
        <w:t> </w:t>
      </w:r>
      <w:r>
        <w:rPr>
          <w:vertAlign w:val="baseline"/>
        </w:rPr>
        <w:t>wondering</w:t>
      </w:r>
      <w:r>
        <w:rPr>
          <w:spacing w:val="-5"/>
          <w:vertAlign w:val="baseline"/>
        </w:rPr>
        <w:t> </w:t>
      </w:r>
      <w:r>
        <w:rPr>
          <w:vertAlign w:val="baseline"/>
        </w:rPr>
        <w:t>how</w:t>
      </w:r>
      <w:r>
        <w:rPr>
          <w:spacing w:val="-5"/>
          <w:vertAlign w:val="baseline"/>
        </w:rPr>
        <w:t> </w:t>
      </w:r>
      <w:r>
        <w:rPr>
          <w:vertAlign w:val="baseline"/>
        </w:rPr>
        <w:t>that</w:t>
      </w:r>
      <w:r>
        <w:rPr>
          <w:spacing w:val="-3"/>
          <w:vertAlign w:val="baseline"/>
        </w:rPr>
        <w:t> </w:t>
      </w:r>
      <w:r>
        <w:rPr>
          <w:vertAlign w:val="baseline"/>
        </w:rPr>
        <w:t>relates</w:t>
      </w:r>
      <w:r>
        <w:rPr>
          <w:spacing w:val="-4"/>
          <w:vertAlign w:val="baseline"/>
        </w:rPr>
        <w:t> </w:t>
      </w:r>
      <w:r>
        <w:rPr>
          <w:vertAlign w:val="baseline"/>
        </w:rPr>
        <w:t>to</w:t>
      </w:r>
      <w:r>
        <w:rPr>
          <w:spacing w:val="-5"/>
          <w:vertAlign w:val="baseline"/>
        </w:rPr>
        <w:t> </w:t>
      </w:r>
      <w:r>
        <w:rPr>
          <w:vertAlign w:val="baseline"/>
        </w:rPr>
        <w:t>the</w:t>
      </w:r>
    </w:p>
    <w:p>
      <w:pPr>
        <w:pStyle w:val="BodyText"/>
        <w:spacing w:line="213" w:lineRule="exact"/>
        <w:ind w:left="386"/>
      </w:pPr>
      <w:r>
        <w:rPr/>
        <w:t>Wizard of Oz.</w:t>
      </w:r>
    </w:p>
    <w:p>
      <w:pPr>
        <w:pStyle w:val="BodyText"/>
        <w:rPr>
          <w:sz w:val="20"/>
        </w:rPr>
      </w:pPr>
    </w:p>
    <w:p>
      <w:pPr>
        <w:pStyle w:val="BodyText"/>
        <w:spacing w:before="5"/>
        <w:rPr>
          <w:sz w:val="17"/>
        </w:rPr>
      </w:pPr>
    </w:p>
    <w:p>
      <w:pPr>
        <w:pStyle w:val="BodyText"/>
        <w:spacing w:line="357" w:lineRule="auto"/>
        <w:ind w:left="386" w:right="533"/>
      </w:pPr>
      <w:r>
        <w:rPr/>
        <w:t>The key character is Dorothy from the farm state of Kansas—representing the plight of the farmers in the Midwest under the gold standard. Her dog Toto was short for the Teetotallers—a political group against the consumption of alcohol and aligned with the farmers. Dorothy’s challenges began when she arrived in the land of Oz—with Oz short for “ounce”, the unit of account for gold. She tried following the yellow brick road—representing</w:t>
      </w:r>
      <w:r>
        <w:rPr>
          <w:spacing w:val="-10"/>
        </w:rPr>
        <w:t> </w:t>
      </w:r>
      <w:r>
        <w:rPr/>
        <w:t>the</w:t>
      </w:r>
      <w:r>
        <w:rPr>
          <w:spacing w:val="-10"/>
        </w:rPr>
        <w:t> </w:t>
      </w:r>
      <w:r>
        <w:rPr/>
        <w:t>gold</w:t>
      </w:r>
      <w:r>
        <w:rPr>
          <w:spacing w:val="-9"/>
        </w:rPr>
        <w:t> </w:t>
      </w:r>
      <w:r>
        <w:rPr/>
        <w:t>standard.</w:t>
      </w:r>
      <w:r>
        <w:rPr>
          <w:spacing w:val="-11"/>
        </w:rPr>
        <w:t> </w:t>
      </w:r>
      <w:r>
        <w:rPr/>
        <w:t>Along</w:t>
      </w:r>
      <w:r>
        <w:rPr>
          <w:spacing w:val="-10"/>
        </w:rPr>
        <w:t> </w:t>
      </w:r>
      <w:r>
        <w:rPr/>
        <w:t>the</w:t>
      </w:r>
      <w:r>
        <w:rPr>
          <w:spacing w:val="-9"/>
        </w:rPr>
        <w:t> </w:t>
      </w:r>
      <w:r>
        <w:rPr/>
        <w:t>way</w:t>
      </w:r>
      <w:r>
        <w:rPr>
          <w:spacing w:val="-7"/>
        </w:rPr>
        <w:t> </w:t>
      </w:r>
      <w:r>
        <w:rPr/>
        <w:t>she</w:t>
      </w:r>
      <w:r>
        <w:rPr>
          <w:spacing w:val="-10"/>
        </w:rPr>
        <w:t> </w:t>
      </w:r>
      <w:r>
        <w:rPr/>
        <w:t>met</w:t>
      </w:r>
      <w:r>
        <w:rPr>
          <w:spacing w:val="-10"/>
        </w:rPr>
        <w:t> </w:t>
      </w:r>
      <w:r>
        <w:rPr/>
        <w:t>several</w:t>
      </w:r>
      <w:r>
        <w:rPr>
          <w:spacing w:val="-9"/>
        </w:rPr>
        <w:t> </w:t>
      </w:r>
      <w:r>
        <w:rPr/>
        <w:t>characters,</w:t>
      </w:r>
      <w:r>
        <w:rPr>
          <w:spacing w:val="-8"/>
        </w:rPr>
        <w:t> </w:t>
      </w:r>
      <w:r>
        <w:rPr/>
        <w:t>each</w:t>
      </w:r>
      <w:r>
        <w:rPr>
          <w:spacing w:val="-10"/>
        </w:rPr>
        <w:t> </w:t>
      </w:r>
      <w:r>
        <w:rPr/>
        <w:t>of</w:t>
      </w:r>
      <w:r>
        <w:rPr>
          <w:spacing w:val="-7"/>
        </w:rPr>
        <w:t> </w:t>
      </w:r>
      <w:r>
        <w:rPr/>
        <w:t>which</w:t>
      </w:r>
      <w:r>
        <w:rPr>
          <w:spacing w:val="-10"/>
        </w:rPr>
        <w:t> </w:t>
      </w:r>
      <w:r>
        <w:rPr/>
        <w:t>represented various political figures and constituencies at the time. For example, the tin woodsmen represented the Eastern workingman competing in a heartless, industrialized society. The Winged Monkeys may have been the Plain Indians who were “once free people”, but had since been enslaved. Dorothy and her friends travel to</w:t>
      </w:r>
      <w:r>
        <w:rPr>
          <w:spacing w:val="-7"/>
        </w:rPr>
        <w:t> </w:t>
      </w:r>
      <w:r>
        <w:rPr/>
        <w:t>the</w:t>
      </w:r>
      <w:r>
        <w:rPr>
          <w:spacing w:val="-8"/>
        </w:rPr>
        <w:t> </w:t>
      </w:r>
      <w:r>
        <w:rPr/>
        <w:t>Emerald</w:t>
      </w:r>
      <w:r>
        <w:rPr>
          <w:spacing w:val="-7"/>
        </w:rPr>
        <w:t> </w:t>
      </w:r>
      <w:r>
        <w:rPr/>
        <w:t>City</w:t>
      </w:r>
      <w:r>
        <w:rPr>
          <w:spacing w:val="-8"/>
        </w:rPr>
        <w:t> </w:t>
      </w:r>
      <w:r>
        <w:rPr/>
        <w:t>(i.e.,</w:t>
      </w:r>
      <w:r>
        <w:rPr>
          <w:spacing w:val="-5"/>
        </w:rPr>
        <w:t> </w:t>
      </w:r>
      <w:r>
        <w:rPr/>
        <w:t>Washington,</w:t>
      </w:r>
      <w:r>
        <w:rPr>
          <w:spacing w:val="-7"/>
        </w:rPr>
        <w:t> </w:t>
      </w:r>
      <w:r>
        <w:rPr/>
        <w:t>DC),</w:t>
      </w:r>
      <w:r>
        <w:rPr>
          <w:spacing w:val="-6"/>
        </w:rPr>
        <w:t> </w:t>
      </w:r>
      <w:r>
        <w:rPr/>
        <w:t>where</w:t>
      </w:r>
      <w:r>
        <w:rPr>
          <w:spacing w:val="-8"/>
        </w:rPr>
        <w:t> </w:t>
      </w:r>
      <w:r>
        <w:rPr/>
        <w:t>all</w:t>
      </w:r>
      <w:r>
        <w:rPr>
          <w:spacing w:val="-7"/>
        </w:rPr>
        <w:t> </w:t>
      </w:r>
      <w:r>
        <w:rPr/>
        <w:t>is</w:t>
      </w:r>
      <w:r>
        <w:rPr>
          <w:spacing w:val="-7"/>
        </w:rPr>
        <w:t> </w:t>
      </w:r>
      <w:r>
        <w:rPr/>
        <w:t>green</w:t>
      </w:r>
      <w:r>
        <w:rPr>
          <w:spacing w:val="-7"/>
        </w:rPr>
        <w:t> </w:t>
      </w:r>
      <w:r>
        <w:rPr/>
        <w:t>to</w:t>
      </w:r>
      <w:r>
        <w:rPr>
          <w:spacing w:val="-7"/>
        </w:rPr>
        <w:t> </w:t>
      </w:r>
      <w:r>
        <w:rPr/>
        <w:t>signify</w:t>
      </w:r>
      <w:r>
        <w:rPr>
          <w:spacing w:val="-8"/>
        </w:rPr>
        <w:t> </w:t>
      </w:r>
      <w:r>
        <w:rPr/>
        <w:t>that</w:t>
      </w:r>
      <w:r>
        <w:rPr>
          <w:spacing w:val="-7"/>
        </w:rPr>
        <w:t> </w:t>
      </w:r>
      <w:r>
        <w:rPr/>
        <w:t>it</w:t>
      </w:r>
      <w:r>
        <w:rPr>
          <w:spacing w:val="-7"/>
        </w:rPr>
        <w:t> </w:t>
      </w:r>
      <w:r>
        <w:rPr/>
        <w:t>is</w:t>
      </w:r>
      <w:r>
        <w:rPr>
          <w:spacing w:val="-7"/>
        </w:rPr>
        <w:t> </w:t>
      </w:r>
      <w:r>
        <w:rPr/>
        <w:t>dominated</w:t>
      </w:r>
      <w:r>
        <w:rPr>
          <w:spacing w:val="-7"/>
        </w:rPr>
        <w:t> </w:t>
      </w:r>
      <w:r>
        <w:rPr/>
        <w:t>by</w:t>
      </w:r>
      <w:r>
        <w:rPr>
          <w:spacing w:val="-6"/>
        </w:rPr>
        <w:t> </w:t>
      </w:r>
      <w:r>
        <w:rPr/>
        <w:t>the</w:t>
      </w:r>
      <w:r>
        <w:rPr>
          <w:spacing w:val="-8"/>
        </w:rPr>
        <w:t> </w:t>
      </w:r>
      <w:r>
        <w:rPr/>
        <w:t>greenback (i.e., dollars). Despite the fear which he inspires, the wizard of the Emerald City (i.e., the US president) is powerless and unable to help Dorothy get home. The solution, however, was there the whole time: click her magic</w:t>
      </w:r>
      <w:r>
        <w:rPr>
          <w:spacing w:val="-9"/>
        </w:rPr>
        <w:t> </w:t>
      </w:r>
      <w:r>
        <w:rPr/>
        <w:t>slippers.</w:t>
      </w:r>
      <w:r>
        <w:rPr>
          <w:spacing w:val="-9"/>
        </w:rPr>
        <w:t> </w:t>
      </w:r>
      <w:r>
        <w:rPr/>
        <w:t>In</w:t>
      </w:r>
      <w:r>
        <w:rPr>
          <w:spacing w:val="-8"/>
        </w:rPr>
        <w:t> </w:t>
      </w:r>
      <w:r>
        <w:rPr/>
        <w:t>the</w:t>
      </w:r>
      <w:r>
        <w:rPr>
          <w:spacing w:val="-9"/>
        </w:rPr>
        <w:t> </w:t>
      </w:r>
      <w:r>
        <w:rPr/>
        <w:t>original</w:t>
      </w:r>
      <w:r>
        <w:rPr>
          <w:spacing w:val="-8"/>
        </w:rPr>
        <w:t> </w:t>
      </w:r>
      <w:r>
        <w:rPr/>
        <w:t>story,</w:t>
      </w:r>
      <w:r>
        <w:rPr>
          <w:spacing w:val="-8"/>
        </w:rPr>
        <w:t> </w:t>
      </w:r>
      <w:r>
        <w:rPr/>
        <w:t>the</w:t>
      </w:r>
      <w:r>
        <w:rPr>
          <w:spacing w:val="-10"/>
        </w:rPr>
        <w:t> </w:t>
      </w:r>
      <w:r>
        <w:rPr/>
        <w:t>slippers</w:t>
      </w:r>
      <w:r>
        <w:rPr>
          <w:spacing w:val="-6"/>
        </w:rPr>
        <w:t> </w:t>
      </w:r>
      <w:r>
        <w:rPr/>
        <w:t>were</w:t>
      </w:r>
      <w:r>
        <w:rPr>
          <w:spacing w:val="-9"/>
        </w:rPr>
        <w:t> </w:t>
      </w:r>
      <w:r>
        <w:rPr/>
        <w:t>silver</w:t>
      </w:r>
      <w:r>
        <w:rPr>
          <w:spacing w:val="-9"/>
        </w:rPr>
        <w:t> </w:t>
      </w:r>
      <w:r>
        <w:rPr/>
        <w:t>(not</w:t>
      </w:r>
      <w:r>
        <w:rPr>
          <w:spacing w:val="-9"/>
        </w:rPr>
        <w:t> </w:t>
      </w:r>
      <w:r>
        <w:rPr/>
        <w:t>red)—which</w:t>
      </w:r>
      <w:r>
        <w:rPr>
          <w:spacing w:val="-9"/>
        </w:rPr>
        <w:t> </w:t>
      </w:r>
      <w:r>
        <w:rPr/>
        <w:t>signified</w:t>
      </w:r>
      <w:r>
        <w:rPr>
          <w:spacing w:val="-9"/>
        </w:rPr>
        <w:t> </w:t>
      </w:r>
      <w:r>
        <w:rPr/>
        <w:t>the</w:t>
      </w:r>
      <w:r>
        <w:rPr>
          <w:spacing w:val="-9"/>
        </w:rPr>
        <w:t> </w:t>
      </w:r>
      <w:r>
        <w:rPr/>
        <w:t>proposal</w:t>
      </w:r>
      <w:r>
        <w:rPr>
          <w:spacing w:val="-9"/>
        </w:rPr>
        <w:t> </w:t>
      </w:r>
      <w:r>
        <w:rPr/>
        <w:t>to</w:t>
      </w:r>
      <w:r>
        <w:rPr>
          <w:spacing w:val="-9"/>
        </w:rPr>
        <w:t> </w:t>
      </w:r>
      <w:r>
        <w:rPr/>
        <w:t>include silver (as well as gold) to back the currency. This switch to a bimetallic system could support increased issuance of dollars, which would cause prices to increase and end</w:t>
      </w:r>
      <w:r>
        <w:rPr>
          <w:spacing w:val="-26"/>
        </w:rPr>
        <w:t> </w:t>
      </w:r>
      <w:r>
        <w:rPr/>
        <w:t>deflation.</w:t>
      </w:r>
    </w:p>
    <w:p>
      <w:pPr>
        <w:pStyle w:val="BodyText"/>
        <w:rPr>
          <w:sz w:val="27"/>
        </w:rPr>
      </w:pPr>
    </w:p>
    <w:p>
      <w:pPr>
        <w:pStyle w:val="BodyText"/>
        <w:spacing w:line="357" w:lineRule="auto"/>
        <w:ind w:left="386" w:right="533"/>
      </w:pPr>
      <w:r>
        <w:rPr/>
        <w:t>This period of deflation in the US ended in 1898 as the world’s output of gold expanded and the US international trade position improved. There was no need for magic slippers or to switch to a bimetallic standard.</w:t>
      </w:r>
      <w:r>
        <w:rPr>
          <w:spacing w:val="-9"/>
        </w:rPr>
        <w:t> </w:t>
      </w:r>
      <w:r>
        <w:rPr/>
        <w:t>But</w:t>
      </w:r>
      <w:r>
        <w:rPr>
          <w:spacing w:val="-5"/>
        </w:rPr>
        <w:t> </w:t>
      </w:r>
      <w:r>
        <w:rPr/>
        <w:t>what</w:t>
      </w:r>
      <w:r>
        <w:rPr>
          <w:spacing w:val="-6"/>
        </w:rPr>
        <w:t> </w:t>
      </w:r>
      <w:r>
        <w:rPr/>
        <w:t>will</w:t>
      </w:r>
      <w:r>
        <w:rPr>
          <w:spacing w:val="-7"/>
        </w:rPr>
        <w:t> </w:t>
      </w:r>
      <w:r>
        <w:rPr/>
        <w:t>happen</w:t>
      </w:r>
      <w:r>
        <w:rPr>
          <w:spacing w:val="-8"/>
        </w:rPr>
        <w:t> </w:t>
      </w:r>
      <w:r>
        <w:rPr/>
        <w:t>next</w:t>
      </w:r>
      <w:r>
        <w:rPr>
          <w:spacing w:val="-5"/>
        </w:rPr>
        <w:t> </w:t>
      </w:r>
      <w:r>
        <w:rPr/>
        <w:t>in</w:t>
      </w:r>
      <w:r>
        <w:rPr>
          <w:spacing w:val="-9"/>
        </w:rPr>
        <w:t> </w:t>
      </w:r>
      <w:r>
        <w:rPr/>
        <w:t>the</w:t>
      </w:r>
      <w:r>
        <w:rPr>
          <w:spacing w:val="-7"/>
        </w:rPr>
        <w:t> </w:t>
      </w:r>
      <w:r>
        <w:rPr/>
        <w:t>UK?</w:t>
      </w:r>
      <w:r>
        <w:rPr>
          <w:spacing w:val="-8"/>
        </w:rPr>
        <w:t> </w:t>
      </w:r>
      <w:r>
        <w:rPr/>
        <w:t>CPI</w:t>
      </w:r>
      <w:r>
        <w:rPr>
          <w:spacing w:val="-7"/>
        </w:rPr>
        <w:t> </w:t>
      </w:r>
      <w:r>
        <w:rPr/>
        <w:t>inflation</w:t>
      </w:r>
      <w:r>
        <w:rPr>
          <w:spacing w:val="-7"/>
        </w:rPr>
        <w:t> </w:t>
      </w:r>
      <w:r>
        <w:rPr/>
        <w:t>has</w:t>
      </w:r>
      <w:r>
        <w:rPr>
          <w:spacing w:val="-8"/>
        </w:rPr>
        <w:t> </w:t>
      </w:r>
      <w:r>
        <w:rPr/>
        <w:t>fallen</w:t>
      </w:r>
      <w:r>
        <w:rPr>
          <w:spacing w:val="-7"/>
        </w:rPr>
        <w:t> </w:t>
      </w:r>
      <w:r>
        <w:rPr/>
        <w:t>sharply</w:t>
      </w:r>
      <w:r>
        <w:rPr>
          <w:spacing w:val="-6"/>
        </w:rPr>
        <w:t> </w:t>
      </w:r>
      <w:r>
        <w:rPr/>
        <w:t>from</w:t>
      </w:r>
      <w:r>
        <w:rPr>
          <w:spacing w:val="-8"/>
        </w:rPr>
        <w:t> </w:t>
      </w:r>
      <w:r>
        <w:rPr/>
        <w:t>a</w:t>
      </w:r>
      <w:r>
        <w:rPr>
          <w:spacing w:val="-7"/>
        </w:rPr>
        <w:t> </w:t>
      </w:r>
      <w:r>
        <w:rPr/>
        <w:t>recent</w:t>
      </w:r>
      <w:r>
        <w:rPr>
          <w:spacing w:val="-6"/>
        </w:rPr>
        <w:t> </w:t>
      </w:r>
      <w:r>
        <w:rPr/>
        <w:t>peak</w:t>
      </w:r>
      <w:r>
        <w:rPr>
          <w:spacing w:val="-6"/>
        </w:rPr>
        <w:t> </w:t>
      </w:r>
      <w:r>
        <w:rPr/>
        <w:t>of</w:t>
      </w:r>
      <w:r>
        <w:rPr>
          <w:spacing w:val="-6"/>
        </w:rPr>
        <w:t> </w:t>
      </w:r>
      <w:r>
        <w:rPr/>
        <w:t>2.9%</w:t>
      </w:r>
      <w:r>
        <w:rPr>
          <w:spacing w:val="-6"/>
        </w:rPr>
        <w:t> </w:t>
      </w:r>
      <w:r>
        <w:rPr/>
        <w:t>in June 2013, to -0.1% in April. We just learned that inflation ticked back slightly to 0.1% in May. But inflation has now been below the Bank of England’s target of 2.0% for the last 17 months. Where is inflation going next?</w:t>
      </w:r>
      <w:r>
        <w:rPr>
          <w:spacing w:val="-9"/>
        </w:rPr>
        <w:t> </w:t>
      </w:r>
      <w:r>
        <w:rPr/>
        <w:t>Will</w:t>
      </w:r>
      <w:r>
        <w:rPr>
          <w:spacing w:val="-6"/>
        </w:rPr>
        <w:t> </w:t>
      </w:r>
      <w:r>
        <w:rPr/>
        <w:t>it</w:t>
      </w:r>
      <w:r>
        <w:rPr>
          <w:spacing w:val="-9"/>
        </w:rPr>
        <w:t> </w:t>
      </w:r>
      <w:r>
        <w:rPr/>
        <w:t>return</w:t>
      </w:r>
      <w:r>
        <w:rPr>
          <w:spacing w:val="-9"/>
        </w:rPr>
        <w:t> </w:t>
      </w:r>
      <w:r>
        <w:rPr/>
        <w:t>to</w:t>
      </w:r>
      <w:r>
        <w:rPr>
          <w:spacing w:val="-9"/>
        </w:rPr>
        <w:t> </w:t>
      </w:r>
      <w:r>
        <w:rPr/>
        <w:t>target?</w:t>
      </w:r>
      <w:r>
        <w:rPr>
          <w:spacing w:val="-8"/>
        </w:rPr>
        <w:t> </w:t>
      </w:r>
      <w:r>
        <w:rPr/>
        <w:t>Will</w:t>
      </w:r>
      <w:r>
        <w:rPr>
          <w:spacing w:val="-8"/>
        </w:rPr>
        <w:t> </w:t>
      </w:r>
      <w:r>
        <w:rPr/>
        <w:t>“lowflation”</w:t>
      </w:r>
      <w:r>
        <w:rPr>
          <w:spacing w:val="-9"/>
        </w:rPr>
        <w:t> </w:t>
      </w:r>
      <w:r>
        <w:rPr/>
        <w:t>or</w:t>
      </w:r>
      <w:r>
        <w:rPr>
          <w:spacing w:val="-9"/>
        </w:rPr>
        <w:t> </w:t>
      </w:r>
      <w:r>
        <w:rPr/>
        <w:t>disinflation</w:t>
      </w:r>
      <w:r>
        <w:rPr>
          <w:spacing w:val="-8"/>
        </w:rPr>
        <w:t> </w:t>
      </w:r>
      <w:r>
        <w:rPr/>
        <w:t>(falling</w:t>
      </w:r>
      <w:r>
        <w:rPr>
          <w:spacing w:val="-9"/>
        </w:rPr>
        <w:t> </w:t>
      </w:r>
      <w:r>
        <w:rPr/>
        <w:t>inflation</w:t>
      </w:r>
      <w:r>
        <w:rPr>
          <w:spacing w:val="-8"/>
        </w:rPr>
        <w:t> </w:t>
      </w:r>
      <w:r>
        <w:rPr/>
        <w:t>rates)</w:t>
      </w:r>
      <w:r>
        <w:rPr>
          <w:spacing w:val="-8"/>
        </w:rPr>
        <w:t> </w:t>
      </w:r>
      <w:r>
        <w:rPr/>
        <w:t>continue?</w:t>
      </w:r>
      <w:r>
        <w:rPr>
          <w:spacing w:val="-8"/>
        </w:rPr>
        <w:t> </w:t>
      </w:r>
      <w:r>
        <w:rPr/>
        <w:t>Could</w:t>
      </w:r>
      <w:r>
        <w:rPr>
          <w:spacing w:val="-8"/>
        </w:rPr>
        <w:t> </w:t>
      </w:r>
      <w:r>
        <w:rPr/>
        <w:t>the</w:t>
      </w:r>
      <w:r>
        <w:rPr>
          <w:spacing w:val="-10"/>
        </w:rPr>
        <w:t> </w:t>
      </w:r>
      <w:r>
        <w:rPr/>
        <w:t>UK</w:t>
      </w:r>
      <w:r>
        <w:rPr>
          <w:spacing w:val="-6"/>
        </w:rPr>
        <w:t> </w:t>
      </w:r>
      <w:r>
        <w:rPr/>
        <w:t>be</w:t>
      </w:r>
    </w:p>
    <w:p>
      <w:pPr>
        <w:pStyle w:val="BodyText"/>
        <w:rPr>
          <w:sz w:val="20"/>
        </w:rPr>
      </w:pPr>
    </w:p>
    <w:p>
      <w:pPr>
        <w:pStyle w:val="BodyText"/>
        <w:spacing w:before="4"/>
        <w:rPr>
          <w:sz w:val="16"/>
        </w:rPr>
      </w:pPr>
      <w:r>
        <w:rPr/>
        <w:pict>
          <v:shape style="position:absolute;margin-left:79.320pt;margin-top:11.628973pt;width:135.5pt;height:.1pt;mso-position-horizontal-relative:page;mso-position-vertical-relative:paragraph;z-index:-251657216;mso-wrap-distance-left:0;mso-wrap-distance-right:0" coordorigin="1586,233" coordsize="2710,0" path="m1586,233l4296,233e" filled="false" stroked="true" strokeweight=".42pt" strokecolor="#000000">
            <v:path arrowok="t"/>
            <v:stroke dashstyle="solid"/>
            <w10:wrap type="topAndBottom"/>
          </v:shape>
        </w:pict>
      </w:r>
    </w:p>
    <w:p>
      <w:pPr>
        <w:spacing w:before="26"/>
        <w:ind w:left="386" w:right="1360" w:hanging="1"/>
        <w:jc w:val="left"/>
        <w:rPr>
          <w:sz w:val="15"/>
        </w:rPr>
      </w:pPr>
      <w:r>
        <w:rPr>
          <w:position w:val="8"/>
          <w:sz w:val="9"/>
        </w:rPr>
        <w:t>1 </w:t>
      </w:r>
      <w:r>
        <w:rPr>
          <w:sz w:val="15"/>
        </w:rPr>
        <w:t>The thesis that </w:t>
      </w:r>
      <w:r>
        <w:rPr>
          <w:i/>
          <w:sz w:val="15"/>
        </w:rPr>
        <w:t>The Wizard of Oz </w:t>
      </w:r>
      <w:r>
        <w:rPr>
          <w:sz w:val="15"/>
        </w:rPr>
        <w:t>was an allegory for the debate on bimetallism in the late 19</w:t>
      </w:r>
      <w:r>
        <w:rPr>
          <w:sz w:val="15"/>
          <w:vertAlign w:val="superscript"/>
        </w:rPr>
        <w:t>th</w:t>
      </w:r>
      <w:r>
        <w:rPr>
          <w:sz w:val="15"/>
          <w:vertAlign w:val="baseline"/>
        </w:rPr>
        <w:t> century was first made by Henry Littlefield in "The Wizard of Oz: Parable on Populism", </w:t>
      </w:r>
      <w:r>
        <w:rPr>
          <w:i/>
          <w:sz w:val="15"/>
          <w:vertAlign w:val="baseline"/>
        </w:rPr>
        <w:t>American Quarterly (1964)</w:t>
      </w:r>
      <w:r>
        <w:rPr>
          <w:sz w:val="15"/>
          <w:vertAlign w:val="baseline"/>
        </w:rPr>
        <w:t>.</w:t>
      </w:r>
    </w:p>
    <w:p>
      <w:pPr>
        <w:spacing w:after="0"/>
        <w:jc w:val="left"/>
        <w:rPr>
          <w:sz w:val="15"/>
        </w:rPr>
        <w:sectPr>
          <w:footerReference w:type="default" r:id="rId7"/>
          <w:pgSz w:w="12240" w:h="15840"/>
          <w:pgMar w:footer="1240" w:header="0" w:top="1440" w:bottom="1440" w:left="1200" w:right="1060"/>
          <w:pgNumType w:start="2"/>
        </w:sectPr>
      </w:pPr>
    </w:p>
    <w:p>
      <w:pPr>
        <w:pStyle w:val="BodyText"/>
        <w:spacing w:line="357" w:lineRule="auto" w:before="79"/>
        <w:ind w:left="386" w:right="533"/>
      </w:pPr>
      <w:r>
        <w:rPr/>
        <w:t>entering</w:t>
      </w:r>
      <w:r>
        <w:rPr>
          <w:spacing w:val="-11"/>
        </w:rPr>
        <w:t> </w:t>
      </w:r>
      <w:r>
        <w:rPr/>
        <w:t>a</w:t>
      </w:r>
      <w:r>
        <w:rPr>
          <w:spacing w:val="-11"/>
        </w:rPr>
        <w:t> </w:t>
      </w:r>
      <w:r>
        <w:rPr/>
        <w:t>prolonged</w:t>
      </w:r>
      <w:r>
        <w:rPr>
          <w:spacing w:val="-11"/>
        </w:rPr>
        <w:t> </w:t>
      </w:r>
      <w:r>
        <w:rPr/>
        <w:t>period</w:t>
      </w:r>
      <w:r>
        <w:rPr>
          <w:spacing w:val="-10"/>
        </w:rPr>
        <w:t> </w:t>
      </w:r>
      <w:r>
        <w:rPr/>
        <w:t>of</w:t>
      </w:r>
      <w:r>
        <w:rPr>
          <w:spacing w:val="-9"/>
        </w:rPr>
        <w:t> </w:t>
      </w:r>
      <w:r>
        <w:rPr/>
        <w:t>deflation</w:t>
      </w:r>
      <w:r>
        <w:rPr>
          <w:spacing w:val="-10"/>
        </w:rPr>
        <w:t> </w:t>
      </w:r>
      <w:r>
        <w:rPr/>
        <w:t>(falling</w:t>
      </w:r>
      <w:r>
        <w:rPr>
          <w:spacing w:val="-10"/>
        </w:rPr>
        <w:t> </w:t>
      </w:r>
      <w:r>
        <w:rPr/>
        <w:t>prices)—possibly</w:t>
      </w:r>
      <w:r>
        <w:rPr>
          <w:spacing w:val="-11"/>
        </w:rPr>
        <w:t> </w:t>
      </w:r>
      <w:r>
        <w:rPr/>
        <w:t>inspiring</w:t>
      </w:r>
      <w:r>
        <w:rPr>
          <w:spacing w:val="-11"/>
        </w:rPr>
        <w:t> </w:t>
      </w:r>
      <w:r>
        <w:rPr/>
        <w:t>the</w:t>
      </w:r>
      <w:r>
        <w:rPr>
          <w:spacing w:val="-11"/>
        </w:rPr>
        <w:t> </w:t>
      </w:r>
      <w:r>
        <w:rPr/>
        <w:t>next</w:t>
      </w:r>
      <w:r>
        <w:rPr>
          <w:spacing w:val="-9"/>
        </w:rPr>
        <w:t> </w:t>
      </w:r>
      <w:r>
        <w:rPr/>
        <w:t>great</w:t>
      </w:r>
      <w:r>
        <w:rPr>
          <w:spacing w:val="-10"/>
        </w:rPr>
        <w:t> </w:t>
      </w:r>
      <w:r>
        <w:rPr/>
        <w:t>childhood</w:t>
      </w:r>
      <w:r>
        <w:rPr>
          <w:spacing w:val="-11"/>
        </w:rPr>
        <w:t> </w:t>
      </w:r>
      <w:r>
        <w:rPr/>
        <w:t>story</w:t>
      </w:r>
      <w:r>
        <w:rPr>
          <w:spacing w:val="-9"/>
        </w:rPr>
        <w:t> </w:t>
      </w:r>
      <w:r>
        <w:rPr/>
        <w:t>that is an allegory of economic</w:t>
      </w:r>
      <w:r>
        <w:rPr>
          <w:spacing w:val="-6"/>
        </w:rPr>
        <w:t> </w:t>
      </w:r>
      <w:r>
        <w:rPr/>
        <w:t>hardship?</w:t>
      </w:r>
    </w:p>
    <w:p>
      <w:pPr>
        <w:pStyle w:val="BodyText"/>
        <w:spacing w:before="2"/>
        <w:rPr>
          <w:sz w:val="28"/>
        </w:rPr>
      </w:pPr>
    </w:p>
    <w:p>
      <w:pPr>
        <w:pStyle w:val="BodyText"/>
        <w:spacing w:line="355" w:lineRule="auto"/>
        <w:ind w:left="386" w:right="533"/>
      </w:pPr>
      <w:r>
        <w:rPr/>
        <w:t>My</w:t>
      </w:r>
      <w:r>
        <w:rPr>
          <w:spacing w:val="-10"/>
        </w:rPr>
        <w:t> </w:t>
      </w:r>
      <w:r>
        <w:rPr/>
        <w:t>comments</w:t>
      </w:r>
      <w:r>
        <w:rPr>
          <w:spacing w:val="-9"/>
        </w:rPr>
        <w:t> </w:t>
      </w:r>
      <w:r>
        <w:rPr/>
        <w:t>tonight</w:t>
      </w:r>
      <w:r>
        <w:rPr>
          <w:spacing w:val="-7"/>
        </w:rPr>
        <w:t> </w:t>
      </w:r>
      <w:r>
        <w:rPr/>
        <w:t>will</w:t>
      </w:r>
      <w:r>
        <w:rPr>
          <w:spacing w:val="-9"/>
        </w:rPr>
        <w:t> </w:t>
      </w:r>
      <w:r>
        <w:rPr/>
        <w:t>begin</w:t>
      </w:r>
      <w:r>
        <w:rPr>
          <w:spacing w:val="-11"/>
        </w:rPr>
        <w:t> </w:t>
      </w:r>
      <w:r>
        <w:rPr/>
        <w:t>by</w:t>
      </w:r>
      <w:r>
        <w:rPr>
          <w:spacing w:val="-9"/>
        </w:rPr>
        <w:t> </w:t>
      </w:r>
      <w:r>
        <w:rPr/>
        <w:t>putting</w:t>
      </w:r>
      <w:r>
        <w:rPr>
          <w:spacing w:val="-9"/>
        </w:rPr>
        <w:t> </w:t>
      </w:r>
      <w:r>
        <w:rPr/>
        <w:t>today’s</w:t>
      </w:r>
      <w:r>
        <w:rPr>
          <w:spacing w:val="-9"/>
        </w:rPr>
        <w:t> </w:t>
      </w:r>
      <w:r>
        <w:rPr/>
        <w:t>low</w:t>
      </w:r>
      <w:r>
        <w:rPr>
          <w:spacing w:val="-10"/>
        </w:rPr>
        <w:t> </w:t>
      </w:r>
      <w:r>
        <w:rPr/>
        <w:t>inflation</w:t>
      </w:r>
      <w:r>
        <w:rPr>
          <w:spacing w:val="-10"/>
        </w:rPr>
        <w:t> </w:t>
      </w:r>
      <w:r>
        <w:rPr/>
        <w:t>in</w:t>
      </w:r>
      <w:r>
        <w:rPr>
          <w:spacing w:val="-9"/>
        </w:rPr>
        <w:t> </w:t>
      </w:r>
      <w:r>
        <w:rPr/>
        <w:t>a</w:t>
      </w:r>
      <w:r>
        <w:rPr>
          <w:spacing w:val="-9"/>
        </w:rPr>
        <w:t> </w:t>
      </w:r>
      <w:r>
        <w:rPr/>
        <w:t>historic</w:t>
      </w:r>
      <w:r>
        <w:rPr>
          <w:spacing w:val="-9"/>
        </w:rPr>
        <w:t> </w:t>
      </w:r>
      <w:r>
        <w:rPr/>
        <w:t>context—highlighting</w:t>
      </w:r>
      <w:r>
        <w:rPr>
          <w:spacing w:val="-9"/>
        </w:rPr>
        <w:t> </w:t>
      </w:r>
      <w:r>
        <w:rPr/>
        <w:t>the</w:t>
      </w:r>
      <w:r>
        <w:rPr>
          <w:spacing w:val="-10"/>
        </w:rPr>
        <w:t> </w:t>
      </w:r>
      <w:r>
        <w:rPr/>
        <w:t>dramatic shift from concerns about inflation being too high in the 1970s, to inflation stabilizing around target in most countries, to the recent trend of “lowflation”. Then I will discuss which of the concerns about lowflation should, and should not, be taken seriously today in the UK, incorporating several pieces of evidence which I track to monitor these concerns. Next I discuss a more formal empirical analysis of the factors driving inflation in the UK historically and today. I pay particular attention to the role of international factors— including oil prices, the exchange rate, and inflation in other countries. Could the synchronized fall in global inflation—or low inflation rates in the UK’s major trading partners and neighbours—create additional challenges for inflation to</w:t>
      </w:r>
      <w:r>
        <w:rPr>
          <w:spacing w:val="-5"/>
        </w:rPr>
        <w:t> </w:t>
      </w:r>
      <w:r>
        <w:rPr/>
        <w:t>recover?</w:t>
      </w:r>
    </w:p>
    <w:p>
      <w:pPr>
        <w:pStyle w:val="BodyText"/>
        <w:rPr>
          <w:sz w:val="29"/>
        </w:rPr>
      </w:pPr>
    </w:p>
    <w:p>
      <w:pPr>
        <w:pStyle w:val="BodyText"/>
        <w:spacing w:line="357" w:lineRule="auto" w:before="1"/>
        <w:ind w:left="386" w:right="533"/>
      </w:pPr>
      <w:r>
        <w:rPr/>
        <w:t>The results suggest that some international factors play an important role in determining headline inflation rates today—especially movements in the oil price and sterling. But these effects appear to be largely transitory</w:t>
      </w:r>
      <w:r>
        <w:rPr>
          <w:spacing w:val="-10"/>
        </w:rPr>
        <w:t> </w:t>
      </w:r>
      <w:r>
        <w:rPr/>
        <w:t>(albeit</w:t>
      </w:r>
      <w:r>
        <w:rPr>
          <w:spacing w:val="-8"/>
        </w:rPr>
        <w:t> </w:t>
      </w:r>
      <w:r>
        <w:rPr/>
        <w:t>with</w:t>
      </w:r>
      <w:r>
        <w:rPr>
          <w:spacing w:val="-9"/>
        </w:rPr>
        <w:t> </w:t>
      </w:r>
      <w:r>
        <w:rPr/>
        <w:t>longer</w:t>
      </w:r>
      <w:r>
        <w:rPr>
          <w:spacing w:val="-9"/>
        </w:rPr>
        <w:t> </w:t>
      </w:r>
      <w:r>
        <w:rPr/>
        <w:t>effects</w:t>
      </w:r>
      <w:r>
        <w:rPr>
          <w:spacing w:val="-10"/>
        </w:rPr>
        <w:t> </w:t>
      </w:r>
      <w:r>
        <w:rPr/>
        <w:t>for</w:t>
      </w:r>
      <w:r>
        <w:rPr>
          <w:spacing w:val="-9"/>
        </w:rPr>
        <w:t> </w:t>
      </w:r>
      <w:r>
        <w:rPr/>
        <w:t>sterling</w:t>
      </w:r>
      <w:r>
        <w:rPr>
          <w:spacing w:val="-9"/>
        </w:rPr>
        <w:t> </w:t>
      </w:r>
      <w:r>
        <w:rPr/>
        <w:t>than</w:t>
      </w:r>
      <w:r>
        <w:rPr>
          <w:spacing w:val="-11"/>
        </w:rPr>
        <w:t> </w:t>
      </w:r>
      <w:r>
        <w:rPr/>
        <w:t>oil</w:t>
      </w:r>
      <w:r>
        <w:rPr>
          <w:spacing w:val="-8"/>
        </w:rPr>
        <w:t> </w:t>
      </w:r>
      <w:r>
        <w:rPr/>
        <w:t>prices).</w:t>
      </w:r>
      <w:r>
        <w:rPr>
          <w:spacing w:val="-9"/>
        </w:rPr>
        <w:t> </w:t>
      </w:r>
      <w:r>
        <w:rPr/>
        <w:t>Second-round</w:t>
      </w:r>
      <w:r>
        <w:rPr>
          <w:spacing w:val="-9"/>
        </w:rPr>
        <w:t> </w:t>
      </w:r>
      <w:r>
        <w:rPr/>
        <w:t>effects</w:t>
      </w:r>
      <w:r>
        <w:rPr>
          <w:spacing w:val="-10"/>
        </w:rPr>
        <w:t> </w:t>
      </w:r>
      <w:r>
        <w:rPr/>
        <w:t>on</w:t>
      </w:r>
      <w:r>
        <w:rPr>
          <w:spacing w:val="-9"/>
        </w:rPr>
        <w:t> </w:t>
      </w:r>
      <w:r>
        <w:rPr/>
        <w:t>wages</w:t>
      </w:r>
      <w:r>
        <w:rPr>
          <w:spacing w:val="-8"/>
        </w:rPr>
        <w:t> </w:t>
      </w:r>
      <w:r>
        <w:rPr/>
        <w:t>and</w:t>
      </w:r>
      <w:r>
        <w:rPr>
          <w:spacing w:val="-9"/>
        </w:rPr>
        <w:t> </w:t>
      </w:r>
      <w:r>
        <w:rPr/>
        <w:t>low</w:t>
      </w:r>
      <w:r>
        <w:rPr>
          <w:spacing w:val="-9"/>
        </w:rPr>
        <w:t> </w:t>
      </w:r>
      <w:r>
        <w:rPr/>
        <w:t>rates of global inflation (and even low inflation in major trading partners and neighbours) do not appear to create any substantial additional drags on inflation in the UK. The analysis suggests that although we need to be alert to evil witches along the road, inflation appears to be on track to rebound toward target by early 2016—and there is no need for wizards, magic slippers, or other</w:t>
      </w:r>
      <w:r>
        <w:rPr>
          <w:spacing w:val="-22"/>
        </w:rPr>
        <w:t> </w:t>
      </w:r>
      <w:r>
        <w:rPr/>
        <w:t>actions.</w:t>
      </w:r>
    </w:p>
    <w:p>
      <w:pPr>
        <w:pStyle w:val="BodyText"/>
        <w:spacing w:before="6"/>
        <w:rPr>
          <w:sz w:val="27"/>
        </w:rPr>
      </w:pPr>
    </w:p>
    <w:p>
      <w:pPr>
        <w:pStyle w:val="Heading1"/>
      </w:pPr>
      <w:r>
        <w:rPr>
          <w:u w:val="thick"/>
        </w:rPr>
        <w:t>Quick inflation history: too high, just right, too low</w:t>
      </w:r>
    </w:p>
    <w:p>
      <w:pPr>
        <w:pStyle w:val="BodyText"/>
        <w:spacing w:before="6"/>
        <w:rPr>
          <w:b/>
          <w:sz w:val="29"/>
        </w:rPr>
      </w:pPr>
    </w:p>
    <w:p>
      <w:pPr>
        <w:pStyle w:val="BodyText"/>
        <w:spacing w:line="357" w:lineRule="auto" w:before="93"/>
        <w:ind w:left="386" w:right="628"/>
      </w:pPr>
      <w:r>
        <w:rPr/>
        <w:t>Inflation trends over the last forty-five years have shown a remarkable shift in most developed countries: from being “too high” in the 1970s, to stabilizing to about “just right” from the mid-1990s to mid-2000s, to falling</w:t>
      </w:r>
      <w:r>
        <w:rPr>
          <w:spacing w:val="-8"/>
        </w:rPr>
        <w:t> </w:t>
      </w:r>
      <w:r>
        <w:rPr/>
        <w:t>to</w:t>
      </w:r>
      <w:r>
        <w:rPr>
          <w:spacing w:val="-7"/>
        </w:rPr>
        <w:t> </w:t>
      </w:r>
      <w:r>
        <w:rPr/>
        <w:t>levels</w:t>
      </w:r>
      <w:r>
        <w:rPr>
          <w:spacing w:val="-7"/>
        </w:rPr>
        <w:t> </w:t>
      </w:r>
      <w:r>
        <w:rPr/>
        <w:t>that</w:t>
      </w:r>
      <w:r>
        <w:rPr>
          <w:spacing w:val="-8"/>
        </w:rPr>
        <w:t> </w:t>
      </w:r>
      <w:r>
        <w:rPr/>
        <w:t>raise</w:t>
      </w:r>
      <w:r>
        <w:rPr>
          <w:spacing w:val="-8"/>
        </w:rPr>
        <w:t> </w:t>
      </w:r>
      <w:r>
        <w:rPr/>
        <w:t>concerns</w:t>
      </w:r>
      <w:r>
        <w:rPr>
          <w:spacing w:val="-6"/>
        </w:rPr>
        <w:t> </w:t>
      </w:r>
      <w:r>
        <w:rPr/>
        <w:t>about</w:t>
      </w:r>
      <w:r>
        <w:rPr>
          <w:spacing w:val="-7"/>
        </w:rPr>
        <w:t> </w:t>
      </w:r>
      <w:r>
        <w:rPr/>
        <w:t>being</w:t>
      </w:r>
      <w:r>
        <w:rPr>
          <w:spacing w:val="-9"/>
        </w:rPr>
        <w:t> </w:t>
      </w:r>
      <w:r>
        <w:rPr/>
        <w:t>“too</w:t>
      </w:r>
      <w:r>
        <w:rPr>
          <w:spacing w:val="-7"/>
        </w:rPr>
        <w:t> </w:t>
      </w:r>
      <w:r>
        <w:rPr/>
        <w:t>low”</w:t>
      </w:r>
      <w:r>
        <w:rPr>
          <w:spacing w:val="-7"/>
        </w:rPr>
        <w:t> </w:t>
      </w:r>
      <w:r>
        <w:rPr/>
        <w:t>over</w:t>
      </w:r>
      <w:r>
        <w:rPr>
          <w:spacing w:val="-7"/>
        </w:rPr>
        <w:t> </w:t>
      </w:r>
      <w:r>
        <w:rPr/>
        <w:t>the</w:t>
      </w:r>
      <w:r>
        <w:rPr>
          <w:spacing w:val="-8"/>
        </w:rPr>
        <w:t> </w:t>
      </w:r>
      <w:r>
        <w:rPr/>
        <w:t>last</w:t>
      </w:r>
      <w:r>
        <w:rPr>
          <w:spacing w:val="-9"/>
        </w:rPr>
        <w:t> </w:t>
      </w:r>
      <w:r>
        <w:rPr/>
        <w:t>few</w:t>
      </w:r>
      <w:r>
        <w:rPr>
          <w:spacing w:val="-9"/>
        </w:rPr>
        <w:t> </w:t>
      </w:r>
      <w:r>
        <w:rPr/>
        <w:t>months.</w:t>
      </w:r>
      <w:r>
        <w:rPr>
          <w:spacing w:val="-8"/>
        </w:rPr>
        <w:t> </w:t>
      </w:r>
      <w:r>
        <w:rPr/>
        <w:t>Figure</w:t>
      </w:r>
      <w:r>
        <w:rPr>
          <w:spacing w:val="-7"/>
        </w:rPr>
        <w:t> </w:t>
      </w:r>
      <w:r>
        <w:rPr/>
        <w:t>1</w:t>
      </w:r>
      <w:r>
        <w:rPr>
          <w:spacing w:val="-8"/>
        </w:rPr>
        <w:t> </w:t>
      </w:r>
      <w:r>
        <w:rPr/>
        <w:t>captures</w:t>
      </w:r>
      <w:r>
        <w:rPr>
          <w:spacing w:val="-6"/>
        </w:rPr>
        <w:t> </w:t>
      </w:r>
      <w:r>
        <w:rPr/>
        <w:t>these trends by showing median annual inflation rates over this time</w:t>
      </w:r>
      <w:r>
        <w:rPr>
          <w:spacing w:val="-20"/>
        </w:rPr>
        <w:t> </w:t>
      </w:r>
      <w:r>
        <w:rPr/>
        <w:t>period.</w:t>
      </w:r>
    </w:p>
    <w:p>
      <w:pPr>
        <w:pStyle w:val="BodyText"/>
        <w:spacing w:before="9"/>
        <w:rPr>
          <w:sz w:val="27"/>
        </w:rPr>
      </w:pPr>
    </w:p>
    <w:p>
      <w:pPr>
        <w:pStyle w:val="BodyText"/>
        <w:spacing w:line="357" w:lineRule="auto"/>
        <w:ind w:left="386" w:right="533"/>
      </w:pPr>
      <w:r>
        <w:rPr/>
        <w:t>During</w:t>
      </w:r>
      <w:r>
        <w:rPr>
          <w:spacing w:val="-10"/>
        </w:rPr>
        <w:t> </w:t>
      </w:r>
      <w:r>
        <w:rPr/>
        <w:t>the</w:t>
      </w:r>
      <w:r>
        <w:rPr>
          <w:spacing w:val="-9"/>
        </w:rPr>
        <w:t> </w:t>
      </w:r>
      <w:r>
        <w:rPr/>
        <w:t>1970’s,</w:t>
      </w:r>
      <w:r>
        <w:rPr>
          <w:spacing w:val="-8"/>
        </w:rPr>
        <w:t> </w:t>
      </w:r>
      <w:r>
        <w:rPr/>
        <w:t>the</w:t>
      </w:r>
      <w:r>
        <w:rPr>
          <w:spacing w:val="-9"/>
        </w:rPr>
        <w:t> </w:t>
      </w:r>
      <w:r>
        <w:rPr/>
        <w:t>median</w:t>
      </w:r>
      <w:r>
        <w:rPr>
          <w:spacing w:val="-8"/>
        </w:rPr>
        <w:t> </w:t>
      </w:r>
      <w:r>
        <w:rPr/>
        <w:t>inflation</w:t>
      </w:r>
      <w:r>
        <w:rPr>
          <w:spacing w:val="-9"/>
        </w:rPr>
        <w:t> </w:t>
      </w:r>
      <w:r>
        <w:rPr/>
        <w:t>rate</w:t>
      </w:r>
      <w:r>
        <w:rPr>
          <w:spacing w:val="-9"/>
        </w:rPr>
        <w:t> </w:t>
      </w:r>
      <w:r>
        <w:rPr/>
        <w:t>for</w:t>
      </w:r>
      <w:r>
        <w:rPr>
          <w:spacing w:val="-9"/>
        </w:rPr>
        <w:t> </w:t>
      </w:r>
      <w:r>
        <w:rPr/>
        <w:t>advanced</w:t>
      </w:r>
      <w:r>
        <w:rPr>
          <w:spacing w:val="-9"/>
        </w:rPr>
        <w:t> </w:t>
      </w:r>
      <w:r>
        <w:rPr/>
        <w:t>economies</w:t>
      </w:r>
      <w:r>
        <w:rPr>
          <w:spacing w:val="-7"/>
        </w:rPr>
        <w:t> </w:t>
      </w:r>
      <w:r>
        <w:rPr/>
        <w:t>averaged</w:t>
      </w:r>
      <w:r>
        <w:rPr>
          <w:spacing w:val="-9"/>
        </w:rPr>
        <w:t> </w:t>
      </w:r>
      <w:r>
        <w:rPr/>
        <w:t>9.3%</w:t>
      </w:r>
      <w:r>
        <w:rPr>
          <w:spacing w:val="-9"/>
        </w:rPr>
        <w:t> </w:t>
      </w:r>
      <w:r>
        <w:rPr/>
        <w:t>(and</w:t>
      </w:r>
      <w:r>
        <w:rPr>
          <w:spacing w:val="-8"/>
        </w:rPr>
        <w:t> </w:t>
      </w:r>
      <w:r>
        <w:rPr/>
        <w:t>the</w:t>
      </w:r>
      <w:r>
        <w:rPr>
          <w:spacing w:val="-9"/>
        </w:rPr>
        <w:t> </w:t>
      </w:r>
      <w:r>
        <w:rPr/>
        <w:t>mean</w:t>
      </w:r>
      <w:r>
        <w:rPr>
          <w:spacing w:val="-9"/>
        </w:rPr>
        <w:t> </w:t>
      </w:r>
      <w:r>
        <w:rPr/>
        <w:t>rate</w:t>
      </w:r>
      <w:r>
        <w:rPr>
          <w:spacing w:val="-6"/>
        </w:rPr>
        <w:t> </w:t>
      </w:r>
      <w:r>
        <w:rPr/>
        <w:t>was even</w:t>
      </w:r>
      <w:r>
        <w:rPr>
          <w:spacing w:val="-9"/>
        </w:rPr>
        <w:t> </w:t>
      </w:r>
      <w:r>
        <w:rPr/>
        <w:t>higher</w:t>
      </w:r>
      <w:r>
        <w:rPr>
          <w:spacing w:val="-8"/>
        </w:rPr>
        <w:t> </w:t>
      </w:r>
      <w:r>
        <w:rPr/>
        <w:t>at</w:t>
      </w:r>
      <w:r>
        <w:rPr>
          <w:spacing w:val="-7"/>
        </w:rPr>
        <w:t> </w:t>
      </w:r>
      <w:r>
        <w:rPr/>
        <w:t>10.7%).</w:t>
      </w:r>
      <w:r>
        <w:rPr>
          <w:spacing w:val="-9"/>
        </w:rPr>
        <w:t> </w:t>
      </w:r>
      <w:r>
        <w:rPr/>
        <w:t>Bringing</w:t>
      </w:r>
      <w:r>
        <w:rPr>
          <w:spacing w:val="-8"/>
        </w:rPr>
        <w:t> </w:t>
      </w:r>
      <w:r>
        <w:rPr/>
        <w:t>inflation</w:t>
      </w:r>
      <w:r>
        <w:rPr>
          <w:spacing w:val="-10"/>
        </w:rPr>
        <w:t> </w:t>
      </w:r>
      <w:r>
        <w:rPr/>
        <w:t>down</w:t>
      </w:r>
      <w:r>
        <w:rPr>
          <w:spacing w:val="-8"/>
        </w:rPr>
        <w:t> </w:t>
      </w:r>
      <w:r>
        <w:rPr/>
        <w:t>became</w:t>
      </w:r>
      <w:r>
        <w:rPr>
          <w:spacing w:val="-9"/>
        </w:rPr>
        <w:t> </w:t>
      </w:r>
      <w:r>
        <w:rPr/>
        <w:t>a</w:t>
      </w:r>
      <w:r>
        <w:rPr>
          <w:spacing w:val="-9"/>
        </w:rPr>
        <w:t> </w:t>
      </w:r>
      <w:r>
        <w:rPr/>
        <w:t>primary</w:t>
      </w:r>
      <w:r>
        <w:rPr>
          <w:spacing w:val="-7"/>
        </w:rPr>
        <w:t> </w:t>
      </w:r>
      <w:r>
        <w:rPr/>
        <w:t>economic</w:t>
      </w:r>
      <w:r>
        <w:rPr>
          <w:spacing w:val="-7"/>
        </w:rPr>
        <w:t> </w:t>
      </w:r>
      <w:r>
        <w:rPr/>
        <w:t>issue</w:t>
      </w:r>
      <w:r>
        <w:rPr>
          <w:spacing w:val="-8"/>
        </w:rPr>
        <w:t> </w:t>
      </w:r>
      <w:r>
        <w:rPr/>
        <w:t>for</w:t>
      </w:r>
      <w:r>
        <w:rPr>
          <w:spacing w:val="-8"/>
        </w:rPr>
        <w:t> </w:t>
      </w:r>
      <w:r>
        <w:rPr/>
        <w:t>most</w:t>
      </w:r>
      <w:r>
        <w:rPr>
          <w:spacing w:val="-9"/>
        </w:rPr>
        <w:t> </w:t>
      </w:r>
      <w:r>
        <w:rPr/>
        <w:t>governments</w:t>
      </w:r>
      <w:r>
        <w:rPr>
          <w:spacing w:val="-6"/>
        </w:rPr>
        <w:t> </w:t>
      </w:r>
      <w:r>
        <w:rPr/>
        <w:t>and citizens—if not THE primary concern. Governments resorted to a range of standard and unconventional policies</w:t>
      </w:r>
      <w:r>
        <w:rPr>
          <w:spacing w:val="-3"/>
        </w:rPr>
        <w:t> </w:t>
      </w:r>
      <w:r>
        <w:rPr/>
        <w:t>in</w:t>
      </w:r>
      <w:r>
        <w:rPr>
          <w:spacing w:val="-2"/>
        </w:rPr>
        <w:t> </w:t>
      </w:r>
      <w:r>
        <w:rPr/>
        <w:t>this</w:t>
      </w:r>
      <w:r>
        <w:rPr>
          <w:spacing w:val="-3"/>
        </w:rPr>
        <w:t> </w:t>
      </w:r>
      <w:r>
        <w:rPr/>
        <w:t>battle.</w:t>
      </w:r>
      <w:r>
        <w:rPr>
          <w:spacing w:val="-3"/>
        </w:rPr>
        <w:t> </w:t>
      </w:r>
      <w:r>
        <w:rPr/>
        <w:t>One</w:t>
      </w:r>
      <w:r>
        <w:rPr>
          <w:spacing w:val="-5"/>
        </w:rPr>
        <w:t> </w:t>
      </w:r>
      <w:r>
        <w:rPr/>
        <w:t>of</w:t>
      </w:r>
      <w:r>
        <w:rPr>
          <w:spacing w:val="-2"/>
        </w:rPr>
        <w:t> </w:t>
      </w:r>
      <w:r>
        <w:rPr/>
        <w:t>the</w:t>
      </w:r>
      <w:r>
        <w:rPr>
          <w:spacing w:val="-4"/>
        </w:rPr>
        <w:t> </w:t>
      </w:r>
      <w:r>
        <w:rPr/>
        <w:t>more</w:t>
      </w:r>
      <w:r>
        <w:rPr>
          <w:spacing w:val="-4"/>
        </w:rPr>
        <w:t> </w:t>
      </w:r>
      <w:r>
        <w:rPr/>
        <w:t>ridiculed</w:t>
      </w:r>
      <w:r>
        <w:rPr>
          <w:spacing w:val="-3"/>
        </w:rPr>
        <w:t> </w:t>
      </w:r>
      <w:r>
        <w:rPr/>
        <w:t>attempts</w:t>
      </w:r>
      <w:r>
        <w:rPr>
          <w:spacing w:val="-3"/>
        </w:rPr>
        <w:t> </w:t>
      </w:r>
      <w:r>
        <w:rPr/>
        <w:t>was</w:t>
      </w:r>
      <w:r>
        <w:rPr>
          <w:spacing w:val="-2"/>
        </w:rPr>
        <w:t> </w:t>
      </w:r>
      <w:r>
        <w:rPr/>
        <w:t>a</w:t>
      </w:r>
      <w:r>
        <w:rPr>
          <w:spacing w:val="-4"/>
        </w:rPr>
        <w:t> </w:t>
      </w:r>
      <w:r>
        <w:rPr/>
        <w:t>campaign</w:t>
      </w:r>
      <w:r>
        <w:rPr>
          <w:spacing w:val="-4"/>
        </w:rPr>
        <w:t> </w:t>
      </w:r>
      <w:r>
        <w:rPr/>
        <w:t>by</w:t>
      </w:r>
      <w:r>
        <w:rPr>
          <w:spacing w:val="-4"/>
        </w:rPr>
        <w:t> </w:t>
      </w:r>
      <w:r>
        <w:rPr/>
        <w:t>the</w:t>
      </w:r>
      <w:r>
        <w:rPr>
          <w:spacing w:val="-3"/>
        </w:rPr>
        <w:t> </w:t>
      </w:r>
      <w:r>
        <w:rPr/>
        <w:t>newly</w:t>
      </w:r>
      <w:r>
        <w:rPr>
          <w:spacing w:val="-3"/>
        </w:rPr>
        <w:t> </w:t>
      </w:r>
      <w:r>
        <w:rPr/>
        <w:t>elected</w:t>
      </w:r>
    </w:p>
    <w:p>
      <w:pPr>
        <w:pStyle w:val="BodyText"/>
        <w:spacing w:line="357" w:lineRule="auto"/>
        <w:ind w:left="386" w:right="581"/>
      </w:pPr>
      <w:r>
        <w:rPr/>
        <w:pict>
          <v:shape style="position:absolute;margin-left:79.320pt;margin-top:88.275085pt;width:135.5pt;height:.1pt;mso-position-horizontal-relative:page;mso-position-vertical-relative:paragraph;z-index:-251656192;mso-wrap-distance-left:0;mso-wrap-distance-right:0" coordorigin="1586,1766" coordsize="2710,0" path="m1586,1766l4296,1766e" filled="false" stroked="true" strokeweight=".42pt" strokecolor="#000000">
            <v:path arrowok="t"/>
            <v:stroke dashstyle="solid"/>
            <w10:wrap type="topAndBottom"/>
          </v:shape>
        </w:pict>
      </w:r>
      <w:r>
        <w:rPr/>
        <w:t>President Ford in the United States. When inflation reached 16.4% in October 1974, he launched a campaign asking citizens to wear buttons festooned with the acronym “WIN” for “Whip Inflation Now” (see Figure 2).</w:t>
      </w:r>
      <w:r>
        <w:rPr>
          <w:vertAlign w:val="superscript"/>
        </w:rPr>
        <w:t>2</w:t>
      </w:r>
      <w:r>
        <w:rPr>
          <w:vertAlign w:val="baseline"/>
        </w:rPr>
        <w:t> He encouraged supporters of this campaign to reduce price pressures by taking actions such as to "take all you want but eat all you take" and having each family make a one-hour "trash inventory" to find waste. Not surprisingly, the campaign proved unsuccessful— both in garnering support and reducing</w:t>
      </w:r>
    </w:p>
    <w:p>
      <w:pPr>
        <w:spacing w:before="26"/>
        <w:ind w:left="428" w:right="2720" w:hanging="43"/>
        <w:jc w:val="left"/>
        <w:rPr>
          <w:sz w:val="15"/>
        </w:rPr>
      </w:pPr>
      <w:r>
        <w:rPr>
          <w:position w:val="8"/>
          <w:sz w:val="9"/>
        </w:rPr>
        <w:t>2 </w:t>
      </w:r>
      <w:r>
        <w:rPr>
          <w:sz w:val="15"/>
        </w:rPr>
        <w:t>For information about this campaign, see </w:t>
      </w:r>
      <w:hyperlink r:id="rId8">
        <w:r>
          <w:rPr>
            <w:color w:val="0000FF"/>
            <w:sz w:val="15"/>
            <w:u w:val="single" w:color="0000FF"/>
          </w:rPr>
          <w:t>http://millercenter.org/president/ford/essays/biography/4</w:t>
        </w:r>
        <w:r>
          <w:rPr>
            <w:color w:val="0000FF"/>
            <w:sz w:val="15"/>
          </w:rPr>
          <w:t> </w:t>
        </w:r>
      </w:hyperlink>
      <w:r>
        <w:rPr>
          <w:sz w:val="15"/>
        </w:rPr>
        <w:t>and </w:t>
      </w:r>
      <w:hyperlink r:id="rId9">
        <w:r>
          <w:rPr>
            <w:color w:val="0000FF"/>
            <w:sz w:val="15"/>
            <w:u w:val="single" w:color="0000FF"/>
          </w:rPr>
          <w:t>http://www.presidentprofiles.com/Kennedy-Bush/Gerald-R-Ford-Congress-inflation-and-energy.htm</w:t>
        </w:r>
        <w:r>
          <w:rPr>
            <w:color w:val="0000FF"/>
            <w:sz w:val="15"/>
          </w:rPr>
          <w:t>l</w:t>
        </w:r>
        <w:r>
          <w:rPr>
            <w:sz w:val="15"/>
          </w:rPr>
          <w:t>.</w:t>
        </w:r>
      </w:hyperlink>
    </w:p>
    <w:p>
      <w:pPr>
        <w:spacing w:after="0"/>
        <w:jc w:val="left"/>
        <w:rPr>
          <w:sz w:val="15"/>
        </w:rPr>
        <w:sectPr>
          <w:pgSz w:w="12240" w:h="15840"/>
          <w:pgMar w:header="0" w:footer="1240" w:top="1440" w:bottom="1440" w:left="1200" w:right="1060"/>
        </w:sectPr>
      </w:pPr>
    </w:p>
    <w:p>
      <w:pPr>
        <w:pStyle w:val="BodyText"/>
        <w:spacing w:line="357" w:lineRule="auto" w:before="79"/>
        <w:ind w:left="387" w:right="628"/>
      </w:pPr>
      <w:r>
        <w:rPr/>
        <w:t>inflation.</w:t>
      </w:r>
      <w:r>
        <w:rPr>
          <w:spacing w:val="-8"/>
        </w:rPr>
        <w:t> </w:t>
      </w:r>
      <w:r>
        <w:rPr/>
        <w:t>By</w:t>
      </w:r>
      <w:r>
        <w:rPr>
          <w:spacing w:val="-7"/>
        </w:rPr>
        <w:t> </w:t>
      </w:r>
      <w:r>
        <w:rPr/>
        <w:t>1975,</w:t>
      </w:r>
      <w:r>
        <w:rPr>
          <w:spacing w:val="-6"/>
        </w:rPr>
        <w:t> </w:t>
      </w:r>
      <w:r>
        <w:rPr/>
        <w:t>the</w:t>
      </w:r>
      <w:r>
        <w:rPr>
          <w:spacing w:val="-8"/>
        </w:rPr>
        <w:t> </w:t>
      </w:r>
      <w:r>
        <w:rPr/>
        <w:t>US</w:t>
      </w:r>
      <w:r>
        <w:rPr>
          <w:spacing w:val="-8"/>
        </w:rPr>
        <w:t> </w:t>
      </w:r>
      <w:r>
        <w:rPr/>
        <w:t>was</w:t>
      </w:r>
      <w:r>
        <w:rPr>
          <w:spacing w:val="-6"/>
        </w:rPr>
        <w:t> </w:t>
      </w:r>
      <w:r>
        <w:rPr/>
        <w:t>in</w:t>
      </w:r>
      <w:r>
        <w:rPr>
          <w:spacing w:val="-7"/>
        </w:rPr>
        <w:t> </w:t>
      </w:r>
      <w:r>
        <w:rPr/>
        <w:t>its</w:t>
      </w:r>
      <w:r>
        <w:rPr>
          <w:spacing w:val="-7"/>
        </w:rPr>
        <w:t> </w:t>
      </w:r>
      <w:r>
        <w:rPr/>
        <w:t>worst</w:t>
      </w:r>
      <w:r>
        <w:rPr>
          <w:spacing w:val="-6"/>
        </w:rPr>
        <w:t> </w:t>
      </w:r>
      <w:r>
        <w:rPr/>
        <w:t>recession</w:t>
      </w:r>
      <w:r>
        <w:rPr>
          <w:spacing w:val="-8"/>
        </w:rPr>
        <w:t> </w:t>
      </w:r>
      <w:r>
        <w:rPr/>
        <w:t>since</w:t>
      </w:r>
      <w:r>
        <w:rPr>
          <w:spacing w:val="-8"/>
        </w:rPr>
        <w:t> </w:t>
      </w:r>
      <w:r>
        <w:rPr/>
        <w:t>the</w:t>
      </w:r>
      <w:r>
        <w:rPr>
          <w:spacing w:val="-8"/>
        </w:rPr>
        <w:t> </w:t>
      </w:r>
      <w:r>
        <w:rPr/>
        <w:t>1930s</w:t>
      </w:r>
      <w:r>
        <w:rPr>
          <w:spacing w:val="-6"/>
        </w:rPr>
        <w:t> </w:t>
      </w:r>
      <w:r>
        <w:rPr/>
        <w:t>and</w:t>
      </w:r>
      <w:r>
        <w:rPr>
          <w:spacing w:val="-8"/>
        </w:rPr>
        <w:t> </w:t>
      </w:r>
      <w:r>
        <w:rPr/>
        <w:t>inflation</w:t>
      </w:r>
      <w:r>
        <w:rPr>
          <w:spacing w:val="-8"/>
        </w:rPr>
        <w:t> </w:t>
      </w:r>
      <w:r>
        <w:rPr/>
        <w:t>remained</w:t>
      </w:r>
      <w:r>
        <w:rPr>
          <w:spacing w:val="-8"/>
        </w:rPr>
        <w:t> </w:t>
      </w:r>
      <w:r>
        <w:rPr/>
        <w:t>above</w:t>
      </w:r>
      <w:r>
        <w:rPr>
          <w:spacing w:val="-7"/>
        </w:rPr>
        <w:t> </w:t>
      </w:r>
      <w:r>
        <w:rPr/>
        <w:t>9%.</w:t>
      </w:r>
      <w:r>
        <w:rPr>
          <w:spacing w:val="-7"/>
        </w:rPr>
        <w:t> </w:t>
      </w:r>
      <w:r>
        <w:rPr/>
        <w:t>The White House had printed 12 million of the infamous WIN buttons, but received only 100,000 requests for them—many of which were undoubtedly to spoof the</w:t>
      </w:r>
      <w:r>
        <w:rPr>
          <w:spacing w:val="-6"/>
        </w:rPr>
        <w:t> </w:t>
      </w:r>
      <w:r>
        <w:rPr/>
        <w:t>efforts.</w:t>
      </w:r>
    </w:p>
    <w:p>
      <w:pPr>
        <w:pStyle w:val="BodyText"/>
        <w:rPr>
          <w:sz w:val="25"/>
        </w:rPr>
      </w:pPr>
    </w:p>
    <w:p>
      <w:pPr>
        <w:spacing w:line="278" w:lineRule="auto" w:before="97"/>
        <w:ind w:left="429" w:right="4912" w:firstLine="0"/>
        <w:jc w:val="left"/>
        <w:rPr>
          <w:b/>
          <w:sz w:val="18"/>
        </w:rPr>
      </w:pPr>
      <w:r>
        <w:rPr/>
        <w:drawing>
          <wp:anchor distT="0" distB="0" distL="0" distR="0" allowOverlap="1" layoutInCell="1" locked="0" behindDoc="0" simplePos="0" relativeHeight="251664384">
            <wp:simplePos x="0" y="0"/>
            <wp:positionH relativeFrom="page">
              <wp:posOffset>4115214</wp:posOffset>
            </wp:positionH>
            <wp:positionV relativeFrom="paragraph">
              <wp:posOffset>72789</wp:posOffset>
            </wp:positionV>
            <wp:extent cx="2676364" cy="2518706"/>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2676364" cy="2518706"/>
                    </a:xfrm>
                    <a:prstGeom prst="rect">
                      <a:avLst/>
                    </a:prstGeom>
                  </pic:spPr>
                </pic:pic>
              </a:graphicData>
            </a:graphic>
          </wp:anchor>
        </w:drawing>
      </w:r>
      <w:r>
        <w:rPr>
          <w:b/>
          <w:sz w:val="18"/>
        </w:rPr>
        <w:t>Figure 1: Median annual inflation in advanced and emerging/developing economies</w:t>
      </w:r>
    </w:p>
    <w:p>
      <w:pPr>
        <w:spacing w:before="137"/>
        <w:ind w:left="2991" w:right="0" w:firstLine="0"/>
        <w:jc w:val="left"/>
        <w:rPr>
          <w:sz w:val="18"/>
        </w:rPr>
      </w:pPr>
      <w:r>
        <w:rPr>
          <w:sz w:val="18"/>
        </w:rPr>
        <w:t>Annual inflation (%)</w:t>
      </w:r>
    </w:p>
    <w:p>
      <w:pPr>
        <w:spacing w:before="66"/>
        <w:ind w:left="0" w:right="416" w:firstLine="0"/>
        <w:jc w:val="center"/>
        <w:rPr>
          <w:sz w:val="18"/>
        </w:rPr>
      </w:pPr>
      <w:r>
        <w:rPr/>
        <w:pict>
          <v:group style="position:absolute;margin-left:94.5pt;margin-top:8.440571pt;width:193.7pt;height:161.9pt;mso-position-horizontal-relative:page;mso-position-vertical-relative:paragraph;z-index:251663360" coordorigin="1890,169" coordsize="3874,3238">
            <v:line style="position:absolute" from="5707,175" to="5707,3350" stroked="true" strokeweight=".72pt" strokecolor="#868686">
              <v:stroke dashstyle="solid"/>
            </v:line>
            <v:shape style="position:absolute;left:5707;top:168;width:57;height:3189" coordorigin="5707,169" coordsize="57,3189" path="m5764,3343l5707,3343,5707,3357,5764,3357,5764,3343m5764,2708l5707,2708,5707,2722,5764,2722,5764,2708m5764,2073l5707,2073,5707,2088,5764,2088,5764,2073m5764,1438l5707,1438,5707,1452,5764,1452,5764,1438m5764,804l5707,804,5707,817,5764,817,5764,804m5764,169l5707,169,5707,182,5764,182,5764,169e" filled="true" fillcolor="#868686" stroked="false">
              <v:path arrowok="t"/>
              <v:fill type="solid"/>
            </v:shape>
            <v:line style="position:absolute" from="1897,3350" to="5707,3350" stroked="true" strokeweight=".72pt" strokecolor="#868686">
              <v:stroke dashstyle="solid"/>
            </v:line>
            <v:shape style="position:absolute;left:1890;top:3350;width:3542;height:57" coordorigin="1890,3350" coordsize="3542,57" path="m1904,3350l1890,3350,1890,3406,1904,3406,1904,3350m2610,3350l2596,3350,2596,3406,2610,3406,2610,3350m3316,3350l3301,3350,3301,3406,3316,3406,3316,3350m4021,3350l4007,3350,4007,3406,4021,3406,4021,3350m4727,3350l4712,3350,4712,3406,4727,3406,4727,3350m5431,3350l5418,3350,5418,3406,5431,3406,5431,3350e" filled="true" fillcolor="#868686" stroked="false">
              <v:path arrowok="t"/>
              <v:fill type="solid"/>
            </v:shape>
            <v:shape style="position:absolute;left:1890;top:1410;width:3825;height:1876" coordorigin="1890,1410" coordsize="3825,1876" path="m5305,2866l5276,2866,5304,2868,5286,2922,5347,3276,5348,3280,5353,3286,5365,3286,5371,3284,5374,3278,5377,3270,5375,3270,5348,3266,5367,3226,5305,2866xm5367,3226l5348,3266,5375,3270,5367,3226xm5507,2920l5496,2920,5491,2924,5489,2930,5419,3112,5367,3226,5375,3270,5377,3270,5444,3124,5504,2968,5490,2940,5515,2938,5520,2938,5513,2924,5507,2920xm5520,2938l5515,2938,5504,2968,5560,3082,5561,3082,5632,3182,5633,3184,5634,3184,5711,3246,5714,3246,5714,3214,5654,3166,5654,3166,5652,3164,5653,3164,5585,3068,5520,2938xm4580,3146l4649,3186,4652,3188,4656,3188,4663,3186,4667,3184,4668,3180,4673,3168,4643,3168,4649,3154,4636,3146,4583,3146,4580,3146xm4649,3154l4643,3168,4663,3162,4649,3154xm4802,3004l4721,3004,4716,3008,4714,3014,4649,3154,4663,3162,4643,3168,4673,3168,4735,3032,4727,3032,4739,3024,4833,3024,4804,3006,4802,3004xm5652,3164l5654,3166,5654,3166,5652,3164xm5654,3166l5654,3166,5654,3166,5654,3166xm5653,3164l5652,3164,5654,3166,5653,3164xm4578,3144l4580,3146,4583,3146,4578,3144xm4633,3144l4578,3144,4583,3146,4636,3146,4633,3144xm4367,3058l4436,3100,4438,3102,4439,3102,4510,3130,4512,3130,4580,3146,4578,3144,4633,3144,4592,3120,4590,3118,4588,3118,4517,3104,4520,3104,4450,3076,4451,3076,4428,3062,4374,3062,4367,3058xm1966,3064l1900,3090,1892,3094,1890,3098,1890,3104,1891,3108,1895,3116,1902,3118,1909,3116,1980,3088,1984,3086,1986,3086,1987,3082,1995,3068,1963,3068,1966,3064xm4833,3024l4739,3024,4735,3032,4789,3032,4860,3074,4862,3074,4933,3102,4934,3104,5153,3104,5222,3088,5227,3088,5232,3084,5233,3080,5235,3076,4943,3076,4877,3050,4874,3050,4833,3024xm5209,3064l5147,3076,5235,3076,5237,3070,5207,3070,5209,3064xm5218,3062l5209,3064,5207,3070,5218,3062xm5239,3062l5218,3062,5207,3070,5237,3070,5239,3062xm1969,3062l1966,3064,1963,3068,1969,3062xm1998,3062l1969,3062,1963,3068,1995,3068,1998,3062xm5292,2848l5285,2848,5279,2852,5278,2858,5209,3064,5218,3062,5239,3062,5286,2922,5276,2866,5305,2866,5304,2860,5303,2854,5298,2850,5292,2848xm2051,2934l2042,2934,2035,2938,2033,2942,1966,3064,1969,3062,1998,3062,2049,2970,2036,2960,2058,2954,2075,2954,2054,2938,2051,2934xm4037,2614l4008,2614,4032,2618,4016,2638,4078,2812,4079,2812,4079,2814,4150,2942,4153,2944,4224,3002,4294,3058,4297,3060,4300,3062,4373,3062,4367,3058,4421,3058,4385,3036,4312,3036,4303,3032,4307,3032,4241,2980,4171,2924,4174,2924,4104,2800,4104,2800,4037,2614xm4421,3058l4367,3058,4374,3062,4428,3062,4421,3058xm4872,3048l4874,3050,4877,3050,4872,3048xm4307,3032l4303,3032,4312,3036,4307,3032xm4376,3032l4307,3032,4312,3036,4385,3036,4381,3034,4376,3032xm4739,3024l4727,3032,4735,3032,4739,3024xm2075,2954l2058,2954,2049,2970,2107,3016,2114,3020,2119,3018,2123,3018,2126,3014,2129,3010,2135,2998,2104,2998,2111,2983,2075,2954xm2111,2983l2104,2998,2125,2994,2111,2983xm2185,2848l2177,2850,2174,2858,2111,2983,2125,2994,2104,2998,2135,2998,2194,2882,2182,2876,2200,2870,2242,2870,2192,2850,2185,2848xm2058,2954l2036,2960,2049,2970,2058,2954xm5515,2938l5490,2940,5504,2968,5515,2938xm4174,2924l4171,2924,4175,2926,4174,2924xm5276,2866l5286,2922,5304,2868,5276,2866xm2494,2830l2479,2830,2468,2842,2528,2914,2532,2918,2537,2920,2543,2920,2548,2918,2551,2914,2555,2902,2526,2902,2534,2877,2494,2830xm2377,2862l2335,2862,2328,2867,2392,2904,2396,2908,2404,2906,2427,2882,2388,2882,2396,2874,2377,2862xm2242,2870l2200,2870,2194,2882,2252,2906,2261,2906,2264,2904,2305,2880,2250,2880,2257,2876,2242,2870xm3654,2657l3726,2900,3731,2904,3740,2906,3745,2906,3763,2888,3752,2888,3728,2882,3746,2865,3685,2660,3656,2660,3654,2657xm2534,2877l2526,2902,2550,2896,2534,2877xm2708,2612l2674,2612,2603,2654,2599,2656,2597,2658,2597,2662,2534,2877,2550,2896,2526,2902,2555,2902,2621,2678,2617,2678,2623,2670,2631,2670,2688,2636,2689,2636,2692,2632,2708,2612xm3746,2865l3728,2882,3752,2888,3746,2865xm3944,2681l3870,2712,3869,2714,3798,2812,3799,2812,3746,2865,3752,2888,3763,2888,3820,2830,3821,2830,3887,2736,3884,2736,3892,2730,3900,2730,3955,2708,3960,2704,3961,2704,3976,2686,3940,2686,3944,2681xm2396,2874l2388,2882,2406,2880,2396,2874xm2473,2806l2466,2806,2461,2808,2459,2812,2396,2874,2406,2880,2388,2882,2427,2882,2468,2842,2458,2830,2494,2830,2479,2812,2477,2810,2473,2806xm2200,2870l2182,2876,2194,2882,2200,2870xm2257,2876l2250,2880,2262,2878,2257,2876xm2330,2834l2324,2834,2321,2836,2257,2876,2262,2878,2250,2880,2305,2880,2328,2867,2321,2862,2377,2862,2335,2836,2330,2834xm2335,2862l2321,2862,2328,2867,2335,2862xm2479,2830l2458,2830,2468,2842,2479,2830xm4104,2800l4104,2800,4105,2802,4104,2800xm3892,2730l3884,2736,3888,2735,3892,2730xm3888,2735l3884,2736,3887,2736,3888,2735xm3900,2730l3892,2730,3888,2735,3900,2730xm3946,2680l3944,2681,3940,2686,3946,2680xm3981,2680l3946,2680,3940,2686,3976,2686,3981,2680xm4019,2594l4013,2596,4010,2600,3944,2681,3946,2680,3981,2680,4016,2638,4008,2614,4037,2614,4034,2606,4032,2600,4028,2596,4019,2594xm2623,2670l2617,2678,2622,2676,2623,2670xm2622,2676l2617,2678,2621,2678,2622,2676xm2631,2670l2623,2670,2622,2676,2631,2670xm3654,2656l3654,2657,3656,2660,3654,2656xm3684,2656l3654,2656,3656,2660,3685,2660,3684,2656xm3372,1810l3443,2020,3514,2330,3584,2542,3584,2546,3586,2546,3654,2657,3654,2656,3684,2656,3682,2648,3682,2646,3680,2646,3680,2644,3611,2534,3611,2534,3610,2532,3610,2532,3541,2324,3470,2012,3404,1814,3376,1814,3372,1810xm4008,2614l4016,2638,4032,2618,4008,2614xm2738,2532l2670,2614,2674,2612,2708,2612,2762,2548,2765,2544,2765,2542,2766,2536,2737,2536,2738,2532xm2740,2530l2738,2532,2737,2536,2740,2530xm2767,2530l2740,2530,2737,2536,2766,2536,2767,2530xm3610,2532l3611,2534,3611,2534,3610,2532xm3611,2534l3611,2534,3611,2534,3611,2534xm3610,2532l3610,2532,3611,2534,3610,2532xm2898,1410l2885,1410,2879,1416,2878,1424,2808,2198,2738,2532,2740,2530,2767,2530,2836,2204,2897,1525,2879,1426,2907,1426,2906,1422,2905,1414,2898,1410xm3119,2020l3090,2020,3114,2026,3097,2047,3161,2302,3162,2308,3167,2312,3173,2314,3179,2314,3185,2310,3187,2304,3191,2296,3188,2296,3161,2294,3178,2254,3119,2020xm3178,2254l3161,2294,3188,2296,3178,2254xm3231,2127l3178,2254,3188,2296,3191,2296,3258,2134,3259,2132,3260,2128,3230,2128,3231,2127xm3232,2124l3231,2127,3230,2128,3232,2124xm3261,2124l3232,2124,3230,2128,3260,2128,3261,2124xm3317,1706l3312,1706,3306,1708,3302,1712,3301,1718,3231,2127,3232,2124,3261,2124,3324,1753,3305,1730,3329,1724,3337,1724,3326,1712,3323,1708,3317,1706xm2907,1426l2906,1426,2897,1525,2948,1794,3019,2104,3020,2110,3025,2114,3035,2116,3041,2114,3044,2110,3054,2098,3047,2098,3023,2092,3041,2071,2976,1788,2907,1426xm3041,2071l3023,2092,3047,2098,3041,2071xm3102,2002l3096,2004,3092,2008,3041,2071,3047,2098,3054,2098,3097,2047,3090,2020,3119,2020,3116,2008,3112,2004,3102,2002xm3090,2020l3097,2047,3114,2026,3090,2020xm3337,1724l3329,1724,3324,1753,3376,1814,3404,1814,3400,1802,3398,1798,3397,1796,3337,1724xm3329,1724l3305,1730,3324,1753,3329,1724xm2906,1426l2879,1426,2897,1525,2906,1426xe" filled="true" fillcolor="#c0504d" stroked="false">
              <v:path arrowok="t"/>
              <v:fill type="solid"/>
            </v:shape>
            <v:shape style="position:absolute;left:1890;top:850;width:3825;height:2380" coordorigin="1890,850" coordsize="3825,2380" path="m2103,3227l2102,3230,2105,3228,2103,3227xm2264,2810l2244,2810,2174,2950,2173,2950,2109,3202,2123,3210,2105,3228,2108,3230,2130,3230,2201,2970,2200,2970,2266,2839,2250,2830,2300,2830,2264,2810xm2109,3202l2103,3227,2105,3228,2123,3210,2109,3202xm1912,2990l1903,2990,1896,3010,1890,3010,1892,3030,1963,3130,1966,3130,2036,3190,2039,3190,2103,3227,2109,3202,2053,3170,2056,3170,1985,3110,1986,3110,1916,3010,1912,2990xm2412,2750l2411,2750,2392,2782,2455,3050,2456,3070,2480,3070,2492,3050,2456,3050,2475,3018,2412,2750xm2475,3018l2456,3050,2483,3050,2475,3018xm2764,2690l2738,2690,2668,2830,2671,2830,2603,2890,2532,2930,2527,2930,2475,3018,2483,3050,2492,3050,2551,2950,2546,2950,2617,2910,2689,2850,2693,2850,2764,2690xm2300,2830l2270,2830,2266,2839,2321,2870,2340,2870,2352,2850,2316,2850,2321,2842,2300,2830xm2321,2842l2316,2850,2335,2850,2321,2842xm2411,2730l2387,2730,2321,2842,2335,2850,2352,2850,2392,2782,2384,2750,2412,2750,2411,2730xm2270,2830l2250,2830,2266,2839,2270,2830xm5304,2170l5286,2261,5347,2810,5347,2830,5364,2830,5435,2810,5358,2810,5374,2805,5304,2170xm4735,2790l4717,2790,4721,2810,4732,2810,4735,2790xm4821,2690l4808,2690,4795,2709,4855,2810,4874,2810,4899,2790,4858,2790,4872,2778,4821,2690xm5374,2805l5358,2810,5375,2810,5374,2805xm5514,2590l5491,2590,5489,2610,5418,2790,5429,2790,5374,2805,5375,2810,5444,2810,5507,2633,5491,2610,5528,2610,5514,2590xm5528,2610l5515,2610,5507,2633,5561,2710,5633,2710,5702,2790,5708,2810,5714,2810,5714,2770,5654,2690,5585,2690,5528,2610xm4602,2330l4597,2330,4578,2363,4642,2670,4643,2690,4644,2690,4715,2790,4726,2770,4668,2670,4669,2670,4602,2330xm4726,2770l4715,2790,4738,2790,4726,2770xm4810,2670l4784,2670,4726,2770,4738,2790,4795,2709,4784,2690,4821,2690,4810,2670xm4872,2778l4858,2790,4879,2790,4872,2778xm4939,2710l4932,2710,4928,2730,4872,2778,4879,2790,4899,2790,4941,2756,4931,2750,4981,2750,4945,2730,4939,2710xm4981,2750l4948,2750,4941,2756,5002,2790,5020,2790,5022,2770,4996,2770,4999,2761,4981,2750xm2411,2750l2384,2750,2392,2782,2411,2750xm4999,2761l4996,2770,5016,2770,4999,2761xm5276,2170l5206,2510,5209,2510,5138,2590,5066,2590,4999,2761,5016,2770,5022,2770,5092,2610,5160,2610,5231,2530,5234,2530,5286,2261,5276,2170xm4948,2750l4931,2750,4941,2756,4948,2750xm4808,2690l4784,2690,4795,2709,4808,2690xm2878,1150l2808,1890,2737,2690,2765,2690,2836,1910,2891,1316,2878,1150xm5515,2610l5491,2610,5507,2633,5515,2610xm4458,2050l4430,2050,4501,2430,4501,2450,4526,2450,4538,2430,4502,2430,4522,2396,4458,2050xm4522,2396l4502,2430,4529,2430,4522,2396xm4598,2310l4573,2310,4522,2396,4529,2430,4538,2430,4578,2363,4571,2330,4602,2330,4598,2310xm4597,2330l4571,2330,4578,2363,4597,2330xm5304,2150l5278,2150,5276,2170,5286,2261,5304,2170,5304,2150xm2976,2030l2950,2030,3020,2210,3047,2210,3054,2190,3020,2190,3032,2159,2976,2030xm3116,2010l3103,2048,3161,2210,3186,2210,3188,2190,3161,2190,3171,2149,3116,2010xm3032,2159l3020,2190,3046,2190,3032,2159xm3090,2010l3032,2159,3046,2190,3054,2190,3103,2048,3090,2010xm3171,2149l3161,2190,3187,2190,3171,2149xm3302,1490l3301,1490,3232,1910,3171,2149,3187,2190,3188,2190,3258,1910,3321,1537,3302,1490xm3752,1810l3738,1872,3796,2150,3799,2170,3815,2170,3850,2150,3804,2150,3821,2140,3752,1810xm3821,2140l3804,2150,3823,2150,3821,2140xm3869,2113l3821,2140,3823,2150,3850,2150,3884,2130,3866,2130,3869,2113xm3668,2050l3654,2110,3655,2130,3680,2130,3682,2110,3668,2050xm3875,2110l3869,2113,3866,2130,3875,2110xm3897,2110l3875,2110,3866,2130,3894,2130,3897,2110xm4078,870l4007,1170,3936,1730,3869,2113,3875,2110,3897,2110,3964,1730,4034,1190,4084,964,4078,870xm3611,1790l3610,1790,3589,1818,3654,2110,3668,2050,3611,1790xm3725,1810l3668,2050,3682,2110,3738,1872,3725,1810xm4386,1930l4387,1950,4362,1950,4432,2070,4430,2050,4456,2050,4386,1930xm3116,2010l3090,2010,3103,2048,3116,2010xm2906,1150l2891,1316,2948,2030,2977,2030,2906,1150xm3109,1990l3098,1990,3092,2010,3115,2010,3109,1990xm3464,1943l3445,1970,3444,1970,3448,1990,3464,1990,3467,1970,3470,1967,3464,1943xm3329,1490l3321,1537,3373,1670,3443,1970,3445,1970,3464,1943,3400,1670,3329,1490xm3470,1967l3467,1970,3470,1970,3470,1967xm3610,1770l3586,1770,3516,1870,3464,1943,3470,1967,3538,1890,3589,1818,3583,1790,3611,1790,3610,1770xm4318,1170l4316,1170,4302,1313,4360,1950,4387,1950,4318,1170xm3752,1810l3725,1810,3738,1872,3752,1810xm4289,1170l4218,1845,4235,1850,4153,1850,4230,1870,4244,1870,4247,1850,4302,1313,4289,1170xm4105,870l4084,964,4147,1850,4176,1850,4165,1830,4175,1830,4105,870xm4165,1830l4176,1850,4175,1833,4165,1830xm4175,1833l4176,1850,4218,1850,4218,1845,4175,1833xm4218,1845l4218,1850,4235,1850,4218,1845xm4175,1830l4165,1830,4175,1833,4175,1830xm3610,1790l3583,1790,3589,1818,3610,1790xm3326,1470l3307,1470,3302,1490,3321,1537,3329,1490,3326,1470xm2906,1150l2878,1150,2891,1316,2906,1150xm4316,1150l4290,1150,4289,1170,4302,1313,4316,1170,4318,1170,4316,1150xm2899,1130l2885,1130,2879,1150,2905,1150,2899,1130xm4099,850l4079,850,4078,870,4084,964,4105,870,4099,850xe" filled="true" fillcolor="#4f81bd" stroked="false">
              <v:path arrowok="t"/>
              <v:fill type="solid"/>
            </v:shape>
            <v:line style="position:absolute" from="2017,309" to="2412,309" stroked="true" strokeweight="1.44pt" strokecolor="#c0504d">
              <v:stroke dashstyle="solid"/>
            </v:line>
            <v:line style="position:absolute" from="2017,662" to="2412,662" stroked="true" strokeweight="1.44pt" strokecolor="#4f81bd">
              <v:stroke dashstyle="solid"/>
            </v:line>
            <v:shape style="position:absolute;left:1890;top:168;width:3874;height:3238" type="#_x0000_t202" filled="false" stroked="false">
              <v:textbox inset="0,0,0,0">
                <w:txbxContent>
                  <w:p>
                    <w:pPr>
                      <w:spacing w:before="44"/>
                      <w:ind w:left="550" w:right="0" w:firstLine="0"/>
                      <w:jc w:val="left"/>
                      <w:rPr>
                        <w:sz w:val="18"/>
                      </w:rPr>
                    </w:pPr>
                    <w:r>
                      <w:rPr>
                        <w:sz w:val="18"/>
                      </w:rPr>
                      <w:t>Advanced Economies</w:t>
                    </w:r>
                  </w:p>
                  <w:p>
                    <w:pPr>
                      <w:spacing w:before="139"/>
                      <w:ind w:left="550" w:right="0" w:firstLine="0"/>
                      <w:jc w:val="left"/>
                      <w:rPr>
                        <w:sz w:val="18"/>
                      </w:rPr>
                    </w:pPr>
                    <w:r>
                      <w:rPr>
                        <w:sz w:val="18"/>
                      </w:rPr>
                      <w:t>Emerging/ Developing Economies</w:t>
                    </w:r>
                  </w:p>
                </w:txbxContent>
              </v:textbox>
              <w10:wrap type="none"/>
            </v:shape>
            <w10:wrap type="none"/>
          </v:group>
        </w:pict>
      </w:r>
      <w:r>
        <w:rPr>
          <w:spacing w:val="-4"/>
          <w:sz w:val="18"/>
        </w:rPr>
        <w:t>25</w:t>
      </w:r>
    </w:p>
    <w:p>
      <w:pPr>
        <w:pStyle w:val="BodyText"/>
        <w:rPr>
          <w:sz w:val="20"/>
        </w:rPr>
      </w:pPr>
    </w:p>
    <w:p>
      <w:pPr>
        <w:pStyle w:val="BodyText"/>
        <w:spacing w:before="2"/>
        <w:rPr>
          <w:sz w:val="17"/>
        </w:rPr>
      </w:pPr>
    </w:p>
    <w:p>
      <w:pPr>
        <w:spacing w:before="1"/>
        <w:ind w:left="0" w:right="416" w:firstLine="0"/>
        <w:jc w:val="center"/>
        <w:rPr>
          <w:sz w:val="18"/>
        </w:rPr>
      </w:pPr>
      <w:r>
        <w:rPr>
          <w:spacing w:val="-4"/>
          <w:sz w:val="18"/>
        </w:rPr>
        <w:t>20</w:t>
      </w:r>
    </w:p>
    <w:p>
      <w:pPr>
        <w:pStyle w:val="BodyText"/>
        <w:rPr>
          <w:sz w:val="20"/>
        </w:rPr>
      </w:pPr>
    </w:p>
    <w:p>
      <w:pPr>
        <w:pStyle w:val="BodyText"/>
        <w:spacing w:before="3"/>
        <w:rPr>
          <w:sz w:val="17"/>
        </w:rPr>
      </w:pPr>
    </w:p>
    <w:p>
      <w:pPr>
        <w:spacing w:before="0"/>
        <w:ind w:left="0" w:right="416" w:firstLine="0"/>
        <w:jc w:val="center"/>
        <w:rPr>
          <w:sz w:val="18"/>
        </w:rPr>
      </w:pPr>
      <w:r>
        <w:rPr>
          <w:spacing w:val="-4"/>
          <w:sz w:val="18"/>
        </w:rPr>
        <w:t>15</w:t>
      </w:r>
    </w:p>
    <w:p>
      <w:pPr>
        <w:pStyle w:val="BodyText"/>
        <w:rPr>
          <w:sz w:val="20"/>
        </w:rPr>
      </w:pPr>
    </w:p>
    <w:p>
      <w:pPr>
        <w:pStyle w:val="BodyText"/>
        <w:spacing w:before="2"/>
        <w:rPr>
          <w:sz w:val="17"/>
        </w:rPr>
      </w:pPr>
    </w:p>
    <w:p>
      <w:pPr>
        <w:spacing w:before="0"/>
        <w:ind w:left="0" w:right="416" w:firstLine="0"/>
        <w:jc w:val="center"/>
        <w:rPr>
          <w:sz w:val="18"/>
        </w:rPr>
      </w:pPr>
      <w:r>
        <w:rPr>
          <w:spacing w:val="-4"/>
          <w:sz w:val="18"/>
        </w:rPr>
        <w:t>10</w:t>
      </w:r>
    </w:p>
    <w:p>
      <w:pPr>
        <w:pStyle w:val="BodyText"/>
        <w:rPr>
          <w:sz w:val="20"/>
        </w:rPr>
      </w:pPr>
    </w:p>
    <w:p>
      <w:pPr>
        <w:pStyle w:val="BodyText"/>
        <w:spacing w:before="4"/>
        <w:rPr>
          <w:sz w:val="17"/>
        </w:rPr>
      </w:pPr>
    </w:p>
    <w:p>
      <w:pPr>
        <w:spacing w:before="0"/>
        <w:ind w:left="0" w:right="511" w:firstLine="0"/>
        <w:jc w:val="center"/>
        <w:rPr>
          <w:sz w:val="18"/>
        </w:rPr>
      </w:pPr>
      <w:r>
        <w:rPr>
          <w:w w:val="101"/>
          <w:sz w:val="18"/>
        </w:rPr>
        <w:t>5</w:t>
      </w:r>
    </w:p>
    <w:p>
      <w:pPr>
        <w:pStyle w:val="BodyText"/>
        <w:spacing w:before="8"/>
        <w:rPr>
          <w:sz w:val="28"/>
        </w:rPr>
      </w:pPr>
    </w:p>
    <w:p>
      <w:pPr>
        <w:spacing w:before="98"/>
        <w:ind w:left="0" w:right="511" w:firstLine="0"/>
        <w:jc w:val="center"/>
        <w:rPr>
          <w:sz w:val="18"/>
        </w:rPr>
      </w:pPr>
      <w:r>
        <w:rPr>
          <w:w w:val="101"/>
          <w:sz w:val="18"/>
        </w:rPr>
        <w:t>0</w:t>
      </w:r>
    </w:p>
    <w:p>
      <w:pPr>
        <w:tabs>
          <w:tab w:pos="1205" w:val="left" w:leader="none"/>
          <w:tab w:pos="1911" w:val="left" w:leader="none"/>
          <w:tab w:pos="2616" w:val="left" w:leader="none"/>
          <w:tab w:pos="3322" w:val="left" w:leader="none"/>
          <w:tab w:pos="4027" w:val="left" w:leader="none"/>
        </w:tabs>
        <w:spacing w:before="17"/>
        <w:ind w:left="500" w:right="0" w:firstLine="0"/>
        <w:jc w:val="left"/>
        <w:rPr>
          <w:sz w:val="18"/>
        </w:rPr>
      </w:pPr>
      <w:r>
        <w:rPr>
          <w:sz w:val="18"/>
        </w:rPr>
        <w:t>1960</w:t>
        <w:tab/>
        <w:t>1970</w:t>
        <w:tab/>
        <w:t>1980</w:t>
        <w:tab/>
        <w:t>1990</w:t>
        <w:tab/>
        <w:t>2000</w:t>
        <w:tab/>
        <w:t>2010</w:t>
      </w:r>
    </w:p>
    <w:p>
      <w:pPr>
        <w:spacing w:before="114"/>
        <w:ind w:left="429" w:right="0" w:firstLine="0"/>
        <w:jc w:val="left"/>
        <w:rPr>
          <w:sz w:val="15"/>
        </w:rPr>
      </w:pPr>
      <w:r>
        <w:rPr>
          <w:b/>
          <w:i/>
          <w:w w:val="105"/>
          <w:sz w:val="15"/>
        </w:rPr>
        <w:t>Source </w:t>
      </w:r>
      <w:r>
        <w:rPr>
          <w:w w:val="105"/>
          <w:sz w:val="15"/>
        </w:rPr>
        <w:t>: IMF International Financial Statistics</w:t>
      </w:r>
    </w:p>
    <w:p>
      <w:pPr>
        <w:spacing w:line="290" w:lineRule="auto" w:before="111"/>
        <w:ind w:left="429" w:right="4912" w:firstLine="0"/>
        <w:jc w:val="left"/>
        <w:rPr>
          <w:sz w:val="15"/>
        </w:rPr>
      </w:pPr>
      <w:r>
        <w:rPr>
          <w:b/>
          <w:i/>
          <w:spacing w:val="2"/>
          <w:w w:val="105"/>
          <w:sz w:val="15"/>
        </w:rPr>
        <w:t>Notes</w:t>
      </w:r>
      <w:r>
        <w:rPr>
          <w:spacing w:val="2"/>
          <w:w w:val="105"/>
          <w:sz w:val="15"/>
        </w:rPr>
        <w:t>: </w:t>
      </w:r>
      <w:r>
        <w:rPr>
          <w:spacing w:val="-6"/>
          <w:w w:val="105"/>
          <w:sz w:val="15"/>
        </w:rPr>
        <w:t>Median </w:t>
      </w:r>
      <w:r>
        <w:rPr>
          <w:w w:val="105"/>
          <w:sz w:val="15"/>
        </w:rPr>
        <w:t>annual inflation rate of 26 advanced </w:t>
      </w:r>
      <w:r>
        <w:rPr>
          <w:spacing w:val="-4"/>
          <w:w w:val="105"/>
          <w:sz w:val="15"/>
        </w:rPr>
        <w:t>economies </w:t>
      </w:r>
      <w:r>
        <w:rPr>
          <w:spacing w:val="-2"/>
          <w:w w:val="105"/>
          <w:sz w:val="15"/>
        </w:rPr>
        <w:t>and </w:t>
      </w:r>
      <w:r>
        <w:rPr>
          <w:w w:val="105"/>
          <w:sz w:val="15"/>
        </w:rPr>
        <w:t>56 </w:t>
      </w:r>
      <w:r>
        <w:rPr>
          <w:spacing w:val="-3"/>
          <w:w w:val="105"/>
          <w:sz w:val="15"/>
        </w:rPr>
        <w:t>emerging/developing </w:t>
      </w:r>
      <w:r>
        <w:rPr>
          <w:spacing w:val="3"/>
          <w:w w:val="105"/>
          <w:sz w:val="15"/>
        </w:rPr>
        <w:t>from </w:t>
      </w:r>
      <w:r>
        <w:rPr>
          <w:w w:val="105"/>
          <w:sz w:val="15"/>
        </w:rPr>
        <w:t>1970 to 1979.</w:t>
      </w:r>
    </w:p>
    <w:p>
      <w:pPr>
        <w:pStyle w:val="BodyText"/>
        <w:rPr>
          <w:sz w:val="20"/>
        </w:rPr>
      </w:pPr>
    </w:p>
    <w:p>
      <w:pPr>
        <w:pStyle w:val="BodyText"/>
      </w:pPr>
    </w:p>
    <w:p>
      <w:pPr>
        <w:pStyle w:val="BodyText"/>
        <w:spacing w:line="357" w:lineRule="auto"/>
        <w:ind w:left="387" w:right="531"/>
      </w:pPr>
      <w:r>
        <w:rPr/>
        <w:t>The United Kingdom also battled high inflation in the 1970s, a decade during which average annual inflation was 12.0%. Figure 3 shows this challenge—with inflation peaking at just over 25% in August 1975. Early in the 1970s the government tried a number of standard policies to tackle inflation—such as fiscal tightening and restrictions on price increases for government output and wage increases for public employees. But inflation continued to accelerate, further complicated by miners’ strikes and an oil embargo that caused oil prices to rise sharply. In 1974, output </w:t>
      </w:r>
      <w:r>
        <w:rPr>
          <w:color w:val="212121"/>
        </w:rPr>
        <w:t>plunged by 3.4% and unemployment increased to levels not seen since</w:t>
      </w:r>
      <w:r>
        <w:rPr>
          <w:color w:val="212121"/>
          <w:spacing w:val="-11"/>
        </w:rPr>
        <w:t> </w:t>
      </w:r>
      <w:r>
        <w:rPr>
          <w:color w:val="212121"/>
        </w:rPr>
        <w:t>the</w:t>
      </w:r>
      <w:r>
        <w:rPr>
          <w:color w:val="212121"/>
          <w:spacing w:val="-10"/>
        </w:rPr>
        <w:t> </w:t>
      </w:r>
      <w:r>
        <w:rPr>
          <w:color w:val="212121"/>
        </w:rPr>
        <w:t>1930s.</w:t>
      </w:r>
      <w:r>
        <w:rPr>
          <w:color w:val="212121"/>
          <w:spacing w:val="-11"/>
        </w:rPr>
        <w:t> </w:t>
      </w:r>
      <w:r>
        <w:rPr>
          <w:color w:val="212121"/>
        </w:rPr>
        <w:t>This</w:t>
      </w:r>
      <w:r>
        <w:rPr>
          <w:color w:val="212121"/>
          <w:spacing w:val="-10"/>
        </w:rPr>
        <w:t> </w:t>
      </w:r>
      <w:r>
        <w:rPr>
          <w:color w:val="212121"/>
        </w:rPr>
        <w:t>made</w:t>
      </w:r>
      <w:r>
        <w:rPr>
          <w:color w:val="212121"/>
          <w:spacing w:val="-10"/>
        </w:rPr>
        <w:t> </w:t>
      </w:r>
      <w:r>
        <w:rPr>
          <w:color w:val="212121"/>
        </w:rPr>
        <w:t>traditional</w:t>
      </w:r>
      <w:r>
        <w:rPr>
          <w:color w:val="212121"/>
          <w:spacing w:val="-11"/>
        </w:rPr>
        <w:t> </w:t>
      </w:r>
      <w:r>
        <w:rPr>
          <w:color w:val="212121"/>
        </w:rPr>
        <w:t>fiscal</w:t>
      </w:r>
      <w:r>
        <w:rPr>
          <w:color w:val="212121"/>
          <w:spacing w:val="-8"/>
        </w:rPr>
        <w:t> </w:t>
      </w:r>
      <w:r>
        <w:rPr>
          <w:color w:val="212121"/>
        </w:rPr>
        <w:t>and</w:t>
      </w:r>
      <w:r>
        <w:rPr>
          <w:color w:val="212121"/>
          <w:spacing w:val="-11"/>
        </w:rPr>
        <w:t> </w:t>
      </w:r>
      <w:r>
        <w:rPr>
          <w:color w:val="212121"/>
        </w:rPr>
        <w:t>monetary</w:t>
      </w:r>
      <w:r>
        <w:rPr>
          <w:color w:val="212121"/>
          <w:spacing w:val="-10"/>
        </w:rPr>
        <w:t> </w:t>
      </w:r>
      <w:r>
        <w:rPr>
          <w:color w:val="212121"/>
        </w:rPr>
        <w:t>tightening</w:t>
      </w:r>
      <w:r>
        <w:rPr>
          <w:color w:val="212121"/>
          <w:spacing w:val="-11"/>
        </w:rPr>
        <w:t> </w:t>
      </w:r>
      <w:r>
        <w:rPr>
          <w:color w:val="212121"/>
        </w:rPr>
        <w:t>less</w:t>
      </w:r>
      <w:r>
        <w:rPr>
          <w:color w:val="212121"/>
          <w:spacing w:val="-10"/>
        </w:rPr>
        <w:t> </w:t>
      </w:r>
      <w:r>
        <w:rPr>
          <w:color w:val="212121"/>
        </w:rPr>
        <w:t>attractive.</w:t>
      </w:r>
      <w:r>
        <w:rPr>
          <w:color w:val="212121"/>
          <w:spacing w:val="-9"/>
        </w:rPr>
        <w:t> </w:t>
      </w:r>
      <w:r>
        <w:rPr>
          <w:color w:val="212121"/>
        </w:rPr>
        <w:t>The</w:t>
      </w:r>
      <w:r>
        <w:rPr>
          <w:color w:val="212121"/>
          <w:spacing w:val="-11"/>
        </w:rPr>
        <w:t> </w:t>
      </w:r>
      <w:r>
        <w:rPr>
          <w:color w:val="212121"/>
        </w:rPr>
        <w:t>Government</w:t>
      </w:r>
      <w:r>
        <w:rPr>
          <w:color w:val="212121"/>
          <w:spacing w:val="-8"/>
        </w:rPr>
        <w:t> </w:t>
      </w:r>
      <w:r>
        <w:rPr>
          <w:color w:val="212121"/>
        </w:rPr>
        <w:t>shifted to</w:t>
      </w:r>
      <w:r>
        <w:rPr>
          <w:color w:val="212121"/>
          <w:spacing w:val="-8"/>
        </w:rPr>
        <w:t> </w:t>
      </w:r>
      <w:r>
        <w:rPr>
          <w:color w:val="212121"/>
        </w:rPr>
        <w:t>less</w:t>
      </w:r>
      <w:r>
        <w:rPr>
          <w:color w:val="212121"/>
          <w:spacing w:val="-8"/>
        </w:rPr>
        <w:t> </w:t>
      </w:r>
      <w:r>
        <w:rPr>
          <w:color w:val="212121"/>
        </w:rPr>
        <w:t>conventional</w:t>
      </w:r>
      <w:r>
        <w:rPr>
          <w:color w:val="212121"/>
          <w:spacing w:val="-8"/>
        </w:rPr>
        <w:t> </w:t>
      </w:r>
      <w:r>
        <w:rPr>
          <w:color w:val="212121"/>
        </w:rPr>
        <w:t>policies</w:t>
      </w:r>
      <w:r>
        <w:rPr>
          <w:color w:val="212121"/>
          <w:spacing w:val="-7"/>
        </w:rPr>
        <w:t> </w:t>
      </w:r>
      <w:r>
        <w:rPr>
          <w:color w:val="212121"/>
        </w:rPr>
        <w:t>to</w:t>
      </w:r>
      <w:r>
        <w:rPr>
          <w:color w:val="212121"/>
          <w:spacing w:val="-9"/>
        </w:rPr>
        <w:t> </w:t>
      </w:r>
      <w:r>
        <w:rPr>
          <w:color w:val="212121"/>
        </w:rPr>
        <w:t>tackle</w:t>
      </w:r>
      <w:r>
        <w:rPr>
          <w:color w:val="212121"/>
          <w:spacing w:val="-7"/>
        </w:rPr>
        <w:t> </w:t>
      </w:r>
      <w:r>
        <w:rPr>
          <w:color w:val="212121"/>
        </w:rPr>
        <w:t>energy</w:t>
      </w:r>
      <w:r>
        <w:rPr>
          <w:color w:val="212121"/>
          <w:spacing w:val="-8"/>
        </w:rPr>
        <w:t> </w:t>
      </w:r>
      <w:r>
        <w:rPr>
          <w:color w:val="212121"/>
        </w:rPr>
        <w:t>shortages</w:t>
      </w:r>
      <w:r>
        <w:rPr>
          <w:color w:val="212121"/>
          <w:spacing w:val="-8"/>
        </w:rPr>
        <w:t> </w:t>
      </w:r>
      <w:r>
        <w:rPr>
          <w:color w:val="212121"/>
        </w:rPr>
        <w:t>and</w:t>
      </w:r>
      <w:r>
        <w:rPr>
          <w:color w:val="212121"/>
          <w:spacing w:val="-7"/>
        </w:rPr>
        <w:t> </w:t>
      </w:r>
      <w:r>
        <w:rPr>
          <w:color w:val="212121"/>
        </w:rPr>
        <w:t>high</w:t>
      </w:r>
      <w:r>
        <w:rPr>
          <w:color w:val="212121"/>
          <w:spacing w:val="-7"/>
        </w:rPr>
        <w:t> </w:t>
      </w:r>
      <w:r>
        <w:rPr>
          <w:color w:val="212121"/>
        </w:rPr>
        <w:t>inflation—such</w:t>
      </w:r>
      <w:r>
        <w:rPr>
          <w:color w:val="212121"/>
          <w:spacing w:val="-9"/>
        </w:rPr>
        <w:t> </w:t>
      </w:r>
      <w:r>
        <w:rPr>
          <w:color w:val="212121"/>
        </w:rPr>
        <w:t>as</w:t>
      </w:r>
      <w:r>
        <w:rPr>
          <w:color w:val="212121"/>
          <w:spacing w:val="-7"/>
        </w:rPr>
        <w:t> </w:t>
      </w:r>
      <w:r>
        <w:rPr>
          <w:color w:val="212121"/>
        </w:rPr>
        <w:t>a</w:t>
      </w:r>
      <w:r>
        <w:rPr>
          <w:color w:val="212121"/>
          <w:spacing w:val="-8"/>
        </w:rPr>
        <w:t> </w:t>
      </w:r>
      <w:r>
        <w:rPr/>
        <w:t>“three</w:t>
      </w:r>
      <w:r>
        <w:rPr>
          <w:spacing w:val="-9"/>
        </w:rPr>
        <w:t> </w:t>
      </w:r>
      <w:r>
        <w:rPr/>
        <w:t>day</w:t>
      </w:r>
      <w:r>
        <w:rPr>
          <w:spacing w:val="-7"/>
        </w:rPr>
        <w:t> </w:t>
      </w:r>
      <w:r>
        <w:rPr/>
        <w:t>week”.</w:t>
      </w:r>
      <w:r>
        <w:rPr>
          <w:spacing w:val="-7"/>
        </w:rPr>
        <w:t> </w:t>
      </w:r>
      <w:r>
        <w:rPr/>
        <w:t>This policy limited commercial users of electricity to three specified consecutive days of consumption each week and prohibited them from working longer hours on those days. Even television companies were required to cease broadcasting at 10:30 pm. Stricter speed limits were enforced on roads in order to conserve oil. The electricity</w:t>
      </w:r>
      <w:r>
        <w:rPr>
          <w:spacing w:val="-5"/>
        </w:rPr>
        <w:t> </w:t>
      </w:r>
      <w:r>
        <w:rPr/>
        <w:t>restrictions</w:t>
      </w:r>
      <w:r>
        <w:rPr>
          <w:spacing w:val="-4"/>
        </w:rPr>
        <w:t> </w:t>
      </w:r>
      <w:r>
        <w:rPr/>
        <w:t>caused</w:t>
      </w:r>
      <w:r>
        <w:rPr>
          <w:spacing w:val="-4"/>
        </w:rPr>
        <w:t> </w:t>
      </w:r>
      <w:r>
        <w:rPr/>
        <w:t>many</w:t>
      </w:r>
      <w:r>
        <w:rPr>
          <w:spacing w:val="-5"/>
        </w:rPr>
        <w:t> </w:t>
      </w:r>
      <w:r>
        <w:rPr/>
        <w:t>to</w:t>
      </w:r>
      <w:r>
        <w:rPr>
          <w:spacing w:val="-3"/>
        </w:rPr>
        <w:t> </w:t>
      </w:r>
      <w:r>
        <w:rPr/>
        <w:t>become</w:t>
      </w:r>
      <w:r>
        <w:rPr>
          <w:spacing w:val="-5"/>
        </w:rPr>
        <w:t> </w:t>
      </w:r>
      <w:r>
        <w:rPr/>
        <w:t>accustomed</w:t>
      </w:r>
      <w:r>
        <w:rPr>
          <w:spacing w:val="-5"/>
        </w:rPr>
        <w:t> </w:t>
      </w:r>
      <w:r>
        <w:rPr/>
        <w:t>to</w:t>
      </w:r>
      <w:r>
        <w:rPr>
          <w:spacing w:val="-5"/>
        </w:rPr>
        <w:t> </w:t>
      </w:r>
      <w:r>
        <w:rPr/>
        <w:t>working</w:t>
      </w:r>
      <w:r>
        <w:rPr>
          <w:spacing w:val="-4"/>
        </w:rPr>
        <w:t> </w:t>
      </w:r>
      <w:r>
        <w:rPr/>
        <w:t>by</w:t>
      </w:r>
      <w:r>
        <w:rPr>
          <w:spacing w:val="-5"/>
        </w:rPr>
        <w:t> </w:t>
      </w:r>
      <w:r>
        <w:rPr/>
        <w:t>lamp</w:t>
      </w:r>
      <w:r>
        <w:rPr>
          <w:spacing w:val="-5"/>
        </w:rPr>
        <w:t> </w:t>
      </w:r>
      <w:r>
        <w:rPr/>
        <w:t>and</w:t>
      </w:r>
      <w:r>
        <w:rPr>
          <w:spacing w:val="-5"/>
        </w:rPr>
        <w:t> </w:t>
      </w:r>
      <w:r>
        <w:rPr/>
        <w:t>candle</w:t>
      </w:r>
      <w:r>
        <w:rPr>
          <w:spacing w:val="-5"/>
        </w:rPr>
        <w:t> </w:t>
      </w:r>
      <w:r>
        <w:rPr/>
        <w:t>light.</w:t>
      </w:r>
      <w:r>
        <w:rPr>
          <w:vertAlign w:val="superscript"/>
        </w:rPr>
        <w:t>3</w:t>
      </w:r>
    </w:p>
    <w:p>
      <w:pPr>
        <w:pStyle w:val="BodyText"/>
        <w:spacing w:before="6"/>
        <w:rPr>
          <w:sz w:val="21"/>
        </w:rPr>
      </w:pPr>
    </w:p>
    <w:p>
      <w:pPr>
        <w:pStyle w:val="BodyText"/>
        <w:spacing w:line="357" w:lineRule="auto" w:before="1"/>
        <w:ind w:left="387" w:right="542"/>
        <w:jc w:val="both"/>
      </w:pPr>
      <w:r>
        <w:rPr/>
        <w:pict>
          <v:shape style="position:absolute;margin-left:79.379997pt;margin-top:52.430889pt;width:135.5pt;height:.1pt;mso-position-horizontal-relative:page;mso-position-vertical-relative:paragraph;z-index:-251655168;mso-wrap-distance-left:0;mso-wrap-distance-right:0" coordorigin="1588,1049" coordsize="2710,0" path="m1588,1049l4297,1049e" filled="false" stroked="true" strokeweight=".42pt" strokecolor="#000000">
            <v:path arrowok="t"/>
            <v:stroke dashstyle="solid"/>
            <w10:wrap type="topAndBottom"/>
          </v:shape>
        </w:pict>
      </w:r>
      <w:r>
        <w:rPr/>
        <w:t>The</w:t>
      </w:r>
      <w:r>
        <w:rPr>
          <w:spacing w:val="-8"/>
        </w:rPr>
        <w:t> </w:t>
      </w:r>
      <w:r>
        <w:rPr/>
        <w:t>UK’s</w:t>
      </w:r>
      <w:r>
        <w:rPr>
          <w:spacing w:val="-8"/>
        </w:rPr>
        <w:t> </w:t>
      </w:r>
      <w:r>
        <w:rPr/>
        <w:t>battle</w:t>
      </w:r>
      <w:r>
        <w:rPr>
          <w:spacing w:val="-8"/>
        </w:rPr>
        <w:t> </w:t>
      </w:r>
      <w:r>
        <w:rPr/>
        <w:t>with</w:t>
      </w:r>
      <w:r>
        <w:rPr>
          <w:spacing w:val="-10"/>
        </w:rPr>
        <w:t> </w:t>
      </w:r>
      <w:r>
        <w:rPr/>
        <w:t>high</w:t>
      </w:r>
      <w:r>
        <w:rPr>
          <w:spacing w:val="-7"/>
        </w:rPr>
        <w:t> </w:t>
      </w:r>
      <w:r>
        <w:rPr/>
        <w:t>inflation</w:t>
      </w:r>
      <w:r>
        <w:rPr>
          <w:spacing w:val="-7"/>
        </w:rPr>
        <w:t> </w:t>
      </w:r>
      <w:r>
        <w:rPr/>
        <w:t>was</w:t>
      </w:r>
      <w:r>
        <w:rPr>
          <w:spacing w:val="-8"/>
        </w:rPr>
        <w:t> </w:t>
      </w:r>
      <w:r>
        <w:rPr/>
        <w:t>unfortunately</w:t>
      </w:r>
      <w:r>
        <w:rPr>
          <w:spacing w:val="-8"/>
        </w:rPr>
        <w:t> </w:t>
      </w:r>
      <w:r>
        <w:rPr/>
        <w:t>not</w:t>
      </w:r>
      <w:r>
        <w:rPr>
          <w:spacing w:val="-7"/>
        </w:rPr>
        <w:t> </w:t>
      </w:r>
      <w:r>
        <w:rPr/>
        <w:t>unique</w:t>
      </w:r>
      <w:r>
        <w:rPr>
          <w:spacing w:val="-10"/>
        </w:rPr>
        <w:t> </w:t>
      </w:r>
      <w:r>
        <w:rPr/>
        <w:t>to</w:t>
      </w:r>
      <w:r>
        <w:rPr>
          <w:spacing w:val="-9"/>
        </w:rPr>
        <w:t> </w:t>
      </w:r>
      <w:r>
        <w:rPr/>
        <w:t>the</w:t>
      </w:r>
      <w:r>
        <w:rPr>
          <w:spacing w:val="-8"/>
        </w:rPr>
        <w:t> </w:t>
      </w:r>
      <w:r>
        <w:rPr/>
        <w:t>1970s.</w:t>
      </w:r>
      <w:r>
        <w:rPr>
          <w:spacing w:val="-8"/>
        </w:rPr>
        <w:t> </w:t>
      </w:r>
      <w:r>
        <w:rPr/>
        <w:t>Average</w:t>
      </w:r>
      <w:r>
        <w:rPr>
          <w:spacing w:val="-8"/>
        </w:rPr>
        <w:t> </w:t>
      </w:r>
      <w:r>
        <w:rPr/>
        <w:t>UK</w:t>
      </w:r>
      <w:r>
        <w:rPr>
          <w:spacing w:val="-7"/>
        </w:rPr>
        <w:t> </w:t>
      </w:r>
      <w:r>
        <w:rPr/>
        <w:t>inflation</w:t>
      </w:r>
      <w:r>
        <w:rPr>
          <w:spacing w:val="-8"/>
        </w:rPr>
        <w:t> </w:t>
      </w:r>
      <w:r>
        <w:rPr/>
        <w:t>from</w:t>
      </w:r>
      <w:r>
        <w:rPr>
          <w:spacing w:val="-8"/>
        </w:rPr>
        <w:t> </w:t>
      </w:r>
      <w:r>
        <w:rPr/>
        <w:t>1960 to</w:t>
      </w:r>
      <w:r>
        <w:rPr>
          <w:spacing w:val="-6"/>
        </w:rPr>
        <w:t> </w:t>
      </w:r>
      <w:r>
        <w:rPr/>
        <w:t>1997</w:t>
      </w:r>
      <w:r>
        <w:rPr>
          <w:spacing w:val="-6"/>
        </w:rPr>
        <w:t> </w:t>
      </w:r>
      <w:r>
        <w:rPr/>
        <w:t>(the</w:t>
      </w:r>
      <w:r>
        <w:rPr>
          <w:spacing w:val="-8"/>
        </w:rPr>
        <w:t> </w:t>
      </w:r>
      <w:r>
        <w:rPr/>
        <w:t>last</w:t>
      </w:r>
      <w:r>
        <w:rPr>
          <w:spacing w:val="-6"/>
        </w:rPr>
        <w:t> </w:t>
      </w:r>
      <w:r>
        <w:rPr/>
        <w:t>year</w:t>
      </w:r>
      <w:r>
        <w:rPr>
          <w:spacing w:val="-7"/>
        </w:rPr>
        <w:t> </w:t>
      </w:r>
      <w:r>
        <w:rPr/>
        <w:t>before</w:t>
      </w:r>
      <w:r>
        <w:rPr>
          <w:spacing w:val="-7"/>
        </w:rPr>
        <w:t> </w:t>
      </w:r>
      <w:r>
        <w:rPr/>
        <w:t>the</w:t>
      </w:r>
      <w:r>
        <w:rPr>
          <w:spacing w:val="-5"/>
        </w:rPr>
        <w:t> </w:t>
      </w:r>
      <w:r>
        <w:rPr/>
        <w:t>Bank</w:t>
      </w:r>
      <w:r>
        <w:rPr>
          <w:spacing w:val="-6"/>
        </w:rPr>
        <w:t> </w:t>
      </w:r>
      <w:r>
        <w:rPr/>
        <w:t>of</w:t>
      </w:r>
      <w:r>
        <w:rPr>
          <w:spacing w:val="-8"/>
        </w:rPr>
        <w:t> </w:t>
      </w:r>
      <w:r>
        <w:rPr/>
        <w:t>England</w:t>
      </w:r>
      <w:r>
        <w:rPr>
          <w:spacing w:val="-6"/>
        </w:rPr>
        <w:t> </w:t>
      </w:r>
      <w:r>
        <w:rPr/>
        <w:t>became</w:t>
      </w:r>
      <w:r>
        <w:rPr>
          <w:spacing w:val="-8"/>
        </w:rPr>
        <w:t> </w:t>
      </w:r>
      <w:r>
        <w:rPr/>
        <w:t>independent)</w:t>
      </w:r>
      <w:r>
        <w:rPr>
          <w:spacing w:val="-5"/>
        </w:rPr>
        <w:t> </w:t>
      </w:r>
      <w:r>
        <w:rPr/>
        <w:t>was</w:t>
      </w:r>
      <w:r>
        <w:rPr>
          <w:spacing w:val="-5"/>
        </w:rPr>
        <w:t> </w:t>
      </w:r>
      <w:r>
        <w:rPr/>
        <w:t>7.1%.</w:t>
      </w:r>
      <w:r>
        <w:rPr>
          <w:spacing w:val="-6"/>
        </w:rPr>
        <w:t> </w:t>
      </w:r>
      <w:r>
        <w:rPr/>
        <w:t>And</w:t>
      </w:r>
      <w:r>
        <w:rPr>
          <w:spacing w:val="-7"/>
        </w:rPr>
        <w:t> </w:t>
      </w:r>
      <w:r>
        <w:rPr/>
        <w:t>UK</w:t>
      </w:r>
      <w:r>
        <w:rPr>
          <w:spacing w:val="-6"/>
        </w:rPr>
        <w:t> </w:t>
      </w:r>
      <w:r>
        <w:rPr/>
        <w:t>inflation</w:t>
      </w:r>
      <w:r>
        <w:rPr>
          <w:spacing w:val="-5"/>
        </w:rPr>
        <w:t> </w:t>
      </w:r>
      <w:r>
        <w:rPr/>
        <w:t>was</w:t>
      </w:r>
      <w:r>
        <w:rPr>
          <w:spacing w:val="-6"/>
        </w:rPr>
        <w:t> </w:t>
      </w:r>
      <w:r>
        <w:rPr/>
        <w:t>not only</w:t>
      </w:r>
      <w:r>
        <w:rPr>
          <w:spacing w:val="-8"/>
        </w:rPr>
        <w:t> </w:t>
      </w:r>
      <w:r>
        <w:rPr/>
        <w:t>high</w:t>
      </w:r>
      <w:r>
        <w:rPr>
          <w:spacing w:val="-7"/>
        </w:rPr>
        <w:t> </w:t>
      </w:r>
      <w:r>
        <w:rPr/>
        <w:t>on</w:t>
      </w:r>
      <w:r>
        <w:rPr>
          <w:spacing w:val="-7"/>
        </w:rPr>
        <w:t> </w:t>
      </w:r>
      <w:r>
        <w:rPr/>
        <w:t>an</w:t>
      </w:r>
      <w:r>
        <w:rPr>
          <w:spacing w:val="-7"/>
        </w:rPr>
        <w:t> </w:t>
      </w:r>
      <w:r>
        <w:rPr/>
        <w:t>absolute</w:t>
      </w:r>
      <w:r>
        <w:rPr>
          <w:spacing w:val="-6"/>
        </w:rPr>
        <w:t> </w:t>
      </w:r>
      <w:r>
        <w:rPr/>
        <w:t>level</w:t>
      </w:r>
      <w:r>
        <w:rPr>
          <w:spacing w:val="-8"/>
        </w:rPr>
        <w:t> </w:t>
      </w:r>
      <w:r>
        <w:rPr/>
        <w:t>over</w:t>
      </w:r>
      <w:r>
        <w:rPr>
          <w:spacing w:val="-7"/>
        </w:rPr>
        <w:t> </w:t>
      </w:r>
      <w:r>
        <w:rPr/>
        <w:t>this</w:t>
      </w:r>
      <w:r>
        <w:rPr>
          <w:spacing w:val="-6"/>
        </w:rPr>
        <w:t> </w:t>
      </w:r>
      <w:r>
        <w:rPr/>
        <w:t>period,</w:t>
      </w:r>
      <w:r>
        <w:rPr>
          <w:spacing w:val="-7"/>
        </w:rPr>
        <w:t> </w:t>
      </w:r>
      <w:r>
        <w:rPr/>
        <w:t>but</w:t>
      </w:r>
      <w:r>
        <w:rPr>
          <w:spacing w:val="-6"/>
        </w:rPr>
        <w:t> </w:t>
      </w:r>
      <w:r>
        <w:rPr/>
        <w:t>regularly</w:t>
      </w:r>
      <w:r>
        <w:rPr>
          <w:spacing w:val="-7"/>
        </w:rPr>
        <w:t> </w:t>
      </w:r>
      <w:r>
        <w:rPr/>
        <w:t>above</w:t>
      </w:r>
      <w:r>
        <w:rPr>
          <w:spacing w:val="-7"/>
        </w:rPr>
        <w:t> </w:t>
      </w:r>
      <w:r>
        <w:rPr/>
        <w:t>that</w:t>
      </w:r>
      <w:r>
        <w:rPr>
          <w:spacing w:val="-7"/>
        </w:rPr>
        <w:t> </w:t>
      </w:r>
      <w:r>
        <w:rPr/>
        <w:t>in</w:t>
      </w:r>
      <w:r>
        <w:rPr>
          <w:spacing w:val="-7"/>
        </w:rPr>
        <w:t> </w:t>
      </w:r>
      <w:r>
        <w:rPr/>
        <w:t>other</w:t>
      </w:r>
      <w:r>
        <w:rPr>
          <w:spacing w:val="-6"/>
        </w:rPr>
        <w:t> </w:t>
      </w:r>
      <w:r>
        <w:rPr/>
        <w:t>large</w:t>
      </w:r>
      <w:r>
        <w:rPr>
          <w:spacing w:val="-7"/>
        </w:rPr>
        <w:t> </w:t>
      </w:r>
      <w:r>
        <w:rPr/>
        <w:t>developed</w:t>
      </w:r>
      <w:r>
        <w:rPr>
          <w:spacing w:val="-7"/>
        </w:rPr>
        <w:t> </w:t>
      </w:r>
      <w:r>
        <w:rPr/>
        <w:t>countries.</w:t>
      </w:r>
    </w:p>
    <w:p>
      <w:pPr>
        <w:spacing w:before="27"/>
        <w:ind w:left="387" w:right="0" w:firstLine="0"/>
        <w:jc w:val="left"/>
        <w:rPr>
          <w:sz w:val="15"/>
        </w:rPr>
      </w:pPr>
      <w:r>
        <w:rPr>
          <w:position w:val="8"/>
          <w:sz w:val="9"/>
        </w:rPr>
        <w:t>3 </w:t>
      </w:r>
      <w:hyperlink r:id="rId11">
        <w:r>
          <w:rPr>
            <w:color w:val="0000FF"/>
            <w:sz w:val="15"/>
            <w:u w:val="single" w:color="0000FF"/>
          </w:rPr>
          <w:t>http://www.derbytelegraph.co.uk/BYGONES-years-ago-lights-went-Britain/story-20039001-detail/story.htm</w:t>
        </w:r>
        <w:r>
          <w:rPr>
            <w:color w:val="0000FF"/>
            <w:sz w:val="15"/>
          </w:rPr>
          <w:t>l</w:t>
        </w:r>
      </w:hyperlink>
    </w:p>
    <w:p>
      <w:pPr>
        <w:spacing w:after="0"/>
        <w:jc w:val="left"/>
        <w:rPr>
          <w:sz w:val="15"/>
        </w:rPr>
        <w:sectPr>
          <w:pgSz w:w="12240" w:h="15840"/>
          <w:pgMar w:header="0" w:footer="1240" w:top="1440" w:bottom="1440" w:left="1200" w:right="1060"/>
        </w:sectPr>
      </w:pPr>
    </w:p>
    <w:p>
      <w:pPr>
        <w:pStyle w:val="BodyText"/>
        <w:spacing w:line="357" w:lineRule="auto" w:before="79"/>
        <w:ind w:left="386" w:right="533"/>
      </w:pPr>
      <w:r>
        <w:rPr/>
        <w:t>For</w:t>
      </w:r>
      <w:r>
        <w:rPr>
          <w:spacing w:val="-9"/>
        </w:rPr>
        <w:t> </w:t>
      </w:r>
      <w:r>
        <w:rPr/>
        <w:t>example,</w:t>
      </w:r>
      <w:r>
        <w:rPr>
          <w:spacing w:val="-6"/>
        </w:rPr>
        <w:t> </w:t>
      </w:r>
      <w:r>
        <w:rPr/>
        <w:t>from</w:t>
      </w:r>
      <w:r>
        <w:rPr>
          <w:spacing w:val="-7"/>
        </w:rPr>
        <w:t> </w:t>
      </w:r>
      <w:r>
        <w:rPr/>
        <w:t>1960</w:t>
      </w:r>
      <w:r>
        <w:rPr>
          <w:spacing w:val="-8"/>
        </w:rPr>
        <w:t> </w:t>
      </w:r>
      <w:r>
        <w:rPr/>
        <w:t>to</w:t>
      </w:r>
      <w:r>
        <w:rPr>
          <w:spacing w:val="-8"/>
        </w:rPr>
        <w:t> </w:t>
      </w:r>
      <w:r>
        <w:rPr/>
        <w:t>1997,</w:t>
      </w:r>
      <w:r>
        <w:rPr>
          <w:spacing w:val="-8"/>
        </w:rPr>
        <w:t> </w:t>
      </w:r>
      <w:r>
        <w:rPr/>
        <w:t>annual</w:t>
      </w:r>
      <w:r>
        <w:rPr>
          <w:spacing w:val="-8"/>
        </w:rPr>
        <w:t> </w:t>
      </w:r>
      <w:r>
        <w:rPr/>
        <w:t>inflation</w:t>
      </w:r>
      <w:r>
        <w:rPr>
          <w:spacing w:val="-8"/>
        </w:rPr>
        <w:t> </w:t>
      </w:r>
      <w:r>
        <w:rPr/>
        <w:t>was</w:t>
      </w:r>
      <w:r>
        <w:rPr>
          <w:spacing w:val="-7"/>
        </w:rPr>
        <w:t> </w:t>
      </w:r>
      <w:r>
        <w:rPr/>
        <w:t>higher</w:t>
      </w:r>
      <w:r>
        <w:rPr>
          <w:spacing w:val="-8"/>
        </w:rPr>
        <w:t> </w:t>
      </w:r>
      <w:r>
        <w:rPr/>
        <w:t>in</w:t>
      </w:r>
      <w:r>
        <w:rPr>
          <w:spacing w:val="-9"/>
        </w:rPr>
        <w:t> </w:t>
      </w:r>
      <w:r>
        <w:rPr/>
        <w:t>the</w:t>
      </w:r>
      <w:r>
        <w:rPr>
          <w:spacing w:val="-6"/>
        </w:rPr>
        <w:t> </w:t>
      </w:r>
      <w:r>
        <w:rPr/>
        <w:t>United</w:t>
      </w:r>
      <w:r>
        <w:rPr>
          <w:spacing w:val="-8"/>
        </w:rPr>
        <w:t> </w:t>
      </w:r>
      <w:r>
        <w:rPr/>
        <w:t>Kingdom</w:t>
      </w:r>
      <w:r>
        <w:rPr>
          <w:spacing w:val="-8"/>
        </w:rPr>
        <w:t> </w:t>
      </w:r>
      <w:r>
        <w:rPr/>
        <w:t>than</w:t>
      </w:r>
      <w:r>
        <w:rPr>
          <w:spacing w:val="-8"/>
        </w:rPr>
        <w:t> </w:t>
      </w:r>
      <w:r>
        <w:rPr/>
        <w:t>in</w:t>
      </w:r>
      <w:r>
        <w:rPr>
          <w:spacing w:val="-8"/>
        </w:rPr>
        <w:t> </w:t>
      </w:r>
      <w:r>
        <w:rPr/>
        <w:t>the</w:t>
      </w:r>
      <w:r>
        <w:rPr>
          <w:spacing w:val="-8"/>
        </w:rPr>
        <w:t> </w:t>
      </w:r>
      <w:r>
        <w:rPr/>
        <w:t>United</w:t>
      </w:r>
      <w:r>
        <w:rPr>
          <w:spacing w:val="-8"/>
        </w:rPr>
        <w:t> </w:t>
      </w:r>
      <w:r>
        <w:rPr/>
        <w:t>States and</w:t>
      </w:r>
      <w:r>
        <w:rPr>
          <w:spacing w:val="-7"/>
        </w:rPr>
        <w:t> </w:t>
      </w:r>
      <w:r>
        <w:rPr/>
        <w:t>Germany</w:t>
      </w:r>
      <w:r>
        <w:rPr>
          <w:spacing w:val="-5"/>
        </w:rPr>
        <w:t> </w:t>
      </w:r>
      <w:r>
        <w:rPr/>
        <w:t>over</w:t>
      </w:r>
      <w:r>
        <w:rPr>
          <w:spacing w:val="-6"/>
        </w:rPr>
        <w:t> </w:t>
      </w:r>
      <w:r>
        <w:rPr/>
        <w:t>80%</w:t>
      </w:r>
      <w:r>
        <w:rPr>
          <w:spacing w:val="-6"/>
        </w:rPr>
        <w:t> </w:t>
      </w:r>
      <w:r>
        <w:rPr/>
        <w:t>of</w:t>
      </w:r>
      <w:r>
        <w:rPr>
          <w:spacing w:val="-8"/>
        </w:rPr>
        <w:t> </w:t>
      </w:r>
      <w:r>
        <w:rPr/>
        <w:t>the</w:t>
      </w:r>
      <w:r>
        <w:rPr>
          <w:spacing w:val="-6"/>
        </w:rPr>
        <w:t> </w:t>
      </w:r>
      <w:r>
        <w:rPr/>
        <w:t>time.</w:t>
      </w:r>
      <w:r>
        <w:rPr>
          <w:spacing w:val="-5"/>
        </w:rPr>
        <w:t> </w:t>
      </w:r>
      <w:r>
        <w:rPr/>
        <w:t>UK</w:t>
      </w:r>
      <w:r>
        <w:rPr>
          <w:spacing w:val="-6"/>
        </w:rPr>
        <w:t> </w:t>
      </w:r>
      <w:r>
        <w:rPr/>
        <w:t>inflation</w:t>
      </w:r>
      <w:r>
        <w:rPr>
          <w:spacing w:val="-6"/>
        </w:rPr>
        <w:t> </w:t>
      </w:r>
      <w:r>
        <w:rPr/>
        <w:t>was</w:t>
      </w:r>
      <w:r>
        <w:rPr>
          <w:spacing w:val="-5"/>
        </w:rPr>
        <w:t> </w:t>
      </w:r>
      <w:r>
        <w:rPr/>
        <w:t>also</w:t>
      </w:r>
      <w:r>
        <w:rPr>
          <w:spacing w:val="-8"/>
        </w:rPr>
        <w:t> </w:t>
      </w:r>
      <w:r>
        <w:rPr/>
        <w:t>higher</w:t>
      </w:r>
      <w:r>
        <w:rPr>
          <w:spacing w:val="-6"/>
        </w:rPr>
        <w:t> </w:t>
      </w:r>
      <w:r>
        <w:rPr/>
        <w:t>than</w:t>
      </w:r>
      <w:r>
        <w:rPr>
          <w:spacing w:val="-7"/>
        </w:rPr>
        <w:t> </w:t>
      </w:r>
      <w:r>
        <w:rPr/>
        <w:t>in</w:t>
      </w:r>
      <w:r>
        <w:rPr>
          <w:spacing w:val="-7"/>
        </w:rPr>
        <w:t> </w:t>
      </w:r>
      <w:r>
        <w:rPr/>
        <w:t>France</w:t>
      </w:r>
      <w:r>
        <w:rPr>
          <w:spacing w:val="-6"/>
        </w:rPr>
        <w:t> </w:t>
      </w:r>
      <w:r>
        <w:rPr/>
        <w:t>for</w:t>
      </w:r>
      <w:r>
        <w:rPr>
          <w:spacing w:val="-7"/>
        </w:rPr>
        <w:t> </w:t>
      </w:r>
      <w:r>
        <w:rPr/>
        <w:t>over</w:t>
      </w:r>
      <w:r>
        <w:rPr>
          <w:spacing w:val="-6"/>
        </w:rPr>
        <w:t> </w:t>
      </w:r>
      <w:r>
        <w:rPr/>
        <w:t>70%</w:t>
      </w:r>
      <w:r>
        <w:rPr>
          <w:spacing w:val="-5"/>
        </w:rPr>
        <w:t> </w:t>
      </w:r>
      <w:r>
        <w:rPr/>
        <w:t>of</w:t>
      </w:r>
      <w:r>
        <w:rPr>
          <w:spacing w:val="-5"/>
        </w:rPr>
        <w:t> </w:t>
      </w:r>
      <w:r>
        <w:rPr/>
        <w:t>this</w:t>
      </w:r>
      <w:r>
        <w:rPr>
          <w:spacing w:val="-6"/>
        </w:rPr>
        <w:t> </w:t>
      </w:r>
      <w:r>
        <w:rPr/>
        <w:t>period.</w:t>
      </w:r>
    </w:p>
    <w:p>
      <w:pPr>
        <w:pStyle w:val="BodyText"/>
        <w:spacing w:before="2"/>
        <w:rPr>
          <w:sz w:val="14"/>
        </w:rPr>
      </w:pPr>
    </w:p>
    <w:p>
      <w:pPr>
        <w:spacing w:after="0"/>
        <w:rPr>
          <w:sz w:val="14"/>
        </w:rPr>
        <w:sectPr>
          <w:pgSz w:w="12240" w:h="15840"/>
          <w:pgMar w:header="0" w:footer="1240" w:top="1440" w:bottom="1440" w:left="1200" w:right="1060"/>
        </w:sectPr>
      </w:pPr>
    </w:p>
    <w:p>
      <w:pPr>
        <w:spacing w:before="97"/>
        <w:ind w:left="429" w:right="0" w:firstLine="0"/>
        <w:jc w:val="left"/>
        <w:rPr>
          <w:b/>
          <w:sz w:val="18"/>
        </w:rPr>
      </w:pPr>
      <w:r>
        <w:rPr>
          <w:b/>
          <w:sz w:val="18"/>
        </w:rPr>
        <w:t>Figure 3: UK annual inflation rate from 1960</w:t>
      </w:r>
    </w:p>
    <w:p>
      <w:pPr>
        <w:spacing w:before="170"/>
        <w:ind w:left="3090" w:right="0" w:firstLine="0"/>
        <w:jc w:val="left"/>
        <w:rPr>
          <w:sz w:val="18"/>
        </w:rPr>
      </w:pPr>
      <w:r>
        <w:rPr/>
        <w:pict>
          <v:line style="position:absolute;mso-position-horizontal-relative:page;mso-position-vertical-relative:paragraph;z-index:251667456" from="327.779999pt,25.165266pt" to="347.519999pt,25.165266pt" stroked="true" strokeweight="1.44pt" strokecolor="#4a7ebb">
            <v:stroke dashstyle="solid"/>
            <w10:wrap type="none"/>
          </v:line>
        </w:pict>
      </w:r>
      <w:r>
        <w:rPr/>
        <w:pict>
          <v:line style="position:absolute;mso-position-horizontal-relative:page;mso-position-vertical-relative:paragraph;z-index:251668480" from="327.779999pt,39.295269pt" to="347.519999pt,39.295269pt" stroked="true" strokeweight="1.38pt" strokecolor="#c0504d">
            <v:stroke dashstyle="solid"/>
            <w10:wrap type="none"/>
          </v:line>
        </w:pict>
      </w:r>
      <w:r>
        <w:rPr>
          <w:sz w:val="18"/>
        </w:rPr>
        <w:t>Annual inflation (%)</w:t>
      </w:r>
    </w:p>
    <w:p>
      <w:pPr>
        <w:spacing w:line="278" w:lineRule="auto" w:before="110"/>
        <w:ind w:left="429" w:right="453" w:firstLine="0"/>
        <w:jc w:val="left"/>
        <w:rPr>
          <w:b/>
          <w:sz w:val="18"/>
        </w:rPr>
      </w:pPr>
      <w:r>
        <w:rPr/>
        <w:br w:type="column"/>
      </w:r>
      <w:r>
        <w:rPr>
          <w:b/>
          <w:sz w:val="18"/>
        </w:rPr>
        <w:t>Figure 4: Proportion of countries with low inflation rates</w:t>
      </w:r>
    </w:p>
    <w:p>
      <w:pPr>
        <w:spacing w:after="0" w:line="278" w:lineRule="auto"/>
        <w:jc w:val="left"/>
        <w:rPr>
          <w:sz w:val="18"/>
        </w:rPr>
        <w:sectPr>
          <w:type w:val="continuous"/>
          <w:pgSz w:w="12240" w:h="15840"/>
          <w:pgMar w:top="1120" w:bottom="1440" w:left="1200" w:right="1060"/>
          <w:cols w:num="2" w:equalWidth="0">
            <w:col w:w="4757" w:space="91"/>
            <w:col w:w="5132"/>
          </w:cols>
        </w:sectPr>
      </w:pPr>
    </w:p>
    <w:p>
      <w:pPr>
        <w:spacing w:before="28"/>
        <w:ind w:left="4681" w:right="0" w:firstLine="0"/>
        <w:jc w:val="left"/>
        <w:rPr>
          <w:sz w:val="18"/>
        </w:rPr>
      </w:pPr>
      <w:r>
        <w:rPr/>
        <w:pict>
          <v:group style="position:absolute;margin-left:94.5pt;margin-top:6.30971pt;width:193.65pt;height:162.6pt;mso-position-horizontal-relative:page;mso-position-vertical-relative:paragraph;z-index:251665408" coordorigin="1890,126" coordsize="3873,3252">
            <v:line style="position:absolute" from="5707,133" to="5707,3322" stroked="true" strokeweight=".66pt" strokecolor="#868686">
              <v:stroke dashstyle="solid"/>
            </v:line>
            <v:shape style="position:absolute;left:5706;top:126;width:57;height:3203" coordorigin="5706,126" coordsize="57,3203" path="m5762,3315l5706,3315,5706,3329,5762,3329,5762,3315m5762,2779l5706,2779,5706,2793,5762,2793,5762,2779m5762,2257l5706,2257,5706,2271,5762,2271,5762,2257m5762,1721l5706,1721,5706,1735,5762,1735,5762,1721m5762,1185l5706,1185,5706,1199,5762,1199,5762,1185m5762,663l5706,663,5706,677,5762,677,5762,663m5762,126l5706,126,5706,141,5762,141,5762,126e" filled="true" fillcolor="#868686" stroked="false">
              <v:path arrowok="t"/>
              <v:fill type="solid"/>
            </v:shape>
            <v:line style="position:absolute" from="1897,3322" to="5706,3322" stroked="true" strokeweight=".72pt" strokecolor="#868686">
              <v:stroke dashstyle="solid"/>
            </v:line>
            <v:shape style="position:absolute;left:1890;top:3321;width:3542;height:57" coordorigin="1890,3322" coordsize="3542,57" path="m1904,3322l1890,3322,1890,3378,1904,3378,1904,3322m2610,3322l2596,3322,2596,3378,2610,3378,2610,3322m3316,3322l3301,3322,3301,3378,3316,3378,3316,3322m4021,3322l4007,3322,4007,3378,4021,3378,4021,3322m4726,3322l4712,3322,4712,3378,4726,3378,4726,3322m5431,3322l5417,3322,5417,3378,5431,3378,5431,3322e" filled="true" fillcolor="#868686" stroked="false">
              <v:path arrowok="t"/>
              <v:fill type="solid"/>
            </v:shape>
            <v:shape style="position:absolute;left:1890;top:705;width:3824;height:2540" coordorigin="1890,705" coordsize="3824,2540" path="m2057,2885l2036,2885,1966,2945,1961,2945,1891,3225,1890,3225,1894,3245,1916,3245,1918,3225,1988,2965,1984,2965,2038,2919,2033,2905,2059,2905,2057,2885xm4663,3185l4579,3185,4650,3205,4649,3205,4718,3245,4732,3245,4802,3225,4721,3225,4729,3223,4663,3185xm4729,3223l4721,3225,4733,3225,4729,3223xm4940,3205l4792,3205,4729,3223,4733,3225,4799,3225,4940,3205xm5154,3105l5071,3105,4998,3165,4934,3165,4794,3205,5016,3205,5089,3125,5084,3125,5154,3105xm4034,2325l4016,2373,4078,2705,4148,2925,4219,3165,4220,3185,4243,3185,4257,3165,4220,3165,4238,3140,4175,2925,4105,2705,4034,2325xm4535,3005l4524,3005,4508,3023,4572,3185,4661,3185,4590,3165,4598,3165,4535,3005xm5656,3045l5567,3045,5638,3065,5632,3065,5701,3185,5713,3185,5713,3145,5656,3045xm4238,3140l4220,3165,4246,3165,4238,3140xm4385,2965l4362,2965,4238,3140,4246,3165,4257,3165,4373,3001,4362,2985,4399,2985,4385,2965xm5303,2945l5289,2975,5348,3125,5372,3125,5384,3105,5348,3105,5363,3081,5303,2945xm2059,2905l2054,2905,2038,2919,2102,3105,2128,3105,2139,3085,2104,3085,2120,3062,2059,2905xm2286,2825l2270,2825,2262,2843,2317,2905,2315,2905,2384,3105,2398,3049,2341,2905,2340,2885,2339,2885,2286,2825xm2398,3049l2384,3105,2412,3085,2398,3049xm2544,2805l2455,2805,2398,3049,2412,3085,2384,3105,2412,3105,2483,2825,2474,2825,2544,2805xm5216,3065l5144,3065,5074,3105,5230,3105,5239,3085,5207,3085,5216,3065xm5363,3081l5348,3105,5374,3105,5363,3081xm5515,2845l5489,2845,5419,2985,5363,3081,5374,3105,5384,3105,5443,3005,5501,2892,5489,2865,5523,2865,5515,2845xm2120,3062l2104,3085,2129,3085,2120,3062xm2198,2985l2174,2985,2120,3062,2129,3085,2139,3085,2198,2985xm4399,2985l4385,2985,4373,3001,4433,3085,4454,3085,4472,3065,4434,3065,4446,3051,4399,2985xm5302,2925l5280,2925,5207,3085,5220,3065,5248,3065,5289,2975,5278,2945,5303,2945,5302,2925xm5248,3065l5220,3065,5207,3085,5239,3085,5248,3065xm4446,3051l4434,3065,4456,3065,4446,3051xm4528,2985l4505,2985,4446,3051,4456,3065,4472,3065,4508,3023,4501,3005,4535,3005,4528,2985xm5523,2865l5514,2865,5501,2892,5560,3025,5561,3045,5648,3045,5578,3025,5586,3025,5523,2865xm4524,3005l4501,3005,4508,3023,4524,3005xm4385,2985l4362,2985,4373,3001,4385,2985xm2268,2805l2244,2805,2173,2985,2200,2985,2262,2843,2246,2825,2286,2825,2268,2805xm3680,2685l3656,2685,3656,2686,3680,2705,3664,2728,3725,2985,3749,2985,3766,2965,3727,2965,3747,2943,3680,2685xm5303,2945l5278,2945,5289,2975,5303,2945xm3747,2943l3727,2965,3752,2965,3747,2943xm3869,2785l3798,2885,3747,2943,3752,2965,3766,2965,3820,2905,3890,2805,3866,2805,3869,2785xm2054,2905l2033,2905,2038,2919,2054,2905xm5514,2865l5489,2865,5501,2892,5514,2865xm3590,2785l3536,2816,3541,2845,3514,2845,3517,2865,3534,2865,3605,2805,3586,2805,3590,2785xm3331,1445l3329,1445,3313,1549,3372,2065,3443,2425,3512,2845,3541,2845,3520,2825,3536,2816,3470,2425,3400,2045,3331,1445xm3536,2816l3520,2825,3541,2845,3536,2816xm2270,2825l2246,2825,2262,2843,2270,2825xm2694,2345l2666,2345,2597,2605,2526,2785,2534,2785,2464,2805,2551,2805,2552,2785,2623,2605,2678,2402,2666,2365,2694,2345xm3655,2688l3586,2805,3610,2805,3664,2728,3655,2688xm4007,2327l3936,2505,3866,2805,3893,2805,3964,2505,4016,2373,4007,2327xm3656,2686l3655,2688,3664,2728,3680,2705,3656,2686xm3654,2685l3655,2688,3656,2686,3654,2685xm2694,2345l2678,2402,2737,2585,2765,2585,2771,2565,2737,2565,2750,2520,2694,2345xm2750,2520l2737,2565,2765,2565,2750,2520xm2808,2325l2750,2520,2765,2565,2771,2565,2836,2345,2808,2345,2808,2325xm3177,2314l3160,2445,3161,2465,3187,2465,3188,2445,3177,2314xm3091,1662l3160,2445,3177,2314,3119,1665,3095,1665,3091,1662xm3329,1425l3301,1425,3230,1905,3177,2314,3188,2445,3259,1905,3313,1549,3301,1445,3331,1445,3329,1425xm2694,2345l2666,2365,2678,2402,2694,2345xm4033,2305l4009,2305,4008,2325,4007,2327,4016,2373,4034,2325,4033,2305xm2948,725l2878,1665,2808,2345,2836,2345,2906,1665,2963,908,2948,725xm4008,2325l4007,2325,4007,2327,4008,2325xm3090,1645l3091,1662,3095,1665,3090,1645xm3118,1645l3090,1645,3095,1665,3119,1665,3118,1645xm2977,725l2963,908,3019,1585,3022,1605,3024,1605,3091,1662,3090,1645,3115,1645,3113,1625,3042,1585,3047,1585,2977,725xm3329,1445l3301,1445,3313,1549,3329,1445xm2977,725l2948,725,2963,908,2977,725xm2970,705l2956,705,2950,725,2976,725,2970,705xe" filled="true" fillcolor="#be4b48" stroked="false">
              <v:path arrowok="t"/>
              <v:fill type="solid"/>
            </v:shape>
            <w10:wrap type="none"/>
          </v:group>
        </w:pict>
      </w:r>
      <w:r>
        <w:rPr>
          <w:spacing w:val="-4"/>
          <w:sz w:val="18"/>
        </w:rPr>
        <w:t>30</w:t>
      </w:r>
    </w:p>
    <w:p>
      <w:pPr>
        <w:pStyle w:val="BodyText"/>
        <w:spacing w:before="2"/>
        <w:rPr>
          <w:sz w:val="28"/>
        </w:rPr>
      </w:pPr>
    </w:p>
    <w:p>
      <w:pPr>
        <w:spacing w:before="1"/>
        <w:ind w:left="4681" w:right="0" w:firstLine="0"/>
        <w:jc w:val="left"/>
        <w:rPr>
          <w:sz w:val="18"/>
        </w:rPr>
      </w:pPr>
      <w:r>
        <w:rPr>
          <w:spacing w:val="-4"/>
          <w:sz w:val="18"/>
        </w:rPr>
        <w:t>25</w:t>
      </w:r>
    </w:p>
    <w:p>
      <w:pPr>
        <w:pStyle w:val="BodyText"/>
        <w:spacing w:before="3"/>
        <w:rPr>
          <w:sz w:val="28"/>
        </w:rPr>
      </w:pPr>
    </w:p>
    <w:p>
      <w:pPr>
        <w:spacing w:before="0"/>
        <w:ind w:left="4681" w:right="0" w:firstLine="0"/>
        <w:jc w:val="left"/>
        <w:rPr>
          <w:sz w:val="18"/>
        </w:rPr>
      </w:pPr>
      <w:r>
        <w:rPr>
          <w:spacing w:val="-4"/>
          <w:sz w:val="18"/>
        </w:rPr>
        <w:t>20</w:t>
      </w:r>
    </w:p>
    <w:p>
      <w:pPr>
        <w:pStyle w:val="BodyText"/>
        <w:spacing w:before="3"/>
        <w:rPr>
          <w:sz w:val="28"/>
        </w:rPr>
      </w:pPr>
    </w:p>
    <w:p>
      <w:pPr>
        <w:spacing w:before="0"/>
        <w:ind w:left="4681" w:right="0" w:firstLine="0"/>
        <w:jc w:val="left"/>
        <w:rPr>
          <w:sz w:val="18"/>
        </w:rPr>
      </w:pPr>
      <w:r>
        <w:rPr>
          <w:spacing w:val="-4"/>
          <w:sz w:val="18"/>
        </w:rPr>
        <w:t>15</w:t>
      </w:r>
    </w:p>
    <w:p>
      <w:pPr>
        <w:pStyle w:val="BodyText"/>
        <w:spacing w:before="3"/>
        <w:rPr>
          <w:sz w:val="28"/>
        </w:rPr>
      </w:pPr>
    </w:p>
    <w:p>
      <w:pPr>
        <w:spacing w:before="0"/>
        <w:ind w:left="4681" w:right="0" w:firstLine="0"/>
        <w:jc w:val="left"/>
        <w:rPr>
          <w:sz w:val="18"/>
        </w:rPr>
      </w:pPr>
      <w:r>
        <w:rPr>
          <w:spacing w:val="-4"/>
          <w:sz w:val="18"/>
        </w:rPr>
        <w:t>10</w:t>
      </w:r>
    </w:p>
    <w:p>
      <w:pPr>
        <w:pStyle w:val="BodyText"/>
        <w:spacing w:before="2"/>
        <w:rPr>
          <w:sz w:val="28"/>
        </w:rPr>
      </w:pPr>
    </w:p>
    <w:p>
      <w:pPr>
        <w:spacing w:before="1"/>
        <w:ind w:left="4681" w:right="0" w:firstLine="0"/>
        <w:jc w:val="left"/>
        <w:rPr>
          <w:sz w:val="18"/>
        </w:rPr>
      </w:pPr>
      <w:r>
        <w:rPr>
          <w:w w:val="101"/>
          <w:sz w:val="18"/>
        </w:rPr>
        <w:t>5</w:t>
      </w:r>
    </w:p>
    <w:p>
      <w:pPr>
        <w:pStyle w:val="BodyText"/>
        <w:spacing w:before="3"/>
        <w:rPr>
          <w:sz w:val="28"/>
        </w:rPr>
      </w:pPr>
    </w:p>
    <w:p>
      <w:pPr>
        <w:spacing w:before="0"/>
        <w:ind w:left="4681" w:right="0" w:firstLine="0"/>
        <w:jc w:val="left"/>
        <w:rPr>
          <w:sz w:val="18"/>
        </w:rPr>
      </w:pPr>
      <w:r>
        <w:rPr>
          <w:w w:val="101"/>
          <w:sz w:val="18"/>
        </w:rPr>
        <w:t>0</w:t>
      </w:r>
    </w:p>
    <w:p>
      <w:pPr>
        <w:tabs>
          <w:tab w:pos="1206" w:val="left" w:leader="none"/>
          <w:tab w:pos="1911" w:val="left" w:leader="none"/>
          <w:tab w:pos="2617" w:val="left" w:leader="none"/>
          <w:tab w:pos="3323" w:val="left" w:leader="none"/>
          <w:tab w:pos="4028" w:val="left" w:leader="none"/>
        </w:tabs>
        <w:spacing w:line="144" w:lineRule="exact" w:before="18"/>
        <w:ind w:left="500" w:right="0" w:firstLine="0"/>
        <w:jc w:val="left"/>
        <w:rPr>
          <w:sz w:val="18"/>
        </w:rPr>
      </w:pPr>
      <w:r>
        <w:rPr>
          <w:sz w:val="18"/>
        </w:rPr>
        <w:t>1960</w:t>
        <w:tab/>
        <w:t>1970</w:t>
        <w:tab/>
        <w:t>1980</w:t>
        <w:tab/>
        <w:t>1990</w:t>
        <w:tab/>
        <w:t>2000</w:t>
        <w:tab/>
        <w:t>2010</w:t>
      </w:r>
    </w:p>
    <w:p>
      <w:pPr>
        <w:spacing w:line="316" w:lineRule="auto" w:before="28"/>
        <w:ind w:left="500" w:right="0" w:firstLine="0"/>
        <w:jc w:val="left"/>
        <w:rPr>
          <w:sz w:val="18"/>
        </w:rPr>
      </w:pPr>
      <w:r>
        <w:rPr/>
        <w:br w:type="column"/>
      </w:r>
      <w:r>
        <w:rPr>
          <w:sz w:val="18"/>
        </w:rPr>
        <w:t>Inflation rate of 1-2% Inflation rate of 0-1% Inflation rate below 0%</w:t>
      </w:r>
    </w:p>
    <w:p>
      <w:pPr>
        <w:spacing w:line="244" w:lineRule="auto" w:before="18"/>
        <w:ind w:left="500" w:right="414" w:firstLine="0"/>
        <w:jc w:val="left"/>
        <w:rPr>
          <w:sz w:val="18"/>
        </w:rPr>
      </w:pPr>
      <w:r>
        <w:rPr/>
        <w:br w:type="column"/>
      </w:r>
      <w:r>
        <w:rPr>
          <w:sz w:val="18"/>
        </w:rPr>
        <w:t>Proportion of all countries</w:t>
      </w:r>
    </w:p>
    <w:p>
      <w:pPr>
        <w:spacing w:before="21"/>
        <w:ind w:left="1488" w:right="0" w:firstLine="0"/>
        <w:jc w:val="left"/>
        <w:rPr>
          <w:sz w:val="18"/>
        </w:rPr>
      </w:pPr>
      <w:r>
        <w:rPr>
          <w:sz w:val="18"/>
        </w:rPr>
        <w:t>35%</w:t>
      </w:r>
    </w:p>
    <w:p>
      <w:pPr>
        <w:pStyle w:val="BodyText"/>
        <w:rPr>
          <w:sz w:val="18"/>
        </w:rPr>
      </w:pPr>
    </w:p>
    <w:p>
      <w:pPr>
        <w:spacing w:before="0"/>
        <w:ind w:left="1488" w:right="0" w:firstLine="0"/>
        <w:jc w:val="left"/>
        <w:rPr>
          <w:sz w:val="18"/>
        </w:rPr>
      </w:pPr>
      <w:r>
        <w:rPr>
          <w:sz w:val="18"/>
        </w:rPr>
        <w:t>30%</w:t>
      </w:r>
    </w:p>
    <w:p>
      <w:pPr>
        <w:pStyle w:val="BodyText"/>
        <w:rPr>
          <w:sz w:val="18"/>
        </w:rPr>
      </w:pPr>
    </w:p>
    <w:p>
      <w:pPr>
        <w:spacing w:before="0"/>
        <w:ind w:left="1488" w:right="0" w:firstLine="0"/>
        <w:jc w:val="left"/>
        <w:rPr>
          <w:sz w:val="18"/>
        </w:rPr>
      </w:pPr>
      <w:r>
        <w:rPr>
          <w:sz w:val="18"/>
        </w:rPr>
        <w:t>25%</w:t>
      </w:r>
    </w:p>
    <w:p>
      <w:pPr>
        <w:pStyle w:val="BodyText"/>
        <w:spacing w:before="1"/>
        <w:rPr>
          <w:sz w:val="18"/>
        </w:rPr>
      </w:pPr>
    </w:p>
    <w:p>
      <w:pPr>
        <w:spacing w:before="0"/>
        <w:ind w:left="1488" w:right="0" w:firstLine="0"/>
        <w:jc w:val="left"/>
        <w:rPr>
          <w:sz w:val="18"/>
        </w:rPr>
      </w:pPr>
      <w:r>
        <w:rPr>
          <w:sz w:val="18"/>
        </w:rPr>
        <w:t>20%</w:t>
      </w:r>
    </w:p>
    <w:p>
      <w:pPr>
        <w:pStyle w:val="BodyText"/>
        <w:rPr>
          <w:sz w:val="18"/>
        </w:rPr>
      </w:pPr>
    </w:p>
    <w:p>
      <w:pPr>
        <w:spacing w:before="0"/>
        <w:ind w:left="1488" w:right="0" w:firstLine="0"/>
        <w:jc w:val="left"/>
        <w:rPr>
          <w:sz w:val="18"/>
        </w:rPr>
      </w:pPr>
      <w:r>
        <w:rPr>
          <w:sz w:val="18"/>
        </w:rPr>
        <w:t>15%</w:t>
      </w:r>
    </w:p>
    <w:p>
      <w:pPr>
        <w:pStyle w:val="BodyText"/>
        <w:rPr>
          <w:sz w:val="18"/>
        </w:rPr>
      </w:pPr>
    </w:p>
    <w:p>
      <w:pPr>
        <w:spacing w:before="0"/>
        <w:ind w:left="1488" w:right="0" w:firstLine="0"/>
        <w:jc w:val="left"/>
        <w:rPr>
          <w:sz w:val="18"/>
        </w:rPr>
      </w:pPr>
      <w:r>
        <w:rPr>
          <w:sz w:val="18"/>
        </w:rPr>
        <w:t>10%</w:t>
      </w:r>
    </w:p>
    <w:p>
      <w:pPr>
        <w:pStyle w:val="BodyText"/>
        <w:rPr>
          <w:sz w:val="18"/>
        </w:rPr>
      </w:pPr>
    </w:p>
    <w:p>
      <w:pPr>
        <w:spacing w:before="0"/>
        <w:ind w:left="1488" w:right="0" w:firstLine="0"/>
        <w:jc w:val="left"/>
        <w:rPr>
          <w:sz w:val="18"/>
        </w:rPr>
      </w:pPr>
      <w:r>
        <w:rPr>
          <w:spacing w:val="-4"/>
          <w:sz w:val="18"/>
        </w:rPr>
        <w:t>5%</w:t>
      </w:r>
    </w:p>
    <w:p>
      <w:pPr>
        <w:pStyle w:val="BodyText"/>
        <w:spacing w:before="1"/>
        <w:rPr>
          <w:sz w:val="18"/>
        </w:rPr>
      </w:pPr>
    </w:p>
    <w:p>
      <w:pPr>
        <w:spacing w:before="1"/>
        <w:ind w:left="1488" w:right="0" w:firstLine="0"/>
        <w:jc w:val="left"/>
        <w:rPr>
          <w:sz w:val="18"/>
        </w:rPr>
      </w:pPr>
      <w:r>
        <w:rPr>
          <w:spacing w:val="-4"/>
          <w:sz w:val="18"/>
        </w:rPr>
        <w:t>0%</w:t>
      </w:r>
    </w:p>
    <w:p>
      <w:pPr>
        <w:spacing w:after="0"/>
        <w:jc w:val="left"/>
        <w:rPr>
          <w:sz w:val="18"/>
        </w:rPr>
        <w:sectPr>
          <w:type w:val="continuous"/>
          <w:pgSz w:w="12240" w:h="15840"/>
          <w:pgMar w:top="1120" w:bottom="1440" w:left="1200" w:right="1060"/>
          <w:cols w:num="3" w:equalWidth="0">
            <w:col w:w="4918" w:space="363"/>
            <w:col w:w="2439" w:space="155"/>
            <w:col w:w="2105"/>
          </w:cols>
        </w:sectPr>
      </w:pPr>
    </w:p>
    <w:p>
      <w:pPr>
        <w:pStyle w:val="BodyText"/>
        <w:spacing w:before="10"/>
        <w:rPr>
          <w:sz w:val="14"/>
        </w:rPr>
      </w:pPr>
    </w:p>
    <w:p>
      <w:pPr>
        <w:spacing w:before="0"/>
        <w:ind w:left="429" w:right="0" w:firstLine="0"/>
        <w:jc w:val="left"/>
        <w:rPr>
          <w:sz w:val="15"/>
        </w:rPr>
      </w:pPr>
      <w:r>
        <w:rPr/>
        <w:pict>
          <v:group style="position:absolute;margin-left:327.779999pt;margin-top:-159.765091pt;width:195.1pt;height:147.8pt;mso-position-horizontal-relative:page;mso-position-vertical-relative:paragraph;z-index:-254987264" coordorigin="6556,-3195" coordsize="3902,2956">
            <v:line style="position:absolute" from="10400,-3188" to="10400,-296" stroked="true" strokeweight=".72pt" strokecolor="#868686">
              <v:stroke dashstyle="solid"/>
            </v:line>
            <v:shape style="position:absolute;left:10400;top:-3196;width:57;height:2907" coordorigin="10400,-3195" coordsize="57,2907" path="m10457,-303l10400,-303,10400,-289,10457,-289,10457,-303m10457,-713l10400,-713,10400,-698,10457,-698,10457,-713m10457,-1136l10400,-1136,10400,-1122,10457,-1122,10457,-1136m10457,-1545l10400,-1545,10400,-1531,10457,-1531,10457,-1545m10457,-1955l10400,-1955,10400,-1940,10457,-1940,10457,-1955m10457,-2377l10400,-2377,10400,-2364,10457,-2364,10457,-2377m10457,-2786l10400,-2786,10400,-2773,10457,-2773,10457,-2786m10457,-3195l10400,-3195,10400,-3182,10457,-3182,10457,-3195e" filled="true" fillcolor="#868686" stroked="false">
              <v:path arrowok="t"/>
              <v:fill type="solid"/>
            </v:shape>
            <v:line style="position:absolute" from="6746,-296" to="10400,-296" stroked="true" strokeweight=".72pt" strokecolor="#868686">
              <v:stroke dashstyle="solid"/>
            </v:line>
            <v:shape style="position:absolute;left:6739;top:-297;width:3330;height:57" coordorigin="6739,-296" coordsize="3330,57" path="m6754,-296l6739,-296,6739,-240,6754,-240,6754,-296m7416,-296l7403,-296,7403,-240,7416,-240,7416,-296m8080,-296l8065,-296,8065,-240,8080,-240,8080,-296m8742,-296l8729,-296,8729,-240,8742,-240,8742,-296m9406,-296l9391,-296,9391,-240,9406,-240,9406,-296m10069,-296l10055,-296,10055,-240,10069,-240,10069,-296e" filled="true" fillcolor="#868686" stroked="false">
              <v:path arrowok="t"/>
              <v:fill type="solid"/>
            </v:shape>
            <v:shape style="position:absolute;left:6739;top:-1983;width:3669;height:1694" coordorigin="6739,-1983" coordsize="3669,1694" path="m8183,-423l8152,-423,8171,-417,8158,-411,8219,-289,8250,-289,8250,-291,8221,-291,8231,-328,8183,-423xm8231,-328l8221,-291,8248,-295,8231,-328xm8654,-1729l8650,-1725,8646,-1721,8562,-1593,8560,-1593,8560,-1591,8476,-1323,8390,-1099,8390,-1095,8305,-617,8231,-328,8248,-295,8221,-291,8250,-291,8333,-609,8418,-1087,8417,-1087,8502,-1313,8587,-1579,8585,-1579,8651,-1676,8644,-1711,8672,-1711,8671,-1717,8670,-1723,8666,-1725,8654,-1729xm7924,-1387l7896,-1387,7922,-1381,7901,-1345,7981,-611,7981,-609,8066,-381,8070,-375,8075,-375,8078,-373,8086,-375,8122,-393,8093,-393,8074,-399,8088,-406,8009,-615,8009,-615,8008,-619,8008,-619,7924,-1387xm8088,-406l8074,-399,8093,-393,8088,-406xm8165,-445l8088,-406,8093,-393,8122,-393,8158,-411,8152,-423,8183,-423,8177,-435,8173,-443,8165,-445xm8152,-423l8158,-411,8171,-417,8152,-423xm8912,-1795l8884,-1795,8911,-1793,8891,-1746,8969,-1261,9054,-961,9138,-693,9140,-689,9226,-589,9228,-585,9242,-585,9246,-589,9248,-591,9258,-607,9224,-607,9234,-624,9162,-707,9164,-707,9080,-969,8996,-1263,8912,-1795xm9234,-624l9224,-607,9247,-609,9234,-624xm9338,-747l9308,-747,9234,-624,9247,-609,9224,-607,9258,-607,9334,-733,9334,-735,9338,-747xm8008,-619l8009,-615,8009,-616,8008,-619xm8009,-616l8009,-615,8009,-615,8009,-616xm8008,-619l8008,-619,8009,-616,8008,-619xm9164,-707l9162,-707,9166,-703,9164,-707xm9391,-968l9307,-745,9308,-747,9338,-747,9419,-961,9420,-963,9421,-967,9391,-967,9391,-968xm7178,-1613l7176,-1613,7168,-1559,7235,-1366,7319,-1131,7319,-1129,7404,-973,7406,-969,7411,-967,7506,-967,7512,-969,7514,-973,7520,-985,7488,-985,7489,-987,7429,-987,7416,-993,7426,-993,7344,-1141,7345,-1141,7260,-1379,7178,-1613xm9392,-971l9391,-968,9391,-967,9392,-971xm9421,-971l9392,-971,9391,-967,9421,-967,9421,-971xm9497,-1545l9490,-1545,9482,-1543,9478,-1539,9476,-1533,9391,-968,9392,-971,9421,-971,9493,-1454,9476,-1527,9505,-1527,9504,-1533,9503,-1539,9497,-1545xm7656,-1319l7649,-1317,7645,-1315,7644,-1311,7573,-1169,7488,-985,7501,-993,7524,-993,7598,-1157,7662,-1284,7649,-1293,7669,-1299,7691,-1299,7664,-1317,7661,-1317,7656,-1319xm7524,-993l7501,-993,7488,-985,7520,-985,7524,-993xm7426,-993l7416,-993,7429,-987,7426,-993xm7492,-993l7426,-993,7429,-987,7489,-987,7492,-993xm6940,-1441l6936,-1441,6926,-1407,6980,-1299,6979,-1299,7064,-1045,7067,-1039,7073,-1035,7079,-1035,7086,-1037,7091,-1041,7092,-1047,7093,-1053,7064,-1053,7073,-1109,7007,-1309,7006,-1311,6940,-1441xm9888,-1940l9971,-1681,10055,-1441,10126,-1215,10127,-1213,10212,-1057,10214,-1053,10220,-1051,10231,-1051,10236,-1057,10237,-1061,10239,-1069,10210,-1069,10218,-1105,10152,-1227,10153,-1227,10082,-1449,9997,-1689,9919,-1939,9898,-1939,9888,-1940xm7073,-1109l7064,-1053,7091,-1055,7073,-1109xm7168,-1629l7154,-1629,7150,-1623,7148,-1617,7073,-1109,7091,-1055,7064,-1053,7093,-1053,7168,-1559,7150,-1611,7176,-1613,7178,-1613,7176,-1619,7174,-1625,7168,-1629xm10218,-1105l10210,-1069,10236,-1071,10218,-1105xm10315,-1445l10302,-1445,10296,-1441,10295,-1435,10218,-1105,10236,-1071,10210,-1069,10239,-1069,10309,-1373,10295,-1429,10324,-1429,10322,-1435,10320,-1441,10315,-1445xm8418,-1089l8417,-1087,8418,-1087,8418,-1089xm10324,-1429l10322,-1429,10309,-1373,10380,-1103,10381,-1095,10390,-1091,10404,-1095,10408,-1101,10408,-1107,10406,-1111,10324,-1429xm6758,-1561l6750,-1557,6743,-1557,6739,-1551,6739,-1541,6824,-1161,6826,-1153,6832,-1149,6844,-1149,6850,-1153,6852,-1159,6854,-1167,6824,-1167,6840,-1219,6767,-1547,6766,-1555,6758,-1561xm6840,-1219l6824,-1167,6852,-1167,6840,-1219xm6928,-1459l6916,-1459,6911,-1455,6910,-1449,6840,-1219,6852,-1167,6854,-1167,6926,-1407,6910,-1439,6936,-1441,6940,-1441,6932,-1457,6928,-1459xm9505,-1527l9504,-1527,9493,-1454,9547,-1217,9548,-1211,9553,-1207,9558,-1207,9564,-1205,9570,-1207,9572,-1213,9578,-1223,9575,-1223,9548,-1227,9567,-1258,9505,-1527xm9567,-1258l9548,-1227,9575,-1223,9567,-1258xm9632,-1366l9567,-1258,9575,-1223,9578,-1223,9659,-1355,9659,-1357,9660,-1363,9631,-1363,9632,-1366xm10153,-1227l10152,-1227,10153,-1225,10153,-1227xm7691,-1299l7669,-1299,7662,-1284,7733,-1237,7738,-1233,7830,-1233,7835,-1237,7837,-1241,7846,-1255,7813,-1255,7817,-1261,7748,-1261,7741,-1263,7745,-1263,7691,-1299xm7907,-1405l7901,-1401,7898,-1395,7813,-1255,7825,-1263,7851,-1263,7901,-1345,7896,-1387,7924,-1387,7924,-1391,7924,-1397,7919,-1401,7907,-1405xm7851,-1263l7825,-1263,7813,-1255,7846,-1255,7851,-1263xm7745,-1263l7741,-1263,7748,-1261,7745,-1263xm7818,-1263l7745,-1263,7748,-1261,7817,-1261,7818,-1263xm7669,-1299l7649,-1293,7662,-1284,7669,-1299xm8672,-1711l8644,-1711,8670,-1705,8651,-1676,8729,-1301,8730,-1295,8736,-1291,8749,-1291,8754,-1295,8756,-1301,8758,-1307,8756,-1307,8729,-1309,8744,-1367,8672,-1711xm8744,-1367l8729,-1309,8756,-1307,8744,-1367xm8893,-1813l8887,-1809,8885,-1803,8814,-1633,8744,-1367,8756,-1307,8758,-1307,8840,-1625,8891,-1746,8884,-1795,8912,-1795,8911,-1801,8911,-1807,8905,-1811,8893,-1813xm7896,-1387l7901,-1345,7922,-1381,7896,-1387xm9634,-1369l9632,-1366,9631,-1363,9634,-1369xm9662,-1369l9634,-1369,9631,-1363,9660,-1363,9662,-1369xm9810,-1983l9804,-1979,9802,-1971,9716,-1731,9632,-1366,9634,-1369,9662,-1369,9744,-1725,9824,-1951,9812,-1953,9828,-1963,9911,-1963,9907,-1965,9901,-1967,9817,-1981,9810,-1983xm10322,-1429l10295,-1429,10309,-1373,10322,-1429xm6936,-1441l6910,-1439,6926,-1407,6936,-1441xm9504,-1527l9476,-1527,9493,-1454,9504,-1527xm7176,-1613l7150,-1611,7168,-1559,7176,-1613xm8587,-1581l8585,-1579,8587,-1579,8587,-1581xm8644,-1711l8651,-1676,8670,-1705,8644,-1711xm8884,-1795l8891,-1746,8911,-1793,8884,-1795xm9886,-1949l9888,-1940,9898,-1939,9886,-1949xm9916,-1949l9886,-1949,9898,-1939,9919,-1939,9916,-1949xm9911,-1963l9828,-1963,9824,-1951,9888,-1940,9886,-1949,9916,-1949,9913,-1957,9911,-1963xm9828,-1963l9812,-1953,9824,-1951,9828,-1963xe" filled="true" fillcolor="#4a7ebb" stroked="false">
              <v:path arrowok="t"/>
              <v:fill type="solid"/>
            </v:shape>
            <v:shape style="position:absolute;left:6739;top:-1883;width:3669;height:1594" coordorigin="6739,-1883" coordsize="3669,1594" path="m8106,-377l8069,-377,8086,-375,8075,-370,8146,-289,8333,-289,8334,-291,8305,-291,8306,-297,8174,-297,8164,-303,8169,-303,8106,-377xm8562,-1023l8483,-1023,8477,-1017,8476,-1011,8390,-743,8305,-291,8320,-303,8336,-303,8418,-737,8499,-993,8489,-993,8502,-1003,8587,-1003,8588,-1011,8560,-1011,8562,-1023xm8336,-303l8320,-303,8305,-291,8334,-291,8336,-303xm8169,-303l8164,-303,8174,-297,8169,-303xm8307,-303l8169,-303,8174,-297,8306,-297,8307,-303xm7898,-644l7981,-341,7982,-337,7985,-333,7990,-333,7993,-329,7997,-329,8032,-347,8009,-347,7988,-357,8004,-365,7929,-641,7904,-641,7898,-644xm8004,-365l7988,-357,8009,-347,8004,-365xm8086,-401l8078,-401,8074,-399,8004,-365,8009,-347,8032,-347,8075,-370,8069,-377,8106,-377,8090,-395,8086,-401xm8069,-377l8075,-370,8086,-375,8069,-377xm8914,-863l8885,-863,8905,-855,8890,-846,8969,-593,8971,-591,9055,-465,9056,-461,9059,-459,9061,-459,9145,-417,9151,-413,9157,-415,9181,-439,9142,-439,9149,-446,9085,-479,9079,-479,9073,-485,9075,-485,8994,-605,8996,-605,8914,-863xm9149,-446l9142,-439,9158,-441,9149,-446xm9325,-527l9229,-527,9149,-446,9158,-441,9142,-439,9181,-439,9244,-501,9236,-501,9246,-503,9375,-503,9325,-527xm9375,-503l9246,-503,9244,-501,9314,-501,9400,-459,9407,-455,9415,-459,9419,-465,9425,-477,9392,-477,9399,-491,9375,-503xm9399,-491l9392,-477,9412,-485,9399,-491xm9565,-797l9560,-795,9554,-795,9551,-793,9399,-491,9412,-485,9392,-477,9425,-477,9503,-635,9563,-753,9550,-773,9574,-775,9582,-775,9572,-789,9570,-795,9565,-797xm9073,-485l9079,-479,9076,-483,9073,-485xm9076,-483l9079,-479,9085,-479,9076,-483xm9075,-485l9073,-485,9076,-483,9075,-485xm9246,-503l9236,-501,9244,-501,9246,-503xm7436,-663l7404,-663,7423,-657,7411,-651,7493,-515,7501,-513,7507,-515,7548,-535,7513,-535,7495,-541,7506,-546,7436,-663xm7506,-546l7495,-541,7513,-535,7506,-546xm7574,-580l7506,-546,7513,-535,7548,-535,7592,-557,7596,-559,7598,-563,7600,-567,7601,-573,7572,-573,7574,-580xm7579,-583l7574,-580,7572,-573,7579,-583xm7603,-583l7579,-583,7572,-573,7601,-573,7603,-583xm7660,-909l7651,-909,7644,-903,7643,-897,7574,-580,7579,-583,7603,-583,7666,-871,7649,-883,7670,-891,7688,-891,7664,-907,7660,-909xm8996,-605l8994,-605,8996,-603,8996,-605xm7237,-757l7324,-613,7332,-611,7338,-615,7375,-633,7344,-633,7326,-639,7337,-644,7271,-755,7241,-755,7237,-757xm7337,-644l7326,-639,7344,-633,7337,-644xm7417,-685l7337,-644,7344,-633,7375,-633,7411,-651,7404,-663,7436,-663,7424,-683,7417,-685xm7896,-651l7898,-644,7904,-641,7896,-651xm7926,-651l7896,-651,7904,-641,7929,-641,7926,-651xm9582,-775l9574,-775,9563,-753,9634,-647,9637,-643,9642,-641,9653,-641,9656,-645,9659,-651,9662,-659,9632,-659,9642,-686,9582,-775xm7731,-828l7814,-687,7898,-644,7896,-651,7926,-651,7924,-659,7922,-663,7920,-665,7916,-667,7844,-705,7837,-705,7832,-711,7834,-711,7764,-827,7733,-827,7731,-828xm7404,-663l7411,-651,7423,-657,7404,-663xm9642,-686l9632,-659,9658,-663,9642,-686xm9886,-1198l9805,-1115,9803,-1115,9803,-1113,9802,-1111,9716,-885,9642,-686,9658,-663,9632,-659,9662,-659,9743,-875,9826,-1097,9824,-1097,9828,-1101,9828,-1101,9910,-1181,9912,-1183,9913,-1187,9913,-1189,9914,-1193,9886,-1193,9886,-1198xm7832,-711l7837,-705,7834,-710,7832,-711xm7834,-710l7837,-705,7844,-705,7834,-710xm7834,-711l7832,-711,7834,-710,7834,-711xm6910,-1061l6979,-821,6983,-815,7067,-717,7069,-713,7073,-711,7081,-711,7085,-713,7107,-735,7068,-735,7079,-746,7010,-827,7007,-827,7004,-833,7005,-833,6941,-1049,6923,-1049,6910,-1061xm7079,-746l7068,-735,7088,-735,7079,-746xm7163,-825l7157,-825,7152,-821,7079,-746,7088,-735,7107,-735,7164,-793,7156,-797,7172,-801,7212,-801,7169,-823,7163,-825xm9574,-775l9550,-773,9563,-753,9574,-775xm7235,-761l7237,-757,7241,-755,7235,-761xm7267,-761l7235,-761,7241,-755,7271,-755,7267,-761xm7212,-801l7172,-801,7164,-793,7237,-757,7235,-761,7267,-761,7258,-777,7255,-779,7212,-801xm7172,-801l7156,-797,7164,-793,7172,-801xm8730,-1394l8813,-821,8814,-817,8816,-813,8821,-811,8825,-809,8831,-809,8834,-813,8858,-827,8842,-827,8820,-837,8839,-848,8758,-1391,8736,-1391,8730,-1394xm7004,-833l7007,-827,7005,-832,7004,-833xm7005,-832l7007,-827,7010,-827,7005,-832xm7729,-831l7731,-828,7733,-827,7729,-831xm7762,-831l7729,-831,7733,-827,7764,-827,7762,-831xm8839,-848l8820,-837,8842,-827,8839,-848xm8899,-881l8894,-881,8891,-879,8839,-848,8842,-827,8858,-827,8890,-846,8885,-863,8914,-863,8911,-871,8910,-875,8906,-879,8903,-879,8899,-881xm7688,-891l7670,-891,7666,-871,7731,-828,7729,-831,7762,-831,7751,-849,7748,-851,7688,-891xm7005,-833l7004,-833,7005,-832,7005,-833xm8885,-863l8890,-846,8905,-855,8885,-863xm7670,-891l7649,-883,7666,-871,7670,-891xm8502,-1003l8489,-993,8499,-993,8502,-1003xm8587,-1003l8502,-1003,8499,-993,8580,-993,8586,-999,8587,-1003xm6929,-1079l6835,-1079,6834,-1077,6740,-1031,6739,-1027,6739,-1017,6744,-1009,6752,-1005,6760,-1009,6841,-1049,6838,-1049,6845,-1051,6913,-1051,6910,-1061,6938,-1061,6936,-1067,6935,-1073,6929,-1079xm8660,-1461l8656,-1461,8652,-1457,8647,-1455,8644,-1449,8560,-1011,8573,-1023,8591,-1023,8668,-1425,8652,-1433,8671,-1443,8692,-1443,8664,-1457,8660,-1461xm8591,-1023l8573,-1023,8560,-1011,8588,-1011,8591,-1023xm6845,-1051l6838,-1049,6841,-1049,6845,-1051xm6913,-1051l6845,-1051,6841,-1049,6913,-1049,6913,-1051xm6938,-1061l6910,-1061,6923,-1049,6941,-1049,6938,-1061xm9828,-1101l9824,-1097,9828,-1100,9828,-1101xm9828,-1100l9824,-1097,9826,-1097,9828,-1100xm9828,-1101l9828,-1101,9828,-1100,9828,-1101xm9889,-1201l9886,-1198,9886,-1193,9889,-1201xm9915,-1201l9889,-1201,9886,-1193,9914,-1193,9915,-1201xm9989,-1883l9983,-1883,9976,-1881,9971,-1877,9970,-1871,9886,-1198,9889,-1201,9915,-1201,9991,-1806,9971,-1863,9998,-1867,9999,-1867,9997,-1873,9995,-1879,9989,-1883xm10156,-1637l10126,-1637,10142,-1629,10129,-1626,10211,-1397,10212,-1391,10218,-1389,10230,-1389,10236,-1393,10237,-1399,10240,-1407,10211,-1407,10223,-1447,10156,-1637xm8729,-1401l8730,-1394,8736,-1391,8729,-1401xm8757,-1401l8729,-1401,8736,-1391,8758,-1391,8757,-1401xm8692,-1443l8671,-1443,8668,-1425,8730,-1394,8729,-1401,8757,-1401,8756,-1405,8756,-1409,8753,-1413,8749,-1415,8692,-1443xm10223,-1447l10211,-1407,10237,-1407,10223,-1447xm10312,-1701l10307,-1699,10301,-1697,10296,-1695,10295,-1689,10223,-1447,10237,-1407,10240,-1407,10314,-1652,10297,-1677,10322,-1681,10328,-1681,10320,-1693,10318,-1697,10312,-1701xm8671,-1443l8652,-1433,8668,-1425,8671,-1443xm10328,-1681l10322,-1681,10314,-1652,10381,-1551,10386,-1543,10394,-1541,10400,-1547,10408,-1551,10408,-1561,10405,-1565,10328,-1681xm9999,-1867l9998,-1867,9991,-1806,10055,-1623,10057,-1617,10064,-1613,10072,-1615,10129,-1626,10127,-1633,10082,-1633,10066,-1643,10078,-1645,9999,-1867xm10126,-1637l10129,-1626,10142,-1629,10126,-1637xm10078,-1645l10066,-1643,10082,-1633,10078,-1645xm10144,-1659l10136,-1655,10078,-1645,10082,-1633,10127,-1633,10126,-1637,10156,-1637,10152,-1647,10150,-1653,10144,-1659xm10322,-1681l10297,-1677,10314,-1652,10322,-1681xm9998,-1867l9971,-1863,9991,-1806,9998,-1867xe" filled="true" fillcolor="#c0504d" stroked="false">
              <v:path arrowok="t"/>
              <v:fill type="solid"/>
            </v:shape>
            <v:shape style="position:absolute;left:7569;top:-545;width:102;height:88" coordorigin="7570,-545" coordsize="102,88" path="m7662,-545l7654,-545,7571,-479,7570,-470,7579,-458,7589,-457,7672,-523,7672,-531,7667,-537,7662,-545xe" filled="true" fillcolor="#9bbb59" stroked="false">
              <v:path arrowok="t"/>
              <v:fill type="solid"/>
            </v:shape>
            <v:shape style="position:absolute;left:6739;top:-2843;width:3669;height:2554" coordorigin="6739,-2843" coordsize="3669,2554" path="m7437,-522l7404,-522,7423,-517,7411,-511,7489,-380,7492,-377,7495,-374,7499,-374,7504,-373,7508,-375,7529,-396,7513,-396,7492,-398,7504,-411,7437,-522xm7504,-411l7492,-398,7513,-396,7504,-411xm7590,-488l7582,-488,7504,-411,7513,-396,7529,-396,7601,-468,7601,-477,7590,-488xm7072,-517l7156,-474,7240,-419,7244,-415,7250,-415,7255,-419,7291,-443,7240,-443,7247,-448,7169,-499,7138,-515,7078,-515,7072,-517xm7247,-448l7240,-443,7255,-443,7247,-448xm7417,-545l7410,-542,7324,-499,7247,-448,7255,-443,7291,-443,7339,-475,7411,-511,7404,-522,7437,-522,7428,-536,7424,-542,7417,-545xm7404,-522l7411,-511,7423,-517,7404,-522xm6853,-1005l6824,-1005,6908,-625,6910,-623,6910,-621,6911,-620,6982,-521,6984,-517,6989,-515,7076,-515,7072,-517,7133,-517,7093,-537,7004,-537,6994,-543,7000,-543,6937,-631,6936,-631,6934,-636,6935,-636,6853,-1005xm7133,-517l7072,-517,7078,-515,7138,-515,7133,-517xm7000,-543l6994,-543,7004,-537,7000,-543xm7080,-543l7000,-543,7004,-537,7093,-537,7084,-542,7082,-542,7080,-543xm6934,-636l6936,-631,6936,-633,6934,-636xm6936,-633l6936,-631,6937,-631,6936,-633xm6935,-636l6934,-636,6936,-633,6935,-636xm6755,-1223l6748,-1219,6740,-1217,6739,-1214,6739,-1203,6740,-1201,6824,-1003,6824,-1005,6853,-1005,6852,-1011,6852,-1013,6851,-1014,6851,-1015,6767,-1212,6763,-1219,6755,-1223xm7931,-564l7898,-564,8063,-289,8261,-289,8271,-296,8092,-296,8080,-303,8087,-303,7931,-564xm8087,-303l8080,-303,8092,-296,8087,-303xm8231,-303l8087,-303,8092,-296,8271,-296,8279,-301,8227,-301,8231,-303xm8308,-355l8227,-301,8234,-303,8282,-303,8327,-333,8332,-338,8336,-350,8306,-350,8308,-355xm8282,-303l8234,-303,8227,-301,8279,-301,8282,-303xm8311,-357l8308,-355,8306,-350,8311,-357xm8338,-357l8311,-357,8306,-350,8336,-350,8338,-357xm8390,-605l8308,-355,8311,-357,8338,-357,8417,-595,8418,-596,8418,-601,8390,-601,8390,-605xm9230,-461l9314,-417,9320,-415,9326,-416,9350,-440,9311,-440,9318,-447,9297,-458,9236,-458,9230,-461xm9318,-447l9311,-440,9328,-443,9318,-447xm9490,-573l9484,-570,9400,-528,9398,-527,9397,-527,9318,-447,9328,-443,9311,-440,9350,-440,9413,-503,9412,-503,9415,-505,9416,-505,9487,-540,9480,-548,9517,-548,9502,-566,9497,-571,9490,-573xm8588,-2828l8587,-2828,8576,-2694,8644,-2150,8729,-1135,8813,-738,8815,-733,8816,-732,8887,-647,8971,-548,9058,-463,9060,-461,9064,-458,9235,-458,9230,-461,9292,-461,9249,-482,9077,-482,9067,-487,9072,-487,8993,-566,8909,-665,8843,-744,8840,-744,8838,-750,8839,-750,8756,-1137,8672,-2154,8588,-2828xm9292,-461l9230,-461,9236,-458,9297,-458,9292,-461xm9517,-548l9480,-548,9497,-545,9487,-540,9550,-464,9553,-459,9558,-458,9563,-458,9568,-459,9571,-463,9574,-467,9579,-479,9548,-479,9558,-499,9517,-548xm9558,-499l9548,-479,9571,-482,9558,-499xm9648,-671l9644,-671,9637,-668,9635,-666,9632,-662,9558,-499,9571,-482,9548,-479,9579,-479,9652,-636,9640,-643,9659,-650,9688,-650,9652,-668,9648,-671xm9072,-487l9067,-487,9077,-482,9072,-487xm9239,-487l9072,-487,9077,-482,9249,-482,9242,-486,9241,-486,9239,-487xm9415,-505l9412,-503,9414,-504,9415,-505xm9414,-504l9412,-503,9413,-503,9414,-504xm9416,-505l9415,-505,9414,-504,9416,-505xm7733,-543l7649,-543,7642,-537,7642,-522,7649,-515,7746,-515,7750,-517,7753,-522,7764,-537,7729,-537,7733,-543xm7829,-671l7824,-671,7820,-669,7816,-667,7729,-537,7741,-543,7768,-543,7828,-634,7816,-647,7837,-648,7854,-648,7832,-669,7829,-671xm7768,-543l7741,-543,7729,-537,7764,-537,7768,-543xm9480,-548l9487,-540,9497,-545,9480,-548xm7854,-648l7837,-648,7828,-634,7900,-561,7898,-564,7931,-564,7922,-578,7921,-579,7921,-581,7854,-648xm9688,-650l9659,-650,9652,-636,9724,-601,9727,-600,9732,-599,9736,-601,9740,-603,9743,-606,9744,-611,9745,-617,9716,-617,9721,-634,9688,-650xm8580,-2843l8566,-2843,8560,-2838,8560,-2831,8474,-1814,8390,-601,8418,-601,8503,-1812,8576,-2694,8560,-2827,8587,-2828,8588,-2828,8587,-2831,8586,-2838,8580,-2843xm9721,-634l9716,-617,9737,-626,9721,-634xm9901,-1023l9898,-1023,9809,-979,9805,-978,9802,-974,9802,-969,9721,-634,9737,-626,9716,-617,9745,-617,9826,-954,9821,-954,9828,-963,9840,-963,9899,-992,9893,-996,9956,-996,9901,-1023xm7837,-648l7816,-647,7828,-634,7837,-648xm9659,-650l9640,-643,9652,-636,9659,-650xm8838,-750l8840,-744,8840,-748,8838,-750xm8840,-748l8840,-744,8843,-744,8840,-748xm8839,-750l8838,-750,8840,-748,8839,-750xm9956,-996l9906,-996,9899,-992,9978,-954,9982,-953,9986,-951,9990,-954,9994,-955,9996,-959,9997,-962,10000,-971,9971,-971,9975,-986,9956,-996xm9828,-963l9821,-954,9826,-956,9828,-963xm9826,-956l9821,-954,9826,-954,9826,-956xm9840,-963l9828,-963,9826,-956,9840,-963xm9975,-986l9971,-971,9990,-979,9975,-986xm10127,-1328l10060,-1274,10057,-1272,10055,-1267,9975,-986,9990,-979,9971,-971,10000,-971,10080,-1251,10078,-1251,10082,-1259,10087,-1259,10148,-1308,10151,-1310,10153,-1315,10156,-1323,10126,-1323,10127,-1328xm9906,-996l9893,-996,9899,-992,9906,-996xm10082,-1259l10078,-1251,10081,-1254,10082,-1259xm10081,-1254l10078,-1251,10080,-1251,10081,-1254xm10087,-1259l10082,-1259,10081,-1254,10087,-1259xm10130,-1331l10127,-1328,10126,-1323,10130,-1331xm10158,-1331l10130,-1331,10126,-1323,10156,-1323,10158,-1331xm10295,-1693l10214,-1611,10212,-1610,10211,-1608,10211,-1605,10127,-1328,10130,-1331,10158,-1331,10235,-1591,10234,-1591,10237,-1597,10240,-1597,10321,-1679,10322,-1681,10322,-1685,10323,-1687,10295,-1687,10295,-1693xm10237,-1597l10234,-1591,10236,-1593,10237,-1597xm10236,-1593l10234,-1591,10235,-1591,10236,-1593xm10240,-1597l10237,-1597,10236,-1593,10240,-1597xm10298,-1697l10295,-1693,10295,-1687,10298,-1697xm10323,-1697l10298,-1697,10295,-1687,10323,-1687,10323,-1697xm10394,-2646l10387,-2646,10380,-2640,10379,-2633,10295,-1693,10298,-1697,10323,-1697,10408,-2630,10408,-2637,10402,-2645,10394,-2646xm8587,-2828l8560,-2827,8576,-2694,8587,-2828xe" filled="true" fillcolor="#98b954" stroked="false">
              <v:path arrowok="t"/>
              <v:fill type="solid"/>
            </v:shape>
            <v:line style="position:absolute" from="6556,-3083" to="6950,-3083" stroked="true" strokeweight="1.44pt" strokecolor="#98b954">
              <v:stroke dashstyle="solid"/>
            </v:line>
            <w10:wrap type="none"/>
          </v:group>
        </w:pict>
      </w:r>
      <w:r>
        <w:rPr>
          <w:b/>
          <w:i/>
          <w:w w:val="105"/>
          <w:sz w:val="15"/>
        </w:rPr>
        <w:t>Source</w:t>
      </w:r>
      <w:r>
        <w:rPr>
          <w:b/>
          <w:i/>
          <w:spacing w:val="-23"/>
          <w:w w:val="105"/>
          <w:sz w:val="15"/>
        </w:rPr>
        <w:t> </w:t>
      </w:r>
      <w:r>
        <w:rPr>
          <w:w w:val="105"/>
          <w:sz w:val="15"/>
        </w:rPr>
        <w:t>:</w:t>
      </w:r>
      <w:r>
        <w:rPr>
          <w:spacing w:val="-10"/>
          <w:w w:val="105"/>
          <w:sz w:val="15"/>
        </w:rPr>
        <w:t> </w:t>
      </w:r>
      <w:r>
        <w:rPr>
          <w:spacing w:val="-11"/>
          <w:w w:val="105"/>
          <w:sz w:val="15"/>
        </w:rPr>
        <w:t>IMF</w:t>
      </w:r>
      <w:r>
        <w:rPr>
          <w:spacing w:val="-18"/>
          <w:w w:val="105"/>
          <w:sz w:val="15"/>
        </w:rPr>
        <w:t> </w:t>
      </w:r>
      <w:r>
        <w:rPr>
          <w:spacing w:val="-3"/>
          <w:w w:val="105"/>
          <w:sz w:val="15"/>
        </w:rPr>
        <w:t>International</w:t>
      </w:r>
      <w:r>
        <w:rPr>
          <w:spacing w:val="-15"/>
          <w:w w:val="105"/>
          <w:sz w:val="15"/>
        </w:rPr>
        <w:t> </w:t>
      </w:r>
      <w:r>
        <w:rPr>
          <w:spacing w:val="-3"/>
          <w:w w:val="105"/>
          <w:sz w:val="15"/>
        </w:rPr>
        <w:t>Financial</w:t>
      </w:r>
      <w:r>
        <w:rPr>
          <w:spacing w:val="-15"/>
          <w:w w:val="105"/>
          <w:sz w:val="15"/>
        </w:rPr>
        <w:t> </w:t>
      </w:r>
      <w:r>
        <w:rPr>
          <w:w w:val="105"/>
          <w:sz w:val="15"/>
        </w:rPr>
        <w:t>Statistics</w:t>
      </w:r>
    </w:p>
    <w:p>
      <w:pPr>
        <w:tabs>
          <w:tab w:pos="1162" w:val="left" w:leader="none"/>
          <w:tab w:pos="1824" w:val="left" w:leader="none"/>
          <w:tab w:pos="2487" w:val="left" w:leader="none"/>
          <w:tab w:pos="3149" w:val="left" w:leader="none"/>
          <w:tab w:pos="3812" w:val="left" w:leader="none"/>
        </w:tabs>
        <w:spacing w:line="204" w:lineRule="exact" w:before="0"/>
        <w:ind w:left="500" w:right="0" w:firstLine="0"/>
        <w:jc w:val="left"/>
        <w:rPr>
          <w:sz w:val="18"/>
        </w:rPr>
      </w:pPr>
      <w:r>
        <w:rPr/>
        <w:br w:type="column"/>
      </w:r>
      <w:r>
        <w:rPr>
          <w:sz w:val="18"/>
        </w:rPr>
        <w:t>2004</w:t>
        <w:tab/>
        <w:t>2006</w:t>
        <w:tab/>
        <w:t>2008</w:t>
        <w:tab/>
        <w:t>2010</w:t>
        <w:tab/>
        <w:t>2012</w:t>
        <w:tab/>
        <w:t>2014</w:t>
      </w:r>
    </w:p>
    <w:p>
      <w:pPr>
        <w:pStyle w:val="BodyText"/>
        <w:spacing w:before="10"/>
        <w:rPr>
          <w:sz w:val="16"/>
        </w:rPr>
      </w:pPr>
    </w:p>
    <w:p>
      <w:pPr>
        <w:spacing w:before="0"/>
        <w:ind w:left="429" w:right="0" w:firstLine="0"/>
        <w:jc w:val="left"/>
        <w:rPr>
          <w:sz w:val="15"/>
        </w:rPr>
      </w:pPr>
      <w:r>
        <w:rPr>
          <w:b/>
          <w:i/>
          <w:w w:val="105"/>
          <w:sz w:val="15"/>
        </w:rPr>
        <w:t>Source </w:t>
      </w:r>
      <w:r>
        <w:rPr>
          <w:w w:val="105"/>
          <w:sz w:val="15"/>
        </w:rPr>
        <w:t>: Datastream, IMF International Financial Statistics</w:t>
      </w:r>
    </w:p>
    <w:p>
      <w:pPr>
        <w:spacing w:line="290" w:lineRule="auto" w:before="124"/>
        <w:ind w:left="429" w:right="0" w:firstLine="0"/>
        <w:jc w:val="left"/>
        <w:rPr>
          <w:sz w:val="15"/>
        </w:rPr>
      </w:pPr>
      <w:r>
        <w:rPr>
          <w:b/>
          <w:i/>
          <w:w w:val="105"/>
          <w:sz w:val="15"/>
        </w:rPr>
        <w:t>Notes</w:t>
      </w:r>
      <w:r>
        <w:rPr>
          <w:b/>
          <w:i/>
          <w:spacing w:val="-34"/>
          <w:w w:val="105"/>
          <w:sz w:val="15"/>
        </w:rPr>
        <w:t> </w:t>
      </w:r>
      <w:r>
        <w:rPr>
          <w:w w:val="105"/>
          <w:sz w:val="15"/>
        </w:rPr>
        <w:t>:</w:t>
      </w:r>
      <w:r>
        <w:rPr>
          <w:spacing w:val="-12"/>
          <w:w w:val="105"/>
          <w:sz w:val="15"/>
        </w:rPr>
        <w:t> </w:t>
      </w:r>
      <w:r>
        <w:rPr>
          <w:w w:val="105"/>
          <w:sz w:val="15"/>
        </w:rPr>
        <w:t>Quarterly</w:t>
      </w:r>
      <w:r>
        <w:rPr>
          <w:spacing w:val="-7"/>
          <w:w w:val="105"/>
          <w:sz w:val="15"/>
        </w:rPr>
        <w:t> </w:t>
      </w:r>
      <w:r>
        <w:rPr>
          <w:w w:val="105"/>
          <w:sz w:val="15"/>
        </w:rPr>
        <w:t>inflation</w:t>
      </w:r>
      <w:r>
        <w:rPr>
          <w:spacing w:val="-12"/>
          <w:w w:val="105"/>
          <w:sz w:val="15"/>
        </w:rPr>
        <w:t> </w:t>
      </w:r>
      <w:r>
        <w:rPr>
          <w:w w:val="105"/>
          <w:sz w:val="15"/>
        </w:rPr>
        <w:t>of</w:t>
      </w:r>
      <w:r>
        <w:rPr>
          <w:spacing w:val="-1"/>
          <w:w w:val="105"/>
          <w:sz w:val="15"/>
        </w:rPr>
        <w:t> </w:t>
      </w:r>
      <w:r>
        <w:rPr>
          <w:w w:val="105"/>
          <w:sz w:val="15"/>
        </w:rPr>
        <w:t>189</w:t>
      </w:r>
      <w:r>
        <w:rPr>
          <w:spacing w:val="-13"/>
          <w:w w:val="105"/>
          <w:sz w:val="15"/>
        </w:rPr>
        <w:t> </w:t>
      </w:r>
      <w:r>
        <w:rPr>
          <w:spacing w:val="-3"/>
          <w:w w:val="105"/>
          <w:sz w:val="15"/>
        </w:rPr>
        <w:t>economies,</w:t>
      </w:r>
      <w:r>
        <w:rPr>
          <w:spacing w:val="-12"/>
          <w:w w:val="105"/>
          <w:sz w:val="15"/>
        </w:rPr>
        <w:t> </w:t>
      </w:r>
      <w:r>
        <w:rPr>
          <w:w w:val="105"/>
          <w:sz w:val="15"/>
        </w:rPr>
        <w:t>37</w:t>
      </w:r>
      <w:r>
        <w:rPr>
          <w:spacing w:val="-12"/>
          <w:w w:val="105"/>
          <w:sz w:val="15"/>
        </w:rPr>
        <w:t> </w:t>
      </w:r>
      <w:r>
        <w:rPr>
          <w:w w:val="105"/>
          <w:sz w:val="15"/>
        </w:rPr>
        <w:t>advanced,</w:t>
      </w:r>
      <w:r>
        <w:rPr>
          <w:spacing w:val="-12"/>
          <w:w w:val="105"/>
          <w:sz w:val="15"/>
        </w:rPr>
        <w:t> </w:t>
      </w:r>
      <w:r>
        <w:rPr>
          <w:spacing w:val="-2"/>
          <w:w w:val="105"/>
          <w:sz w:val="15"/>
        </w:rPr>
        <w:t>152 </w:t>
      </w:r>
      <w:r>
        <w:rPr>
          <w:spacing w:val="-3"/>
          <w:w w:val="105"/>
          <w:sz w:val="15"/>
        </w:rPr>
        <w:t>emerging/developing.</w:t>
      </w:r>
    </w:p>
    <w:p>
      <w:pPr>
        <w:spacing w:after="0" w:line="290" w:lineRule="auto"/>
        <w:jc w:val="left"/>
        <w:rPr>
          <w:sz w:val="15"/>
        </w:rPr>
        <w:sectPr>
          <w:type w:val="continuous"/>
          <w:pgSz w:w="12240" w:h="15840"/>
          <w:pgMar w:top="1120" w:bottom="1440" w:left="1200" w:right="1060"/>
          <w:cols w:num="2" w:equalWidth="0">
            <w:col w:w="3496" w:space="1352"/>
            <w:col w:w="5132"/>
          </w:cols>
        </w:sectPr>
      </w:pPr>
    </w:p>
    <w:p>
      <w:pPr>
        <w:pStyle w:val="BodyText"/>
        <w:spacing w:before="6"/>
        <w:rPr>
          <w:sz w:val="22"/>
        </w:rPr>
      </w:pPr>
    </w:p>
    <w:p>
      <w:pPr>
        <w:pStyle w:val="BodyText"/>
        <w:spacing w:line="357" w:lineRule="auto" w:before="92"/>
        <w:ind w:left="386" w:right="596"/>
      </w:pPr>
      <w:r>
        <w:rPr/>
        <w:t>This battle against high inflation began to make progress in most developed countries in the 1980s. Helped by a combination of falling oil prices, more flexible currencies, and more independence for some central banks, the median inflation rate in advanced economies fell to 4.8% from 1985 through 1990. As shown on Figure 1, emerging and developing economies took longer to bring inflation down, with the median inflation rate for this group still well above 10% until the mid-1990s. By 2000, however, inflation had fallen to around target levels for many countries in the world and was remarkably stable for a number of years. This “great moderation” appeared to be solid as inflation rates remained around countries’ targets, and the volatility in economic growth and inflation fell to low levels.</w:t>
      </w:r>
    </w:p>
    <w:p>
      <w:pPr>
        <w:pStyle w:val="BodyText"/>
        <w:spacing w:before="1"/>
      </w:pPr>
    </w:p>
    <w:p>
      <w:pPr>
        <w:pStyle w:val="BodyText"/>
        <w:spacing w:line="357" w:lineRule="auto"/>
        <w:ind w:left="386" w:right="628"/>
      </w:pPr>
      <w:r>
        <w:rPr/>
        <w:t>This</w:t>
      </w:r>
      <w:r>
        <w:rPr>
          <w:spacing w:val="-9"/>
        </w:rPr>
        <w:t> </w:t>
      </w:r>
      <w:r>
        <w:rPr/>
        <w:t>calm</w:t>
      </w:r>
      <w:r>
        <w:rPr>
          <w:spacing w:val="-9"/>
        </w:rPr>
        <w:t> </w:t>
      </w:r>
      <w:r>
        <w:rPr/>
        <w:t>ended</w:t>
      </w:r>
      <w:r>
        <w:rPr>
          <w:spacing w:val="-9"/>
        </w:rPr>
        <w:t> </w:t>
      </w:r>
      <w:r>
        <w:rPr/>
        <w:t>abruptly</w:t>
      </w:r>
      <w:r>
        <w:rPr>
          <w:spacing w:val="-9"/>
        </w:rPr>
        <w:t> </w:t>
      </w:r>
      <w:r>
        <w:rPr/>
        <w:t>with</w:t>
      </w:r>
      <w:r>
        <w:rPr>
          <w:spacing w:val="-10"/>
        </w:rPr>
        <w:t> </w:t>
      </w:r>
      <w:r>
        <w:rPr/>
        <w:t>the</w:t>
      </w:r>
      <w:r>
        <w:rPr>
          <w:spacing w:val="-10"/>
        </w:rPr>
        <w:t> </w:t>
      </w:r>
      <w:r>
        <w:rPr/>
        <w:t>global</w:t>
      </w:r>
      <w:r>
        <w:rPr>
          <w:spacing w:val="-8"/>
        </w:rPr>
        <w:t> </w:t>
      </w:r>
      <w:r>
        <w:rPr/>
        <w:t>financial</w:t>
      </w:r>
      <w:r>
        <w:rPr>
          <w:spacing w:val="-9"/>
        </w:rPr>
        <w:t> </w:t>
      </w:r>
      <w:r>
        <w:rPr/>
        <w:t>crisis.</w:t>
      </w:r>
      <w:r>
        <w:rPr>
          <w:spacing w:val="-9"/>
        </w:rPr>
        <w:t> </w:t>
      </w:r>
      <w:r>
        <w:rPr/>
        <w:t>Inflation</w:t>
      </w:r>
      <w:r>
        <w:rPr>
          <w:spacing w:val="-9"/>
        </w:rPr>
        <w:t> </w:t>
      </w:r>
      <w:r>
        <w:rPr/>
        <w:t>rates</w:t>
      </w:r>
      <w:r>
        <w:rPr>
          <w:spacing w:val="-9"/>
        </w:rPr>
        <w:t> </w:t>
      </w:r>
      <w:r>
        <w:rPr/>
        <w:t>in</w:t>
      </w:r>
      <w:r>
        <w:rPr>
          <w:spacing w:val="-9"/>
        </w:rPr>
        <w:t> </w:t>
      </w:r>
      <w:r>
        <w:rPr/>
        <w:t>many</w:t>
      </w:r>
      <w:r>
        <w:rPr>
          <w:spacing w:val="-9"/>
        </w:rPr>
        <w:t> </w:t>
      </w:r>
      <w:r>
        <w:rPr/>
        <w:t>countries</w:t>
      </w:r>
      <w:r>
        <w:rPr>
          <w:spacing w:val="-8"/>
        </w:rPr>
        <w:t> </w:t>
      </w:r>
      <w:r>
        <w:rPr/>
        <w:t>plummeted</w:t>
      </w:r>
      <w:r>
        <w:rPr>
          <w:spacing w:val="-10"/>
        </w:rPr>
        <w:t> </w:t>
      </w:r>
      <w:r>
        <w:rPr/>
        <w:t>during the subsequent recession and as oil prices fell, while other countries struggled with sharp increases in inflation as rapid currency depreciations increased import</w:t>
      </w:r>
      <w:r>
        <w:rPr>
          <w:spacing w:val="-13"/>
        </w:rPr>
        <w:t> </w:t>
      </w:r>
      <w:r>
        <w:rPr/>
        <w:t>prices.</w:t>
      </w:r>
    </w:p>
    <w:p>
      <w:pPr>
        <w:pStyle w:val="BodyText"/>
        <w:spacing w:before="6"/>
      </w:pPr>
    </w:p>
    <w:p>
      <w:pPr>
        <w:pStyle w:val="BodyText"/>
        <w:spacing w:line="355" w:lineRule="auto"/>
        <w:ind w:left="386" w:right="649"/>
      </w:pPr>
      <w:r>
        <w:rPr/>
        <w:t>Since</w:t>
      </w:r>
      <w:r>
        <w:rPr>
          <w:spacing w:val="-10"/>
        </w:rPr>
        <w:t> </w:t>
      </w:r>
      <w:r>
        <w:rPr/>
        <w:t>then,</w:t>
      </w:r>
      <w:r>
        <w:rPr>
          <w:spacing w:val="-9"/>
        </w:rPr>
        <w:t> </w:t>
      </w:r>
      <w:r>
        <w:rPr/>
        <w:t>as</w:t>
      </w:r>
      <w:r>
        <w:rPr>
          <w:spacing w:val="-9"/>
        </w:rPr>
        <w:t> </w:t>
      </w:r>
      <w:r>
        <w:rPr/>
        <w:t>the</w:t>
      </w:r>
      <w:r>
        <w:rPr>
          <w:spacing w:val="-9"/>
        </w:rPr>
        <w:t> </w:t>
      </w:r>
      <w:r>
        <w:rPr/>
        <w:t>global</w:t>
      </w:r>
      <w:r>
        <w:rPr>
          <w:spacing w:val="-9"/>
        </w:rPr>
        <w:t> </w:t>
      </w:r>
      <w:r>
        <w:rPr/>
        <w:t>economy</w:t>
      </w:r>
      <w:r>
        <w:rPr>
          <w:spacing w:val="-9"/>
        </w:rPr>
        <w:t> </w:t>
      </w:r>
      <w:r>
        <w:rPr/>
        <w:t>has</w:t>
      </w:r>
      <w:r>
        <w:rPr>
          <w:spacing w:val="-8"/>
        </w:rPr>
        <w:t> </w:t>
      </w:r>
      <w:r>
        <w:rPr/>
        <w:t>gradually</w:t>
      </w:r>
      <w:r>
        <w:rPr>
          <w:spacing w:val="-9"/>
        </w:rPr>
        <w:t> </w:t>
      </w:r>
      <w:r>
        <w:rPr/>
        <w:t>recovered,</w:t>
      </w:r>
      <w:r>
        <w:rPr>
          <w:spacing w:val="-8"/>
        </w:rPr>
        <w:t> </w:t>
      </w:r>
      <w:r>
        <w:rPr/>
        <w:t>the</w:t>
      </w:r>
      <w:r>
        <w:rPr>
          <w:spacing w:val="-10"/>
        </w:rPr>
        <w:t> </w:t>
      </w:r>
      <w:r>
        <w:rPr/>
        <w:t>conversation</w:t>
      </w:r>
      <w:r>
        <w:rPr>
          <w:spacing w:val="-9"/>
        </w:rPr>
        <w:t> </w:t>
      </w:r>
      <w:r>
        <w:rPr/>
        <w:t>has</w:t>
      </w:r>
      <w:r>
        <w:rPr>
          <w:spacing w:val="-8"/>
        </w:rPr>
        <w:t> </w:t>
      </w:r>
      <w:r>
        <w:rPr/>
        <w:t>shifted</w:t>
      </w:r>
      <w:r>
        <w:rPr>
          <w:spacing w:val="-10"/>
        </w:rPr>
        <w:t> </w:t>
      </w:r>
      <w:r>
        <w:rPr/>
        <w:t>to</w:t>
      </w:r>
      <w:r>
        <w:rPr>
          <w:spacing w:val="-11"/>
        </w:rPr>
        <w:t> </w:t>
      </w:r>
      <w:r>
        <w:rPr/>
        <w:t>concerns</w:t>
      </w:r>
      <w:r>
        <w:rPr>
          <w:spacing w:val="-7"/>
        </w:rPr>
        <w:t> </w:t>
      </w:r>
      <w:r>
        <w:rPr/>
        <w:t>about falling inflation (i.e., disinflation), low levels of inflation (i.e., lowflation), and negative inflation (i.e., falling prices/deflation). As shown in Figure 1, the median global inflation rate for advanced economies was only 0.9% in 2014 and 4.5% for emerging economies. In sharp contrast to the 1970s, countries are consistently seeing</w:t>
      </w:r>
      <w:r>
        <w:rPr>
          <w:spacing w:val="-9"/>
        </w:rPr>
        <w:t> </w:t>
      </w:r>
      <w:r>
        <w:rPr/>
        <w:t>inflation</w:t>
      </w:r>
      <w:r>
        <w:rPr>
          <w:spacing w:val="-7"/>
        </w:rPr>
        <w:t> </w:t>
      </w:r>
      <w:r>
        <w:rPr/>
        <w:t>below,</w:t>
      </w:r>
      <w:r>
        <w:rPr>
          <w:spacing w:val="-7"/>
        </w:rPr>
        <w:t> </w:t>
      </w:r>
      <w:r>
        <w:rPr/>
        <w:t>instead</w:t>
      </w:r>
      <w:r>
        <w:rPr>
          <w:spacing w:val="-7"/>
        </w:rPr>
        <w:t> </w:t>
      </w:r>
      <w:r>
        <w:rPr/>
        <w:t>of</w:t>
      </w:r>
      <w:r>
        <w:rPr>
          <w:spacing w:val="-6"/>
        </w:rPr>
        <w:t> </w:t>
      </w:r>
      <w:r>
        <w:rPr/>
        <w:t>above,</w:t>
      </w:r>
      <w:r>
        <w:rPr>
          <w:spacing w:val="-6"/>
        </w:rPr>
        <w:t> </w:t>
      </w:r>
      <w:r>
        <w:rPr/>
        <w:t>their</w:t>
      </w:r>
      <w:r>
        <w:rPr>
          <w:spacing w:val="-8"/>
        </w:rPr>
        <w:t> </w:t>
      </w:r>
      <w:r>
        <w:rPr/>
        <w:t>targets.</w:t>
      </w:r>
      <w:r>
        <w:rPr>
          <w:spacing w:val="-7"/>
        </w:rPr>
        <w:t> </w:t>
      </w:r>
      <w:r>
        <w:rPr/>
        <w:t>Figure</w:t>
      </w:r>
      <w:r>
        <w:rPr>
          <w:spacing w:val="-8"/>
        </w:rPr>
        <w:t> </w:t>
      </w:r>
      <w:r>
        <w:rPr/>
        <w:t>4</w:t>
      </w:r>
      <w:r>
        <w:rPr>
          <w:spacing w:val="-8"/>
        </w:rPr>
        <w:t> </w:t>
      </w:r>
      <w:r>
        <w:rPr/>
        <w:t>shows</w:t>
      </w:r>
      <w:r>
        <w:rPr>
          <w:spacing w:val="-6"/>
        </w:rPr>
        <w:t> </w:t>
      </w:r>
      <w:r>
        <w:rPr/>
        <w:t>how</w:t>
      </w:r>
      <w:r>
        <w:rPr>
          <w:spacing w:val="-8"/>
        </w:rPr>
        <w:t> </w:t>
      </w:r>
      <w:r>
        <w:rPr/>
        <w:t>broadly</w:t>
      </w:r>
      <w:r>
        <w:rPr>
          <w:spacing w:val="-7"/>
        </w:rPr>
        <w:t> </w:t>
      </w:r>
      <w:r>
        <w:rPr/>
        <w:t>shared</w:t>
      </w:r>
      <w:r>
        <w:rPr>
          <w:spacing w:val="-7"/>
        </w:rPr>
        <w:t> </w:t>
      </w:r>
      <w:r>
        <w:rPr/>
        <w:t>this</w:t>
      </w:r>
      <w:r>
        <w:rPr>
          <w:spacing w:val="-7"/>
        </w:rPr>
        <w:t> </w:t>
      </w:r>
      <w:r>
        <w:rPr/>
        <w:t>pattern</w:t>
      </w:r>
      <w:r>
        <w:rPr>
          <w:spacing w:val="-7"/>
        </w:rPr>
        <w:t> </w:t>
      </w:r>
      <w:r>
        <w:rPr/>
        <w:t>is.</w:t>
      </w:r>
      <w:r>
        <w:rPr>
          <w:spacing w:val="-8"/>
        </w:rPr>
        <w:t> </w:t>
      </w:r>
      <w:r>
        <w:rPr/>
        <w:t>Of the</w:t>
      </w:r>
      <w:r>
        <w:rPr>
          <w:spacing w:val="-8"/>
        </w:rPr>
        <w:t> </w:t>
      </w:r>
      <w:r>
        <w:rPr/>
        <w:t>92</w:t>
      </w:r>
      <w:r>
        <w:rPr>
          <w:spacing w:val="-8"/>
        </w:rPr>
        <w:t> </w:t>
      </w:r>
      <w:r>
        <w:rPr/>
        <w:t>advanced</w:t>
      </w:r>
      <w:r>
        <w:rPr>
          <w:spacing w:val="-9"/>
        </w:rPr>
        <w:t> </w:t>
      </w:r>
      <w:r>
        <w:rPr/>
        <w:t>and</w:t>
      </w:r>
      <w:r>
        <w:rPr>
          <w:spacing w:val="-8"/>
        </w:rPr>
        <w:t> </w:t>
      </w:r>
      <w:r>
        <w:rPr/>
        <w:t>emerging</w:t>
      </w:r>
      <w:r>
        <w:rPr>
          <w:spacing w:val="-9"/>
        </w:rPr>
        <w:t> </w:t>
      </w:r>
      <w:r>
        <w:rPr/>
        <w:t>economies</w:t>
      </w:r>
      <w:r>
        <w:rPr>
          <w:spacing w:val="-6"/>
        </w:rPr>
        <w:t> </w:t>
      </w:r>
      <w:r>
        <w:rPr/>
        <w:t>with</w:t>
      </w:r>
      <w:r>
        <w:rPr>
          <w:spacing w:val="-8"/>
        </w:rPr>
        <w:t> </w:t>
      </w:r>
      <w:r>
        <w:rPr/>
        <w:t>data</w:t>
      </w:r>
      <w:r>
        <w:rPr>
          <w:spacing w:val="-7"/>
        </w:rPr>
        <w:t> </w:t>
      </w:r>
      <w:r>
        <w:rPr/>
        <w:t>available</w:t>
      </w:r>
      <w:r>
        <w:rPr>
          <w:spacing w:val="-7"/>
        </w:rPr>
        <w:t> </w:t>
      </w:r>
      <w:r>
        <w:rPr/>
        <w:t>for</w:t>
      </w:r>
      <w:r>
        <w:rPr>
          <w:spacing w:val="-8"/>
        </w:rPr>
        <w:t> </w:t>
      </w:r>
      <w:r>
        <w:rPr/>
        <w:t>Q1</w:t>
      </w:r>
      <w:r>
        <w:rPr>
          <w:spacing w:val="-8"/>
        </w:rPr>
        <w:t> </w:t>
      </w:r>
      <w:r>
        <w:rPr/>
        <w:t>2015,</w:t>
      </w:r>
      <w:r>
        <w:rPr>
          <w:spacing w:val="-7"/>
        </w:rPr>
        <w:t> </w:t>
      </w:r>
      <w:r>
        <w:rPr/>
        <w:t>just</w:t>
      </w:r>
      <w:r>
        <w:rPr>
          <w:spacing w:val="-8"/>
        </w:rPr>
        <w:t> </w:t>
      </w:r>
      <w:r>
        <w:rPr/>
        <w:t>over</w:t>
      </w:r>
      <w:r>
        <w:rPr>
          <w:spacing w:val="-8"/>
        </w:rPr>
        <w:t> </w:t>
      </w:r>
      <w:r>
        <w:rPr/>
        <w:t>half</w:t>
      </w:r>
      <w:r>
        <w:rPr>
          <w:spacing w:val="-6"/>
        </w:rPr>
        <w:t> </w:t>
      </w:r>
      <w:r>
        <w:rPr/>
        <w:t>had</w:t>
      </w:r>
      <w:r>
        <w:rPr>
          <w:spacing w:val="-7"/>
        </w:rPr>
        <w:t> </w:t>
      </w:r>
      <w:r>
        <w:rPr/>
        <w:t>inflation</w:t>
      </w:r>
      <w:r>
        <w:rPr>
          <w:spacing w:val="-8"/>
        </w:rPr>
        <w:t> </w:t>
      </w:r>
      <w:r>
        <w:rPr/>
        <w:t>rates</w:t>
      </w:r>
    </w:p>
    <w:p>
      <w:pPr>
        <w:spacing w:after="0" w:line="355" w:lineRule="auto"/>
        <w:sectPr>
          <w:type w:val="continuous"/>
          <w:pgSz w:w="12240" w:h="15840"/>
          <w:pgMar w:top="1120" w:bottom="1440" w:left="1200" w:right="1060"/>
        </w:sectPr>
      </w:pPr>
    </w:p>
    <w:p>
      <w:pPr>
        <w:pStyle w:val="BodyText"/>
        <w:spacing w:line="357" w:lineRule="auto" w:before="79"/>
        <w:ind w:left="387" w:right="533"/>
      </w:pPr>
      <w:r>
        <w:rPr/>
        <w:t>below</w:t>
      </w:r>
      <w:r>
        <w:rPr>
          <w:spacing w:val="-7"/>
        </w:rPr>
        <w:t> </w:t>
      </w:r>
      <w:r>
        <w:rPr/>
        <w:t>2%.</w:t>
      </w:r>
      <w:r>
        <w:rPr>
          <w:spacing w:val="-6"/>
        </w:rPr>
        <w:t> </w:t>
      </w:r>
      <w:r>
        <w:rPr/>
        <w:t>About</w:t>
      </w:r>
      <w:r>
        <w:rPr>
          <w:spacing w:val="-5"/>
        </w:rPr>
        <w:t> </w:t>
      </w:r>
      <w:r>
        <w:rPr/>
        <w:t>28%</w:t>
      </w:r>
      <w:r>
        <w:rPr>
          <w:spacing w:val="-4"/>
        </w:rPr>
        <w:t> </w:t>
      </w:r>
      <w:r>
        <w:rPr/>
        <w:t>of</w:t>
      </w:r>
      <w:r>
        <w:rPr>
          <w:spacing w:val="-5"/>
        </w:rPr>
        <w:t> </w:t>
      </w:r>
      <w:r>
        <w:rPr/>
        <w:t>the</w:t>
      </w:r>
      <w:r>
        <w:rPr>
          <w:spacing w:val="-5"/>
        </w:rPr>
        <w:t> </w:t>
      </w:r>
      <w:r>
        <w:rPr/>
        <w:t>countries</w:t>
      </w:r>
      <w:r>
        <w:rPr>
          <w:spacing w:val="-5"/>
        </w:rPr>
        <w:t> </w:t>
      </w:r>
      <w:r>
        <w:rPr/>
        <w:t>are</w:t>
      </w:r>
      <w:r>
        <w:rPr>
          <w:spacing w:val="-7"/>
        </w:rPr>
        <w:t> </w:t>
      </w:r>
      <w:r>
        <w:rPr/>
        <w:t>in</w:t>
      </w:r>
      <w:r>
        <w:rPr>
          <w:spacing w:val="-5"/>
        </w:rPr>
        <w:t> </w:t>
      </w:r>
      <w:r>
        <w:rPr/>
        <w:t>deflation.</w:t>
      </w:r>
      <w:r>
        <w:rPr>
          <w:spacing w:val="-6"/>
        </w:rPr>
        <w:t> </w:t>
      </w:r>
      <w:r>
        <w:rPr/>
        <w:t>Even</w:t>
      </w:r>
      <w:r>
        <w:rPr>
          <w:spacing w:val="-6"/>
        </w:rPr>
        <w:t> </w:t>
      </w:r>
      <w:r>
        <w:rPr/>
        <w:t>if</w:t>
      </w:r>
      <w:r>
        <w:rPr>
          <w:spacing w:val="-5"/>
        </w:rPr>
        <w:t> </w:t>
      </w:r>
      <w:r>
        <w:rPr/>
        <w:t>much</w:t>
      </w:r>
      <w:r>
        <w:rPr>
          <w:spacing w:val="-7"/>
        </w:rPr>
        <w:t> </w:t>
      </w:r>
      <w:r>
        <w:rPr/>
        <w:t>of</w:t>
      </w:r>
      <w:r>
        <w:rPr>
          <w:spacing w:val="-7"/>
        </w:rPr>
        <w:t> </w:t>
      </w:r>
      <w:r>
        <w:rPr/>
        <w:t>this</w:t>
      </w:r>
      <w:r>
        <w:rPr>
          <w:spacing w:val="-5"/>
        </w:rPr>
        <w:t> </w:t>
      </w:r>
      <w:r>
        <w:rPr/>
        <w:t>fall</w:t>
      </w:r>
      <w:r>
        <w:rPr>
          <w:spacing w:val="-5"/>
        </w:rPr>
        <w:t> </w:t>
      </w:r>
      <w:r>
        <w:rPr/>
        <w:t>in</w:t>
      </w:r>
      <w:r>
        <w:rPr>
          <w:spacing w:val="-6"/>
        </w:rPr>
        <w:t> </w:t>
      </w:r>
      <w:r>
        <w:rPr/>
        <w:t>inflation</w:t>
      </w:r>
      <w:r>
        <w:rPr>
          <w:spacing w:val="-5"/>
        </w:rPr>
        <w:t> </w:t>
      </w:r>
      <w:r>
        <w:rPr/>
        <w:t>is</w:t>
      </w:r>
      <w:r>
        <w:rPr>
          <w:spacing w:val="-5"/>
        </w:rPr>
        <w:t> </w:t>
      </w:r>
      <w:r>
        <w:rPr/>
        <w:t>caused</w:t>
      </w:r>
      <w:r>
        <w:rPr>
          <w:spacing w:val="-7"/>
        </w:rPr>
        <w:t> </w:t>
      </w:r>
      <w:r>
        <w:rPr/>
        <w:t>by</w:t>
      </w:r>
      <w:r>
        <w:rPr>
          <w:spacing w:val="-5"/>
        </w:rPr>
        <w:t> </w:t>
      </w:r>
      <w:r>
        <w:rPr/>
        <w:t>lower energy prices and should therefore be temporary, are there any risks from such low levels of inflation— especially if occurring in so many countries</w:t>
      </w:r>
      <w:r>
        <w:rPr>
          <w:spacing w:val="-12"/>
        </w:rPr>
        <w:t> </w:t>
      </w:r>
      <w:r>
        <w:rPr/>
        <w:t>simultaneously?</w:t>
      </w:r>
    </w:p>
    <w:p>
      <w:pPr>
        <w:pStyle w:val="BodyText"/>
        <w:spacing w:before="5"/>
      </w:pPr>
    </w:p>
    <w:p>
      <w:pPr>
        <w:pStyle w:val="Heading1"/>
        <w:ind w:left="387"/>
      </w:pPr>
      <w:r>
        <w:rPr>
          <w:u w:val="thick"/>
        </w:rPr>
        <w:t>Low inflation today: what to fear…and not to fear</w:t>
      </w:r>
    </w:p>
    <w:p>
      <w:pPr>
        <w:pStyle w:val="BodyText"/>
        <w:spacing w:before="1"/>
        <w:rPr>
          <w:b/>
          <w:sz w:val="21"/>
        </w:rPr>
      </w:pPr>
    </w:p>
    <w:p>
      <w:pPr>
        <w:pStyle w:val="BodyText"/>
        <w:spacing w:line="357" w:lineRule="auto" w:before="93"/>
        <w:ind w:left="387" w:right="533"/>
      </w:pPr>
      <w:r>
        <w:rPr/>
        <w:t>This</w:t>
      </w:r>
      <w:r>
        <w:rPr>
          <w:spacing w:val="-9"/>
        </w:rPr>
        <w:t> </w:t>
      </w:r>
      <w:r>
        <w:rPr/>
        <w:t>simultaneous</w:t>
      </w:r>
      <w:r>
        <w:rPr>
          <w:spacing w:val="-7"/>
        </w:rPr>
        <w:t> </w:t>
      </w:r>
      <w:r>
        <w:rPr/>
        <w:t>fall</w:t>
      </w:r>
      <w:r>
        <w:rPr>
          <w:spacing w:val="-8"/>
        </w:rPr>
        <w:t> </w:t>
      </w:r>
      <w:r>
        <w:rPr/>
        <w:t>in</w:t>
      </w:r>
      <w:r>
        <w:rPr>
          <w:spacing w:val="-8"/>
        </w:rPr>
        <w:t> </w:t>
      </w:r>
      <w:r>
        <w:rPr/>
        <w:t>inflation</w:t>
      </w:r>
      <w:r>
        <w:rPr>
          <w:spacing w:val="-9"/>
        </w:rPr>
        <w:t> </w:t>
      </w:r>
      <w:r>
        <w:rPr/>
        <w:t>around</w:t>
      </w:r>
      <w:r>
        <w:rPr>
          <w:spacing w:val="-8"/>
        </w:rPr>
        <w:t> </w:t>
      </w:r>
      <w:r>
        <w:rPr/>
        <w:t>the</w:t>
      </w:r>
      <w:r>
        <w:rPr>
          <w:spacing w:val="-7"/>
        </w:rPr>
        <w:t> </w:t>
      </w:r>
      <w:r>
        <w:rPr/>
        <w:t>world,</w:t>
      </w:r>
      <w:r>
        <w:rPr>
          <w:spacing w:val="-8"/>
        </w:rPr>
        <w:t> </w:t>
      </w:r>
      <w:r>
        <w:rPr/>
        <w:t>combined</w:t>
      </w:r>
      <w:r>
        <w:rPr>
          <w:spacing w:val="-7"/>
        </w:rPr>
        <w:t> </w:t>
      </w:r>
      <w:r>
        <w:rPr/>
        <w:t>with</w:t>
      </w:r>
      <w:r>
        <w:rPr>
          <w:spacing w:val="-9"/>
        </w:rPr>
        <w:t> </w:t>
      </w:r>
      <w:r>
        <w:rPr/>
        <w:t>the</w:t>
      </w:r>
      <w:r>
        <w:rPr>
          <w:spacing w:val="-8"/>
        </w:rPr>
        <w:t> </w:t>
      </w:r>
      <w:r>
        <w:rPr/>
        <w:t>fact</w:t>
      </w:r>
      <w:r>
        <w:rPr>
          <w:spacing w:val="-9"/>
        </w:rPr>
        <w:t> </w:t>
      </w:r>
      <w:r>
        <w:rPr/>
        <w:t>that</w:t>
      </w:r>
      <w:r>
        <w:rPr>
          <w:spacing w:val="-7"/>
        </w:rPr>
        <w:t> </w:t>
      </w:r>
      <w:r>
        <w:rPr/>
        <w:t>UK</w:t>
      </w:r>
      <w:r>
        <w:rPr>
          <w:spacing w:val="-8"/>
        </w:rPr>
        <w:t> </w:t>
      </w:r>
      <w:r>
        <w:rPr/>
        <w:t>inflation</w:t>
      </w:r>
      <w:r>
        <w:rPr>
          <w:spacing w:val="-7"/>
        </w:rPr>
        <w:t> </w:t>
      </w:r>
      <w:r>
        <w:rPr/>
        <w:t>will</w:t>
      </w:r>
      <w:r>
        <w:rPr>
          <w:spacing w:val="-6"/>
        </w:rPr>
        <w:t> </w:t>
      </w:r>
      <w:r>
        <w:rPr/>
        <w:t>likely</w:t>
      </w:r>
      <w:r>
        <w:rPr>
          <w:spacing w:val="-7"/>
        </w:rPr>
        <w:t> </w:t>
      </w:r>
      <w:r>
        <w:rPr/>
        <w:t>be</w:t>
      </w:r>
      <w:r>
        <w:rPr>
          <w:spacing w:val="-8"/>
        </w:rPr>
        <w:t> </w:t>
      </w:r>
      <w:r>
        <w:rPr/>
        <w:t>near zero</w:t>
      </w:r>
      <w:r>
        <w:rPr>
          <w:spacing w:val="-9"/>
        </w:rPr>
        <w:t> </w:t>
      </w:r>
      <w:r>
        <w:rPr/>
        <w:t>for</w:t>
      </w:r>
      <w:r>
        <w:rPr>
          <w:spacing w:val="-9"/>
        </w:rPr>
        <w:t> </w:t>
      </w:r>
      <w:r>
        <w:rPr/>
        <w:t>several</w:t>
      </w:r>
      <w:r>
        <w:rPr>
          <w:spacing w:val="-8"/>
        </w:rPr>
        <w:t> </w:t>
      </w:r>
      <w:r>
        <w:rPr/>
        <w:t>months</w:t>
      </w:r>
      <w:r>
        <w:rPr>
          <w:spacing w:val="-9"/>
        </w:rPr>
        <w:t> </w:t>
      </w:r>
      <w:r>
        <w:rPr/>
        <w:t>(and</w:t>
      </w:r>
      <w:r>
        <w:rPr>
          <w:spacing w:val="-8"/>
        </w:rPr>
        <w:t> </w:t>
      </w:r>
      <w:r>
        <w:rPr/>
        <w:t>was</w:t>
      </w:r>
      <w:r>
        <w:rPr>
          <w:spacing w:val="-9"/>
        </w:rPr>
        <w:t> </w:t>
      </w:r>
      <w:r>
        <w:rPr/>
        <w:t>briefly</w:t>
      </w:r>
      <w:r>
        <w:rPr>
          <w:spacing w:val="-8"/>
        </w:rPr>
        <w:t> </w:t>
      </w:r>
      <w:r>
        <w:rPr/>
        <w:t>negative),</w:t>
      </w:r>
      <w:r>
        <w:rPr>
          <w:spacing w:val="-9"/>
        </w:rPr>
        <w:t> </w:t>
      </w:r>
      <w:r>
        <w:rPr/>
        <w:t>has</w:t>
      </w:r>
      <w:r>
        <w:rPr>
          <w:spacing w:val="-9"/>
        </w:rPr>
        <w:t> </w:t>
      </w:r>
      <w:r>
        <w:rPr/>
        <w:t>raised</w:t>
      </w:r>
      <w:r>
        <w:rPr>
          <w:spacing w:val="-8"/>
        </w:rPr>
        <w:t> </w:t>
      </w:r>
      <w:r>
        <w:rPr/>
        <w:t>a</w:t>
      </w:r>
      <w:r>
        <w:rPr>
          <w:spacing w:val="-9"/>
        </w:rPr>
        <w:t> </w:t>
      </w:r>
      <w:r>
        <w:rPr/>
        <w:t>number</w:t>
      </w:r>
      <w:r>
        <w:rPr>
          <w:spacing w:val="-8"/>
        </w:rPr>
        <w:t> </w:t>
      </w:r>
      <w:r>
        <w:rPr/>
        <w:t>of</w:t>
      </w:r>
      <w:r>
        <w:rPr>
          <w:spacing w:val="-9"/>
        </w:rPr>
        <w:t> </w:t>
      </w:r>
      <w:r>
        <w:rPr/>
        <w:t>potential</w:t>
      </w:r>
      <w:r>
        <w:rPr>
          <w:spacing w:val="-9"/>
        </w:rPr>
        <w:t> </w:t>
      </w:r>
      <w:r>
        <w:rPr/>
        <w:t>concerns.</w:t>
      </w:r>
      <w:r>
        <w:rPr>
          <w:spacing w:val="-10"/>
        </w:rPr>
        <w:t> </w:t>
      </w:r>
      <w:r>
        <w:rPr/>
        <w:t>Several</w:t>
      </w:r>
      <w:r>
        <w:rPr>
          <w:spacing w:val="-7"/>
        </w:rPr>
        <w:t> </w:t>
      </w:r>
      <w:r>
        <w:rPr/>
        <w:t>of</w:t>
      </w:r>
      <w:r>
        <w:rPr>
          <w:spacing w:val="-8"/>
        </w:rPr>
        <w:t> </w:t>
      </w:r>
      <w:r>
        <w:rPr/>
        <w:t>my colleagues on the Monetary Policy Committee have discussed these risks of low inflation and deflation at length—such as in Broadbent (2015), Carney (2015), McCafferty (2015), Miles (2015), and Weale (2015). I hope</w:t>
      </w:r>
      <w:r>
        <w:rPr>
          <w:spacing w:val="-6"/>
        </w:rPr>
        <w:t> </w:t>
      </w:r>
      <w:r>
        <w:rPr/>
        <w:t>you</w:t>
      </w:r>
      <w:r>
        <w:rPr>
          <w:spacing w:val="-6"/>
        </w:rPr>
        <w:t> </w:t>
      </w:r>
      <w:r>
        <w:rPr/>
        <w:t>will</w:t>
      </w:r>
      <w:r>
        <w:rPr>
          <w:spacing w:val="-6"/>
        </w:rPr>
        <w:t> </w:t>
      </w:r>
      <w:r>
        <w:rPr/>
        <w:t>read</w:t>
      </w:r>
      <w:r>
        <w:rPr>
          <w:spacing w:val="-6"/>
        </w:rPr>
        <w:t> </w:t>
      </w:r>
      <w:r>
        <w:rPr/>
        <w:t>their</w:t>
      </w:r>
      <w:r>
        <w:rPr>
          <w:spacing w:val="-7"/>
        </w:rPr>
        <w:t> </w:t>
      </w:r>
      <w:r>
        <w:rPr/>
        <w:t>thoughtful</w:t>
      </w:r>
      <w:r>
        <w:rPr>
          <w:spacing w:val="-5"/>
        </w:rPr>
        <w:t> </w:t>
      </w:r>
      <w:r>
        <w:rPr/>
        <w:t>speeches,</w:t>
      </w:r>
      <w:r>
        <w:rPr>
          <w:spacing w:val="-5"/>
        </w:rPr>
        <w:t> </w:t>
      </w:r>
      <w:r>
        <w:rPr/>
        <w:t>and</w:t>
      </w:r>
      <w:r>
        <w:rPr>
          <w:spacing w:val="-5"/>
        </w:rPr>
        <w:t> </w:t>
      </w:r>
      <w:r>
        <w:rPr/>
        <w:t>I</w:t>
      </w:r>
      <w:r>
        <w:rPr>
          <w:spacing w:val="-5"/>
        </w:rPr>
        <w:t> </w:t>
      </w:r>
      <w:r>
        <w:rPr/>
        <w:t>will</w:t>
      </w:r>
      <w:r>
        <w:rPr>
          <w:spacing w:val="-4"/>
        </w:rPr>
        <w:t> </w:t>
      </w:r>
      <w:r>
        <w:rPr/>
        <w:t>not</w:t>
      </w:r>
      <w:r>
        <w:rPr>
          <w:spacing w:val="-6"/>
        </w:rPr>
        <w:t> </w:t>
      </w:r>
      <w:r>
        <w:rPr/>
        <w:t>repeat</w:t>
      </w:r>
      <w:r>
        <w:rPr>
          <w:spacing w:val="-5"/>
        </w:rPr>
        <w:t> </w:t>
      </w:r>
      <w:r>
        <w:rPr/>
        <w:t>their</w:t>
      </w:r>
      <w:r>
        <w:rPr>
          <w:spacing w:val="-7"/>
        </w:rPr>
        <w:t> </w:t>
      </w:r>
      <w:r>
        <w:rPr/>
        <w:t>arguments.</w:t>
      </w:r>
      <w:r>
        <w:rPr>
          <w:spacing w:val="-5"/>
        </w:rPr>
        <w:t> </w:t>
      </w:r>
      <w:r>
        <w:rPr/>
        <w:t>But</w:t>
      </w:r>
      <w:r>
        <w:rPr>
          <w:spacing w:val="-7"/>
        </w:rPr>
        <w:t> </w:t>
      </w:r>
      <w:r>
        <w:rPr/>
        <w:t>I</w:t>
      </w:r>
      <w:r>
        <w:rPr>
          <w:spacing w:val="-5"/>
        </w:rPr>
        <w:t> </w:t>
      </w:r>
      <w:r>
        <w:rPr/>
        <w:t>would</w:t>
      </w:r>
      <w:r>
        <w:rPr>
          <w:spacing w:val="-6"/>
        </w:rPr>
        <w:t> </w:t>
      </w:r>
      <w:r>
        <w:rPr/>
        <w:t>like</w:t>
      </w:r>
      <w:r>
        <w:rPr>
          <w:spacing w:val="-7"/>
        </w:rPr>
        <w:t> </w:t>
      </w:r>
      <w:r>
        <w:rPr/>
        <w:t>to</w:t>
      </w:r>
      <w:r>
        <w:rPr>
          <w:spacing w:val="-7"/>
        </w:rPr>
        <w:t> </w:t>
      </w:r>
      <w:r>
        <w:rPr/>
        <w:t>quickly summarize my own views on four of the concerns that one hears most often about low inflation and why it might</w:t>
      </w:r>
      <w:r>
        <w:rPr>
          <w:spacing w:val="-9"/>
        </w:rPr>
        <w:t> </w:t>
      </w:r>
      <w:r>
        <w:rPr/>
        <w:t>persist.</w:t>
      </w:r>
      <w:r>
        <w:rPr>
          <w:spacing w:val="-8"/>
        </w:rPr>
        <w:t> </w:t>
      </w:r>
      <w:r>
        <w:rPr/>
        <w:t>My</w:t>
      </w:r>
      <w:r>
        <w:rPr>
          <w:spacing w:val="-8"/>
        </w:rPr>
        <w:t> </w:t>
      </w:r>
      <w:r>
        <w:rPr/>
        <w:t>assessment</w:t>
      </w:r>
      <w:r>
        <w:rPr>
          <w:spacing w:val="-9"/>
        </w:rPr>
        <w:t> </w:t>
      </w:r>
      <w:r>
        <w:rPr/>
        <w:t>is</w:t>
      </w:r>
      <w:r>
        <w:rPr>
          <w:spacing w:val="-8"/>
        </w:rPr>
        <w:t> </w:t>
      </w:r>
      <w:r>
        <w:rPr/>
        <w:t>that</w:t>
      </w:r>
      <w:r>
        <w:rPr>
          <w:spacing w:val="-9"/>
        </w:rPr>
        <w:t> </w:t>
      </w:r>
      <w:r>
        <w:rPr/>
        <w:t>two</w:t>
      </w:r>
      <w:r>
        <w:rPr>
          <w:spacing w:val="-9"/>
        </w:rPr>
        <w:t> </w:t>
      </w:r>
      <w:r>
        <w:rPr/>
        <w:t>of</w:t>
      </w:r>
      <w:r>
        <w:rPr>
          <w:spacing w:val="-8"/>
        </w:rPr>
        <w:t> </w:t>
      </w:r>
      <w:r>
        <w:rPr/>
        <w:t>these</w:t>
      </w:r>
      <w:r>
        <w:rPr>
          <w:spacing w:val="-9"/>
        </w:rPr>
        <w:t> </w:t>
      </w:r>
      <w:r>
        <w:rPr/>
        <w:t>popular</w:t>
      </w:r>
      <w:r>
        <w:rPr>
          <w:spacing w:val="-9"/>
        </w:rPr>
        <w:t> </w:t>
      </w:r>
      <w:r>
        <w:rPr/>
        <w:t>concerns</w:t>
      </w:r>
      <w:r>
        <w:rPr>
          <w:spacing w:val="-7"/>
        </w:rPr>
        <w:t> </w:t>
      </w:r>
      <w:r>
        <w:rPr/>
        <w:t>are</w:t>
      </w:r>
      <w:r>
        <w:rPr>
          <w:spacing w:val="-8"/>
        </w:rPr>
        <w:t> </w:t>
      </w:r>
      <w:r>
        <w:rPr/>
        <w:t>overhyped.</w:t>
      </w:r>
      <w:r>
        <w:rPr>
          <w:spacing w:val="-9"/>
        </w:rPr>
        <w:t> </w:t>
      </w:r>
      <w:r>
        <w:rPr/>
        <w:t>One</w:t>
      </w:r>
      <w:r>
        <w:rPr>
          <w:spacing w:val="-7"/>
        </w:rPr>
        <w:t> </w:t>
      </w:r>
      <w:r>
        <w:rPr/>
        <w:t>other</w:t>
      </w:r>
      <w:r>
        <w:rPr>
          <w:spacing w:val="-7"/>
        </w:rPr>
        <w:t> </w:t>
      </w:r>
      <w:r>
        <w:rPr/>
        <w:t>concern</w:t>
      </w:r>
      <w:r>
        <w:rPr>
          <w:spacing w:val="-9"/>
        </w:rPr>
        <w:t> </w:t>
      </w:r>
      <w:r>
        <w:rPr/>
        <w:t>is</w:t>
      </w:r>
      <w:r>
        <w:rPr>
          <w:spacing w:val="-7"/>
        </w:rPr>
        <w:t> </w:t>
      </w:r>
      <w:r>
        <w:rPr/>
        <w:t>not currently an issue, but merits close monitoring. And the final concern—on how international influences may be affecting the inflation process—is the area about which I believe we know the least—and to which I will dedicate much of the rest of my</w:t>
      </w:r>
      <w:r>
        <w:rPr>
          <w:spacing w:val="-7"/>
        </w:rPr>
        <w:t> </w:t>
      </w:r>
      <w:r>
        <w:rPr/>
        <w:t>comments</w:t>
      </w:r>
    </w:p>
    <w:p>
      <w:pPr>
        <w:pStyle w:val="BodyText"/>
        <w:spacing w:before="10"/>
        <w:rPr>
          <w:sz w:val="18"/>
        </w:rPr>
      </w:pPr>
    </w:p>
    <w:p>
      <w:pPr>
        <w:pStyle w:val="BodyText"/>
        <w:spacing w:line="355" w:lineRule="auto"/>
        <w:ind w:left="4231" w:right="595"/>
      </w:pPr>
      <w:r>
        <w:rPr/>
        <w:drawing>
          <wp:anchor distT="0" distB="0" distL="0" distR="0" allowOverlap="1" layoutInCell="1" locked="0" behindDoc="0" simplePos="0" relativeHeight="251670528">
            <wp:simplePos x="0" y="0"/>
            <wp:positionH relativeFrom="page">
              <wp:posOffset>1018655</wp:posOffset>
            </wp:positionH>
            <wp:positionV relativeFrom="paragraph">
              <wp:posOffset>51441</wp:posOffset>
            </wp:positionV>
            <wp:extent cx="2260854" cy="3407740"/>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2" cstate="print"/>
                    <a:stretch>
                      <a:fillRect/>
                    </a:stretch>
                  </pic:blipFill>
                  <pic:spPr>
                    <a:xfrm>
                      <a:off x="0" y="0"/>
                      <a:ext cx="2260854" cy="3407740"/>
                    </a:xfrm>
                    <a:prstGeom prst="rect">
                      <a:avLst/>
                    </a:prstGeom>
                  </pic:spPr>
                </pic:pic>
              </a:graphicData>
            </a:graphic>
          </wp:anchor>
        </w:drawing>
      </w:r>
      <w:r>
        <w:rPr/>
        <w:t>The deflation concern about which one hears the most is that consumers and businesses could delay purchases and investment if they expect items to be cheaper in the future.</w:t>
      </w:r>
    </w:p>
    <w:p>
      <w:pPr>
        <w:pStyle w:val="BodyText"/>
        <w:spacing w:line="357" w:lineRule="auto" w:before="3"/>
        <w:ind w:left="4231" w:right="533"/>
      </w:pPr>
      <w:r>
        <w:rPr/>
        <w:t>This reduction in demand would not only slow growth immediately, but could cause higher unemployment and further price falls in the future. This argument seems to have gained support from evidence that Japanese consumption slowed during their “lost decade”.</w:t>
      </w:r>
      <w:r>
        <w:rPr>
          <w:vertAlign w:val="superscript"/>
        </w:rPr>
        <w:t>4</w:t>
      </w:r>
      <w:r>
        <w:rPr>
          <w:vertAlign w:val="baseline"/>
        </w:rPr>
        <w:t> There is also some tentative cross-country evidence that inflation expectations affect</w:t>
      </w:r>
      <w:r>
        <w:rPr>
          <w:spacing w:val="-10"/>
          <w:vertAlign w:val="baseline"/>
        </w:rPr>
        <w:t> </w:t>
      </w:r>
      <w:r>
        <w:rPr>
          <w:vertAlign w:val="baseline"/>
        </w:rPr>
        <w:t>spending.</w:t>
      </w:r>
      <w:r>
        <w:rPr>
          <w:spacing w:val="-21"/>
          <w:vertAlign w:val="baseline"/>
        </w:rPr>
        <w:t> </w:t>
      </w:r>
      <w:r>
        <w:rPr>
          <w:vertAlign w:val="superscript"/>
        </w:rPr>
        <w:t>5</w:t>
      </w:r>
      <w:r>
        <w:rPr>
          <w:spacing w:val="-8"/>
          <w:vertAlign w:val="baseline"/>
        </w:rPr>
        <w:t> </w:t>
      </w:r>
      <w:r>
        <w:rPr>
          <w:vertAlign w:val="baseline"/>
        </w:rPr>
        <w:t>But</w:t>
      </w:r>
      <w:r>
        <w:rPr>
          <w:spacing w:val="-7"/>
          <w:vertAlign w:val="baseline"/>
        </w:rPr>
        <w:t> </w:t>
      </w:r>
      <w:r>
        <w:rPr>
          <w:vertAlign w:val="baseline"/>
        </w:rPr>
        <w:t>I</w:t>
      </w:r>
      <w:r>
        <w:rPr>
          <w:spacing w:val="-9"/>
          <w:vertAlign w:val="baseline"/>
        </w:rPr>
        <w:t> </w:t>
      </w:r>
      <w:r>
        <w:rPr>
          <w:vertAlign w:val="baseline"/>
        </w:rPr>
        <w:t>find</w:t>
      </w:r>
      <w:r>
        <w:rPr>
          <w:spacing w:val="-9"/>
          <w:vertAlign w:val="baseline"/>
        </w:rPr>
        <w:t> </w:t>
      </w:r>
      <w:r>
        <w:rPr>
          <w:vertAlign w:val="baseline"/>
        </w:rPr>
        <w:t>this</w:t>
      </w:r>
      <w:r>
        <w:rPr>
          <w:spacing w:val="-6"/>
          <w:vertAlign w:val="baseline"/>
        </w:rPr>
        <w:t> </w:t>
      </w:r>
      <w:r>
        <w:rPr>
          <w:vertAlign w:val="baseline"/>
        </w:rPr>
        <w:t>argument</w:t>
      </w:r>
      <w:r>
        <w:rPr>
          <w:spacing w:val="-7"/>
          <w:vertAlign w:val="baseline"/>
        </w:rPr>
        <w:t> </w:t>
      </w:r>
      <w:r>
        <w:rPr>
          <w:vertAlign w:val="baseline"/>
        </w:rPr>
        <w:t>unconvincing</w:t>
      </w:r>
      <w:r>
        <w:rPr>
          <w:spacing w:val="-7"/>
          <w:vertAlign w:val="baseline"/>
        </w:rPr>
        <w:t> </w:t>
      </w:r>
      <w:r>
        <w:rPr>
          <w:vertAlign w:val="baseline"/>
        </w:rPr>
        <w:t>for</w:t>
      </w:r>
      <w:r>
        <w:rPr>
          <w:spacing w:val="-9"/>
          <w:vertAlign w:val="baseline"/>
        </w:rPr>
        <w:t> </w:t>
      </w:r>
      <w:r>
        <w:rPr>
          <w:vertAlign w:val="baseline"/>
        </w:rPr>
        <w:t>the UK today. There is currently no sign of major asset price or housing deflation, which has in the past led to deflation being correlated with lower growth.</w:t>
      </w:r>
      <w:r>
        <w:rPr>
          <w:vertAlign w:val="superscript"/>
        </w:rPr>
        <w:t>6</w:t>
      </w:r>
      <w:r>
        <w:rPr>
          <w:vertAlign w:val="baseline"/>
        </w:rPr>
        <w:t> Instead, some convincing evidence suggests that consumers tend to spend more—not less—on items whose prices fall.</w:t>
      </w:r>
      <w:r>
        <w:rPr>
          <w:vertAlign w:val="superscript"/>
        </w:rPr>
        <w:t>7</w:t>
      </w:r>
      <w:r>
        <w:rPr>
          <w:vertAlign w:val="baseline"/>
        </w:rPr>
        <w:t> Figure 5 shows this point clearly with another poignant reminder from US history; it is traditionally HIGHER prices that are correlated with lower real spending,</w:t>
      </w:r>
      <w:r>
        <w:rPr>
          <w:spacing w:val="-7"/>
          <w:vertAlign w:val="baseline"/>
        </w:rPr>
        <w:t> </w:t>
      </w:r>
      <w:r>
        <w:rPr>
          <w:vertAlign w:val="baseline"/>
        </w:rPr>
        <w:t>rather</w:t>
      </w:r>
      <w:r>
        <w:rPr>
          <w:spacing w:val="-8"/>
          <w:vertAlign w:val="baseline"/>
        </w:rPr>
        <w:t> </w:t>
      </w:r>
      <w:r>
        <w:rPr>
          <w:vertAlign w:val="baseline"/>
        </w:rPr>
        <w:t>than</w:t>
      </w:r>
      <w:r>
        <w:rPr>
          <w:spacing w:val="-8"/>
          <w:vertAlign w:val="baseline"/>
        </w:rPr>
        <w:t> </w:t>
      </w:r>
      <w:r>
        <w:rPr>
          <w:vertAlign w:val="baseline"/>
        </w:rPr>
        <w:t>the</w:t>
      </w:r>
      <w:r>
        <w:rPr>
          <w:spacing w:val="-9"/>
          <w:vertAlign w:val="baseline"/>
        </w:rPr>
        <w:t> </w:t>
      </w:r>
      <w:r>
        <w:rPr>
          <w:vertAlign w:val="baseline"/>
        </w:rPr>
        <w:t>opposite.</w:t>
      </w:r>
      <w:r>
        <w:rPr>
          <w:spacing w:val="-7"/>
          <w:vertAlign w:val="baseline"/>
        </w:rPr>
        <w:t> </w:t>
      </w:r>
      <w:r>
        <w:rPr>
          <w:vertAlign w:val="baseline"/>
        </w:rPr>
        <w:t>And</w:t>
      </w:r>
      <w:r>
        <w:rPr>
          <w:spacing w:val="-7"/>
          <w:vertAlign w:val="baseline"/>
        </w:rPr>
        <w:t> </w:t>
      </w:r>
      <w:r>
        <w:rPr>
          <w:vertAlign w:val="baseline"/>
        </w:rPr>
        <w:t>given</w:t>
      </w:r>
      <w:r>
        <w:rPr>
          <w:spacing w:val="-9"/>
          <w:vertAlign w:val="baseline"/>
        </w:rPr>
        <w:t> </w:t>
      </w:r>
      <w:r>
        <w:rPr>
          <w:vertAlign w:val="baseline"/>
        </w:rPr>
        <w:t>that</w:t>
      </w:r>
      <w:r>
        <w:rPr>
          <w:spacing w:val="-8"/>
          <w:vertAlign w:val="baseline"/>
        </w:rPr>
        <w:t> </w:t>
      </w:r>
      <w:r>
        <w:rPr>
          <w:vertAlign w:val="baseline"/>
        </w:rPr>
        <w:t>some</w:t>
      </w:r>
      <w:r>
        <w:rPr>
          <w:spacing w:val="-9"/>
          <w:vertAlign w:val="baseline"/>
        </w:rPr>
        <w:t> </w:t>
      </w:r>
      <w:r>
        <w:rPr>
          <w:vertAlign w:val="baseline"/>
        </w:rPr>
        <w:t>of</w:t>
      </w:r>
      <w:r>
        <w:rPr>
          <w:spacing w:val="-9"/>
          <w:vertAlign w:val="baseline"/>
        </w:rPr>
        <w:t> </w:t>
      </w:r>
      <w:r>
        <w:rPr>
          <w:vertAlign w:val="baseline"/>
        </w:rPr>
        <w:t>the largest</w:t>
      </w:r>
      <w:r>
        <w:rPr>
          <w:spacing w:val="-3"/>
          <w:vertAlign w:val="baseline"/>
        </w:rPr>
        <w:t> </w:t>
      </w:r>
      <w:r>
        <w:rPr>
          <w:vertAlign w:val="baseline"/>
        </w:rPr>
        <w:t>price</w:t>
      </w:r>
      <w:r>
        <w:rPr>
          <w:spacing w:val="-5"/>
          <w:vertAlign w:val="baseline"/>
        </w:rPr>
        <w:t> </w:t>
      </w:r>
      <w:r>
        <w:rPr>
          <w:vertAlign w:val="baseline"/>
        </w:rPr>
        <w:t>declines</w:t>
      </w:r>
      <w:r>
        <w:rPr>
          <w:spacing w:val="-4"/>
          <w:vertAlign w:val="baseline"/>
        </w:rPr>
        <w:t> </w:t>
      </w:r>
      <w:r>
        <w:rPr>
          <w:vertAlign w:val="baseline"/>
        </w:rPr>
        <w:t>today</w:t>
      </w:r>
      <w:r>
        <w:rPr>
          <w:spacing w:val="-3"/>
          <w:vertAlign w:val="baseline"/>
        </w:rPr>
        <w:t> </w:t>
      </w:r>
      <w:r>
        <w:rPr>
          <w:vertAlign w:val="baseline"/>
        </w:rPr>
        <w:t>are</w:t>
      </w:r>
      <w:r>
        <w:rPr>
          <w:spacing w:val="-5"/>
          <w:vertAlign w:val="baseline"/>
        </w:rPr>
        <w:t> </w:t>
      </w:r>
      <w:r>
        <w:rPr>
          <w:vertAlign w:val="baseline"/>
        </w:rPr>
        <w:t>for</w:t>
      </w:r>
      <w:r>
        <w:rPr>
          <w:spacing w:val="-3"/>
          <w:vertAlign w:val="baseline"/>
        </w:rPr>
        <w:t> </w:t>
      </w:r>
      <w:r>
        <w:rPr>
          <w:vertAlign w:val="baseline"/>
        </w:rPr>
        <w:t>items</w:t>
      </w:r>
      <w:r>
        <w:rPr>
          <w:spacing w:val="-4"/>
          <w:vertAlign w:val="baseline"/>
        </w:rPr>
        <w:t> </w:t>
      </w:r>
      <w:r>
        <w:rPr>
          <w:vertAlign w:val="baseline"/>
        </w:rPr>
        <w:t>such</w:t>
      </w:r>
      <w:r>
        <w:rPr>
          <w:spacing w:val="-5"/>
          <w:vertAlign w:val="baseline"/>
        </w:rPr>
        <w:t> </w:t>
      </w:r>
      <w:r>
        <w:rPr>
          <w:vertAlign w:val="baseline"/>
        </w:rPr>
        <w:t>as</w:t>
      </w:r>
      <w:r>
        <w:rPr>
          <w:spacing w:val="-3"/>
          <w:vertAlign w:val="baseline"/>
        </w:rPr>
        <w:t> </w:t>
      </w:r>
      <w:r>
        <w:rPr>
          <w:vertAlign w:val="baseline"/>
        </w:rPr>
        <w:t>food,</w:t>
      </w:r>
      <w:r>
        <w:rPr>
          <w:spacing w:val="-5"/>
          <w:vertAlign w:val="baseline"/>
        </w:rPr>
        <w:t> </w:t>
      </w:r>
      <w:r>
        <w:rPr>
          <w:vertAlign w:val="baseline"/>
        </w:rPr>
        <w:t>I</w:t>
      </w:r>
    </w:p>
    <w:p>
      <w:pPr>
        <w:pStyle w:val="BodyText"/>
        <w:rPr>
          <w:sz w:val="20"/>
        </w:rPr>
      </w:pPr>
    </w:p>
    <w:p>
      <w:pPr>
        <w:pStyle w:val="BodyText"/>
        <w:spacing w:before="8"/>
        <w:rPr>
          <w:sz w:val="10"/>
        </w:rPr>
      </w:pPr>
      <w:r>
        <w:rPr/>
        <w:pict>
          <v:shape style="position:absolute;margin-left:79.379997pt;margin-top:8.387692pt;width:135.5pt;height:.1pt;mso-position-horizontal-relative:page;mso-position-vertical-relative:paragraph;z-index:-251646976;mso-wrap-distance-left:0;mso-wrap-distance-right:0" coordorigin="1588,168" coordsize="2710,0" path="m1588,168l4297,168e" filled="false" stroked="true" strokeweight=".48pt" strokecolor="#000000">
            <v:path arrowok="t"/>
            <v:stroke dashstyle="solid"/>
            <w10:wrap type="topAndBottom"/>
          </v:shape>
        </w:pict>
      </w:r>
    </w:p>
    <w:p>
      <w:pPr>
        <w:spacing w:line="185" w:lineRule="exact" w:before="27"/>
        <w:ind w:left="387" w:right="0" w:firstLine="0"/>
        <w:jc w:val="left"/>
        <w:rPr>
          <w:sz w:val="15"/>
        </w:rPr>
      </w:pPr>
      <w:r>
        <w:rPr>
          <w:position w:val="8"/>
          <w:sz w:val="9"/>
        </w:rPr>
        <w:t>4 </w:t>
      </w:r>
      <w:r>
        <w:rPr>
          <w:sz w:val="15"/>
        </w:rPr>
        <w:t>See Hori and Shimizutani (2005).</w:t>
      </w:r>
    </w:p>
    <w:p>
      <w:pPr>
        <w:spacing w:line="173" w:lineRule="exact" w:before="0"/>
        <w:ind w:left="387" w:right="0" w:firstLine="0"/>
        <w:jc w:val="left"/>
        <w:rPr>
          <w:sz w:val="15"/>
        </w:rPr>
      </w:pPr>
      <w:r>
        <w:rPr>
          <w:position w:val="8"/>
          <w:sz w:val="9"/>
        </w:rPr>
        <w:t>5 </w:t>
      </w:r>
      <w:r>
        <w:rPr>
          <w:sz w:val="15"/>
        </w:rPr>
        <w:t>See Domit et al. (2015) for evidence that inflation expectations affect spending.</w:t>
      </w:r>
    </w:p>
    <w:p>
      <w:pPr>
        <w:spacing w:line="173" w:lineRule="exact" w:before="0"/>
        <w:ind w:left="387" w:right="0" w:firstLine="0"/>
        <w:jc w:val="left"/>
        <w:rPr>
          <w:sz w:val="15"/>
        </w:rPr>
      </w:pPr>
      <w:r>
        <w:rPr>
          <w:position w:val="8"/>
          <w:sz w:val="9"/>
        </w:rPr>
        <w:t>6 </w:t>
      </w:r>
      <w:r>
        <w:rPr>
          <w:sz w:val="15"/>
        </w:rPr>
        <w:t>For evidence, see Goodhart and Hofmann (2007) and Borio et al. (2015).</w:t>
      </w:r>
    </w:p>
    <w:p>
      <w:pPr>
        <w:spacing w:line="185" w:lineRule="exact" w:before="0"/>
        <w:ind w:left="387" w:right="0" w:firstLine="0"/>
        <w:jc w:val="left"/>
        <w:rPr>
          <w:sz w:val="15"/>
        </w:rPr>
      </w:pPr>
      <w:r>
        <w:rPr>
          <w:position w:val="8"/>
          <w:sz w:val="9"/>
        </w:rPr>
        <w:t>7 </w:t>
      </w:r>
      <w:r>
        <w:rPr>
          <w:sz w:val="15"/>
        </w:rPr>
        <w:t>For example, see Bachmann, Berg and Sims (2015) or Citibank (2015).</w:t>
      </w:r>
    </w:p>
    <w:p>
      <w:pPr>
        <w:spacing w:after="0" w:line="185" w:lineRule="exact"/>
        <w:jc w:val="left"/>
        <w:rPr>
          <w:sz w:val="15"/>
        </w:rPr>
        <w:sectPr>
          <w:pgSz w:w="12240" w:h="15840"/>
          <w:pgMar w:header="0" w:footer="1240" w:top="1440" w:bottom="1440" w:left="1200" w:right="1060"/>
        </w:sectPr>
      </w:pPr>
    </w:p>
    <w:p>
      <w:pPr>
        <w:pStyle w:val="BodyText"/>
        <w:spacing w:line="357" w:lineRule="auto" w:before="79"/>
        <w:ind w:left="386" w:right="628"/>
      </w:pPr>
      <w:r>
        <w:rPr/>
        <w:t>challenge</w:t>
      </w:r>
      <w:r>
        <w:rPr>
          <w:spacing w:val="-8"/>
        </w:rPr>
        <w:t> </w:t>
      </w:r>
      <w:r>
        <w:rPr/>
        <w:t>you</w:t>
      </w:r>
      <w:r>
        <w:rPr>
          <w:spacing w:val="-7"/>
        </w:rPr>
        <w:t> </w:t>
      </w:r>
      <w:r>
        <w:rPr/>
        <w:t>to</w:t>
      </w:r>
      <w:r>
        <w:rPr>
          <w:spacing w:val="-8"/>
        </w:rPr>
        <w:t> </w:t>
      </w:r>
      <w:r>
        <w:rPr/>
        <w:t>find</w:t>
      </w:r>
      <w:r>
        <w:rPr>
          <w:spacing w:val="-7"/>
        </w:rPr>
        <w:t> </w:t>
      </w:r>
      <w:r>
        <w:rPr/>
        <w:t>one</w:t>
      </w:r>
      <w:r>
        <w:rPr>
          <w:spacing w:val="-7"/>
        </w:rPr>
        <w:t> </w:t>
      </w:r>
      <w:r>
        <w:rPr/>
        <w:t>parent</w:t>
      </w:r>
      <w:r>
        <w:rPr>
          <w:spacing w:val="-5"/>
        </w:rPr>
        <w:t> </w:t>
      </w:r>
      <w:r>
        <w:rPr/>
        <w:t>who</w:t>
      </w:r>
      <w:r>
        <w:rPr>
          <w:spacing w:val="-6"/>
        </w:rPr>
        <w:t> </w:t>
      </w:r>
      <w:r>
        <w:rPr/>
        <w:t>will</w:t>
      </w:r>
      <w:r>
        <w:rPr>
          <w:spacing w:val="-6"/>
        </w:rPr>
        <w:t> </w:t>
      </w:r>
      <w:r>
        <w:rPr/>
        <w:t>tell</w:t>
      </w:r>
      <w:r>
        <w:rPr>
          <w:spacing w:val="-8"/>
        </w:rPr>
        <w:t> </w:t>
      </w:r>
      <w:r>
        <w:rPr/>
        <w:t>their</w:t>
      </w:r>
      <w:r>
        <w:rPr>
          <w:spacing w:val="-8"/>
        </w:rPr>
        <w:t> </w:t>
      </w:r>
      <w:r>
        <w:rPr/>
        <w:t>children</w:t>
      </w:r>
      <w:r>
        <w:rPr>
          <w:spacing w:val="-7"/>
        </w:rPr>
        <w:t> </w:t>
      </w:r>
      <w:r>
        <w:rPr/>
        <w:t>that</w:t>
      </w:r>
      <w:r>
        <w:rPr>
          <w:spacing w:val="-8"/>
        </w:rPr>
        <w:t> </w:t>
      </w:r>
      <w:r>
        <w:rPr/>
        <w:t>there</w:t>
      </w:r>
      <w:r>
        <w:rPr>
          <w:spacing w:val="-7"/>
        </w:rPr>
        <w:t> </w:t>
      </w:r>
      <w:r>
        <w:rPr/>
        <w:t>is</w:t>
      </w:r>
      <w:r>
        <w:rPr>
          <w:spacing w:val="-6"/>
        </w:rPr>
        <w:t> </w:t>
      </w:r>
      <w:r>
        <w:rPr/>
        <w:t>no</w:t>
      </w:r>
      <w:r>
        <w:rPr>
          <w:spacing w:val="-7"/>
        </w:rPr>
        <w:t> </w:t>
      </w:r>
      <w:r>
        <w:rPr/>
        <w:t>food</w:t>
      </w:r>
      <w:r>
        <w:rPr>
          <w:spacing w:val="-7"/>
        </w:rPr>
        <w:t> </w:t>
      </w:r>
      <w:r>
        <w:rPr/>
        <w:t>on</w:t>
      </w:r>
      <w:r>
        <w:rPr>
          <w:spacing w:val="-7"/>
        </w:rPr>
        <w:t> </w:t>
      </w:r>
      <w:r>
        <w:rPr/>
        <w:t>the</w:t>
      </w:r>
      <w:r>
        <w:rPr>
          <w:spacing w:val="-7"/>
        </w:rPr>
        <w:t> </w:t>
      </w:r>
      <w:r>
        <w:rPr/>
        <w:t>table</w:t>
      </w:r>
      <w:r>
        <w:rPr>
          <w:spacing w:val="-7"/>
        </w:rPr>
        <w:t> </w:t>
      </w:r>
      <w:r>
        <w:rPr/>
        <w:t>tonight</w:t>
      </w:r>
      <w:r>
        <w:rPr>
          <w:spacing w:val="-5"/>
        </w:rPr>
        <w:t> </w:t>
      </w:r>
      <w:r>
        <w:rPr/>
        <w:t>because food will be 0.1% cheaper next year. I don’t think that I need to say any more on this first concern (or lack thereof).</w:t>
      </w:r>
    </w:p>
    <w:p>
      <w:pPr>
        <w:pStyle w:val="BodyText"/>
        <w:rPr>
          <w:sz w:val="28"/>
        </w:rPr>
      </w:pPr>
    </w:p>
    <w:p>
      <w:pPr>
        <w:pStyle w:val="BodyText"/>
        <w:spacing w:line="357" w:lineRule="auto"/>
        <w:ind w:left="386" w:right="610"/>
      </w:pPr>
      <w:r>
        <w:rPr/>
        <w:t>A second concern frequently raised about low inflation and deflation is that consumers, businesses, and governments</w:t>
      </w:r>
      <w:r>
        <w:rPr>
          <w:spacing w:val="-10"/>
        </w:rPr>
        <w:t> </w:t>
      </w:r>
      <w:r>
        <w:rPr/>
        <w:t>will</w:t>
      </w:r>
      <w:r>
        <w:rPr>
          <w:spacing w:val="-9"/>
        </w:rPr>
        <w:t> </w:t>
      </w:r>
      <w:r>
        <w:rPr/>
        <w:t>have</w:t>
      </w:r>
      <w:r>
        <w:rPr>
          <w:spacing w:val="-9"/>
        </w:rPr>
        <w:t> </w:t>
      </w:r>
      <w:r>
        <w:rPr/>
        <w:t>greater</w:t>
      </w:r>
      <w:r>
        <w:rPr>
          <w:spacing w:val="-9"/>
        </w:rPr>
        <w:t> </w:t>
      </w:r>
      <w:r>
        <w:rPr/>
        <w:t>difficulty</w:t>
      </w:r>
      <w:r>
        <w:rPr>
          <w:spacing w:val="-9"/>
        </w:rPr>
        <w:t> </w:t>
      </w:r>
      <w:r>
        <w:rPr/>
        <w:t>repaying</w:t>
      </w:r>
      <w:r>
        <w:rPr>
          <w:spacing w:val="-8"/>
        </w:rPr>
        <w:t> </w:t>
      </w:r>
      <w:r>
        <w:rPr/>
        <w:t>debt.</w:t>
      </w:r>
      <w:r>
        <w:rPr>
          <w:spacing w:val="-9"/>
        </w:rPr>
        <w:t> </w:t>
      </w:r>
      <w:r>
        <w:rPr/>
        <w:t>Inflation</w:t>
      </w:r>
      <w:r>
        <w:rPr>
          <w:spacing w:val="-8"/>
        </w:rPr>
        <w:t> </w:t>
      </w:r>
      <w:r>
        <w:rPr/>
        <w:t>reduces</w:t>
      </w:r>
      <w:r>
        <w:rPr>
          <w:spacing w:val="-10"/>
        </w:rPr>
        <w:t> </w:t>
      </w:r>
      <w:r>
        <w:rPr/>
        <w:t>the</w:t>
      </w:r>
      <w:r>
        <w:rPr>
          <w:spacing w:val="-9"/>
        </w:rPr>
        <w:t> </w:t>
      </w:r>
      <w:r>
        <w:rPr/>
        <w:t>real</w:t>
      </w:r>
      <w:r>
        <w:rPr>
          <w:spacing w:val="-8"/>
        </w:rPr>
        <w:t> </w:t>
      </w:r>
      <w:r>
        <w:rPr/>
        <w:t>value</w:t>
      </w:r>
      <w:r>
        <w:rPr>
          <w:spacing w:val="-9"/>
        </w:rPr>
        <w:t> </w:t>
      </w:r>
      <w:r>
        <w:rPr/>
        <w:t>of</w:t>
      </w:r>
      <w:r>
        <w:rPr>
          <w:spacing w:val="-9"/>
        </w:rPr>
        <w:t> </w:t>
      </w:r>
      <w:r>
        <w:rPr/>
        <w:t>debt</w:t>
      </w:r>
      <w:r>
        <w:rPr>
          <w:spacing w:val="-9"/>
        </w:rPr>
        <w:t> </w:t>
      </w:r>
      <w:r>
        <w:rPr/>
        <w:t>and</w:t>
      </w:r>
      <w:r>
        <w:rPr>
          <w:spacing w:val="-8"/>
        </w:rPr>
        <w:t> </w:t>
      </w:r>
      <w:r>
        <w:rPr/>
        <w:t>can</w:t>
      </w:r>
      <w:r>
        <w:rPr>
          <w:spacing w:val="-10"/>
        </w:rPr>
        <w:t> </w:t>
      </w:r>
      <w:r>
        <w:rPr/>
        <w:t>make it easier to repay loans previously taken out at a fixed interest rate. Although these arguments have some merit, any such effects should be small in magnitude today. Interest rates are near historically low levels, credit is readily available for most credit-worthy borrowers, debt-servicing ratios are relatively low, and low inflation is expected to be short lived. Therefore, although low inflation, and especially deflation, can create challenges</w:t>
      </w:r>
      <w:r>
        <w:rPr>
          <w:spacing w:val="-4"/>
        </w:rPr>
        <w:t> </w:t>
      </w:r>
      <w:r>
        <w:rPr/>
        <w:t>for</w:t>
      </w:r>
      <w:r>
        <w:rPr>
          <w:spacing w:val="-4"/>
        </w:rPr>
        <w:t> </w:t>
      </w:r>
      <w:r>
        <w:rPr/>
        <w:t>debt</w:t>
      </w:r>
      <w:r>
        <w:rPr>
          <w:spacing w:val="-3"/>
        </w:rPr>
        <w:t> </w:t>
      </w:r>
      <w:r>
        <w:rPr/>
        <w:t>servicing,</w:t>
      </w:r>
      <w:r>
        <w:rPr>
          <w:spacing w:val="-2"/>
        </w:rPr>
        <w:t> </w:t>
      </w:r>
      <w:r>
        <w:rPr/>
        <w:t>this</w:t>
      </w:r>
      <w:r>
        <w:rPr>
          <w:spacing w:val="-2"/>
        </w:rPr>
        <w:t> </w:t>
      </w:r>
      <w:r>
        <w:rPr/>
        <w:t>does</w:t>
      </w:r>
      <w:r>
        <w:rPr>
          <w:spacing w:val="-4"/>
        </w:rPr>
        <w:t> </w:t>
      </w:r>
      <w:r>
        <w:rPr/>
        <w:t>not</w:t>
      </w:r>
      <w:r>
        <w:rPr>
          <w:spacing w:val="-3"/>
        </w:rPr>
        <w:t> </w:t>
      </w:r>
      <w:r>
        <w:rPr/>
        <w:t>appear</w:t>
      </w:r>
      <w:r>
        <w:rPr>
          <w:spacing w:val="-4"/>
        </w:rPr>
        <w:t> </w:t>
      </w:r>
      <w:r>
        <w:rPr/>
        <w:t>to</w:t>
      </w:r>
      <w:r>
        <w:rPr>
          <w:spacing w:val="-3"/>
        </w:rPr>
        <w:t> </w:t>
      </w:r>
      <w:r>
        <w:rPr/>
        <w:t>be</w:t>
      </w:r>
      <w:r>
        <w:rPr>
          <w:spacing w:val="-4"/>
        </w:rPr>
        <w:t> </w:t>
      </w:r>
      <w:r>
        <w:rPr/>
        <w:t>a</w:t>
      </w:r>
      <w:r>
        <w:rPr>
          <w:spacing w:val="-3"/>
        </w:rPr>
        <w:t> </w:t>
      </w:r>
      <w:r>
        <w:rPr/>
        <w:t>substantive</w:t>
      </w:r>
      <w:r>
        <w:rPr>
          <w:spacing w:val="-4"/>
        </w:rPr>
        <w:t> </w:t>
      </w:r>
      <w:r>
        <w:rPr/>
        <w:t>risk</w:t>
      </w:r>
      <w:r>
        <w:rPr>
          <w:spacing w:val="-3"/>
        </w:rPr>
        <w:t> </w:t>
      </w:r>
      <w:r>
        <w:rPr/>
        <w:t>in</w:t>
      </w:r>
      <w:r>
        <w:rPr>
          <w:spacing w:val="-5"/>
        </w:rPr>
        <w:t> </w:t>
      </w:r>
      <w:r>
        <w:rPr/>
        <w:t>the</w:t>
      </w:r>
      <w:r>
        <w:rPr>
          <w:spacing w:val="-2"/>
        </w:rPr>
        <w:t> </w:t>
      </w:r>
      <w:r>
        <w:rPr/>
        <w:t>UK</w:t>
      </w:r>
      <w:r>
        <w:rPr>
          <w:spacing w:val="-4"/>
        </w:rPr>
        <w:t> </w:t>
      </w:r>
      <w:r>
        <w:rPr/>
        <w:t>today.</w:t>
      </w:r>
    </w:p>
    <w:p>
      <w:pPr>
        <w:pStyle w:val="BodyText"/>
        <w:spacing w:before="7"/>
        <w:rPr>
          <w:sz w:val="27"/>
        </w:rPr>
      </w:pPr>
    </w:p>
    <w:p>
      <w:pPr>
        <w:pStyle w:val="BodyText"/>
        <w:spacing w:line="357" w:lineRule="auto" w:before="1"/>
        <w:ind w:left="386" w:right="533"/>
      </w:pPr>
      <w:r>
        <w:rPr/>
        <w:t>A third risk, which I believe merits more attention, is that even after the direct effects of lower energy and food prices fade, other “second-round” effects could continue to drag on inflation. For example, lower oil prices</w:t>
      </w:r>
      <w:r>
        <w:rPr>
          <w:spacing w:val="-8"/>
        </w:rPr>
        <w:t> </w:t>
      </w:r>
      <w:r>
        <w:rPr/>
        <w:t>could</w:t>
      </w:r>
      <w:r>
        <w:rPr>
          <w:spacing w:val="-9"/>
        </w:rPr>
        <w:t> </w:t>
      </w:r>
      <w:r>
        <w:rPr/>
        <w:t>reduce</w:t>
      </w:r>
      <w:r>
        <w:rPr>
          <w:spacing w:val="-9"/>
        </w:rPr>
        <w:t> </w:t>
      </w:r>
      <w:r>
        <w:rPr/>
        <w:t>operating</w:t>
      </w:r>
      <w:r>
        <w:rPr>
          <w:spacing w:val="-9"/>
        </w:rPr>
        <w:t> </w:t>
      </w:r>
      <w:r>
        <w:rPr/>
        <w:t>costs</w:t>
      </w:r>
      <w:r>
        <w:rPr>
          <w:spacing w:val="-9"/>
        </w:rPr>
        <w:t> </w:t>
      </w:r>
      <w:r>
        <w:rPr/>
        <w:t>for</w:t>
      </w:r>
      <w:r>
        <w:rPr>
          <w:spacing w:val="-9"/>
        </w:rPr>
        <w:t> </w:t>
      </w:r>
      <w:r>
        <w:rPr/>
        <w:t>companies</w:t>
      </w:r>
      <w:r>
        <w:rPr>
          <w:spacing w:val="-7"/>
        </w:rPr>
        <w:t> </w:t>
      </w:r>
      <w:r>
        <w:rPr/>
        <w:t>that</w:t>
      </w:r>
      <w:r>
        <w:rPr>
          <w:spacing w:val="-8"/>
        </w:rPr>
        <w:t> </w:t>
      </w:r>
      <w:r>
        <w:rPr/>
        <w:t>use</w:t>
      </w:r>
      <w:r>
        <w:rPr>
          <w:spacing w:val="-9"/>
        </w:rPr>
        <w:t> </w:t>
      </w:r>
      <w:r>
        <w:rPr/>
        <w:t>oil</w:t>
      </w:r>
      <w:r>
        <w:rPr>
          <w:spacing w:val="-8"/>
        </w:rPr>
        <w:t> </w:t>
      </w:r>
      <w:r>
        <w:rPr/>
        <w:t>intensively,</w:t>
      </w:r>
      <w:r>
        <w:rPr>
          <w:spacing w:val="-8"/>
        </w:rPr>
        <w:t> </w:t>
      </w:r>
      <w:r>
        <w:rPr/>
        <w:t>allowing</w:t>
      </w:r>
      <w:r>
        <w:rPr>
          <w:spacing w:val="-9"/>
        </w:rPr>
        <w:t> </w:t>
      </w:r>
      <w:r>
        <w:rPr/>
        <w:t>them</w:t>
      </w:r>
      <w:r>
        <w:rPr>
          <w:spacing w:val="-7"/>
        </w:rPr>
        <w:t> </w:t>
      </w:r>
      <w:r>
        <w:rPr/>
        <w:t>to</w:t>
      </w:r>
      <w:r>
        <w:rPr>
          <w:spacing w:val="-9"/>
        </w:rPr>
        <w:t> </w:t>
      </w:r>
      <w:r>
        <w:rPr/>
        <w:t>reduce</w:t>
      </w:r>
      <w:r>
        <w:rPr>
          <w:spacing w:val="-8"/>
        </w:rPr>
        <w:t> </w:t>
      </w:r>
      <w:r>
        <w:rPr/>
        <w:t>their</w:t>
      </w:r>
      <w:r>
        <w:rPr>
          <w:spacing w:val="-9"/>
        </w:rPr>
        <w:t> </w:t>
      </w:r>
      <w:r>
        <w:rPr/>
        <w:t>own prices. Or, low inflation today could cause people and businesses to expect low inflation in the future and thereby</w:t>
      </w:r>
      <w:r>
        <w:rPr>
          <w:spacing w:val="-5"/>
        </w:rPr>
        <w:t> </w:t>
      </w:r>
      <w:r>
        <w:rPr/>
        <w:t>change</w:t>
      </w:r>
      <w:r>
        <w:rPr>
          <w:spacing w:val="-6"/>
        </w:rPr>
        <w:t> </w:t>
      </w:r>
      <w:r>
        <w:rPr/>
        <w:t>their</w:t>
      </w:r>
      <w:r>
        <w:rPr>
          <w:spacing w:val="-5"/>
        </w:rPr>
        <w:t> </w:t>
      </w:r>
      <w:r>
        <w:rPr/>
        <w:t>behaviour—such</w:t>
      </w:r>
      <w:r>
        <w:rPr>
          <w:spacing w:val="-5"/>
        </w:rPr>
        <w:t> </w:t>
      </w:r>
      <w:r>
        <w:rPr/>
        <w:t>as</w:t>
      </w:r>
      <w:r>
        <w:rPr>
          <w:spacing w:val="-4"/>
        </w:rPr>
        <w:t> </w:t>
      </w:r>
      <w:r>
        <w:rPr/>
        <w:t>locking</w:t>
      </w:r>
      <w:r>
        <w:rPr>
          <w:spacing w:val="-4"/>
        </w:rPr>
        <w:t> </w:t>
      </w:r>
      <w:r>
        <w:rPr/>
        <w:t>in</w:t>
      </w:r>
      <w:r>
        <w:rPr>
          <w:spacing w:val="-5"/>
        </w:rPr>
        <w:t> </w:t>
      </w:r>
      <w:r>
        <w:rPr/>
        <w:t>contracts</w:t>
      </w:r>
      <w:r>
        <w:rPr>
          <w:spacing w:val="-5"/>
        </w:rPr>
        <w:t> </w:t>
      </w:r>
      <w:r>
        <w:rPr/>
        <w:t>at</w:t>
      </w:r>
      <w:r>
        <w:rPr>
          <w:spacing w:val="-4"/>
        </w:rPr>
        <w:t> </w:t>
      </w:r>
      <w:r>
        <w:rPr/>
        <w:t>low</w:t>
      </w:r>
      <w:r>
        <w:rPr>
          <w:spacing w:val="-5"/>
        </w:rPr>
        <w:t> </w:t>
      </w:r>
      <w:r>
        <w:rPr/>
        <w:t>prices.</w:t>
      </w:r>
      <w:r>
        <w:rPr>
          <w:spacing w:val="-5"/>
        </w:rPr>
        <w:t> </w:t>
      </w:r>
      <w:r>
        <w:rPr/>
        <w:t>Although</w:t>
      </w:r>
      <w:r>
        <w:rPr>
          <w:spacing w:val="-4"/>
        </w:rPr>
        <w:t> </w:t>
      </w:r>
      <w:r>
        <w:rPr/>
        <w:t>both</w:t>
      </w:r>
      <w:r>
        <w:rPr>
          <w:spacing w:val="-5"/>
        </w:rPr>
        <w:t> </w:t>
      </w:r>
      <w:r>
        <w:rPr/>
        <w:t>of</w:t>
      </w:r>
      <w:r>
        <w:rPr>
          <w:spacing w:val="-5"/>
        </w:rPr>
        <w:t> </w:t>
      </w:r>
      <w:r>
        <w:rPr/>
        <w:t>these</w:t>
      </w:r>
    </w:p>
    <w:p>
      <w:pPr>
        <w:pStyle w:val="BodyText"/>
        <w:spacing w:line="357" w:lineRule="auto"/>
        <w:ind w:left="386" w:right="533"/>
      </w:pPr>
      <w:r>
        <w:rPr/>
        <w:t>second-round</w:t>
      </w:r>
      <w:r>
        <w:rPr>
          <w:spacing w:val="-9"/>
        </w:rPr>
        <w:t> </w:t>
      </w:r>
      <w:r>
        <w:rPr/>
        <w:t>effects</w:t>
      </w:r>
      <w:r>
        <w:rPr>
          <w:spacing w:val="-8"/>
        </w:rPr>
        <w:t> </w:t>
      </w:r>
      <w:r>
        <w:rPr/>
        <w:t>are</w:t>
      </w:r>
      <w:r>
        <w:rPr>
          <w:spacing w:val="-9"/>
        </w:rPr>
        <w:t> </w:t>
      </w:r>
      <w:r>
        <w:rPr/>
        <w:t>generally</w:t>
      </w:r>
      <w:r>
        <w:rPr>
          <w:spacing w:val="-8"/>
        </w:rPr>
        <w:t> </w:t>
      </w:r>
      <w:r>
        <w:rPr/>
        <w:t>small,</w:t>
      </w:r>
      <w:r>
        <w:rPr>
          <w:spacing w:val="-9"/>
        </w:rPr>
        <w:t> </w:t>
      </w:r>
      <w:r>
        <w:rPr/>
        <w:t>a</w:t>
      </w:r>
      <w:r>
        <w:rPr>
          <w:spacing w:val="-9"/>
        </w:rPr>
        <w:t> </w:t>
      </w:r>
      <w:r>
        <w:rPr/>
        <w:t>related</w:t>
      </w:r>
      <w:r>
        <w:rPr>
          <w:spacing w:val="-9"/>
        </w:rPr>
        <w:t> </w:t>
      </w:r>
      <w:r>
        <w:rPr/>
        <w:t>concern</w:t>
      </w:r>
      <w:r>
        <w:rPr>
          <w:spacing w:val="-8"/>
        </w:rPr>
        <w:t> </w:t>
      </w:r>
      <w:r>
        <w:rPr/>
        <w:t>which</w:t>
      </w:r>
      <w:r>
        <w:rPr>
          <w:spacing w:val="-8"/>
        </w:rPr>
        <w:t> </w:t>
      </w:r>
      <w:r>
        <w:rPr/>
        <w:t>worries</w:t>
      </w:r>
      <w:r>
        <w:rPr>
          <w:spacing w:val="-8"/>
        </w:rPr>
        <w:t> </w:t>
      </w:r>
      <w:r>
        <w:rPr/>
        <w:t>me</w:t>
      </w:r>
      <w:r>
        <w:rPr>
          <w:spacing w:val="-8"/>
        </w:rPr>
        <w:t> </w:t>
      </w:r>
      <w:r>
        <w:rPr/>
        <w:t>more</w:t>
      </w:r>
      <w:r>
        <w:rPr>
          <w:spacing w:val="-9"/>
        </w:rPr>
        <w:t> </w:t>
      </w:r>
      <w:r>
        <w:rPr/>
        <w:t>is</w:t>
      </w:r>
      <w:r>
        <w:rPr>
          <w:spacing w:val="-9"/>
        </w:rPr>
        <w:t> </w:t>
      </w:r>
      <w:r>
        <w:rPr/>
        <w:t>that</w:t>
      </w:r>
      <w:r>
        <w:rPr>
          <w:spacing w:val="-8"/>
        </w:rPr>
        <w:t> </w:t>
      </w:r>
      <w:r>
        <w:rPr/>
        <w:t>workers</w:t>
      </w:r>
      <w:r>
        <w:rPr>
          <w:spacing w:val="-6"/>
        </w:rPr>
        <w:t> </w:t>
      </w:r>
      <w:r>
        <w:rPr/>
        <w:t>will</w:t>
      </w:r>
      <w:r>
        <w:rPr>
          <w:spacing w:val="-9"/>
        </w:rPr>
        <w:t> </w:t>
      </w:r>
      <w:r>
        <w:rPr/>
        <w:t>have less power to negotiate wage increases in today’s low inflation environment. A pickup in real wages will be crucial to support the continued growth in income that is necessary to sustain the recovery and return inflation to target.</w:t>
      </w:r>
      <w:r>
        <w:rPr>
          <w:vertAlign w:val="superscript"/>
        </w:rPr>
        <w:t>8</w:t>
      </w:r>
      <w:r>
        <w:rPr>
          <w:vertAlign w:val="baseline"/>
        </w:rPr>
        <w:t> Closely related, low inflation could make it more difficult for companies to adjust real wages to match productivity, as employers are usually hesitant to lower nominal wages. This could impede the</w:t>
      </w:r>
      <w:r>
        <w:rPr>
          <w:spacing w:val="-5"/>
          <w:vertAlign w:val="baseline"/>
        </w:rPr>
        <w:t> </w:t>
      </w:r>
      <w:r>
        <w:rPr>
          <w:vertAlign w:val="baseline"/>
        </w:rPr>
        <w:t>efficient</w:t>
      </w:r>
      <w:r>
        <w:rPr>
          <w:spacing w:val="-3"/>
          <w:vertAlign w:val="baseline"/>
        </w:rPr>
        <w:t> </w:t>
      </w:r>
      <w:r>
        <w:rPr>
          <w:vertAlign w:val="baseline"/>
        </w:rPr>
        <w:t>allocation</w:t>
      </w:r>
      <w:r>
        <w:rPr>
          <w:spacing w:val="-4"/>
          <w:vertAlign w:val="baseline"/>
        </w:rPr>
        <w:t> </w:t>
      </w:r>
      <w:r>
        <w:rPr>
          <w:vertAlign w:val="baseline"/>
        </w:rPr>
        <w:t>of</w:t>
      </w:r>
      <w:r>
        <w:rPr>
          <w:spacing w:val="-3"/>
          <w:vertAlign w:val="baseline"/>
        </w:rPr>
        <w:t> </w:t>
      </w:r>
      <w:r>
        <w:rPr>
          <w:vertAlign w:val="baseline"/>
        </w:rPr>
        <w:t>resources</w:t>
      </w:r>
      <w:r>
        <w:rPr>
          <w:spacing w:val="-2"/>
          <w:vertAlign w:val="baseline"/>
        </w:rPr>
        <w:t> </w:t>
      </w:r>
      <w:r>
        <w:rPr>
          <w:vertAlign w:val="baseline"/>
        </w:rPr>
        <w:t>and</w:t>
      </w:r>
      <w:r>
        <w:rPr>
          <w:spacing w:val="-6"/>
          <w:vertAlign w:val="baseline"/>
        </w:rPr>
        <w:t> </w:t>
      </w:r>
      <w:r>
        <w:rPr>
          <w:vertAlign w:val="baseline"/>
        </w:rPr>
        <w:t>further</w:t>
      </w:r>
      <w:r>
        <w:rPr>
          <w:spacing w:val="-4"/>
          <w:vertAlign w:val="baseline"/>
        </w:rPr>
        <w:t> </w:t>
      </w:r>
      <w:r>
        <w:rPr>
          <w:vertAlign w:val="baseline"/>
        </w:rPr>
        <w:t>drag</w:t>
      </w:r>
      <w:r>
        <w:rPr>
          <w:spacing w:val="-5"/>
          <w:vertAlign w:val="baseline"/>
        </w:rPr>
        <w:t> </w:t>
      </w:r>
      <w:r>
        <w:rPr>
          <w:vertAlign w:val="baseline"/>
        </w:rPr>
        <w:t>on</w:t>
      </w:r>
      <w:r>
        <w:rPr>
          <w:spacing w:val="-4"/>
          <w:vertAlign w:val="baseline"/>
        </w:rPr>
        <w:t> </w:t>
      </w:r>
      <w:r>
        <w:rPr>
          <w:vertAlign w:val="baseline"/>
        </w:rPr>
        <w:t>the</w:t>
      </w:r>
      <w:r>
        <w:rPr>
          <w:spacing w:val="-6"/>
          <w:vertAlign w:val="baseline"/>
        </w:rPr>
        <w:t> </w:t>
      </w:r>
      <w:r>
        <w:rPr>
          <w:vertAlign w:val="baseline"/>
        </w:rPr>
        <w:t>UK’s</w:t>
      </w:r>
      <w:r>
        <w:rPr>
          <w:spacing w:val="-4"/>
          <w:vertAlign w:val="baseline"/>
        </w:rPr>
        <w:t> </w:t>
      </w:r>
      <w:r>
        <w:rPr>
          <w:vertAlign w:val="baseline"/>
        </w:rPr>
        <w:t>already</w:t>
      </w:r>
      <w:r>
        <w:rPr>
          <w:spacing w:val="-5"/>
          <w:vertAlign w:val="baseline"/>
        </w:rPr>
        <w:t> </w:t>
      </w:r>
      <w:r>
        <w:rPr>
          <w:vertAlign w:val="baseline"/>
        </w:rPr>
        <w:t>low</w:t>
      </w:r>
      <w:r>
        <w:rPr>
          <w:spacing w:val="-5"/>
          <w:vertAlign w:val="baseline"/>
        </w:rPr>
        <w:t> </w:t>
      </w:r>
      <w:r>
        <w:rPr>
          <w:vertAlign w:val="baseline"/>
        </w:rPr>
        <w:t>productivity</w:t>
      </w:r>
      <w:r>
        <w:rPr>
          <w:spacing w:val="-5"/>
          <w:vertAlign w:val="baseline"/>
        </w:rPr>
        <w:t> </w:t>
      </w:r>
      <w:r>
        <w:rPr>
          <w:vertAlign w:val="baseline"/>
        </w:rPr>
        <w:t>growth.</w:t>
      </w:r>
    </w:p>
    <w:p>
      <w:pPr>
        <w:pStyle w:val="BodyText"/>
        <w:spacing w:before="3"/>
        <w:rPr>
          <w:sz w:val="27"/>
        </w:rPr>
      </w:pPr>
    </w:p>
    <w:p>
      <w:pPr>
        <w:pStyle w:val="BodyText"/>
        <w:spacing w:line="355" w:lineRule="auto" w:before="1"/>
        <w:ind w:left="386" w:right="628"/>
      </w:pPr>
      <w:r>
        <w:rPr/>
        <w:t>On a more positive note, there is not yet any evidence that low inflation has significantly held back wage growth.</w:t>
      </w:r>
      <w:r>
        <w:rPr>
          <w:spacing w:val="-9"/>
        </w:rPr>
        <w:t> </w:t>
      </w:r>
      <w:r>
        <w:rPr/>
        <w:t>Instead,</w:t>
      </w:r>
      <w:r>
        <w:rPr>
          <w:spacing w:val="-7"/>
        </w:rPr>
        <w:t> </w:t>
      </w:r>
      <w:r>
        <w:rPr/>
        <w:t>wage</w:t>
      </w:r>
      <w:r>
        <w:rPr>
          <w:spacing w:val="-8"/>
        </w:rPr>
        <w:t> </w:t>
      </w:r>
      <w:r>
        <w:rPr/>
        <w:t>growth</w:t>
      </w:r>
      <w:r>
        <w:rPr>
          <w:spacing w:val="-9"/>
        </w:rPr>
        <w:t> </w:t>
      </w:r>
      <w:r>
        <w:rPr/>
        <w:t>has</w:t>
      </w:r>
      <w:r>
        <w:rPr>
          <w:spacing w:val="-7"/>
        </w:rPr>
        <w:t> </w:t>
      </w:r>
      <w:r>
        <w:rPr/>
        <w:t>picked</w:t>
      </w:r>
      <w:r>
        <w:rPr>
          <w:spacing w:val="-8"/>
        </w:rPr>
        <w:t> </w:t>
      </w:r>
      <w:r>
        <w:rPr/>
        <w:t>up</w:t>
      </w:r>
      <w:r>
        <w:rPr>
          <w:spacing w:val="-8"/>
        </w:rPr>
        <w:t> </w:t>
      </w:r>
      <w:r>
        <w:rPr/>
        <w:t>over</w:t>
      </w:r>
      <w:r>
        <w:rPr>
          <w:spacing w:val="-9"/>
        </w:rPr>
        <w:t> </w:t>
      </w:r>
      <w:r>
        <w:rPr/>
        <w:t>the</w:t>
      </w:r>
      <w:r>
        <w:rPr>
          <w:spacing w:val="-8"/>
        </w:rPr>
        <w:t> </w:t>
      </w:r>
      <w:r>
        <w:rPr/>
        <w:t>period</w:t>
      </w:r>
      <w:r>
        <w:rPr>
          <w:spacing w:val="-9"/>
        </w:rPr>
        <w:t> </w:t>
      </w:r>
      <w:r>
        <w:rPr/>
        <w:t>that</w:t>
      </w:r>
      <w:r>
        <w:rPr>
          <w:spacing w:val="-8"/>
        </w:rPr>
        <w:t> </w:t>
      </w:r>
      <w:r>
        <w:rPr/>
        <w:t>inflation</w:t>
      </w:r>
      <w:r>
        <w:rPr>
          <w:spacing w:val="-8"/>
        </w:rPr>
        <w:t> </w:t>
      </w:r>
      <w:r>
        <w:rPr/>
        <w:t>has</w:t>
      </w:r>
      <w:r>
        <w:rPr>
          <w:spacing w:val="-8"/>
        </w:rPr>
        <w:t> </w:t>
      </w:r>
      <w:r>
        <w:rPr/>
        <w:t>fallen—as</w:t>
      </w:r>
      <w:r>
        <w:rPr>
          <w:spacing w:val="-7"/>
        </w:rPr>
        <w:t> </w:t>
      </w:r>
      <w:r>
        <w:rPr/>
        <w:t>shown</w:t>
      </w:r>
      <w:r>
        <w:rPr>
          <w:spacing w:val="-8"/>
        </w:rPr>
        <w:t> </w:t>
      </w:r>
      <w:r>
        <w:rPr/>
        <w:t>in</w:t>
      </w:r>
      <w:r>
        <w:rPr>
          <w:spacing w:val="-8"/>
        </w:rPr>
        <w:t> </w:t>
      </w:r>
      <w:r>
        <w:rPr/>
        <w:t>Figure</w:t>
      </w:r>
      <w:r>
        <w:rPr>
          <w:spacing w:val="-9"/>
        </w:rPr>
        <w:t> </w:t>
      </w:r>
      <w:r>
        <w:rPr/>
        <w:t>6. Average weekly earnings in the private sector (ex. bonuses) grew by 3.3% in the three months to April relative to the same period of 2014, the strongest increase since 2008 and up sharply from 1.6% in September</w:t>
      </w:r>
      <w:r>
        <w:rPr>
          <w:spacing w:val="-6"/>
        </w:rPr>
        <w:t> </w:t>
      </w:r>
      <w:r>
        <w:rPr/>
        <w:t>2014</w:t>
      </w:r>
      <w:r>
        <w:rPr>
          <w:spacing w:val="-7"/>
        </w:rPr>
        <w:t> </w:t>
      </w:r>
      <w:r>
        <w:rPr/>
        <w:t>(when</w:t>
      </w:r>
      <w:r>
        <w:rPr>
          <w:spacing w:val="-6"/>
        </w:rPr>
        <w:t> </w:t>
      </w:r>
      <w:r>
        <w:rPr/>
        <w:t>oil</w:t>
      </w:r>
      <w:r>
        <w:rPr>
          <w:spacing w:val="-4"/>
        </w:rPr>
        <w:t> </w:t>
      </w:r>
      <w:r>
        <w:rPr/>
        <w:t>prices</w:t>
      </w:r>
      <w:r>
        <w:rPr>
          <w:spacing w:val="-6"/>
        </w:rPr>
        <w:t> </w:t>
      </w:r>
      <w:r>
        <w:rPr/>
        <w:t>started</w:t>
      </w:r>
      <w:r>
        <w:rPr>
          <w:spacing w:val="-7"/>
        </w:rPr>
        <w:t> </w:t>
      </w:r>
      <w:r>
        <w:rPr/>
        <w:t>their</w:t>
      </w:r>
      <w:r>
        <w:rPr>
          <w:spacing w:val="-7"/>
        </w:rPr>
        <w:t> </w:t>
      </w:r>
      <w:r>
        <w:rPr/>
        <w:t>rapid</w:t>
      </w:r>
      <w:r>
        <w:rPr>
          <w:spacing w:val="-6"/>
        </w:rPr>
        <w:t> </w:t>
      </w:r>
      <w:r>
        <w:rPr/>
        <w:t>decline).</w:t>
      </w:r>
      <w:r>
        <w:rPr>
          <w:spacing w:val="-4"/>
        </w:rPr>
        <w:t> </w:t>
      </w:r>
      <w:r>
        <w:rPr/>
        <w:t>Moreover,</w:t>
      </w:r>
      <w:r>
        <w:rPr>
          <w:spacing w:val="-4"/>
        </w:rPr>
        <w:t> </w:t>
      </w:r>
      <w:r>
        <w:rPr/>
        <w:t>with</w:t>
      </w:r>
      <w:r>
        <w:rPr>
          <w:spacing w:val="-7"/>
        </w:rPr>
        <w:t> </w:t>
      </w:r>
      <w:r>
        <w:rPr/>
        <w:t>unemployment</w:t>
      </w:r>
      <w:r>
        <w:rPr>
          <w:spacing w:val="-5"/>
        </w:rPr>
        <w:t> </w:t>
      </w:r>
      <w:r>
        <w:rPr/>
        <w:t>at</w:t>
      </w:r>
      <w:r>
        <w:rPr>
          <w:spacing w:val="-6"/>
        </w:rPr>
        <w:t> </w:t>
      </w:r>
      <w:r>
        <w:rPr/>
        <w:t>5.5%,</w:t>
      </w:r>
    </w:p>
    <w:p>
      <w:pPr>
        <w:pStyle w:val="BodyText"/>
        <w:spacing w:line="357" w:lineRule="auto" w:before="5"/>
        <w:ind w:left="386" w:right="533"/>
      </w:pPr>
      <w:r>
        <w:rPr/>
        <w:t>short-term unemployment below pre-crisis levels, increased churn in the labour market by a number of measures,</w:t>
      </w:r>
      <w:r>
        <w:rPr>
          <w:spacing w:val="-10"/>
        </w:rPr>
        <w:t> </w:t>
      </w:r>
      <w:r>
        <w:rPr/>
        <w:t>and</w:t>
      </w:r>
      <w:r>
        <w:rPr>
          <w:spacing w:val="-9"/>
        </w:rPr>
        <w:t> </w:t>
      </w:r>
      <w:r>
        <w:rPr/>
        <w:t>regular</w:t>
      </w:r>
      <w:r>
        <w:rPr>
          <w:spacing w:val="-9"/>
        </w:rPr>
        <w:t> </w:t>
      </w:r>
      <w:r>
        <w:rPr/>
        <w:t>concerns</w:t>
      </w:r>
      <w:r>
        <w:rPr>
          <w:spacing w:val="-9"/>
        </w:rPr>
        <w:t> </w:t>
      </w:r>
      <w:r>
        <w:rPr/>
        <w:t>about</w:t>
      </w:r>
      <w:r>
        <w:rPr>
          <w:spacing w:val="-9"/>
        </w:rPr>
        <w:t> </w:t>
      </w:r>
      <w:r>
        <w:rPr/>
        <w:t>skill</w:t>
      </w:r>
      <w:r>
        <w:rPr>
          <w:spacing w:val="-11"/>
        </w:rPr>
        <w:t> </w:t>
      </w:r>
      <w:r>
        <w:rPr/>
        <w:t>shortages</w:t>
      </w:r>
      <w:r>
        <w:rPr>
          <w:spacing w:val="-8"/>
        </w:rPr>
        <w:t> </w:t>
      </w:r>
      <w:r>
        <w:rPr/>
        <w:t>in</w:t>
      </w:r>
      <w:r>
        <w:rPr>
          <w:spacing w:val="-9"/>
        </w:rPr>
        <w:t> </w:t>
      </w:r>
      <w:r>
        <w:rPr/>
        <w:t>certain</w:t>
      </w:r>
      <w:r>
        <w:rPr>
          <w:spacing w:val="-10"/>
        </w:rPr>
        <w:t> </w:t>
      </w:r>
      <w:r>
        <w:rPr/>
        <w:t>sectors,</w:t>
      </w:r>
      <w:r>
        <w:rPr>
          <w:spacing w:val="-9"/>
        </w:rPr>
        <w:t> </w:t>
      </w:r>
      <w:r>
        <w:rPr/>
        <w:t>the</w:t>
      </w:r>
      <w:r>
        <w:rPr>
          <w:spacing w:val="-9"/>
        </w:rPr>
        <w:t> </w:t>
      </w:r>
      <w:r>
        <w:rPr/>
        <w:t>rapid</w:t>
      </w:r>
      <w:r>
        <w:rPr>
          <w:spacing w:val="-9"/>
        </w:rPr>
        <w:t> </w:t>
      </w:r>
      <w:r>
        <w:rPr/>
        <w:t>normalization</w:t>
      </w:r>
      <w:r>
        <w:rPr>
          <w:spacing w:val="-9"/>
        </w:rPr>
        <w:t> </w:t>
      </w:r>
      <w:r>
        <w:rPr/>
        <w:t>of</w:t>
      </w:r>
      <w:r>
        <w:rPr>
          <w:spacing w:val="-8"/>
        </w:rPr>
        <w:t> </w:t>
      </w:r>
      <w:r>
        <w:rPr/>
        <w:t>the</w:t>
      </w:r>
      <w:r>
        <w:rPr>
          <w:spacing w:val="-10"/>
        </w:rPr>
        <w:t> </w:t>
      </w:r>
      <w:r>
        <w:rPr/>
        <w:t>labour market</w:t>
      </w:r>
      <w:r>
        <w:rPr>
          <w:spacing w:val="-7"/>
        </w:rPr>
        <w:t> </w:t>
      </w:r>
      <w:r>
        <w:rPr/>
        <w:t>should</w:t>
      </w:r>
      <w:r>
        <w:rPr>
          <w:spacing w:val="-7"/>
        </w:rPr>
        <w:t> </w:t>
      </w:r>
      <w:r>
        <w:rPr/>
        <w:t>continue</w:t>
      </w:r>
      <w:r>
        <w:rPr>
          <w:spacing w:val="-7"/>
        </w:rPr>
        <w:t> </w:t>
      </w:r>
      <w:r>
        <w:rPr/>
        <w:t>to</w:t>
      </w:r>
      <w:r>
        <w:rPr>
          <w:spacing w:val="-7"/>
        </w:rPr>
        <w:t> </w:t>
      </w:r>
      <w:r>
        <w:rPr/>
        <w:t>support</w:t>
      </w:r>
      <w:r>
        <w:rPr>
          <w:spacing w:val="-4"/>
        </w:rPr>
        <w:t> </w:t>
      </w:r>
      <w:r>
        <w:rPr/>
        <w:t>wage</w:t>
      </w:r>
      <w:r>
        <w:rPr>
          <w:spacing w:val="-6"/>
        </w:rPr>
        <w:t> </w:t>
      </w:r>
      <w:r>
        <w:rPr/>
        <w:t>increases—even</w:t>
      </w:r>
      <w:r>
        <w:rPr>
          <w:spacing w:val="-7"/>
        </w:rPr>
        <w:t> </w:t>
      </w:r>
      <w:r>
        <w:rPr/>
        <w:t>in</w:t>
      </w:r>
      <w:r>
        <w:rPr>
          <w:spacing w:val="-6"/>
        </w:rPr>
        <w:t> </w:t>
      </w:r>
      <w:r>
        <w:rPr/>
        <w:t>an</w:t>
      </w:r>
      <w:r>
        <w:rPr>
          <w:spacing w:val="-6"/>
        </w:rPr>
        <w:t> </w:t>
      </w:r>
      <w:r>
        <w:rPr/>
        <w:t>environment</w:t>
      </w:r>
      <w:r>
        <w:rPr>
          <w:spacing w:val="-5"/>
        </w:rPr>
        <w:t> </w:t>
      </w:r>
      <w:r>
        <w:rPr/>
        <w:t>with</w:t>
      </w:r>
      <w:r>
        <w:rPr>
          <w:spacing w:val="-5"/>
        </w:rPr>
        <w:t> </w:t>
      </w:r>
      <w:r>
        <w:rPr/>
        <w:t>low</w:t>
      </w:r>
      <w:r>
        <w:rPr>
          <w:spacing w:val="-8"/>
        </w:rPr>
        <w:t> </w:t>
      </w:r>
      <w:r>
        <w:rPr/>
        <w:t>headline</w:t>
      </w:r>
      <w:r>
        <w:rPr>
          <w:spacing w:val="-8"/>
        </w:rPr>
        <w:t> </w:t>
      </w:r>
      <w:r>
        <w:rPr/>
        <w:t>inflation.</w:t>
      </w:r>
    </w:p>
    <w:p>
      <w:pPr>
        <w:pStyle w:val="BodyText"/>
        <w:rPr>
          <w:sz w:val="28"/>
        </w:rPr>
      </w:pPr>
    </w:p>
    <w:p>
      <w:pPr>
        <w:pStyle w:val="BodyText"/>
        <w:spacing w:line="357" w:lineRule="auto"/>
        <w:ind w:left="386" w:right="533"/>
      </w:pPr>
      <w:r>
        <w:rPr/>
        <w:t>A final risk related to low inflation today is that low rates of global inflation, or just low inflation in individual countries</w:t>
      </w:r>
      <w:r>
        <w:rPr>
          <w:spacing w:val="-6"/>
        </w:rPr>
        <w:t> </w:t>
      </w:r>
      <w:r>
        <w:rPr/>
        <w:t>with</w:t>
      </w:r>
      <w:r>
        <w:rPr>
          <w:spacing w:val="-6"/>
        </w:rPr>
        <w:t> </w:t>
      </w:r>
      <w:r>
        <w:rPr/>
        <w:t>strong</w:t>
      </w:r>
      <w:r>
        <w:rPr>
          <w:spacing w:val="-7"/>
        </w:rPr>
        <w:t> </w:t>
      </w:r>
      <w:r>
        <w:rPr/>
        <w:t>links</w:t>
      </w:r>
      <w:r>
        <w:rPr>
          <w:spacing w:val="-7"/>
        </w:rPr>
        <w:t> </w:t>
      </w:r>
      <w:r>
        <w:rPr/>
        <w:t>to</w:t>
      </w:r>
      <w:r>
        <w:rPr>
          <w:spacing w:val="-8"/>
        </w:rPr>
        <w:t> </w:t>
      </w:r>
      <w:r>
        <w:rPr/>
        <w:t>the</w:t>
      </w:r>
      <w:r>
        <w:rPr>
          <w:spacing w:val="-6"/>
        </w:rPr>
        <w:t> </w:t>
      </w:r>
      <w:r>
        <w:rPr/>
        <w:t>UK,</w:t>
      </w:r>
      <w:r>
        <w:rPr>
          <w:spacing w:val="-8"/>
        </w:rPr>
        <w:t> </w:t>
      </w:r>
      <w:r>
        <w:rPr/>
        <w:t>could</w:t>
      </w:r>
      <w:r>
        <w:rPr>
          <w:spacing w:val="-8"/>
        </w:rPr>
        <w:t> </w:t>
      </w:r>
      <w:r>
        <w:rPr/>
        <w:t>create</w:t>
      </w:r>
      <w:r>
        <w:rPr>
          <w:spacing w:val="-8"/>
        </w:rPr>
        <w:t> </w:t>
      </w:r>
      <w:r>
        <w:rPr/>
        <w:t>additional</w:t>
      </w:r>
      <w:r>
        <w:rPr>
          <w:spacing w:val="-6"/>
        </w:rPr>
        <w:t> </w:t>
      </w:r>
      <w:r>
        <w:rPr/>
        <w:t>spillover</w:t>
      </w:r>
      <w:r>
        <w:rPr>
          <w:spacing w:val="-8"/>
        </w:rPr>
        <w:t> </w:t>
      </w:r>
      <w:r>
        <w:rPr/>
        <w:t>effects</w:t>
      </w:r>
      <w:r>
        <w:rPr>
          <w:spacing w:val="-7"/>
        </w:rPr>
        <w:t> </w:t>
      </w:r>
      <w:r>
        <w:rPr/>
        <w:t>that</w:t>
      </w:r>
      <w:r>
        <w:rPr>
          <w:spacing w:val="-8"/>
        </w:rPr>
        <w:t> </w:t>
      </w:r>
      <w:r>
        <w:rPr/>
        <w:t>drag</w:t>
      </w:r>
      <w:r>
        <w:rPr>
          <w:spacing w:val="-7"/>
        </w:rPr>
        <w:t> </w:t>
      </w:r>
      <w:r>
        <w:rPr/>
        <w:t>on</w:t>
      </w:r>
      <w:r>
        <w:rPr>
          <w:spacing w:val="-8"/>
        </w:rPr>
        <w:t> </w:t>
      </w:r>
      <w:r>
        <w:rPr/>
        <w:t>UK</w:t>
      </w:r>
      <w:r>
        <w:rPr>
          <w:spacing w:val="-5"/>
        </w:rPr>
        <w:t> </w:t>
      </w:r>
      <w:r>
        <w:rPr/>
        <w:t>prices.</w:t>
      </w:r>
      <w:r>
        <w:rPr>
          <w:spacing w:val="-8"/>
        </w:rPr>
        <w:t> </w:t>
      </w:r>
      <w:r>
        <w:rPr/>
        <w:t>Figure</w:t>
      </w:r>
      <w:r>
        <w:rPr>
          <w:spacing w:val="-8"/>
        </w:rPr>
        <w:t> </w:t>
      </w:r>
      <w:r>
        <w:rPr/>
        <w:t>4 shows</w:t>
      </w:r>
      <w:r>
        <w:rPr>
          <w:spacing w:val="-8"/>
        </w:rPr>
        <w:t> </w:t>
      </w:r>
      <w:r>
        <w:rPr/>
        <w:t>the</w:t>
      </w:r>
      <w:r>
        <w:rPr>
          <w:spacing w:val="-8"/>
        </w:rPr>
        <w:t> </w:t>
      </w:r>
      <w:r>
        <w:rPr/>
        <w:t>unusually</w:t>
      </w:r>
      <w:r>
        <w:rPr>
          <w:spacing w:val="-7"/>
        </w:rPr>
        <w:t> </w:t>
      </w:r>
      <w:r>
        <w:rPr/>
        <w:t>large</w:t>
      </w:r>
      <w:r>
        <w:rPr>
          <w:spacing w:val="-8"/>
        </w:rPr>
        <w:t> </w:t>
      </w:r>
      <w:r>
        <w:rPr/>
        <w:t>number</w:t>
      </w:r>
      <w:r>
        <w:rPr>
          <w:spacing w:val="-8"/>
        </w:rPr>
        <w:t> </w:t>
      </w:r>
      <w:r>
        <w:rPr/>
        <w:t>of</w:t>
      </w:r>
      <w:r>
        <w:rPr>
          <w:spacing w:val="-6"/>
        </w:rPr>
        <w:t> </w:t>
      </w:r>
      <w:r>
        <w:rPr/>
        <w:t>economies</w:t>
      </w:r>
      <w:r>
        <w:rPr>
          <w:spacing w:val="-7"/>
        </w:rPr>
        <w:t> </w:t>
      </w:r>
      <w:r>
        <w:rPr/>
        <w:t>with</w:t>
      </w:r>
      <w:r>
        <w:rPr>
          <w:spacing w:val="-8"/>
        </w:rPr>
        <w:t> </w:t>
      </w:r>
      <w:r>
        <w:rPr/>
        <w:t>deflation</w:t>
      </w:r>
      <w:r>
        <w:rPr>
          <w:spacing w:val="-8"/>
        </w:rPr>
        <w:t> </w:t>
      </w:r>
      <w:r>
        <w:rPr/>
        <w:t>simultaneously—especially</w:t>
      </w:r>
      <w:r>
        <w:rPr>
          <w:spacing w:val="-8"/>
        </w:rPr>
        <w:t> </w:t>
      </w:r>
      <w:r>
        <w:rPr/>
        <w:t>for</w:t>
      </w:r>
      <w:r>
        <w:rPr>
          <w:spacing w:val="-8"/>
        </w:rPr>
        <w:t> </w:t>
      </w:r>
      <w:r>
        <w:rPr/>
        <w:t>a</w:t>
      </w:r>
      <w:r>
        <w:rPr>
          <w:spacing w:val="-9"/>
        </w:rPr>
        <w:t> </w:t>
      </w:r>
      <w:r>
        <w:rPr/>
        <w:t>non-crisis</w:t>
      </w:r>
    </w:p>
    <w:p>
      <w:pPr>
        <w:pStyle w:val="BodyText"/>
        <w:rPr>
          <w:sz w:val="20"/>
        </w:rPr>
      </w:pPr>
    </w:p>
    <w:p>
      <w:pPr>
        <w:pStyle w:val="BodyText"/>
        <w:spacing w:before="5"/>
        <w:rPr>
          <w:sz w:val="16"/>
        </w:rPr>
      </w:pPr>
      <w:r>
        <w:rPr/>
        <w:pict>
          <v:shape style="position:absolute;margin-left:79.320pt;margin-top:11.692785pt;width:135.5pt;height:.1pt;mso-position-horizontal-relative:page;mso-position-vertical-relative:paragraph;z-index:-251644928;mso-wrap-distance-left:0;mso-wrap-distance-right:0" coordorigin="1586,234" coordsize="2710,0" path="m1586,234l4296,234e" filled="false" stroked="true" strokeweight=".42pt" strokecolor="#000000">
            <v:path arrowok="t"/>
            <v:stroke dashstyle="solid"/>
            <w10:wrap type="topAndBottom"/>
          </v:shape>
        </w:pict>
      </w:r>
    </w:p>
    <w:p>
      <w:pPr>
        <w:spacing w:before="26"/>
        <w:ind w:left="386" w:right="581" w:firstLine="0"/>
        <w:jc w:val="left"/>
        <w:rPr>
          <w:sz w:val="15"/>
        </w:rPr>
      </w:pPr>
      <w:r>
        <w:rPr>
          <w:position w:val="8"/>
          <w:sz w:val="9"/>
        </w:rPr>
        <w:t>8 </w:t>
      </w:r>
      <w:r>
        <w:rPr>
          <w:sz w:val="15"/>
        </w:rPr>
        <w:t>A pick-up in wages would also reduce the likelihood of the first two concerns materialising, i.e. households reducing their consumption in anticipation of lower prices or as a result of a higher real debt burden.</w:t>
      </w:r>
    </w:p>
    <w:p>
      <w:pPr>
        <w:spacing w:after="0"/>
        <w:jc w:val="left"/>
        <w:rPr>
          <w:sz w:val="15"/>
        </w:rPr>
        <w:sectPr>
          <w:pgSz w:w="12240" w:h="15840"/>
          <w:pgMar w:header="0" w:footer="1240" w:top="1440" w:bottom="1440" w:left="1200" w:right="1060"/>
        </w:sectPr>
      </w:pPr>
    </w:p>
    <w:p>
      <w:pPr>
        <w:pStyle w:val="BodyText"/>
        <w:spacing w:line="357" w:lineRule="auto" w:before="79"/>
        <w:ind w:left="386" w:right="533"/>
      </w:pPr>
      <w:r>
        <w:rPr/>
        <w:t>period.</w:t>
      </w:r>
      <w:r>
        <w:rPr>
          <w:spacing w:val="-9"/>
        </w:rPr>
        <w:t> </w:t>
      </w:r>
      <w:r>
        <w:rPr/>
        <w:t>About</w:t>
      </w:r>
      <w:r>
        <w:rPr>
          <w:spacing w:val="-7"/>
        </w:rPr>
        <w:t> </w:t>
      </w:r>
      <w:r>
        <w:rPr/>
        <w:t>one-third</w:t>
      </w:r>
      <w:r>
        <w:rPr>
          <w:spacing w:val="-8"/>
        </w:rPr>
        <w:t> </w:t>
      </w:r>
      <w:r>
        <w:rPr/>
        <w:t>of</w:t>
      </w:r>
      <w:r>
        <w:rPr>
          <w:spacing w:val="-8"/>
        </w:rPr>
        <w:t> </w:t>
      </w:r>
      <w:r>
        <w:rPr/>
        <w:t>the</w:t>
      </w:r>
      <w:r>
        <w:rPr>
          <w:spacing w:val="-8"/>
        </w:rPr>
        <w:t> </w:t>
      </w:r>
      <w:r>
        <w:rPr/>
        <w:t>goods</w:t>
      </w:r>
      <w:r>
        <w:rPr>
          <w:spacing w:val="-8"/>
        </w:rPr>
        <w:t> </w:t>
      </w:r>
      <w:r>
        <w:rPr/>
        <w:t>and</w:t>
      </w:r>
      <w:r>
        <w:rPr>
          <w:spacing w:val="-7"/>
        </w:rPr>
        <w:t> </w:t>
      </w:r>
      <w:r>
        <w:rPr/>
        <w:t>services</w:t>
      </w:r>
      <w:r>
        <w:rPr>
          <w:spacing w:val="-9"/>
        </w:rPr>
        <w:t> </w:t>
      </w:r>
      <w:r>
        <w:rPr/>
        <w:t>consumed</w:t>
      </w:r>
      <w:r>
        <w:rPr>
          <w:spacing w:val="-8"/>
        </w:rPr>
        <w:t> </w:t>
      </w:r>
      <w:r>
        <w:rPr/>
        <w:t>by</w:t>
      </w:r>
      <w:r>
        <w:rPr>
          <w:spacing w:val="-7"/>
        </w:rPr>
        <w:t> </w:t>
      </w:r>
      <w:r>
        <w:rPr/>
        <w:t>UK</w:t>
      </w:r>
      <w:r>
        <w:rPr>
          <w:spacing w:val="-8"/>
        </w:rPr>
        <w:t> </w:t>
      </w:r>
      <w:r>
        <w:rPr/>
        <w:t>households</w:t>
      </w:r>
      <w:r>
        <w:rPr>
          <w:spacing w:val="-7"/>
        </w:rPr>
        <w:t> </w:t>
      </w:r>
      <w:r>
        <w:rPr/>
        <w:t>are</w:t>
      </w:r>
      <w:r>
        <w:rPr>
          <w:spacing w:val="-8"/>
        </w:rPr>
        <w:t> </w:t>
      </w:r>
      <w:r>
        <w:rPr/>
        <w:t>imported,</w:t>
      </w:r>
      <w:r>
        <w:rPr>
          <w:spacing w:val="-8"/>
        </w:rPr>
        <w:t> </w:t>
      </w:r>
      <w:r>
        <w:rPr/>
        <w:t>so</w:t>
      </w:r>
      <w:r>
        <w:rPr>
          <w:spacing w:val="-9"/>
        </w:rPr>
        <w:t> </w:t>
      </w:r>
      <w:r>
        <w:rPr/>
        <w:t>that</w:t>
      </w:r>
      <w:r>
        <w:rPr>
          <w:spacing w:val="-7"/>
        </w:rPr>
        <w:t> </w:t>
      </w:r>
      <w:r>
        <w:rPr/>
        <w:t>falls</w:t>
      </w:r>
      <w:r>
        <w:rPr>
          <w:spacing w:val="-8"/>
        </w:rPr>
        <w:t> </w:t>
      </w:r>
      <w:r>
        <w:rPr/>
        <w:t>in prices</w:t>
      </w:r>
      <w:r>
        <w:rPr>
          <w:spacing w:val="-6"/>
        </w:rPr>
        <w:t> </w:t>
      </w:r>
      <w:r>
        <w:rPr/>
        <w:t>abroad</w:t>
      </w:r>
      <w:r>
        <w:rPr>
          <w:spacing w:val="-3"/>
        </w:rPr>
        <w:t> </w:t>
      </w:r>
      <w:r>
        <w:rPr/>
        <w:t>would</w:t>
      </w:r>
      <w:r>
        <w:rPr>
          <w:spacing w:val="-6"/>
        </w:rPr>
        <w:t> </w:t>
      </w:r>
      <w:r>
        <w:rPr/>
        <w:t>reduce</w:t>
      </w:r>
      <w:r>
        <w:rPr>
          <w:spacing w:val="-5"/>
        </w:rPr>
        <w:t> </w:t>
      </w:r>
      <w:r>
        <w:rPr/>
        <w:t>the</w:t>
      </w:r>
      <w:r>
        <w:rPr>
          <w:spacing w:val="-4"/>
        </w:rPr>
        <w:t> </w:t>
      </w:r>
      <w:r>
        <w:rPr/>
        <w:t>prices</w:t>
      </w:r>
      <w:r>
        <w:rPr>
          <w:spacing w:val="-4"/>
        </w:rPr>
        <w:t> </w:t>
      </w:r>
      <w:r>
        <w:rPr/>
        <w:t>UK</w:t>
      </w:r>
      <w:r>
        <w:rPr>
          <w:spacing w:val="-6"/>
        </w:rPr>
        <w:t> </w:t>
      </w:r>
      <w:r>
        <w:rPr/>
        <w:t>consumers</w:t>
      </w:r>
      <w:r>
        <w:rPr>
          <w:spacing w:val="-5"/>
        </w:rPr>
        <w:t> </w:t>
      </w:r>
      <w:r>
        <w:rPr/>
        <w:t>are</w:t>
      </w:r>
      <w:r>
        <w:rPr>
          <w:spacing w:val="-6"/>
        </w:rPr>
        <w:t> </w:t>
      </w:r>
      <w:r>
        <w:rPr/>
        <w:t>willing</w:t>
      </w:r>
      <w:r>
        <w:rPr>
          <w:spacing w:val="-5"/>
        </w:rPr>
        <w:t> </w:t>
      </w:r>
      <w:r>
        <w:rPr/>
        <w:t>to</w:t>
      </w:r>
      <w:r>
        <w:rPr>
          <w:spacing w:val="-4"/>
        </w:rPr>
        <w:t> </w:t>
      </w:r>
      <w:r>
        <w:rPr/>
        <w:t>pay</w:t>
      </w:r>
      <w:r>
        <w:rPr>
          <w:spacing w:val="-5"/>
        </w:rPr>
        <w:t> </w:t>
      </w:r>
      <w:r>
        <w:rPr/>
        <w:t>for</w:t>
      </w:r>
      <w:r>
        <w:rPr>
          <w:spacing w:val="-4"/>
        </w:rPr>
        <w:t> </w:t>
      </w:r>
      <w:r>
        <w:rPr/>
        <w:t>certain</w:t>
      </w:r>
      <w:r>
        <w:rPr>
          <w:spacing w:val="-5"/>
        </w:rPr>
        <w:t> </w:t>
      </w:r>
      <w:r>
        <w:rPr/>
        <w:t>goods.</w:t>
      </w:r>
      <w:r>
        <w:rPr>
          <w:spacing w:val="-5"/>
        </w:rPr>
        <w:t> </w:t>
      </w:r>
      <w:r>
        <w:rPr/>
        <w:t>UK</w:t>
      </w:r>
      <w:r>
        <w:rPr>
          <w:spacing w:val="-4"/>
        </w:rPr>
        <w:t> </w:t>
      </w:r>
      <w:r>
        <w:rPr/>
        <w:t>exports</w:t>
      </w:r>
    </w:p>
    <w:p>
      <w:pPr>
        <w:spacing w:after="0" w:line="357" w:lineRule="auto"/>
        <w:sectPr>
          <w:pgSz w:w="12240" w:h="15840"/>
          <w:pgMar w:header="0" w:footer="1240" w:top="1440" w:bottom="1440" w:left="1200" w:right="1060"/>
        </w:sectPr>
      </w:pPr>
    </w:p>
    <w:p>
      <w:pPr>
        <w:pStyle w:val="BodyText"/>
        <w:spacing w:line="357" w:lineRule="auto"/>
        <w:ind w:left="386"/>
      </w:pPr>
      <w:r>
        <w:rPr/>
        <w:t>currently constitute about 30% of GDP, which can make it difficult for UK companies to raise prices if competitors located elsewhere are offering similar products at lower prices. These spillovers from inflation</w:t>
      </w:r>
      <w:r>
        <w:rPr>
          <w:spacing w:val="-10"/>
        </w:rPr>
        <w:t> </w:t>
      </w:r>
      <w:r>
        <w:rPr/>
        <w:t>rates</w:t>
      </w:r>
      <w:r>
        <w:rPr>
          <w:spacing w:val="-7"/>
        </w:rPr>
        <w:t> </w:t>
      </w:r>
      <w:r>
        <w:rPr/>
        <w:t>in</w:t>
      </w:r>
      <w:r>
        <w:rPr>
          <w:spacing w:val="-8"/>
        </w:rPr>
        <w:t> </w:t>
      </w:r>
      <w:r>
        <w:rPr/>
        <w:t>other</w:t>
      </w:r>
      <w:r>
        <w:rPr>
          <w:spacing w:val="-9"/>
        </w:rPr>
        <w:t> </w:t>
      </w:r>
      <w:r>
        <w:rPr/>
        <w:t>countries</w:t>
      </w:r>
      <w:r>
        <w:rPr>
          <w:spacing w:val="-8"/>
        </w:rPr>
        <w:t> </w:t>
      </w:r>
      <w:r>
        <w:rPr/>
        <w:t>may</w:t>
      </w:r>
      <w:r>
        <w:rPr>
          <w:spacing w:val="-8"/>
        </w:rPr>
        <w:t> </w:t>
      </w:r>
      <w:r>
        <w:rPr/>
        <w:t>have</w:t>
      </w:r>
      <w:r>
        <w:rPr>
          <w:spacing w:val="-9"/>
        </w:rPr>
        <w:t> </w:t>
      </w:r>
      <w:r>
        <w:rPr/>
        <w:t>grown</w:t>
      </w:r>
      <w:r>
        <w:rPr>
          <w:spacing w:val="-8"/>
        </w:rPr>
        <w:t> </w:t>
      </w:r>
      <w:r>
        <w:rPr/>
        <w:t>as countries have become more connected through trade flows, as well as due to how the internet has made it easier to compare prices and shop across borders.</w:t>
      </w:r>
    </w:p>
    <w:p>
      <w:pPr>
        <w:spacing w:line="278" w:lineRule="auto" w:before="61"/>
        <w:ind w:left="229" w:right="627" w:firstLine="0"/>
        <w:jc w:val="left"/>
        <w:rPr>
          <w:b/>
          <w:sz w:val="18"/>
        </w:rPr>
      </w:pPr>
      <w:r>
        <w:rPr/>
        <w:br w:type="column"/>
      </w:r>
      <w:r>
        <w:rPr>
          <w:b/>
          <w:sz w:val="18"/>
        </w:rPr>
        <w:t>Figure 6: Growth in Average Weekly Earnings (AWE)</w:t>
      </w:r>
    </w:p>
    <w:p>
      <w:pPr>
        <w:spacing w:before="122"/>
        <w:ind w:left="2551" w:right="0" w:firstLine="0"/>
        <w:jc w:val="left"/>
        <w:rPr>
          <w:sz w:val="18"/>
        </w:rPr>
      </w:pPr>
      <w:r>
        <w:rPr>
          <w:sz w:val="18"/>
        </w:rPr>
        <w:t>Percentage change in</w:t>
      </w:r>
    </w:p>
    <w:p>
      <w:pPr>
        <w:tabs>
          <w:tab w:pos="4626" w:val="right" w:leader="none"/>
        </w:tabs>
        <w:spacing w:line="213" w:lineRule="auto" w:before="24"/>
        <w:ind w:left="2551" w:right="627" w:firstLine="0"/>
        <w:jc w:val="left"/>
        <w:rPr>
          <w:sz w:val="18"/>
        </w:rPr>
      </w:pPr>
      <w:r>
        <w:rPr/>
        <w:pict>
          <v:group style="position:absolute;margin-left:317.880005pt;margin-top:14.10945pt;width:198.6pt;height:153.8pt;mso-position-horizontal-relative:page;mso-position-vertical-relative:paragraph;z-index:-254980096" coordorigin="6358,282" coordsize="3972,3076">
            <v:line style="position:absolute" from="10273,289" to="10273,3351" stroked="true" strokeweight=".72pt" strokecolor="#868686">
              <v:stroke dashstyle="solid"/>
            </v:line>
            <v:shape style="position:absolute;left:10273;top:282;width:57;height:3076" coordorigin="10273,282" coordsize="57,3076" path="m10330,3343l10273,3343,10273,3358,10330,3358,10330,3343m10330,2907l10273,2907,10273,2920,10330,2920,10330,2907m10330,2469l10273,2469,10273,2483,10330,2483,10330,2469m10330,2032l10273,2032,10273,2046,10330,2046,10330,2032m10330,1594l10273,1594,10273,1608,10330,1608,10330,1594m10330,1157l10273,1157,10273,1171,10330,1171,10330,1157m10330,719l10273,719,10273,733,10330,733,10330,719m10330,282l10273,282,10273,297,10330,297,10330,282e" filled="true" fillcolor="#868686" stroked="false">
              <v:path arrowok="t"/>
              <v:fill type="solid"/>
            </v:shape>
            <v:line style="position:absolute" from="6421,2039" to="10273,2039" stroked="true" strokeweight=".72pt" strokecolor="#868686">
              <v:stroke dashstyle="solid"/>
            </v:line>
            <v:shape style="position:absolute;left:6415;top:2038;width:3851;height:57" coordorigin="6415,2039" coordsize="3851,57" path="m6428,2039l6415,2039,6415,2095,6428,2095,6428,2039m6979,2039l6965,2039,6965,2095,6979,2095,6979,2039m7529,2039l7516,2039,7516,2095,7529,2095,7529,2039m8080,2039l8065,2039,8065,2095,8080,2095,8080,2039m8616,2039l8602,2039,8602,2095,8616,2095,8616,2039m9166,2039l9151,2039,9151,2095,9166,2095,9166,2039m9716,2039l9702,2039,9702,2095,9716,2095,9716,2039m10266,2039l10252,2039,10252,2095,10266,2095,10266,2039e" filled="true" fillcolor="#868686" stroked="false">
              <v:path arrowok="t"/>
              <v:fill type="solid"/>
            </v:shape>
            <v:shape style="position:absolute;left:6415;top:589;width:3866;height:2120" coordorigin="6415,590" coordsize="3866,2120" path="m8629,2706l8629,2710,8631,2709,8629,2706xm8700,1850l8672,1850,8644,2190,8631,2655,8656,2690,8631,2709,8632,2710,8658,2710,8672,2190,8693,1934,8690,1930,8687,1930,8672,1870,8700,1850xm8631,2655l8629,2706,8631,2709,8656,2690,8631,2655xm8628,2652l8629,2670,8604,2670,8629,2706,8631,2655,8628,2652xm8558,1430l8531,1430,8560,1550,8573,2190,8602,2670,8629,2670,8627,2650,8628,2650,8602,2190,8587,1550,8558,1430xm8627,2650l8629,2670,8628,2652,8627,2650xm8628,2650l8627,2650,8628,2652,8628,2650xm9998,1650l9978,1650,9949,1670,9990,1670,9971,1683,9998,1890,10013,1990,10040,2090,10048,2017,10040,1990,10026,1890,9998,1650xm10048,2017l10040,2090,10068,2090,10048,2017xm10106,1930l10055,1930,10055,1950,10048,2017,10068,2090,10082,1950,10079,1950,10106,1930xm8700,1850l8693,1934,8718,1970,8813,1970,8817,1950,8738,1950,8724,1930,8714,1930,8710,1910,8711,1910,8700,1850xm8840,1830l8813,1830,8785,1950,8817,1950,8840,1830xm9701,1830l9674,1830,9702,1950,9708,1854,9701,1830xm9708,1854l9702,1950,9730,1930,9708,1854xm9744,1710l9716,1710,9708,1854,9730,1930,9702,1950,9730,1950,9744,1710xm8700,1850l8672,1870,8687,1930,8690,1930,8693,1934,8700,1850xm8710,1910l8714,1930,8711,1912,8710,1910xm8711,1912l8714,1930,8724,1930,8711,1912xm10170,1590l10168,1590,10154,1650,10126,1730,10111,1830,10084,1910,10087,1910,10058,1930,10110,1930,10110,1910,10139,1830,10153,1730,10152,1730,10181,1650,10189,1617,10170,1590xm8711,1910l8710,1910,8711,1912,8711,1910xm9850,1890l9836,1890,9840,1910,9845,1910,9850,1890xm9430,1819l9420,1870,9422,1890,9446,1890,9448,1870,9433,1830,9430,1819xm9814,1790l9787,1790,9816,1870,9830,1890,9853,1890,9881,1870,9833,1870,9848,1859,9842,1850,9814,1790xm9376,1590l9329,1590,9335,1610,9349,1610,9378,1730,9406,1830,9420,1870,9430,1819,9406,1730,9377,1610,9376,1590xm9516,1650l9463,1650,9448,1730,9430,1819,9433,1830,9448,1870,9475,1730,9490,1670,9530,1670,9516,1650xm9848,1859l9833,1870,9856,1870,9848,1859xm9970,1670l9942,1670,9928,1750,9930,1750,9901,1790,9874,1830,9875,1830,9862,1850,9848,1859,9856,1870,9881,1870,9895,1850,9896,1850,9925,1810,9953,1770,9955,1770,9967,1690,9962,1690,9970,1670xm9655,1770l9658,1790,9634,1790,9678,1850,9674,1830,9700,1830,9655,1770xm8828,1790l8814,1830,8839,1830,8854,1810,8827,1810,8828,1790xm8890,1110l8869,1110,8869,1130,8855,1450,8827,1810,8855,1810,8884,1450,8897,1144,8878,1130,8918,1130,8890,1110xm8899,1145l8926,1470,8940,1810,8968,1810,8940,1790,8964,1708,8954,1470,8927,1150,8905,1150,8899,1145xm8964,1708l8940,1790,8968,1810,8964,1708xm9080,1570l9043,1570,9013,1610,8984,1650,8983,1650,8969,1690,8964,1708,8968,1810,8996,1710,9010,1670,9008,1670,9036,1630,9035,1630,9060,1606,9054,1590,9087,1590,9080,1570xm9601,1670l9584,1670,9572,1681,9578,1690,9576,1690,9605,1730,9632,1790,9658,1790,9630,1730,9601,1670xm9786,1530l9760,1530,9758,1550,9786,1790,9815,1790,9800,1670,9773,1670,9786,1550,9786,1530xm9758,1550l9744,1650,9745,1650,9718,1710,9744,1710,9743,1730,9770,1670,9772,1670,9758,1550xm9530,1670l9492,1670,9521,1710,9540,1710,9562,1690,9522,1690,9533,1674,9530,1670xm10228,1643l10224,1688,10225,1690,10228,1710,10247,1710,10252,1690,10250,1690,10228,1643xm9533,1674l9522,1690,9545,1690,9533,1674xm9584,1650l9565,1650,9536,1670,9533,1674,9545,1690,9562,1690,9572,1681,9565,1670,9601,1670,9584,1650xm9970,1670l9962,1690,9967,1686,9970,1670xm9967,1686l9962,1690,9967,1690,9967,1686xm10224,1688l10224,1690,10225,1690,10224,1688xm10266,1530l10238,1530,10228,1643,10250,1690,10252,1690,10266,1530xm10195,1592l10189,1617,10198,1630,10224,1688,10228,1643,10222,1630,10195,1592xm9970,1670l9967,1686,9971,1683,9970,1670xm9990,1670l9970,1670,9971,1683,9990,1670xm9584,1670l9565,1670,9572,1681,9584,1670xm9087,1590l9077,1590,9060,1606,9082,1670,9109,1670,9113,1650,9082,1650,9091,1601,9087,1590xm9786,1550l9773,1670,9800,1670,9786,1550xm9091,1601l9082,1650,9108,1650,9091,1601xm9133,1510l9109,1510,9091,1601,9108,1650,9113,1650,9131,1561,9127,1550,9124,1550,9124,1546,9110,1530,9128,1530,9133,1510xm10190,1570l10174,1570,10169,1590,10170,1590,10189,1617,10195,1592,10193,1590,10190,1570xm9267,1446l9278,1530,9280,1530,9307,1610,9335,1610,9320,1590,9329,1590,9306,1510,9296,1450,9272,1450,9267,1446xm9329,1590l9320,1590,9335,1610,9329,1590xm9077,1590l9054,1590,9060,1606,9077,1590xm10195,1590l10193,1590,10195,1592,10195,1590xm9143,1530l9137,1530,9131,1561,9133,1570,9145,1570,9150,1550,9143,1530xm9180,1430l9179,1430,9160,1513,9166,1570,9191,1570,9192,1568,9167,1550,9188,1504,9180,1430xm9194,1562l9192,1568,9194,1570,9194,1562xm9188,1504l9167,1550,9192,1568,9194,1562,9188,1504xm9221,1490l9194,1490,9188,1504,9194,1562,9221,1490xm9152,1433l9124,1546,9127,1550,9131,1561,9137,1530,9143,1530,9136,1510,9159,1510,9152,1433xm6821,1290l6797,1290,6797,1310,6798,1310,6826,1350,6824,1350,6853,1430,6869,1430,6896,1470,6910,1490,6938,1550,6964,1550,6965,1530,6937,1530,6942,1501,6935,1490,6920,1450,6892,1410,6880,1410,6851,1330,6850,1330,6821,1290xm9124,1546l9124,1550,9127,1550,9124,1546xm9159,1510l9136,1510,9150,1550,9151,1550,9160,1513,9159,1510xm10280,1470l10267,1470,10240,1530,10266,1530,10265,1550,10280,1510,10280,1470xm9128,1530l9110,1530,9124,1546,9128,1530xm6942,1501l6937,1530,6962,1530,6942,1501xm7003,1350l6966,1350,6965,1370,6942,1501,6962,1530,6965,1530,6992,1370,7003,1370,7003,1350xm9179,1430l9152,1430,9152,1433,9160,1513,9179,1430xm9257,1410l9236,1410,9223,1450,9227,1450,9196,1490,9221,1490,9218,1510,9246,1470,9250,1470,9260,1441,9244,1430,9284,1430,9257,1410xm7036,1310l7033,1310,7010,1342,7021,1470,7045,1470,7048,1468,7026,1450,7047,1436,7036,1310xm7050,1467l7048,1468,7050,1470,7050,1467xm7047,1436l7026,1450,7048,1468,7050,1467,7047,1436xm7172,1250l7122,1250,7121,1270,7092,1350,7078,1430,7056,1430,7047,1436,7050,1467,7074,1450,7104,1450,7105,1430,7120,1350,7147,1270,7144,1270,7172,1250xm8527,1390l8530,1410,8507,1410,8534,1450,8531,1430,8555,1430,8527,1390xm9265,1430l9267,1446,9272,1450,9265,1430xm9293,1430l9265,1430,9272,1450,9296,1450,9293,1430xm9265,1430l9264,1430,9260,1441,9267,1446,9265,1430xm9264,1430l9244,1430,9260,1441,9264,1430xm9152,1430l9151,1430,9152,1433,9152,1430xm6626,1050l6598,1050,6612,1190,6613,1190,6641,1250,6670,1350,6684,1390,6685,1410,6737,1410,6738,1390,6710,1390,6697,1370,6703,1370,6696,1350,6667,1250,6640,1170,6641,1170,6626,1050xm7250,1344l7234,1390,7235,1410,7259,1410,7260,1390,7261,1388,7250,1344xm8404,1030l8376,1030,8374,1043,8383,1050,8376,1050,8390,1150,8418,1250,8447,1330,8461,1390,8462,1410,8484,1410,8497,1392,8496,1390,8465,1390,8482,1365,8474,1330,8446,1230,8418,1130,8404,1030xm8516,1370l8513,1370,8497,1392,8503,1410,8530,1410,8516,1370xm8513,1370l8489,1370,8497,1392,8513,1370xm6703,1370l6697,1370,6710,1390,6703,1370xm6719,1370l6703,1370,6710,1390,6712,1390,6719,1370xm6782,1250l6755,1250,6754,1270,6726,1350,6712,1390,6725,1370,6745,1370,6781,1270,6778,1270,6787,1263,6782,1250xm6745,1370l6725,1370,6712,1390,6738,1390,6745,1370xm7190,1210l7205,1290,7234,1390,7250,1344,7223,1230,7205,1230,7190,1210xm7261,1388l7260,1390,7261,1390,7261,1388xm8482,1365l8465,1390,8488,1390,8482,1365xm8514,1350l8492,1350,8482,1365,8488,1390,8496,1390,8489,1370,8516,1370,8514,1350xm7304,1070l7276,1170,7261,1310,7262,1310,7250,1344,7261,1388,7289,1310,7303,1190,7319,1119,7319,1110,7304,1070xm6983,1330l6968,1350,6982,1350,6983,1330xm7007,1313l6982,1350,7004,1350,7010,1342,7007,1313xm7031,1290l7013,1290,7009,1310,7007,1313,7010,1342,7033,1310,7034,1310,7031,1290xm7009,1310l7007,1310,7007,1313,7009,1310xm6809,1230l6790,1230,6756,1250,6805,1250,6787,1263,6796,1290,6823,1290,6809,1230xm6805,1250l6782,1250,6787,1263,6805,1250xm7189,1210l7176,1230,7152,1230,7124,1250,7175,1250,7189,1210xm7217,1190l7166,1190,7164,1210,7150,1230,7176,1230,7189,1210,7218,1210,7217,1190xm7190,1210l7189,1210,7182,1230,7194,1230,7190,1210xm7218,1210l7190,1210,7205,1230,7223,1230,7218,1210xm8231,950l8234,970,8210,970,8239,1010,8234,1010,8263,1170,8278,1230,8333,1230,8338,1210,8305,1210,8291,1170,8262,990,8261,990,8231,950xm8038,610l8009,850,7981,990,7967,1130,7968,1130,7944,1179,7958,1190,7918,1190,7954,1210,7966,1210,7993,1150,7994,1150,7994,1130,8009,990,8036,850,8052,717,8051,710,8038,610xm8368,1010l8348,1010,8347,1030,8334,1110,8305,1210,8338,1210,8362,1110,8374,1043,8356,1030,8396,1030,8368,1010xm7798,830l7754,1010,7745,1119,7766,1150,7743,1169,7744,1170,7746,1190,7752,1190,7764,1170,7769,1170,7783,1010,7810,893,7798,830xm7902,990l7895,990,7882,1019,7897,1050,7896,1050,7910,1190,7939,1190,7944,1179,7931,1170,7938,1170,7924,1050,7902,990xm7944,1179l7939,1190,7958,1190,7944,1179xm7741,1167l7741,1170,7743,1169,7741,1167xm7745,1119l7741,1167,7743,1169,7766,1150,7745,1119xm7668,990l7650,990,7619,1010,7662,1010,7650,1018,7673,1050,7670,1050,7685,1090,7687,1090,7715,1130,7741,1167,7745,1119,7739,1110,7710,1070,7712,1070,7698,1030,7696,1030,7668,990xm8898,1130l8899,1145,8905,1150,8898,1130xm8926,1130l8898,1130,8905,1150,8927,1150,8926,1130xm8898,1130l8897,1144,8899,1145,8898,1130xm8898,1130l8878,1130,8897,1144,8898,1130xm7332,1072l7327,1085,7319,1119,7320,1130,7343,1130,7345,1110,7332,1072xm8162,1090l8142,1090,8124,1110,8101,1110,8130,1130,8143,1130,8148,1110,8162,1090xm7327,1085l7319,1110,7319,1119,7327,1085xm7328,1050l7306,1050,7304,1070,7319,1110,7327,1085,7331,1070,7328,1050xm7394,1030l7346,1030,7332,1072,7345,1110,7373,1050,7366,1050,7394,1030xm7525,950l7529,970,7505,970,7534,1010,7530,1010,7558,1090,7560,1110,7584,1110,7591,1090,7559,1090,7574,1051,7556,990,7555,990,7525,950xm8065,610l8052,717,8080,850,8094,1090,8094,1110,8124,1110,8138,1090,8122,1090,8107,850,8080,690,8065,610xm8176,1070l8153,1070,8124,1110,8142,1090,8162,1090,8176,1070xm7574,1051l7559,1090,7585,1090,7574,1051xm7642,1010l7614,1010,7601,1050,7574,1050,7574,1051,7585,1090,7591,1090,7598,1070,7626,1070,7627,1050,7642,1010xm7620,1070l7598,1070,7592,1090,7620,1070xm7331,1070l7327,1085,7332,1072,7331,1070xm8192,930l8165,1010,8150,1070,8178,1070,8192,1010,8206,969,8192,930xm6554,870l6535,870,6525,877,6527,890,6548,890,6531,902,6557,990,6571,990,6599,1050,6625,1050,6595,970,6583,970,6556,890,6554,870xm8376,1030l8356,1030,8374,1043,8376,1030xm7378,1012l7354,1030,7374,1030,7378,1012xm7381,1010l7378,1012,7374,1030,7381,1010xm7406,1010l7381,1010,7374,1030,7402,1030,7406,1010xm7644,1010l7642,1010,7634,1030,7650,1018,7644,1010xm7863,987l7856,1009,7856,1010,7859,1030,7878,1030,7882,1019,7875,1004,7863,987xm7875,1004l7882,1019,7886,1010,7879,1010,7875,1004xm7662,1010l7644,1010,7650,1018,7662,1010xm7416,970l7388,970,7378,1012,7381,1010,7406,1010,7411,990,7409,990,7416,970xm7856,1009l7855,1010,7856,1010,7856,1009xm7895,990l7868,990,7875,1004,7879,1010,7886,1010,7895,990xm7852,970l7828,970,7856,1009,7863,987,7852,970xm7895,970l7870,970,7863,987,7875,1004,7868,990,7902,990,7895,970xm7416,970l7409,990,7412,988,7416,970xm7412,988l7409,990,7411,990,7412,988xm7436,970l7416,970,7412,988,7436,970xm7472,890l7446,890,7417,950,7392,950,7390,970,7444,970,7456,942,7445,910,7470,910,7475,898,7472,890xm7514,890l7513,890,7494,931,7501,970,7529,970,7514,890xm7825,830l7811,890,7810,893,7825,970,7853,970,7825,830xm8220,930l8206,969,8207,970,8234,970,8220,930xm8218,910l8195,910,8192,930,8206,969,8220,930,8218,910xm7479,910l7471,910,7456,942,7459,950,7486,950,7494,931,7494,930,7486,930,7479,910xm7470,910l7445,910,7456,942,7462,930,7460,930,7470,910xm7513,890l7487,890,7494,931,7513,890xm7475,898l7460,930,7462,930,7471,910,7479,910,7475,898xm7514,870l7488,870,7475,898,7486,930,7494,930,7487,890,7514,890,7514,870xm6516,810l6512,810,6491,854,6499,910,6520,910,6531,902,6528,890,6508,890,6525,877,6516,810xm6548,890l6528,890,6531,902,6548,890xm7824,810l7799,810,7798,830,7810,893,7811,890,7825,830,7824,810xm6457,610l6431,610,6430,611,6456,630,6442,650,6438,650,6434,660,6457,870,6463,890,6481,890,6484,870,6458,870,6479,811,6457,610xm6525,877l6508,890,6527,890,6525,877xm6479,811l6458,870,6484,870,6485,868,6479,811xm6485,868l6484,870,6485,870,6485,868xm6514,790l6486,790,6479,811,6485,868,6491,854,6485,810,6516,810,6514,790xm6512,810l6485,810,6491,854,6512,810xm8064,590l8038,590,8038,611,8051,710,8052,717,8065,610,8064,590xm6429,613l6416,630,6415,650,6430,670,6434,660,6429,613xm6430,611l6429,613,6434,660,6438,650,6442,650,6456,630,6430,611xm6428,610l6429,613,6430,611,6428,610xe" filled="true" fillcolor="#4a7ebb" stroked="false">
              <v:path arrowok="t"/>
              <v:fill type="solid"/>
            </v:shape>
            <v:shape style="position:absolute;left:6415;top:526;width:3866;height:2000" coordorigin="6415,526" coordsize="3866,2000" path="m8629,2524l8629,2526,8630,2525,8629,2524xm8696,2186l8672,2186,8644,2386,8636,2462,8657,2506,8630,2525,8630,2526,8658,2526,8672,2386,8697,2226,8693,2226,8676,2206,8710,2206,8696,2186xm8636,2462l8629,2524,8630,2525,8657,2506,8636,2462xm8628,2446l8603,2446,8629,2524,8636,2462,8628,2446xm8558,1466l8510,1466,8539,1486,8531,1486,8560,1706,8573,2046,8602,2446,8629,2446,8602,2046,8587,1706,8558,1466xm8810,2226l8788,2226,8770,2251,8780,2266,8747,2266,8761,2286,8780,2286,8783,2266,8810,2226xm8737,2206l8700,2206,8697,2226,8717,2226,8744,2266,8759,2266,8770,2251,8766,2246,8768,2246,8737,2206xm8770,2251l8759,2266,8780,2266,8770,2251xm8700,2206l8676,2206,8693,2226,8697,2226,8700,2206xm8926,1206l8869,1206,8869,1230,8855,1623,8855,1627,8827,2046,8813,2106,8785,2226,8813,2226,8840,2106,8855,2066,8855,2046,8884,1627,8884,1619,8897,1246,8884,1246,8898,1226,8926,1226,8926,1206xm9998,1626l9970,1626,9972,1646,9972,1646,9998,1926,10013,2066,10068,2066,10068,2046,10040,2046,10026,1926,10000,1646,9972,1646,9971,1645,10000,1645,9998,1626xm10082,1846l10055,1846,10040,2046,10068,2046,10082,1846xm9707,1871l9702,1966,9704,1986,9730,1986,9729,1965,9707,1871xm8898,1226l8926,1526,8940,1966,8966,1966,8967,1965,8940,1946,8964,1832,8954,1526,8928,1246,8911,1246,8898,1226xm8967,1961l8967,1965,8968,1966,8967,1961xm9446,1946l9421,1946,9427,1966,9440,1966,9446,1946xm9601,1686l9576,1686,9605,1746,9632,1826,9648,1826,9676,1866,9674,1866,9702,1966,9707,1871,9701,1846,9700,1846,9671,1806,9659,1806,9601,1686xm9772,1586l9745,1586,9716,1686,9707,1871,9730,1966,9744,1686,9772,1586xm8964,1832l8940,1946,8967,1965,8967,1961,8964,1832xm9038,1646l9011,1646,8983,1766,8969,1806,8964,1832,8967,1961,8996,1826,9010,1786,9038,1646xm9373,1566l9349,1566,9378,1726,9406,1846,9420,1946,9434,1853,9433,1846,9406,1706,9381,1586,9356,1586,9373,1566xm9434,1853l9420,1946,9448,1946,9434,1853xm9490,1646l9462,1646,9448,1766,9434,1853,9448,1946,9476,1766,9490,1646xm10194,1486l10168,1486,10154,1566,10126,1646,10111,1766,10114,1766,10085,1806,10087,1806,10056,1846,10079,1846,10109,1826,10136,1786,10139,1786,10139,1766,10153,1646,10152,1646,10181,1566,10185,1542,10169,1506,10194,1487,10194,1486xm9814,1726l9787,1726,9816,1806,9838,1826,9850,1826,9867,1814,9862,1806,9836,1806,9841,1803,9814,1726xm9967,1586l9942,1586,9928,1706,9929,1706,9900,1766,9901,1766,9884,1791,9895,1806,9877,1806,9867,1814,9875,1826,9896,1826,9925,1786,9926,1786,9955,1706,9964,1634,9944,1606,9968,1587,9967,1586xm9877,1806l9862,1806,9867,1814,9877,1806xm9841,1803l9836,1806,9842,1806,9841,1803xm9842,1803l9841,1803,9842,1806,9842,1803xm9848,1799l9842,1803,9842,1806,9853,1806,9848,1799xm9881,1786l9870,1786,9848,1799,9853,1806,9874,1806,9884,1791,9881,1786xm9884,1791l9874,1806,9895,1806,9884,1791xm9839,1786l9842,1803,9848,1799,9839,1786xm9192,1706l9167,1706,9172,1726,9186,1726,9192,1706xm9780,1426l9766,1426,9758,1446,9786,1726,9815,1726,9800,1586,9773,1586,9786,1446,9780,1426xm9180,1566l9175,1566,9154,1596,9166,1706,9185,1613,9180,1566xm9185,1613l9166,1706,9193,1706,9194,1702,9185,1613xm9194,1702l9193,1706,9194,1706,9194,1702xm9244,1406l9222,1406,9194,1566,9185,1613,9194,1702,9222,1566,9246,1426,9246,1426,9249,1410,9244,1406xm9080,1606l9077,1606,9062,1627,9084,1686,9109,1686,9112,1666,9082,1666,9088,1622,9080,1606xm9589,1606l9569,1606,9540,1626,9581,1626,9563,1639,9575,1686,9602,1686,9589,1606xm6937,1664l6937,1666,6938,1666,6937,1664xm7030,1346l7010,1346,6979,1426,6966,1466,6965,1466,6944,1619,6964,1646,6938,1666,6938,1666,6965,1666,6992,1486,7007,1446,7012,1432,7007,1366,7034,1366,7030,1346xm9078,1586l9056,1586,9043,1606,9014,1646,9038,1646,9035,1666,9062,1627,9054,1606,9080,1606,9078,1586xm9088,1622l9082,1666,9108,1666,9088,1622xm9137,1466l9109,1466,9088,1622,9108,1666,9112,1666,9123,1584,9109,1486,9139,1486,9137,1466xm9516,1606l9504,1623,9521,1646,9523,1666,9540,1666,9557,1646,9522,1646,9533,1630,9516,1606xm6944,1619l6937,1664,6938,1666,6964,1646,6944,1619xm6935,1606l6910,1606,6937,1664,6944,1619,6935,1606xm9492,1606l9464,1646,9487,1646,9504,1623,9492,1606xm9533,1630l9522,1646,9545,1646,9533,1630xm9560,1626l9536,1626,9533,1630,9545,1646,9553,1646,9563,1639,9560,1626xm9970,1626l9971,1645,9972,1646,9970,1626xm10195,1488l10185,1542,10196,1566,10225,1646,10252,1646,10252,1626,10224,1626,10228,1577,10223,1566,10195,1488xm9969,1589l9964,1634,9971,1645,9970,1626,9996,1626,9969,1589xm9581,1626l9560,1626,9563,1639,9581,1626xm9968,1587l9944,1606,9964,1634,9969,1589,9968,1587xm9077,1606l9054,1606,9062,1627,9077,1606xm10228,1577l10224,1626,10250,1626,10228,1577xm10280,1326l10277,1326,10268,1346,10267,1346,10238,1446,10228,1577,10250,1626,10252,1626,10266,1446,10280,1406,10280,1326xm9514,1586l9496,1586,9492,1606,9504,1623,9516,1606,9514,1586xm6829,1284l6852,1386,6866,1426,6895,1526,6908,1606,6936,1606,6922,1526,6894,1426,6880,1366,6858,1286,6832,1286,6829,1284xm9139,1486l9137,1486,9123,1584,9124,1586,9124,1606,9148,1606,9154,1596,9153,1586,9127,1586,9148,1558,9139,1486xm9175,1566l9151,1566,9154,1596,9175,1566xm9970,1586l9968,1587,9969,1589,9970,1586xm7042,1566l7025,1566,7032,1586,7038,1586,7042,1566xm7098,1566l7086,1566,7090,1586,7094,1586,7098,1566xm9148,1558l9127,1586,9151,1586,9148,1558xm9179,1546l9156,1546,9148,1558,9151,1586,9153,1586,9151,1566,9180,1566,9179,1546xm9266,1422l9278,1526,9278,1546,9281,1546,9310,1586,9353,1586,9349,1566,9332,1566,9305,1526,9307,1526,9295,1426,9272,1426,9266,1422xm9376,1546l9356,1546,9340,1566,9373,1566,9356,1586,9381,1586,9377,1566,9376,1546xm9758,1446l9744,1586,9772,1586,9758,1446xm9786,1446l9773,1586,9800,1586,9786,1446xm9959,1566l9947,1586,9964,1586,9959,1566xm9137,1486l9109,1486,9123,1584,9137,1486xm7036,1366l7034,1366,7012,1432,7021,1566,7050,1566,7030,1546,7048,1533,7036,1366xm7048,1533l7030,1546,7050,1566,7048,1533xm7070,1526l7057,1526,7048,1533,7050,1566,7078,1566,7083,1535,7070,1526xm7083,1535l7078,1566,7098,1546,7083,1535xm7163,1226l7148,1286,7121,1366,7092,1486,7083,1535,7098,1546,7078,1566,7105,1566,7120,1486,7148,1386,7176,1306,7190,1246,7163,1246,7163,1226xm10194,1487l10169,1506,10185,1542,10195,1488,10194,1487xm6704,1464l6685,1506,6684,1506,6688,1526,6706,1526,6708,1506,6710,1503,6704,1464xm6626,1106l6599,1106,6612,1186,6641,1306,6668,1406,6683,1506,6685,1506,6704,1464,6696,1406,6668,1286,6640,1186,6626,1106xm6710,1503l6708,1506,6710,1506,6710,1503xm6713,1446l6704,1464,6710,1503,6737,1466,6712,1466,6713,1446xm10195,1486l10194,1487,10195,1488,10195,1486xm6808,1186l6784,1186,6756,1226,6754,1226,6725,1366,6712,1466,6739,1466,6754,1366,6781,1246,6779,1246,6790,1230,6782,1206,6813,1206,6808,1186xm8516,1386l8496,1386,8492,1389,8513,1406,8494,1418,8503,1466,8531,1466,8524,1446,8527,1446,8516,1386xm8524,1446l8531,1466,8528,1449,8524,1446xm8528,1449l8531,1466,8551,1466,8528,1449xm8527,1446l8524,1446,8528,1449,8527,1446xm7034,1366l7007,1366,7012,1432,7034,1366xm8408,1006l8402,1006,8385,1043,8390,1066,8418,1206,8447,1346,8460,1426,8480,1426,8485,1423,8465,1406,8484,1394,8474,1326,8446,1206,8418,1046,8408,1006xm8488,1421l8485,1423,8489,1426,8488,1421xm9249,1410l9246,1426,9246,1426,9249,1410,9249,1410xm9246,1426l9246,1426,9246,1426,9246,1426xm9264,1406l9266,1422,9272,1426,9264,1406xm9293,1406l9264,1406,9272,1426,9295,1426,9293,1406xm9249,1410l9246,1426,9255,1414,9249,1410xm8484,1394l8465,1406,8485,1423,8488,1421,8484,1394xm9264,1406l9260,1406,9255,1414,9266,1422,9264,1406xm8490,1390l8484,1394,8488,1421,8494,1418,8490,1390xm8492,1389l8490,1390,8494,1418,8513,1406,8492,1389xm9260,1406l9250,1406,9249,1410,9255,1414,9260,1406xm9250,1406l9249,1410,9249,1410,9250,1406xm9250,1406l9244,1406,9249,1410,9250,1406xm9284,1386l9245,1386,9224,1406,9289,1406,9284,1386xm8489,1386l8490,1390,8492,1389,8489,1386xm6824,1266l6829,1284,6832,1286,6824,1266xm6852,1266l6824,1266,6832,1286,6858,1286,6852,1266xm7261,1026l7232,1026,7261,1286,7276,1186,7277,1171,7261,1026xm7277,1171l7276,1186,7261,1286,7289,1286,7277,1171xm7330,1126l7306,1126,7278,1166,7277,1166,7277,1171,7289,1286,7303,1186,7301,1186,7317,1164,7304,1146,7337,1146,7330,1126xm8321,1224l8306,1266,8308,1266,8312,1286,8330,1286,8333,1266,8321,1224xm6824,1266l6803,1266,6829,1284,6824,1266xm6813,1206l6808,1206,6790,1230,6796,1246,6797,1266,6851,1266,6848,1246,6823,1246,6813,1206xm8263,886l8234,886,8263,1086,8278,1166,8305,1266,8306,1266,8321,1224,8305,1166,8291,1086,8263,886xm8360,1186l8334,1186,8321,1224,8333,1266,8360,1186xm7216,926l7192,926,7190,946,7163,1246,7190,1246,7214,997,7207,986,7205,986,7192,946,7218,946,7216,926xm7768,1226l7742,1226,7748,1246,7763,1246,7768,1226xm8898,1226l8884,1246,8897,1246,8898,1226xm8898,1226l8897,1246,8900,1246,8898,1226xm8926,1226l8898,1226,8911,1246,8928,1246,8926,1226xm6808,1206l6782,1206,6790,1230,6808,1206xm7709,1066l7687,1066,7688,1086,7717,1106,7712,1106,7741,1226,7753,1147,7740,1086,7736,1086,7709,1066xm7753,1147l7741,1226,7769,1226,7753,1147xm7824,806l7798,806,7783,986,7756,1126,7753,1147,7769,1226,7783,1126,7811,986,7820,872,7799,826,7824,807,7824,806xm7558,1066l7530,1066,7553,1086,7536,1097,7558,1206,7585,1206,7592,1186,7558,1186,7572,1146,7574,1146,7576,1145,7558,1066xm7328,1149l7317,1164,7319,1166,7322,1186,7338,1186,7366,1166,7344,1166,7328,1149xm7576,1145l7574,1146,7572,1146,7558,1186,7585,1186,7576,1145xm7602,1109l7576,1145,7585,1186,7592,1186,7598,1166,7596,1166,7626,1126,7600,1126,7602,1109xm8376,1046l8347,1046,8333,1186,8362,1186,8374,1066,8374,1066,8376,1046xm7337,1146l7330,1146,7328,1149,7344,1166,7337,1146xm7397,1146l7337,1146,7344,1166,7366,1166,7397,1146xm7325,1146l7304,1146,7317,1164,7328,1149,7325,1146xm7330,1146l7325,1146,7328,1149,7330,1146xm7396,1126l7381,1126,7354,1146,7399,1146,7409,1134,7396,1126xm7445,1106l7390,1106,7375,1126,7415,1126,7409,1134,7429,1146,7436,1146,7452,1127,7445,1106xm7464,1112l7452,1127,7459,1146,7486,1146,7493,1126,7459,1126,7464,1112xm7415,1126l7396,1126,7409,1134,7415,1126xm7472,1086l7452,1086,7421,1106,7445,1106,7452,1127,7464,1112,7473,1088,7472,1086xm6556,906l6528,906,6548,926,6533,937,6556,1066,6571,1066,6600,1126,6599,1106,6625,1106,6596,1046,6583,1046,6556,906xm7479,1106l7469,1106,7464,1112,7459,1126,7486,1126,7479,1106xm7514,1046l7488,1046,7473,1088,7486,1126,7493,1126,7501,1104,7488,1066,7521,1066,7521,1066,7514,1046xm7604,1106l7602,1109,7600,1126,7604,1106xm7630,1106l7604,1106,7600,1126,7627,1126,7630,1106xm7473,1088l7464,1112,7469,1106,7479,1106,7473,1088xm7642,1026l7614,1026,7602,1109,7604,1106,7630,1106,7642,1026xm7402,1086l7393,1106,7409,1106,7402,1086xm7521,1066l7509,1081,7501,1104,7501,1106,7522,1106,7536,1097,7534,1086,7529,1086,7521,1066xm7514,1066l7488,1066,7501,1104,7507,1086,7505,1086,7509,1081,7514,1066xm7530,1066l7536,1097,7553,1086,7530,1066xm7509,1081l7505,1086,7507,1086,7509,1081xm7552,1046l7537,1046,7522,1065,7522,1066,7529,1086,7534,1086,7530,1066,7556,1066,7552,1046xm7901,866l7895,866,7880,899,7897,946,7896,946,7910,1086,7938,1086,7924,1066,7936,1066,7924,946,7901,866xm7936,1066l7924,1066,7938,1086,7936,1066xm7993,1026l7968,1026,7939,1066,7936,1066,7938,1086,7966,1086,7993,1026xm7521,1066l7514,1066,7509,1081,7521,1066xm7675,1024l7685,1066,7712,1066,7703,1026,7678,1026,7675,1024xm8376,1046l8374,1066,8374,1065,8376,1046xm8374,1065l8374,1066,8374,1066,8374,1065xm8404,986l8380,986,8348,1046,8376,1046,8374,1065,8385,1043,8376,1006,8408,1006,8404,986xm8402,1006l8376,1006,8385,1043,8402,1006xm7219,949l7214,997,7235,1026,7259,1026,7240,986,7232,986,7219,949xm7657,986l7650,986,7615,1026,7638,1026,7658,1012,7650,1006,7691,1006,7657,986xm7670,1006l7675,1024,7678,1026,7670,1006xm7698,1006l7670,1006,7678,1026,7703,1026,7698,1006xm8038,546l8009,746,7981,866,7967,1026,7994,1026,8009,866,8036,766,8049,669,8038,546xm8107,806l8080,806,8094,1006,8094,1026,8114,1026,8142,1006,8101,1006,8121,993,8107,806xm7670,1006l7666,1006,7658,1012,7675,1024,7670,1006xm7666,1006l7650,1006,7658,1012,7666,1006xm8121,993l8101,1006,8122,1006,8121,993xm8220,786l8192,786,8165,886,8150,946,8153,946,8124,986,8130,986,8121,993,8122,1006,8148,1006,8176,966,8178,966,8192,906,8205,860,8192,806,8225,806,8220,786xm7218,946l7192,946,7205,986,7207,986,7214,997,7219,949,7218,946xm7230,966l7232,986,7240,986,7230,966xm7219,946l7218,946,7219,949,7219,946xm6528,906l6524,906,6527,926,6500,926,6503,946,6520,946,6533,937,6528,906xm6528,906l6533,937,6548,926,6528,906xm6480,844l6457,906,6457,926,6485,926,6490,906,6485,906,6480,844xm6514,826l6512,826,6494,892,6499,926,6527,926,6508,906,6524,906,6514,826xm6524,906l6508,906,6527,926,6524,906xm6428,566l6457,906,6480,844,6459,586,6443,586,6428,566xm6485,829l6480,844,6485,906,6490,906,6494,892,6485,829xm7870,871l7855,886,7834,886,7861,906,7877,906,7880,899,7870,871xm7895,866l7874,866,7870,871,7880,899,7895,866xm6508,806l6494,806,6488,826,6486,826,6485,829,6494,892,6512,826,6508,806xm7825,808l7820,872,7826,886,7855,886,7862,866,7852,866,7825,808xm7895,846l7870,846,7855,886,7870,871,7868,866,7901,866,7895,846xm8225,806l8220,806,8205,860,8207,866,8239,886,8261,886,8231,846,8234,846,8225,806xm7824,807l7799,826,7820,872,7825,808,7824,807xm7874,866l7868,866,7870,871,7874,866xm8220,806l8192,806,8205,860,8220,806xm6486,826l6485,826,6485,829,6486,826xm8065,546l8049,669,8051,686,8080,826,8080,806,8107,806,8080,686,8065,546xm7825,806l7824,807,7825,808,7825,806xm8058,526l8045,526,8038,546,8049,669,8065,546,8064,546,8058,526xm6428,566l6415,566,6415,586,6430,586,6428,566xm6457,566l6428,566,6443,586,6459,586,6457,566xe" filled="true" fillcolor="#be4b48" stroked="false">
              <v:path arrowok="t"/>
              <v:fill type="solid"/>
            </v:shape>
            <v:shape style="position:absolute;left:6415;top:917;width:3866;height:1114" coordorigin="6415,918" coordsize="3866,1114" path="m8758,1956l8786,2012,8788,2014,8790,2016,8821,2032,8832,2032,8837,2030,8839,2028,8844,2014,8814,2014,8819,1999,8817,1998,8812,1998,8806,1992,8809,1992,8791,1958,8761,1958,8758,1956xm8819,1999l8814,2014,8833,2006,8819,1999xm8856,1900l8828,1972,8819,1999,8833,2006,8814,2014,8844,2014,8855,1980,8882,1910,8884,1910,8884,1908,8884,1904,8856,1904,8856,1900xm8806,1992l8812,1998,8810,1994,8806,1992xm8810,1994l8812,1998,8817,1998,8810,1994xm8809,1992l8806,1992,8810,1994,8809,1992xm8673,1701l8687,1768,8714,1868,8743,1940,8744,1940,8746,1942,8761,1958,8791,1958,8783,1942,8783,1940,8770,1928,8770,1928,8766,1924,8768,1924,8742,1858,8714,1762,8702,1704,8676,1704,8673,1701xm8766,1924l8770,1928,8769,1927,8766,1924xm8769,1927l8770,1928,8770,1928,8769,1927xm8768,1924l8766,1924,8769,1927,8768,1924xm8928,1855l8940,1910,8942,1916,8947,1920,8960,1920,8966,1916,8968,1910,8970,1902,8940,1902,8953,1858,8930,1858,8928,1855xm8886,1792l8876,1794,8873,1796,8870,1800,8869,1806,8856,1904,8884,1904,8895,1829,8878,1820,8898,1808,8918,1808,8890,1794,8886,1792xm8955,1851l8940,1902,8968,1902,8955,1851xm8969,1802l8955,1851,8968,1902,8970,1902,8996,1810,8996,1808,8997,1806,8969,1806,8969,1802xm9634,1746l9647,1772,9676,1828,9703,1884,9706,1888,9712,1892,9724,1892,9728,1886,9730,1880,9731,1874,9702,1874,9712,1836,9701,1814,9667,1748,9640,1748,9634,1746xm9712,1836l9702,1874,9728,1870,9712,1836xm9746,1797l9724,1808,9720,1810,9718,1814,9716,1818,9712,1836,9728,1870,9702,1874,9731,1874,9741,1834,9737,1834,9744,1824,9757,1824,9764,1820,9768,1818,9770,1814,9772,1810,9773,1804,9744,1804,9746,1797xm8927,1852l8928,1855,8930,1858,8927,1852xm8954,1852l8927,1852,8930,1858,8953,1858,8954,1852xm8902,1832l8928,1855,8927,1852,8954,1852,8955,1851,8953,1846,8953,1844,8952,1840,8950,1840,8944,1834,8905,1834,8902,1832xm9998,1696l9971,1696,9998,1810,10000,1814,10001,1814,10002,1818,10019,1834,10022,1836,10058,1836,10062,1834,10079,1818,10086,1810,10037,1810,10026,1808,10035,1808,10031,1804,10026,1804,10022,1796,10024,1796,9998,1696xm8902,1832l8902,1832,8905,1834,8902,1832xm8942,1832l8902,1832,8905,1834,8944,1834,8942,1832xm9744,1824l9737,1834,9742,1831,9744,1824xm9742,1831l9737,1834,9741,1834,9742,1831xm8920,1808l8898,1808,8895,1829,8902,1832,8902,1832,8942,1832,8922,1810,8920,1808xm9757,1824l9744,1824,9742,1831,9757,1824xm8898,1808l8878,1820,8895,1829,8898,1808xm10035,1808l10026,1808,10037,1810,10035,1808xm10046,1808l10035,1808,10037,1810,10044,1810,10046,1808xm10085,1770l10044,1810,10055,1808,10088,1808,10106,1788,10109,1786,10110,1786,10110,1784,10113,1774,10084,1774,10085,1770xm10088,1808l10055,1808,10044,1810,10086,1810,10088,1808xm9829,1774l9791,1774,9818,1802,9826,1808,9890,1808,9894,1806,9896,1800,9907,1784,9839,1784,9829,1778,9833,1778,9829,1774xm9047,1582l9018,1582,9013,1586,9011,1592,8983,1676,8982,1678,8969,1806,8997,1806,9011,1684,9010,1684,9035,1610,9024,1610,9038,1600,9068,1600,9070,1598,9061,1594,9077,1592,9112,1592,9110,1586,9043,1586,9047,1582xm9752,1794l9746,1797,9744,1804,9752,1794xm9776,1794l9752,1794,9744,1804,9773,1804,9776,1794xm10022,1796l10026,1804,10024,1798,10022,1796xm10024,1798l10026,1804,10031,1804,10024,1798xm10024,1796l10022,1796,10024,1798,10024,1796xm9775,1736l9770,1736,9767,1738,9762,1738,9760,1742,9758,1748,9746,1797,9752,1794,9776,1794,9782,1771,9766,1762,9786,1754,9810,1754,9808,1752,9806,1752,9779,1738,9775,1736xm9833,1778l9829,1778,9839,1784,9833,1778xm9878,1778l9833,1778,9839,1784,9874,1784,9878,1778xm9929,1688l9901,1742,9874,1784,9886,1778,9911,1778,9925,1758,9954,1700,9955,1700,9955,1698,9958,1690,9929,1690,9929,1688xm9911,1778l9886,1778,9874,1784,9907,1784,9911,1778xm9810,1754l9786,1754,9782,1771,9794,1778,9791,1774,9829,1774,9810,1754xm10087,1768l10085,1770,10084,1774,10087,1768xm10115,1768l10087,1768,10084,1774,10113,1774,10115,1768xm9786,1754l9766,1762,9782,1771,9786,1754xm10111,1690l10085,1770,10087,1768,10115,1768,10139,1698,10139,1696,10139,1692,10111,1692,10111,1690xm9632,1742l9634,1746,9640,1748,9632,1742xm9664,1742l9632,1742,9640,1748,9667,1748,9664,1742xm9566,1602l9534,1602,9557,1606,9542,1618,9542,1618,9562,1658,9576,1686,9605,1730,9607,1732,9608,1734,9611,1736,9634,1746,9632,1742,9664,1742,9658,1730,9656,1726,9654,1726,9652,1724,9632,1714,9629,1714,9624,1710,9626,1710,9601,1674,9588,1646,9566,1602xm9624,1710l9629,1714,9627,1711,9624,1710xm9627,1711l9629,1714,9632,1714,9627,1711xm9626,1710l9624,1710,9627,1711,9626,1710xm8672,1696l8673,1701,8676,1704,8672,1696xm8701,1696l8672,1696,8676,1704,8702,1704,8701,1696xm9975,1656l9970,1656,9960,1684,9972,1702,9971,1696,9998,1696,9997,1692,9997,1688,9996,1688,9996,1686,9975,1656xm8588,1372l8560,1372,8574,1442,8602,1528,8630,1628,8645,1670,8645,1672,8646,1674,8648,1676,8673,1701,8672,1696,8701,1696,8700,1692,8696,1684,8674,1662,8671,1662,8668,1656,8669,1656,8657,1620,8629,1520,8602,1438,8588,1372xm10169,1538l10164,1538,10158,1542,10156,1546,10127,1588,10126,1592,10126,1594,10111,1692,10139,1692,10152,1604,10151,1604,10153,1598,10155,1598,10163,1586,10154,1558,10184,1558,10181,1548,10180,1544,10175,1540,10169,1538xm9959,1636l9954,1638,9948,1638,9944,1642,9942,1648,9929,1690,9958,1690,9960,1684,9944,1660,9970,1656,9975,1656,9967,1644,9965,1640,9959,1636xm9011,1682l9010,1684,9011,1684,9011,1682xm9970,1656l9944,1660,9960,1684,9970,1656xm9125,1566l9118,1568,9095,1579,9102,1582,9053,1582,9043,1586,9110,1586,9130,1594,9115,1601,9124,1628,9126,1632,9156,1662,9170,1676,9175,1682,9185,1682,9190,1676,9210,1656,9170,1656,9180,1646,9152,1618,9151,1618,9148,1614,9150,1614,9137,1576,9136,1574,9132,1570,9125,1566xm9247,1579l9243,1587,9265,1642,9268,1646,9286,1664,9289,1666,9325,1666,9328,1664,9331,1662,9351,1642,9302,1642,9293,1638,9298,1638,9292,1632,9292,1632,9288,1628,9290,1628,9272,1582,9251,1582,9247,1579xm8668,1656l8671,1662,8670,1658,8668,1656xm8670,1658l8671,1662,8674,1662,8670,1658xm8669,1656l8668,1656,8670,1658,8669,1656xm9180,1646l9170,1656,9190,1656,9180,1646xm9195,1631l9180,1646,9190,1656,9210,1656,9218,1648,9221,1644,9221,1642,9225,1632,9194,1632,9195,1631xm9384,1602l9376,1602,9364,1623,9379,1646,9383,1648,9386,1652,9438,1652,9445,1646,9456,1630,9403,1630,9391,1624,9399,1624,9384,1602xm9298,1638l9293,1638,9302,1642,9298,1638xm9315,1638l9298,1638,9302,1642,9311,1642,9315,1638xm9336,1617l9311,1642,9320,1638,9355,1638,9359,1634,9361,1632,9361,1630,9364,1623,9361,1618,9336,1618,9336,1617xm9355,1638l9320,1638,9311,1642,9351,1642,9355,1638xm9198,1628l9195,1631,9194,1632,9198,1628xm9227,1628l9198,1628,9194,1632,9225,1632,9227,1628xm9288,1628l9292,1632,9291,1631,9288,1628xm9291,1631l9292,1632,9292,1632,9291,1631xm9256,1552l9230,1552,9226,1556,9223,1562,9195,1631,9198,1628,9227,1628,9243,1587,9242,1582,9236,1582,9240,1579,9238,1572,9268,1572,9262,1556,9256,1552xm9290,1628l9288,1628,9291,1631,9290,1628xm9399,1624l9391,1624,9403,1630,9399,1624xm9426,1624l9399,1624,9403,1630,9422,1630,9426,1624xm9482,1582l9457,1582,9452,1584,9450,1588,9422,1630,9433,1624,9460,1624,9470,1610,9462,1610,9474,1604,9535,1604,9534,1602,9566,1602,9565,1600,9522,1600,9524,1598,9510,1598,9482,1582xm9460,1624l9433,1624,9422,1630,9456,1630,9460,1624xm9471,1608l9471,1609,9498,1622,9500,1622,9502,1624,9536,1624,9540,1622,9542,1618,9538,1610,9476,1610,9471,1608xm10184,1558l10154,1558,10180,1562,10163,1586,10168,1601,10169,1604,10171,1606,10175,1608,10204,1622,10207,1624,10211,1624,10218,1622,10222,1618,10223,1614,10227,1604,10196,1604,10201,1592,10195,1592,10188,1582,10192,1582,10184,1558xm9376,1602l9352,1604,9364,1623,9376,1602xm9534,1602l9542,1618,9542,1618,9557,1606,9534,1602xm9148,1614l9151,1618,9151,1617,9148,1614xm9151,1617l9151,1618,9152,1618,9151,1617xm9340,1614l9336,1617,9336,1618,9340,1614xm9358,1614l9340,1614,9336,1618,9361,1618,9358,1614xm9150,1614l9148,1614,9151,1617,9150,1614xm9367,1580l9362,1582,9358,1582,9353,1584,9336,1617,9340,1614,9358,1614,9352,1604,9376,1602,9384,1602,9374,1588,9372,1582,9367,1580xm9038,1600l9024,1610,9035,1610,9038,1600xm9068,1600l9038,1600,9035,1610,9056,1610,9060,1608,9068,1600xm9112,1592l9077,1592,9070,1598,9089,1608,9092,1610,9097,1610,9102,1608,9115,1601,9112,1592xm9474,1604l9462,1610,9470,1610,9471,1609,9469,1608,9471,1608,9474,1604xm9471,1609l9470,1610,9473,1610,9471,1609xm9535,1604l9474,1604,9471,1608,9476,1610,9538,1610,9535,1604xm9469,1608l9471,1609,9471,1608,9469,1608xm9471,1608l9469,1608,9471,1608,9471,1608xm10153,1598l10151,1604,10153,1601,10153,1598xm10153,1601l10151,1604,10152,1604,10153,1601xm10202,1590l10196,1604,10216,1598,10202,1590xm10224,1536l10202,1590,10216,1598,10196,1604,10227,1604,10250,1544,10252,1544,10252,1542,10252,1538,10224,1538,10224,1536xm9110,1586l9115,1601,9130,1594,9110,1586xm10155,1598l10153,1598,10153,1601,10155,1598xm9545,1580l9540,1582,9522,1600,9533,1594,9562,1594,9559,1588,9557,1586,9553,1582,9548,1582,9545,1580xm9562,1594l9533,1594,9522,1600,9565,1600,9562,1594xm9077,1592l9061,1594,9070,1598,9077,1592xm9528,1594l9504,1594,9510,1598,9524,1598,9528,1594xm10188,1582l10195,1592,10193,1585,10188,1582xm10193,1585l10195,1592,10201,1592,10202,1590,10193,1585xm9244,1576l9240,1579,9243,1587,9247,1579,9247,1579,9244,1576xm9067,1566l9061,1568,9056,1572,9043,1586,9053,1582,9089,1582,9095,1579,9073,1568,9067,1566xm10154,1558l10163,1586,10180,1562,10154,1558xm10192,1582l10188,1582,10193,1585,10192,1582xm9095,1579l9089,1582,9102,1582,9095,1579xm9240,1579l9236,1582,9242,1582,9240,1579xm9268,1572l9250,1572,9247,1579,9247,1579,9251,1582,9272,1582,9268,1572xm9238,1572l9240,1579,9244,1576,9238,1572xm9250,1572l9244,1576,9247,1579,9250,1572xm9250,1572l9238,1572,9244,1576,9250,1572xm10225,1534l10224,1536,10224,1538,10225,1534xm10253,1534l10225,1534,10224,1538,10252,1538,10253,1534xm10277,1312l10268,1316,10267,1324,10238,1422,10238,1424,10224,1536,10225,1534,10253,1534,10266,1428,10267,1428,10280,1378,10280,1314,10277,1312xm7054,1492l7082,1520,7086,1524,7091,1526,7100,1522,7104,1520,7105,1514,7107,1508,7078,1508,7081,1496,7063,1496,7054,1492xm6782,1066l6796,1132,6824,1260,6852,1360,6866,1430,6868,1432,6898,1508,6902,1510,6913,1510,6918,1508,6922,1502,6926,1492,6922,1492,6895,1490,6909,1461,6894,1424,6894,1424,6893,1420,6893,1420,6880,1352,6852,1254,6823,1126,6812,1070,6786,1070,6782,1066xm6995,1458l6966,1458,6985,1466,6971,1473,6979,1502,6980,1504,6984,1508,6991,1510,7000,1510,7027,1496,7058,1496,7054,1492,7007,1492,6986,1484,7002,1476,6995,1458xm7084,1482l7078,1508,7102,1500,7084,1482xm7177,1322l7150,1322,7122,1390,7093,1448,7092,1450,7084,1482,7102,1500,7078,1508,7107,1508,7119,1460,7118,1460,7147,1404,7176,1332,7176,1330,7177,1322xm7067,1468l7016,1468,7015,1470,7002,1476,7007,1492,7054,1492,7063,1496,7081,1496,7084,1482,7074,1472,7067,1468xm6909,1461l6895,1490,6922,1492,6909,1461xm6949,1454l6917,1454,6912,1456,6909,1461,6922,1492,6926,1492,6931,1482,6923,1482,6935,1474,6969,1474,6971,1473,6966,1458,6995,1458,6994,1456,6944,1456,6949,1454xm7002,1476l6986,1484,7007,1492,7002,1476xm6935,1474l6923,1482,6931,1482,6935,1474xm6969,1474l6935,1474,6931,1482,6955,1482,6958,1480,6969,1474xm6966,1458l6971,1473,6985,1466,6966,1458xm7120,1458l7118,1460,7119,1460,7120,1458xm6980,1440l6977,1440,6973,1442,6944,1456,6950,1454,6994,1454,6992,1450,6991,1446,6988,1442,6980,1440xm6994,1454l6950,1454,6944,1456,6994,1456,6994,1454xm10267,1428l10266,1428,10266,1430,10267,1428xm6893,1420l6894,1424,6894,1422,6893,1420xm6894,1422l6894,1424,6894,1424,6894,1422xm6893,1420l6893,1420,6894,1422,6893,1420xm7192,1267l7205,1316,7234,1402,7235,1406,7242,1412,7249,1412,7253,1410,7282,1396,7285,1394,7260,1394,7241,1384,7254,1377,7232,1310,7222,1270,7199,1270,7192,1267xm7254,1377l7241,1384,7260,1394,7254,1377xm7264,1372l7254,1377,7260,1394,7285,1394,7288,1392,7292,1378,7262,1378,7264,1372xm7268,1370l7264,1372,7262,1378,7268,1370xm7295,1370l7268,1370,7262,1378,7292,1378,7295,1370xm8532,1304l8560,1376,8560,1372,8588,1372,8587,1366,8586,1364,8565,1312,8545,1312,8532,1304xm7321,1288l7308,1304,7279,1330,7278,1334,7277,1334,7276,1336,7264,1372,7268,1370,7295,1370,7301,1352,7300,1352,7303,1346,7305,1346,7327,1322,7342,1310,7345,1304,7349,1294,7319,1294,7321,1288xm8376,1106l8390,1148,8418,1260,8419,1262,8448,1318,8461,1348,8465,1354,8473,1358,8512,1338,8514,1336,8515,1334,8488,1334,8468,1328,8481,1321,8444,1250,8445,1250,8417,1138,8407,1108,8378,1108,8376,1106xm7303,1346l7300,1352,7302,1349,7303,1346xm7302,1349l7300,1352,7301,1352,7302,1349xm7305,1346l7303,1346,7302,1349,7305,1346xm8481,1321l8468,1328,8488,1334,8481,1321xm8493,1315l8481,1321,8488,1334,8515,1334,8521,1322,8490,1322,8493,1315xm7178,1228l7174,1228,7166,1232,7163,1236,7163,1240,7148,1324,7150,1322,7177,1322,7187,1264,7170,1256,7190,1244,7211,1244,7183,1230,7178,1228xm8496,1314l8493,1315,8490,1322,8496,1314xm8525,1314l8496,1314,8490,1322,8521,1322,8525,1314xm8551,1286l8512,1286,8507,1288,8493,1315,8496,1314,8525,1314,8527,1312,8516,1312,8530,1306,8533,1306,8532,1304,8562,1304,8556,1288,8551,1286xm8530,1306l8516,1312,8527,1312,8530,1306xm8533,1306l8530,1306,8527,1312,8535,1312,8533,1306xm8562,1304l8532,1304,8545,1312,8565,1312,8562,1304xm7321,1288l7321,1288,7319,1294,7321,1288xm7352,1288l7321,1288,7319,1294,7349,1294,7352,1288xm7378,1203l7354,1216,7350,1216,7346,1222,7321,1288,7321,1288,7352,1288,7370,1240,7366,1240,7373,1234,7378,1234,7394,1226,7396,1226,7400,1222,7391,1208,7425,1208,7422,1204,7378,1204,7378,1203xm7190,1260l7192,1267,7199,1270,7190,1260xm7220,1260l7190,1260,7199,1270,7222,1270,7220,1260xm7211,1244l7190,1244,7187,1264,7192,1267,7190,1260,7220,1260,7218,1252,7214,1246,7211,1244xm7190,1244l7170,1256,7187,1264,7190,1244xm7745,1238l7759,1252,7763,1256,7768,1258,7772,1256,7776,1256,7781,1252,7782,1248,7784,1242,7754,1242,7745,1238xm7425,1208l7391,1208,7412,1210,7400,1222,7418,1250,7421,1254,7426,1256,7435,1256,7440,1254,7442,1250,7453,1234,7418,1234,7430,1216,7425,1208xm7896,1190l7910,1246,7912,1252,7918,1256,7930,1256,7936,1252,7937,1248,7940,1240,7938,1240,7912,1238,7927,1197,7926,1192,7897,1192,7896,1190xm8445,1250l8444,1250,8446,1252,8445,1250xm7685,1148l7714,1232,7715,1238,7721,1242,7749,1242,7745,1238,7756,1238,7761,1224,7740,1224,7727,1214,7737,1214,7719,1158,7698,1158,7685,1148xm7799,1156l7789,1160,7786,1162,7784,1166,7764,1217,7765,1218,7778,1232,7756,1238,7745,1238,7754,1242,7784,1242,7803,1197,7801,1196,7787,1182,7811,1178,7800,1178,7809,1164,7804,1158,7799,1156xm7373,1234l7366,1240,7372,1237,7373,1234xm7372,1237l7366,1240,7370,1240,7372,1237xm7927,1197l7912,1238,7938,1240,7927,1197xm7968,1109l7939,1166,7927,1197,7938,1240,7940,1240,7966,1178,7993,1122,7993,1120,7994,1120,7994,1118,7996,1112,7967,1112,7968,1109xm7764,1217l7756,1238,7778,1232,7765,1218,7764,1217xm7378,1234l7373,1234,7372,1237,7378,1234xm7430,1216l7418,1234,7442,1234,7430,1216xm7465,1186l7454,1186,7450,1188,7447,1192,7430,1216,7442,1234,7453,1234,7466,1214,7459,1214,7470,1208,7485,1208,7496,1192,7460,1192,7465,1186xm7737,1214l7727,1214,7740,1224,7737,1214xm7759,1214l7737,1214,7740,1224,7761,1224,7764,1217,7763,1216,7759,1214xm7391,1208l7400,1222,7412,1210,7391,1208xm7559,1153l7572,1204,7573,1208,7577,1212,7586,1216,7592,1214,7610,1196,7600,1196,7576,1190,7593,1172,7589,1156,7565,1156,7559,1153xm7470,1208l7459,1214,7466,1214,7470,1208xm7485,1208l7470,1208,7466,1214,7477,1214,7482,1212,7485,1208xm7381,1202l7378,1203,7378,1204,7381,1202xm7420,1202l7381,1202,7378,1204,7422,1204,7420,1202xm7408,1186l7396,1186,7378,1203,7381,1202,7420,1202,7414,1192,7411,1190,7408,1186xm7873,1088l7864,1088,7859,1090,7828,1136,7809,1164,7822,1176,7800,1178,7811,1178,7803,1197,7808,1200,7817,1200,7820,1198,7823,1194,7852,1152,7866,1129,7855,1108,7887,1108,7880,1096,7878,1090,7873,1088xm7811,1178l7787,1182,7801,1196,7803,1197,7811,1178xm7593,1172l7576,1190,7600,1196,7593,1172xm7618,1148l7593,1172,7600,1196,7610,1196,7639,1166,7650,1150,7616,1150,7618,1148xm7582,1132l7507,1132,7489,1150,7460,1192,7472,1186,7500,1186,7512,1168,7511,1168,7523,1156,7522,1156,7525,1154,7526,1154,7543,1145,7537,1142,7586,1142,7585,1140,7584,1136,7582,1132xm7500,1186l7472,1186,7460,1192,7496,1192,7500,1186xm7887,1108l7879,1108,7866,1129,7870,1136,7897,1192,7926,1192,7924,1182,7924,1180,7922,1180,7895,1124,7887,1108xm7809,1164l7800,1178,7822,1176,7809,1164xm6504,988l6494,988,6431,1052,6430,1054,6428,1058,6415,1156,6415,1166,6419,1172,6434,1172,6442,1168,6456,1070,6452,1070,6457,1060,6462,1060,6499,1022,6490,1012,6532,1012,6533,1010,6500,1010,6509,993,6504,988xm7513,1166l7511,1168,7512,1168,7513,1166xm7685,1124l7668,1124,7659,1138,7678,1156,7680,1158,7688,1158,7685,1148,7716,1148,7712,1138,7710,1134,7694,1134,7685,1130,7690,1130,7685,1124xm7716,1148l7685,1148,7698,1158,7719,1158,7716,1148xm8221,934l8192,934,8213,944,8196,952,8207,1018,8207,1022,8208,1024,8236,1080,8266,1154,8272,1158,8284,1158,8288,1154,8291,1148,8294,1138,8263,1138,8275,1102,8261,1066,8235,1014,8234,1014,8233,1010,8234,1010,8221,934xm7525,1154l7522,1156,7525,1154,7525,1154xm7525,1154l7522,1156,7523,1156,7525,1154xm7558,1148l7559,1153,7565,1156,7558,1148xm7587,1148l7558,1148,7565,1156,7589,1156,7587,1148xm7526,1154l7525,1154,7525,1154,7526,1154xm7586,1142l7549,1142,7543,1145,7559,1153,7558,1148,7587,1148,7586,1142xm7663,1102l7650,1102,7646,1104,7644,1108,7616,1150,7650,1150,7659,1138,7646,1126,7668,1124,7685,1124,7663,1102xm8039,1108l8053,1136,8056,1142,8064,1146,8096,1130,8094,1130,8100,1128,8114,1128,8122,1124,8078,1124,8059,1118,8063,1116,8051,1116,8039,1108xm7549,1142l7537,1142,7543,1145,7549,1142xm8275,1102l8263,1138,8290,1138,8275,1102xm8337,1078l8312,1088,8285,1088,8280,1090,8278,1096,8275,1102,8290,1138,8294,1138,8301,1116,8291,1116,8304,1106,8341,1106,8353,1100,8357,1098,8359,1096,8360,1094,8364,1087,8361,1082,8335,1082,8337,1078xm7668,1124l7646,1126,7659,1138,7668,1124xm7690,1130l7685,1130,7694,1134,7690,1130xm7704,1130l7690,1130,7694,1134,7710,1134,7704,1130xm7546,1114l7541,1114,7537,1118,7508,1132,7578,1132,7549,1118,7546,1114xm8100,1128l8094,1130,8096,1130,8100,1128xm8114,1128l8100,1128,8096,1130,8112,1130,8114,1128xm7879,1108l7855,1108,7866,1129,7879,1108xm8072,1111l8059,1118,8078,1124,8072,1111xm8125,1090l8101,1102,8087,1102,8072,1111,8078,1124,8122,1124,8142,1114,8146,1112,8148,1110,8149,1106,8153,1096,8123,1096,8125,1090xm8013,1062l8009,1062,8001,1093,8011,1108,8014,1114,8018,1116,8043,1116,8039,1108,8070,1108,8064,1096,8063,1094,8035,1094,8023,1088,8031,1088,8013,1062xm8070,1108l8039,1108,8051,1116,8063,1116,8072,1111,8070,1108xm8304,1106l8291,1116,8301,1116,8304,1106xm8341,1106l8304,1106,8301,1116,8321,1116,8326,1114,8341,1106xm7968,1108l7968,1109,7967,1112,7968,1108xm7997,1108l7968,1108,7967,1112,7996,1112,7997,1108xm7998,1044l7992,1046,7987,1046,7982,1050,7981,1056,7968,1109,7968,1108,7997,1108,8001,1093,7982,1066,8009,1062,8013,1062,8006,1052,8003,1046,7998,1044xm8383,1066l8374,1066,8364,1087,8378,1108,8407,1108,8404,1096,8402,1096,8402,1094,8401,1094,8383,1066xm8130,1088l8125,1090,8123,1096,8130,1088xm8156,1088l8130,1088,8123,1096,8153,1096,8156,1088xm8031,1088l8023,1088,8035,1094,8031,1088xm8057,1088l8031,1088,8035,1094,8063,1094,8062,1090,8057,1088xm8009,1062l7982,1066,8001,1093,8009,1062xm8150,1026l8125,1090,8130,1088,8156,1088,8177,1036,8178,1036,8178,1034,8179,1028,8150,1028,8150,1026xm8374,1066l8350,1066,8364,1087,8374,1066xm8341,1076l8337,1078,8335,1082,8341,1076xm8356,1076l8341,1076,8335,1082,8361,1082,8356,1076xm8365,1046l8356,1046,8351,1048,8348,1052,8337,1078,8341,1076,8356,1076,8350,1066,8383,1066,8374,1052,8370,1048,8365,1046xm6457,1060l6452,1070,6456,1066,6456,1066,6457,1060xm6456,1066l6452,1070,6456,1070,6456,1066xm6781,1062l6782,1066,6786,1070,6781,1062xm6810,1062l6781,1062,6786,1070,6812,1070,6810,1062xm6462,1060l6457,1060,6456,1066,6462,1060xm6757,1040l6782,1066,6781,1062,6810,1062,6809,1056,6809,1054,6808,1052,6802,1046,6767,1046,6757,1040xm6600,1010l6613,1036,6614,1040,6617,1042,6620,1044,6648,1058,6654,1060,6660,1060,6685,1034,6644,1034,6651,1027,6645,1024,6638,1024,6632,1018,6636,1018,6635,1016,6612,1016,6600,1010xm6712,978l6726,1034,6727,1040,6733,1046,6763,1046,6757,1040,6796,1040,6784,1028,6752,1028,6739,1016,6750,1016,6743,988,6725,988,6712,978xm6796,1040l6757,1040,6767,1046,6802,1046,6796,1040xm6651,1027l6644,1034,6661,1032,6651,1027xm6671,1008l6651,1027,6661,1032,6644,1034,6685,1034,6695,1024,6696,1022,6699,1012,6670,1012,6671,1008xm6532,1012l6509,1012,6499,1022,6506,1030,6520,1030,6524,1028,6526,1024,6532,1012xm6750,1016l6739,1016,6752,1028,6750,1016xm6772,1016l6750,1016,6752,1028,6784,1028,6778,1022,6775,1018,6772,1016xm8209,918l8204,918,8200,920,8172,934,8167,936,8165,940,8165,944,8150,1028,8179,1028,8191,958,8184,958,8192,948,8195,948,8192,934,8221,934,8220,930,8220,926,8216,922,8209,918xm6632,1018l6638,1024,6637,1020,6632,1018xm6637,1020l6638,1024,6645,1024,6637,1020xm6509,1012l6490,1012,6499,1022,6509,1012xm6636,1018l6632,1018,6637,1020,6636,1018xm6560,986l6574,1014,6578,1016,6603,1016,6600,1010,6632,1010,6625,996,6596,996,6584,988,6564,988,6560,986xm6632,1010l6600,1010,6612,1016,6635,1016,6632,1010xm8233,1010l8234,1014,8234,1011,8233,1010xm8234,1011l8234,1014,8235,1014,8234,1011xm6673,1006l6671,1008,6670,1012,6673,1006xm6701,1006l6673,1006,6670,1012,6699,1012,6701,1006xm8234,1010l8233,1010,8234,1011,8234,1010xm6509,993l6500,1010,6523,1006,6509,993xm6541,944l6533,946,6529,954,6509,993,6523,1006,6500,1010,6533,1010,6547,980,6535,974,6554,966,6581,966,6581,964,6578,964,6576,962,6548,948,6541,944xm6732,960l6691,960,6685,964,6684,970,6671,1008,6673,1006,6701,1006,6708,988,6697,988,6710,980,6712,980,6712,978,6741,978,6739,970,6737,964,6732,960xm6588,980l6557,980,6564,988,6584,988,6596,996,6588,980xm6618,988l6592,988,6596,996,6625,996,6623,992,6618,988xm6557,980l6560,986,6564,988,6557,980xm6710,980l6697,988,6708,988,6710,980xm6712,980l6710,980,6708,988,6714,988,6712,980xm6741,978l6712,978,6725,988,6743,988,6741,978xm6581,966l6554,966,6547,980,6560,986,6557,980,6588,980,6582,968,6581,966xm6554,966l6535,974,6547,980,6554,966xm8192,948l8184,958,8191,954,8192,948xm8191,954l8184,958,8191,958,8191,954xm8195,948l8192,948,8191,954,8196,952,8195,948xm8192,934l8196,952,8213,944,8192,934xe" filled="true" fillcolor="#98b954" stroked="false">
              <v:path arrowok="t"/>
              <v:fill type="solid"/>
            </v:shape>
            <v:line style="position:absolute" from="6358,2709" to="6739,2709" stroked="true" strokeweight="1.44pt" strokecolor="#4a7ebb">
              <v:stroke dashstyle="solid"/>
            </v:line>
            <v:line style="position:absolute" from="6358,3273" to="6739,3273" stroked="true" strokeweight="1.38pt" strokecolor="#98b954">
              <v:stroke dashstyle="solid"/>
            </v:line>
            <w10:wrap type="none"/>
          </v:group>
        </w:pict>
      </w:r>
      <w:r>
        <w:rPr>
          <w:sz w:val="18"/>
        </w:rPr>
        <w:t>3-month </w:t>
      </w:r>
      <w:r>
        <w:rPr>
          <w:spacing w:val="-6"/>
          <w:sz w:val="18"/>
        </w:rPr>
        <w:t>average </w:t>
      </w:r>
      <w:r>
        <w:rPr>
          <w:spacing w:val="-4"/>
          <w:sz w:val="18"/>
        </w:rPr>
        <w:t>wages </w:t>
      </w:r>
      <w:r>
        <w:rPr>
          <w:sz w:val="18"/>
        </w:rPr>
        <w:t>on a</w:t>
      </w:r>
      <w:r>
        <w:rPr>
          <w:spacing w:val="-28"/>
          <w:sz w:val="18"/>
        </w:rPr>
        <w:t> </w:t>
      </w:r>
      <w:r>
        <w:rPr>
          <w:sz w:val="18"/>
        </w:rPr>
        <w:t>year</w:t>
      </w:r>
      <w:r>
        <w:rPr>
          <w:spacing w:val="2"/>
          <w:sz w:val="18"/>
        </w:rPr>
        <w:t> </w:t>
      </w:r>
      <w:r>
        <w:rPr>
          <w:spacing w:val="-3"/>
          <w:sz w:val="18"/>
        </w:rPr>
        <w:t>earlier</w:t>
        <w:tab/>
      </w:r>
      <w:r>
        <w:rPr>
          <w:position w:val="3"/>
          <w:sz w:val="18"/>
        </w:rPr>
        <w:t>8</w:t>
      </w:r>
    </w:p>
    <w:p>
      <w:pPr>
        <w:pStyle w:val="BodyText"/>
        <w:spacing w:before="7"/>
        <w:rPr>
          <w:sz w:val="17"/>
        </w:rPr>
      </w:pPr>
    </w:p>
    <w:p>
      <w:pPr>
        <w:spacing w:before="0"/>
        <w:ind w:left="0" w:right="627" w:firstLine="0"/>
        <w:jc w:val="right"/>
        <w:rPr>
          <w:sz w:val="18"/>
        </w:rPr>
      </w:pPr>
      <w:r>
        <w:rPr>
          <w:w w:val="101"/>
          <w:sz w:val="18"/>
        </w:rPr>
        <w:t>6</w:t>
      </w:r>
    </w:p>
    <w:p>
      <w:pPr>
        <w:pStyle w:val="BodyText"/>
        <w:spacing w:before="1"/>
        <w:rPr>
          <w:sz w:val="20"/>
        </w:rPr>
      </w:pPr>
    </w:p>
    <w:p>
      <w:pPr>
        <w:spacing w:before="0"/>
        <w:ind w:left="0" w:right="627" w:firstLine="0"/>
        <w:jc w:val="right"/>
        <w:rPr>
          <w:sz w:val="18"/>
        </w:rPr>
      </w:pPr>
      <w:r>
        <w:rPr>
          <w:w w:val="101"/>
          <w:sz w:val="18"/>
        </w:rPr>
        <w:t>4</w:t>
      </w:r>
    </w:p>
    <w:p>
      <w:pPr>
        <w:pStyle w:val="BodyText"/>
        <w:rPr>
          <w:sz w:val="20"/>
        </w:rPr>
      </w:pPr>
    </w:p>
    <w:p>
      <w:pPr>
        <w:spacing w:before="0"/>
        <w:ind w:left="0" w:right="627" w:firstLine="0"/>
        <w:jc w:val="right"/>
        <w:rPr>
          <w:sz w:val="18"/>
        </w:rPr>
      </w:pPr>
      <w:r>
        <w:rPr>
          <w:w w:val="101"/>
          <w:sz w:val="18"/>
        </w:rPr>
        <w:t>2</w:t>
      </w:r>
    </w:p>
    <w:p>
      <w:pPr>
        <w:pStyle w:val="BodyText"/>
        <w:rPr>
          <w:sz w:val="20"/>
        </w:rPr>
      </w:pPr>
    </w:p>
    <w:p>
      <w:pPr>
        <w:spacing w:before="0"/>
        <w:ind w:left="0" w:right="627" w:firstLine="0"/>
        <w:jc w:val="right"/>
        <w:rPr>
          <w:sz w:val="18"/>
        </w:rPr>
      </w:pPr>
      <w:r>
        <w:rPr>
          <w:w w:val="101"/>
          <w:sz w:val="18"/>
        </w:rPr>
        <w:t>0</w:t>
      </w:r>
    </w:p>
    <w:p>
      <w:pPr>
        <w:spacing w:after="0"/>
        <w:jc w:val="right"/>
        <w:rPr>
          <w:sz w:val="18"/>
        </w:rPr>
        <w:sectPr>
          <w:type w:val="continuous"/>
          <w:pgSz w:w="12240" w:h="15840"/>
          <w:pgMar w:top="1120" w:bottom="1440" w:left="1200" w:right="1060"/>
          <w:cols w:num="2" w:equalWidth="0">
            <w:col w:w="4684" w:space="40"/>
            <w:col w:w="5256"/>
          </w:cols>
        </w:sectPr>
      </w:pPr>
    </w:p>
    <w:p>
      <w:pPr>
        <w:pStyle w:val="BodyText"/>
        <w:spacing w:before="6"/>
        <w:rPr>
          <w:sz w:val="11"/>
        </w:rPr>
      </w:pPr>
    </w:p>
    <w:p>
      <w:pPr>
        <w:pStyle w:val="BodyText"/>
        <w:tabs>
          <w:tab w:pos="9248" w:val="left" w:leader="none"/>
        </w:tabs>
        <w:spacing w:before="97"/>
        <w:ind w:left="386"/>
        <w:rPr>
          <w:sz w:val="18"/>
        </w:rPr>
      </w:pPr>
      <w:r>
        <w:rPr/>
        <w:t>This</w:t>
      </w:r>
      <w:r>
        <w:rPr>
          <w:spacing w:val="-5"/>
        </w:rPr>
        <w:t> </w:t>
      </w:r>
      <w:r>
        <w:rPr/>
        <w:t>risk</w:t>
      </w:r>
      <w:r>
        <w:rPr>
          <w:spacing w:val="-6"/>
        </w:rPr>
        <w:t> </w:t>
      </w:r>
      <w:r>
        <w:rPr/>
        <w:t>that</w:t>
      </w:r>
      <w:r>
        <w:rPr>
          <w:spacing w:val="-8"/>
        </w:rPr>
        <w:t> </w:t>
      </w:r>
      <w:r>
        <w:rPr/>
        <w:t>there</w:t>
      </w:r>
      <w:r>
        <w:rPr>
          <w:spacing w:val="-7"/>
        </w:rPr>
        <w:t> </w:t>
      </w:r>
      <w:r>
        <w:rPr/>
        <w:t>may</w:t>
      </w:r>
      <w:r>
        <w:rPr>
          <w:spacing w:val="-6"/>
        </w:rPr>
        <w:t> </w:t>
      </w:r>
      <w:r>
        <w:rPr/>
        <w:t>be</w:t>
      </w:r>
      <w:r>
        <w:rPr>
          <w:spacing w:val="-7"/>
        </w:rPr>
        <w:t> </w:t>
      </w:r>
      <w:r>
        <w:rPr/>
        <w:t>something</w:t>
      </w:r>
      <w:r>
        <w:rPr>
          <w:spacing w:val="-7"/>
        </w:rPr>
        <w:t> </w:t>
      </w:r>
      <w:r>
        <w:rPr/>
        <w:t>more</w:t>
      </w:r>
      <w:r>
        <w:rPr>
          <w:spacing w:val="-6"/>
        </w:rPr>
        <w:t> </w:t>
      </w:r>
      <w:r>
        <w:rPr/>
        <w:t>than</w:t>
        <w:tab/>
      </w:r>
      <w:r>
        <w:rPr>
          <w:spacing w:val="-5"/>
          <w:position w:val="1"/>
          <w:sz w:val="18"/>
        </w:rPr>
        <w:t>-2</w:t>
      </w:r>
    </w:p>
    <w:p>
      <w:pPr>
        <w:tabs>
          <w:tab w:pos="5157" w:val="left" w:leader="none"/>
          <w:tab w:pos="5539" w:val="left" w:leader="none"/>
        </w:tabs>
        <w:spacing w:line="256" w:lineRule="exact" w:before="15"/>
        <w:ind w:left="386" w:right="0" w:firstLine="0"/>
        <w:jc w:val="left"/>
        <w:rPr>
          <w:sz w:val="18"/>
        </w:rPr>
      </w:pPr>
      <w:r>
        <w:rPr>
          <w:sz w:val="19"/>
        </w:rPr>
        <w:t>just</w:t>
      </w:r>
      <w:r>
        <w:rPr>
          <w:spacing w:val="-6"/>
          <w:sz w:val="19"/>
        </w:rPr>
        <w:t> </w:t>
      </w:r>
      <w:r>
        <w:rPr>
          <w:sz w:val="19"/>
        </w:rPr>
        <w:t>lower</w:t>
      </w:r>
      <w:r>
        <w:rPr>
          <w:spacing w:val="-6"/>
          <w:sz w:val="19"/>
        </w:rPr>
        <w:t> </w:t>
      </w:r>
      <w:r>
        <w:rPr>
          <w:sz w:val="19"/>
        </w:rPr>
        <w:t>energy</w:t>
      </w:r>
      <w:r>
        <w:rPr>
          <w:spacing w:val="-7"/>
          <w:sz w:val="19"/>
        </w:rPr>
        <w:t> </w:t>
      </w:r>
      <w:r>
        <w:rPr>
          <w:sz w:val="19"/>
        </w:rPr>
        <w:t>and</w:t>
      </w:r>
      <w:r>
        <w:rPr>
          <w:spacing w:val="-7"/>
          <w:sz w:val="19"/>
        </w:rPr>
        <w:t> </w:t>
      </w:r>
      <w:r>
        <w:rPr>
          <w:sz w:val="19"/>
        </w:rPr>
        <w:t>food</w:t>
      </w:r>
      <w:r>
        <w:rPr>
          <w:spacing w:val="-6"/>
          <w:sz w:val="19"/>
        </w:rPr>
        <w:t> </w:t>
      </w:r>
      <w:r>
        <w:rPr>
          <w:sz w:val="19"/>
        </w:rPr>
        <w:t>prices</w:t>
      </w:r>
      <w:r>
        <w:rPr>
          <w:spacing w:val="-5"/>
          <w:sz w:val="19"/>
        </w:rPr>
        <w:t> </w:t>
      </w:r>
      <w:r>
        <w:rPr>
          <w:sz w:val="19"/>
        </w:rPr>
        <w:t>dragging</w:t>
      </w:r>
      <w:r>
        <w:rPr>
          <w:spacing w:val="-7"/>
          <w:sz w:val="19"/>
        </w:rPr>
        <w:t> </w:t>
      </w:r>
      <w:r>
        <w:rPr>
          <w:sz w:val="19"/>
        </w:rPr>
        <w:t>down</w:t>
      </w:r>
      <w:r>
        <w:rPr>
          <w:spacing w:val="-7"/>
          <w:sz w:val="19"/>
        </w:rPr>
        <w:t> </w:t>
      </w:r>
      <w:r>
        <w:rPr>
          <w:sz w:val="19"/>
        </w:rPr>
        <w:t>on</w:t>
        <w:tab/>
      </w:r>
      <w:r>
        <w:rPr>
          <w:sz w:val="19"/>
          <w:u w:val="thick" w:color="BE4B48"/>
        </w:rPr>
        <w:t> </w:t>
        <w:tab/>
      </w:r>
      <w:r>
        <w:rPr>
          <w:position w:val="10"/>
          <w:sz w:val="18"/>
        </w:rPr>
        <w:t>Whole </w:t>
      </w:r>
      <w:r>
        <w:rPr>
          <w:spacing w:val="3"/>
          <w:position w:val="10"/>
          <w:sz w:val="18"/>
        </w:rPr>
        <w:t>economy total</w:t>
      </w:r>
      <w:r>
        <w:rPr>
          <w:spacing w:val="-7"/>
          <w:position w:val="10"/>
          <w:sz w:val="18"/>
        </w:rPr>
        <w:t> </w:t>
      </w:r>
      <w:r>
        <w:rPr>
          <w:spacing w:val="2"/>
          <w:position w:val="10"/>
          <w:sz w:val="18"/>
        </w:rPr>
        <w:t>pay</w:t>
      </w:r>
    </w:p>
    <w:p>
      <w:pPr>
        <w:tabs>
          <w:tab w:pos="9248" w:val="left" w:leader="none"/>
        </w:tabs>
        <w:spacing w:line="167" w:lineRule="exact" w:before="0"/>
        <w:ind w:left="5574" w:right="0" w:firstLine="0"/>
        <w:jc w:val="left"/>
        <w:rPr>
          <w:sz w:val="18"/>
        </w:rPr>
      </w:pPr>
      <w:r>
        <w:rPr>
          <w:sz w:val="18"/>
        </w:rPr>
        <w:t>Private sector</w:t>
      </w:r>
      <w:r>
        <w:rPr>
          <w:spacing w:val="23"/>
          <w:sz w:val="18"/>
        </w:rPr>
        <w:t> </w:t>
      </w:r>
      <w:r>
        <w:rPr>
          <w:sz w:val="18"/>
        </w:rPr>
        <w:t>total</w:t>
      </w:r>
      <w:r>
        <w:rPr>
          <w:spacing w:val="19"/>
          <w:sz w:val="18"/>
        </w:rPr>
        <w:t> </w:t>
      </w:r>
      <w:r>
        <w:rPr>
          <w:sz w:val="18"/>
        </w:rPr>
        <w:t>pay</w:t>
        <w:tab/>
      </w:r>
      <w:r>
        <w:rPr>
          <w:spacing w:val="-5"/>
          <w:position w:val="8"/>
          <w:sz w:val="18"/>
        </w:rPr>
        <w:t>-4</w:t>
      </w:r>
    </w:p>
    <w:p>
      <w:pPr>
        <w:spacing w:after="0" w:line="167" w:lineRule="exact"/>
        <w:jc w:val="left"/>
        <w:rPr>
          <w:sz w:val="18"/>
        </w:rPr>
        <w:sectPr>
          <w:type w:val="continuous"/>
          <w:pgSz w:w="12240" w:h="15840"/>
          <w:pgMar w:top="1120" w:bottom="1440" w:left="1200" w:right="1060"/>
        </w:sectPr>
      </w:pPr>
    </w:p>
    <w:p>
      <w:pPr>
        <w:pStyle w:val="BodyText"/>
        <w:spacing w:line="211" w:lineRule="exact"/>
        <w:ind w:left="386"/>
      </w:pPr>
      <w:r>
        <w:rPr/>
        <w:t>inflation</w:t>
      </w:r>
      <w:r>
        <w:rPr>
          <w:spacing w:val="-10"/>
        </w:rPr>
        <w:t> </w:t>
      </w:r>
      <w:r>
        <w:rPr/>
        <w:t>in</w:t>
      </w:r>
      <w:r>
        <w:rPr>
          <w:spacing w:val="-9"/>
        </w:rPr>
        <w:t> </w:t>
      </w:r>
      <w:r>
        <w:rPr/>
        <w:t>the</w:t>
      </w:r>
      <w:r>
        <w:rPr>
          <w:spacing w:val="-9"/>
        </w:rPr>
        <w:t> </w:t>
      </w:r>
      <w:r>
        <w:rPr/>
        <w:t>United</w:t>
      </w:r>
      <w:r>
        <w:rPr>
          <w:spacing w:val="-9"/>
        </w:rPr>
        <w:t> </w:t>
      </w:r>
      <w:r>
        <w:rPr/>
        <w:t>Kingdom</w:t>
      </w:r>
      <w:r>
        <w:rPr>
          <w:spacing w:val="-8"/>
        </w:rPr>
        <w:t> </w:t>
      </w:r>
      <w:r>
        <w:rPr/>
        <w:t>is</w:t>
      </w:r>
      <w:r>
        <w:rPr>
          <w:spacing w:val="-7"/>
        </w:rPr>
        <w:t> </w:t>
      </w:r>
      <w:r>
        <w:rPr/>
        <w:t>apparent</w:t>
      </w:r>
      <w:r>
        <w:rPr>
          <w:spacing w:val="-8"/>
        </w:rPr>
        <w:t> </w:t>
      </w:r>
      <w:r>
        <w:rPr/>
        <w:t>in</w:t>
      </w:r>
      <w:r>
        <w:rPr>
          <w:spacing w:val="-9"/>
        </w:rPr>
        <w:t> </w:t>
      </w:r>
      <w:r>
        <w:rPr/>
        <w:t>Figure</w:t>
      </w:r>
    </w:p>
    <w:p>
      <w:pPr>
        <w:pStyle w:val="BodyText"/>
        <w:spacing w:line="357" w:lineRule="auto" w:before="105"/>
        <w:ind w:left="386" w:right="-8"/>
      </w:pPr>
      <w:r>
        <w:rPr/>
        <w:t>7. This graph shows a range of the different measures of core inflation that we regularly monitor at the BOE—each of which uses a slightly different</w:t>
      </w:r>
    </w:p>
    <w:p>
      <w:pPr>
        <w:tabs>
          <w:tab w:pos="4502" w:val="left" w:leader="none"/>
        </w:tabs>
        <w:spacing w:line="259" w:lineRule="auto" w:before="138"/>
        <w:ind w:left="278" w:right="575" w:firstLine="549"/>
        <w:jc w:val="left"/>
        <w:rPr>
          <w:sz w:val="18"/>
        </w:rPr>
      </w:pPr>
      <w:r>
        <w:rPr/>
        <w:br w:type="column"/>
      </w:r>
      <w:r>
        <w:rPr>
          <w:sz w:val="18"/>
        </w:rPr>
        <w:t>Private  sector</w:t>
      </w:r>
      <w:r>
        <w:rPr>
          <w:spacing w:val="-23"/>
          <w:sz w:val="18"/>
        </w:rPr>
        <w:t> </w:t>
      </w:r>
      <w:r>
        <w:rPr>
          <w:sz w:val="18"/>
        </w:rPr>
        <w:t>regular</w:t>
      </w:r>
      <w:r>
        <w:rPr>
          <w:spacing w:val="13"/>
          <w:sz w:val="18"/>
        </w:rPr>
        <w:t> </w:t>
      </w:r>
      <w:r>
        <w:rPr>
          <w:sz w:val="18"/>
        </w:rPr>
        <w:t>pay</w:t>
        <w:tab/>
      </w:r>
      <w:r>
        <w:rPr>
          <w:spacing w:val="-14"/>
          <w:position w:val="-7"/>
          <w:sz w:val="18"/>
        </w:rPr>
        <w:t>-6 </w:t>
      </w:r>
      <w:r>
        <w:rPr>
          <w:sz w:val="18"/>
        </w:rPr>
        <w:t>2001 2003 2005 2007 2009 2011 2013</w:t>
      </w:r>
      <w:r>
        <w:rPr>
          <w:spacing w:val="5"/>
          <w:sz w:val="18"/>
        </w:rPr>
        <w:t> </w:t>
      </w:r>
      <w:r>
        <w:rPr>
          <w:sz w:val="18"/>
        </w:rPr>
        <w:t>2015</w:t>
      </w:r>
    </w:p>
    <w:p>
      <w:pPr>
        <w:spacing w:before="82"/>
        <w:ind w:left="207" w:right="0" w:firstLine="0"/>
        <w:jc w:val="left"/>
        <w:rPr>
          <w:sz w:val="15"/>
        </w:rPr>
      </w:pPr>
      <w:r>
        <w:rPr>
          <w:b/>
          <w:i/>
          <w:w w:val="105"/>
          <w:sz w:val="15"/>
        </w:rPr>
        <w:t>Source </w:t>
      </w:r>
      <w:r>
        <w:rPr>
          <w:b/>
          <w:w w:val="105"/>
          <w:sz w:val="15"/>
        </w:rPr>
        <w:t>: </w:t>
      </w:r>
      <w:r>
        <w:rPr>
          <w:w w:val="105"/>
          <w:sz w:val="15"/>
        </w:rPr>
        <w:t>ONS</w:t>
      </w:r>
    </w:p>
    <w:p>
      <w:pPr>
        <w:spacing w:after="0"/>
        <w:jc w:val="left"/>
        <w:rPr>
          <w:sz w:val="15"/>
        </w:rPr>
        <w:sectPr>
          <w:type w:val="continuous"/>
          <w:pgSz w:w="12240" w:h="15840"/>
          <w:pgMar w:top="1120" w:bottom="1440" w:left="1200" w:right="1060"/>
          <w:cols w:num="2" w:equalWidth="0">
            <w:col w:w="4707" w:space="40"/>
            <w:col w:w="5233"/>
          </w:cols>
        </w:sectPr>
      </w:pPr>
    </w:p>
    <w:p>
      <w:pPr>
        <w:pStyle w:val="BodyText"/>
        <w:spacing w:line="355" w:lineRule="auto"/>
        <w:ind w:left="386" w:right="628"/>
      </w:pPr>
      <w:r>
        <w:rPr/>
        <w:t>method</w:t>
      </w:r>
      <w:r>
        <w:rPr>
          <w:spacing w:val="-9"/>
        </w:rPr>
        <w:t> </w:t>
      </w:r>
      <w:r>
        <w:rPr/>
        <w:t>to</w:t>
      </w:r>
      <w:r>
        <w:rPr>
          <w:spacing w:val="-9"/>
        </w:rPr>
        <w:t> </w:t>
      </w:r>
      <w:r>
        <w:rPr/>
        <w:t>remove</w:t>
      </w:r>
      <w:r>
        <w:rPr>
          <w:spacing w:val="-8"/>
        </w:rPr>
        <w:t> </w:t>
      </w:r>
      <w:r>
        <w:rPr/>
        <w:t>the</w:t>
      </w:r>
      <w:r>
        <w:rPr>
          <w:spacing w:val="-9"/>
        </w:rPr>
        <w:t> </w:t>
      </w:r>
      <w:r>
        <w:rPr/>
        <w:t>direct</w:t>
      </w:r>
      <w:r>
        <w:rPr>
          <w:spacing w:val="-8"/>
        </w:rPr>
        <w:t> </w:t>
      </w:r>
      <w:r>
        <w:rPr/>
        <w:t>effect</w:t>
      </w:r>
      <w:r>
        <w:rPr>
          <w:spacing w:val="-7"/>
        </w:rPr>
        <w:t> </w:t>
      </w:r>
      <w:r>
        <w:rPr/>
        <w:t>of</w:t>
      </w:r>
      <w:r>
        <w:rPr>
          <w:spacing w:val="-8"/>
        </w:rPr>
        <w:t> </w:t>
      </w:r>
      <w:r>
        <w:rPr/>
        <w:t>the</w:t>
      </w:r>
      <w:r>
        <w:rPr>
          <w:spacing w:val="-9"/>
        </w:rPr>
        <w:t> </w:t>
      </w:r>
      <w:r>
        <w:rPr/>
        <w:t>more</w:t>
      </w:r>
      <w:r>
        <w:rPr>
          <w:spacing w:val="-8"/>
        </w:rPr>
        <w:t> </w:t>
      </w:r>
      <w:r>
        <w:rPr/>
        <w:t>short-lived</w:t>
      </w:r>
      <w:r>
        <w:rPr>
          <w:spacing w:val="-8"/>
        </w:rPr>
        <w:t> </w:t>
      </w:r>
      <w:r>
        <w:rPr/>
        <w:t>and</w:t>
      </w:r>
      <w:r>
        <w:rPr>
          <w:spacing w:val="-8"/>
        </w:rPr>
        <w:t> </w:t>
      </w:r>
      <w:r>
        <w:rPr/>
        <w:t>volatile</w:t>
      </w:r>
      <w:r>
        <w:rPr>
          <w:spacing w:val="-7"/>
        </w:rPr>
        <w:t> </w:t>
      </w:r>
      <w:r>
        <w:rPr/>
        <w:t>components</w:t>
      </w:r>
      <w:r>
        <w:rPr>
          <w:spacing w:val="-6"/>
        </w:rPr>
        <w:t> </w:t>
      </w:r>
      <w:r>
        <w:rPr/>
        <w:t>of</w:t>
      </w:r>
      <w:r>
        <w:rPr>
          <w:spacing w:val="-8"/>
        </w:rPr>
        <w:t> </w:t>
      </w:r>
      <w:r>
        <w:rPr/>
        <w:t>the</w:t>
      </w:r>
      <w:r>
        <w:rPr>
          <w:spacing w:val="-9"/>
        </w:rPr>
        <w:t> </w:t>
      </w:r>
      <w:r>
        <w:rPr/>
        <w:t>price</w:t>
      </w:r>
      <w:r>
        <w:rPr>
          <w:spacing w:val="-9"/>
        </w:rPr>
        <w:t> </w:t>
      </w:r>
      <w:r>
        <w:rPr/>
        <w:t>index.</w:t>
      </w:r>
      <w:r>
        <w:rPr>
          <w:spacing w:val="-8"/>
        </w:rPr>
        <w:t> </w:t>
      </w:r>
      <w:r>
        <w:rPr/>
        <w:t>These core</w:t>
      </w:r>
      <w:r>
        <w:rPr>
          <w:spacing w:val="-8"/>
        </w:rPr>
        <w:t> </w:t>
      </w:r>
      <w:r>
        <w:rPr/>
        <w:t>measures</w:t>
      </w:r>
      <w:r>
        <w:rPr>
          <w:spacing w:val="-7"/>
        </w:rPr>
        <w:t> </w:t>
      </w:r>
      <w:r>
        <w:rPr/>
        <w:t>of</w:t>
      </w:r>
      <w:r>
        <w:rPr>
          <w:spacing w:val="-8"/>
        </w:rPr>
        <w:t> </w:t>
      </w:r>
      <w:r>
        <w:rPr/>
        <w:t>inflation</w:t>
      </w:r>
      <w:r>
        <w:rPr>
          <w:spacing w:val="-9"/>
        </w:rPr>
        <w:t> </w:t>
      </w:r>
      <w:r>
        <w:rPr/>
        <w:t>have</w:t>
      </w:r>
      <w:r>
        <w:rPr>
          <w:spacing w:val="-8"/>
        </w:rPr>
        <w:t> </w:t>
      </w:r>
      <w:r>
        <w:rPr/>
        <w:t>been</w:t>
      </w:r>
      <w:r>
        <w:rPr>
          <w:spacing w:val="-8"/>
        </w:rPr>
        <w:t> </w:t>
      </w:r>
      <w:r>
        <w:rPr/>
        <w:t>somewhat</w:t>
      </w:r>
      <w:r>
        <w:rPr>
          <w:spacing w:val="-6"/>
        </w:rPr>
        <w:t> </w:t>
      </w:r>
      <w:r>
        <w:rPr/>
        <w:t>more</w:t>
      </w:r>
      <w:r>
        <w:rPr>
          <w:spacing w:val="-7"/>
        </w:rPr>
        <w:t> </w:t>
      </w:r>
      <w:r>
        <w:rPr/>
        <w:t>stable</w:t>
      </w:r>
      <w:r>
        <w:rPr>
          <w:spacing w:val="-8"/>
        </w:rPr>
        <w:t> </w:t>
      </w:r>
      <w:r>
        <w:rPr/>
        <w:t>than</w:t>
      </w:r>
      <w:r>
        <w:rPr>
          <w:spacing w:val="-8"/>
        </w:rPr>
        <w:t> </w:t>
      </w:r>
      <w:r>
        <w:rPr/>
        <w:t>headline</w:t>
      </w:r>
      <w:r>
        <w:rPr>
          <w:spacing w:val="-8"/>
        </w:rPr>
        <w:t> </w:t>
      </w:r>
      <w:r>
        <w:rPr/>
        <w:t>measures</w:t>
      </w:r>
      <w:r>
        <w:rPr>
          <w:spacing w:val="-6"/>
        </w:rPr>
        <w:t> </w:t>
      </w:r>
      <w:r>
        <w:rPr/>
        <w:t>(as</w:t>
      </w:r>
      <w:r>
        <w:rPr>
          <w:spacing w:val="-7"/>
        </w:rPr>
        <w:t> </w:t>
      </w:r>
      <w:r>
        <w:rPr/>
        <w:t>also</w:t>
      </w:r>
      <w:r>
        <w:rPr>
          <w:spacing w:val="-9"/>
        </w:rPr>
        <w:t> </w:t>
      </w:r>
      <w:r>
        <w:rPr/>
        <w:t>shown</w:t>
      </w:r>
      <w:r>
        <w:rPr>
          <w:spacing w:val="-8"/>
        </w:rPr>
        <w:t> </w:t>
      </w:r>
      <w:r>
        <w:rPr/>
        <w:t>in</w:t>
      </w:r>
      <w:r>
        <w:rPr>
          <w:spacing w:val="-8"/>
        </w:rPr>
        <w:t> </w:t>
      </w:r>
      <w:r>
        <w:rPr/>
        <w:t>the figure in the bright red line), confirming that falls in volatile components of the price index (such as energy and food prices) have played a role in driving the sharp fall in headline inflation to around zero. But even after removing these effects of more volatile components, the various core measures of inflation still show some downward trend and are currently clustered around 1.0% to</w:t>
      </w:r>
      <w:r>
        <w:rPr>
          <w:spacing w:val="-23"/>
        </w:rPr>
        <w:t> </w:t>
      </w:r>
      <w:r>
        <w:rPr/>
        <w:t>1.5%.</w:t>
      </w:r>
    </w:p>
    <w:p>
      <w:pPr>
        <w:pStyle w:val="BodyText"/>
        <w:spacing w:before="7"/>
        <w:rPr>
          <w:sz w:val="28"/>
        </w:rPr>
      </w:pPr>
    </w:p>
    <w:p>
      <w:pPr>
        <w:pStyle w:val="BodyText"/>
        <w:spacing w:line="357" w:lineRule="auto"/>
        <w:ind w:left="386" w:right="533"/>
      </w:pPr>
      <w:r>
        <w:rPr/>
        <w:t>Of course, one factor that has contributed to this recent fall in core (and headline) inflation is the exchange rate. Sterling has appreciated by almost 18% since its recent trough in the spring of 2013. Most of that appreciation occurred from the spring of 2013 through July of 2014 (14 percentage points of the total 18% movement). Since exchange rate movements affect the prices of many goods in both the headline and core price</w:t>
      </w:r>
      <w:r>
        <w:rPr>
          <w:spacing w:val="-9"/>
        </w:rPr>
        <w:t> </w:t>
      </w:r>
      <w:r>
        <w:rPr/>
        <w:t>indices,</w:t>
      </w:r>
      <w:r>
        <w:rPr>
          <w:spacing w:val="-7"/>
        </w:rPr>
        <w:t> </w:t>
      </w:r>
      <w:r>
        <w:rPr/>
        <w:t>and</w:t>
      </w:r>
      <w:r>
        <w:rPr>
          <w:spacing w:val="-9"/>
        </w:rPr>
        <w:t> </w:t>
      </w:r>
      <w:r>
        <w:rPr/>
        <w:t>it</w:t>
      </w:r>
      <w:r>
        <w:rPr>
          <w:spacing w:val="-7"/>
        </w:rPr>
        <w:t> </w:t>
      </w:r>
      <w:r>
        <w:rPr/>
        <w:t>takes</w:t>
      </w:r>
      <w:r>
        <w:rPr>
          <w:spacing w:val="-8"/>
        </w:rPr>
        <w:t> </w:t>
      </w:r>
      <w:r>
        <w:rPr/>
        <w:t>some</w:t>
      </w:r>
      <w:r>
        <w:rPr>
          <w:spacing w:val="-8"/>
        </w:rPr>
        <w:t> </w:t>
      </w:r>
      <w:r>
        <w:rPr/>
        <w:t>time</w:t>
      </w:r>
      <w:r>
        <w:rPr>
          <w:spacing w:val="-9"/>
        </w:rPr>
        <w:t> </w:t>
      </w:r>
      <w:r>
        <w:rPr/>
        <w:t>for</w:t>
      </w:r>
      <w:r>
        <w:rPr>
          <w:spacing w:val="-8"/>
        </w:rPr>
        <w:t> </w:t>
      </w:r>
      <w:r>
        <w:rPr/>
        <w:t>these</w:t>
      </w:r>
      <w:r>
        <w:rPr>
          <w:spacing w:val="-10"/>
        </w:rPr>
        <w:t> </w:t>
      </w:r>
      <w:r>
        <w:rPr/>
        <w:t>effects</w:t>
      </w:r>
      <w:r>
        <w:rPr>
          <w:spacing w:val="-8"/>
        </w:rPr>
        <w:t> </w:t>
      </w:r>
      <w:r>
        <w:rPr/>
        <w:t>to</w:t>
      </w:r>
      <w:r>
        <w:rPr>
          <w:spacing w:val="-8"/>
        </w:rPr>
        <w:t> </w:t>
      </w:r>
      <w:r>
        <w:rPr/>
        <w:t>occur,</w:t>
      </w:r>
      <w:r>
        <w:rPr>
          <w:spacing w:val="-8"/>
        </w:rPr>
        <w:t> </w:t>
      </w:r>
      <w:r>
        <w:rPr/>
        <w:t>this</w:t>
      </w:r>
      <w:r>
        <w:rPr>
          <w:spacing w:val="-8"/>
        </w:rPr>
        <w:t> </w:t>
      </w:r>
      <w:r>
        <w:rPr/>
        <w:t>past</w:t>
      </w:r>
      <w:r>
        <w:rPr>
          <w:spacing w:val="-7"/>
        </w:rPr>
        <w:t> </w:t>
      </w:r>
      <w:r>
        <w:rPr/>
        <w:t>appreciation</w:t>
      </w:r>
      <w:r>
        <w:rPr>
          <w:spacing w:val="-9"/>
        </w:rPr>
        <w:t> </w:t>
      </w:r>
      <w:r>
        <w:rPr/>
        <w:t>has</w:t>
      </w:r>
      <w:r>
        <w:rPr>
          <w:spacing w:val="-7"/>
        </w:rPr>
        <w:t> </w:t>
      </w:r>
      <w:r>
        <w:rPr/>
        <w:t>undoubtedly</w:t>
      </w:r>
      <w:r>
        <w:rPr>
          <w:spacing w:val="-9"/>
        </w:rPr>
        <w:t> </w:t>
      </w:r>
      <w:r>
        <w:rPr/>
        <w:t>played some role in dragging down core inflation. While there is a substantial amount of uncertainty about exactly how long it takes for sterling’s movements to pass-through into inflation, it is likely that the greatest drag on inflation</w:t>
      </w:r>
      <w:r>
        <w:rPr>
          <w:spacing w:val="-9"/>
        </w:rPr>
        <w:t> </w:t>
      </w:r>
      <w:r>
        <w:rPr/>
        <w:t>from</w:t>
      </w:r>
      <w:r>
        <w:rPr>
          <w:spacing w:val="-7"/>
        </w:rPr>
        <w:t> </w:t>
      </w:r>
      <w:r>
        <w:rPr/>
        <w:t>this</w:t>
      </w:r>
      <w:r>
        <w:rPr>
          <w:spacing w:val="-7"/>
        </w:rPr>
        <w:t> </w:t>
      </w:r>
      <w:r>
        <w:rPr/>
        <w:t>recent</w:t>
      </w:r>
      <w:r>
        <w:rPr>
          <w:spacing w:val="-6"/>
        </w:rPr>
        <w:t> </w:t>
      </w:r>
      <w:r>
        <w:rPr/>
        <w:t>appreciation</w:t>
      </w:r>
      <w:r>
        <w:rPr>
          <w:spacing w:val="-7"/>
        </w:rPr>
        <w:t> </w:t>
      </w:r>
      <w:r>
        <w:rPr/>
        <w:t>would</w:t>
      </w:r>
      <w:r>
        <w:rPr>
          <w:spacing w:val="-7"/>
        </w:rPr>
        <w:t> </w:t>
      </w:r>
      <w:r>
        <w:rPr/>
        <w:t>be</w:t>
      </w:r>
      <w:r>
        <w:rPr>
          <w:spacing w:val="-8"/>
        </w:rPr>
        <w:t> </w:t>
      </w:r>
      <w:r>
        <w:rPr/>
        <w:t>in</w:t>
      </w:r>
      <w:r>
        <w:rPr>
          <w:spacing w:val="-7"/>
        </w:rPr>
        <w:t> </w:t>
      </w:r>
      <w:r>
        <w:rPr/>
        <w:t>late</w:t>
      </w:r>
      <w:r>
        <w:rPr>
          <w:spacing w:val="-8"/>
        </w:rPr>
        <w:t> </w:t>
      </w:r>
      <w:r>
        <w:rPr/>
        <w:t>2014</w:t>
      </w:r>
      <w:r>
        <w:rPr>
          <w:spacing w:val="-8"/>
        </w:rPr>
        <w:t> </w:t>
      </w:r>
      <w:r>
        <w:rPr/>
        <w:t>and</w:t>
      </w:r>
      <w:r>
        <w:rPr>
          <w:spacing w:val="-8"/>
        </w:rPr>
        <w:t> </w:t>
      </w:r>
      <w:r>
        <w:rPr/>
        <w:t>early</w:t>
      </w:r>
      <w:r>
        <w:rPr>
          <w:spacing w:val="-7"/>
        </w:rPr>
        <w:t> </w:t>
      </w:r>
      <w:r>
        <w:rPr/>
        <w:t>2015.</w:t>
      </w:r>
      <w:r>
        <w:rPr>
          <w:vertAlign w:val="superscript"/>
        </w:rPr>
        <w:t>9</w:t>
      </w:r>
      <w:r>
        <w:rPr>
          <w:spacing w:val="-6"/>
          <w:vertAlign w:val="baseline"/>
        </w:rPr>
        <w:t> </w:t>
      </w:r>
      <w:r>
        <w:rPr>
          <w:vertAlign w:val="baseline"/>
        </w:rPr>
        <w:t>This</w:t>
      </w:r>
      <w:r>
        <w:rPr>
          <w:spacing w:val="-8"/>
          <w:vertAlign w:val="baseline"/>
        </w:rPr>
        <w:t> </w:t>
      </w:r>
      <w:r>
        <w:rPr>
          <w:vertAlign w:val="baseline"/>
        </w:rPr>
        <w:t>could</w:t>
      </w:r>
      <w:r>
        <w:rPr>
          <w:spacing w:val="-8"/>
          <w:vertAlign w:val="baseline"/>
        </w:rPr>
        <w:t> </w:t>
      </w:r>
      <w:r>
        <w:rPr>
          <w:vertAlign w:val="baseline"/>
        </w:rPr>
        <w:t>explain</w:t>
      </w:r>
      <w:r>
        <w:rPr>
          <w:spacing w:val="-8"/>
          <w:vertAlign w:val="baseline"/>
        </w:rPr>
        <w:t> </w:t>
      </w:r>
      <w:r>
        <w:rPr>
          <w:vertAlign w:val="baseline"/>
        </w:rPr>
        <w:t>a</w:t>
      </w:r>
      <w:r>
        <w:rPr>
          <w:spacing w:val="-8"/>
          <w:vertAlign w:val="baseline"/>
        </w:rPr>
        <w:t> </w:t>
      </w:r>
      <w:r>
        <w:rPr>
          <w:vertAlign w:val="baseline"/>
        </w:rPr>
        <w:t>substantial amount of the decline in core prices, as well as some of the decline in headline inflation (along with oil prices).</w:t>
      </w:r>
    </w:p>
    <w:p>
      <w:pPr>
        <w:pStyle w:val="BodyText"/>
        <w:rPr>
          <w:sz w:val="20"/>
        </w:rPr>
      </w:pPr>
    </w:p>
    <w:p>
      <w:pPr>
        <w:pStyle w:val="BodyText"/>
        <w:rPr>
          <w:sz w:val="20"/>
        </w:rPr>
      </w:pPr>
    </w:p>
    <w:p>
      <w:pPr>
        <w:pStyle w:val="BodyText"/>
        <w:spacing w:before="2"/>
        <w:rPr>
          <w:sz w:val="24"/>
        </w:rPr>
      </w:pPr>
      <w:r>
        <w:rPr/>
        <w:pict>
          <v:shape style="position:absolute;margin-left:79.320pt;margin-top:16.134327pt;width:135.5pt;height:.1pt;mso-position-horizontal-relative:page;mso-position-vertical-relative:paragraph;z-index:-251643904;mso-wrap-distance-left:0;mso-wrap-distance-right:0" coordorigin="1586,323" coordsize="2710,0" path="m1586,323l4296,323e" filled="false" stroked="true" strokeweight=".42pt" strokecolor="#000000">
            <v:path arrowok="t"/>
            <v:stroke dashstyle="solid"/>
            <w10:wrap type="topAndBottom"/>
          </v:shape>
        </w:pict>
      </w:r>
    </w:p>
    <w:p>
      <w:pPr>
        <w:spacing w:before="26"/>
        <w:ind w:left="386" w:right="533" w:firstLine="0"/>
        <w:jc w:val="left"/>
        <w:rPr>
          <w:sz w:val="15"/>
        </w:rPr>
      </w:pPr>
      <w:r>
        <w:rPr>
          <w:position w:val="8"/>
          <w:sz w:val="9"/>
        </w:rPr>
        <w:t>9 </w:t>
      </w:r>
      <w:r>
        <w:rPr>
          <w:sz w:val="15"/>
        </w:rPr>
        <w:t>For details on how sterling’s moves affect inflation, see Forbes (2014). For evidence on the effects of different rates of pass through to inflation, see Forbes (2015).</w:t>
      </w:r>
    </w:p>
    <w:p>
      <w:pPr>
        <w:spacing w:after="0"/>
        <w:jc w:val="left"/>
        <w:rPr>
          <w:sz w:val="15"/>
        </w:rPr>
        <w:sectPr>
          <w:type w:val="continuous"/>
          <w:pgSz w:w="12240" w:h="15840"/>
          <w:pgMar w:top="1120" w:bottom="1440" w:left="1200" w:right="1060"/>
        </w:sectPr>
      </w:pPr>
    </w:p>
    <w:p>
      <w:pPr>
        <w:spacing w:before="74"/>
        <w:ind w:left="429" w:right="0" w:firstLine="0"/>
        <w:jc w:val="left"/>
        <w:rPr>
          <w:b/>
          <w:sz w:val="18"/>
        </w:rPr>
      </w:pPr>
      <w:r>
        <w:rPr>
          <w:b/>
          <w:sz w:val="18"/>
        </w:rPr>
        <w:t>Figure 7: Selected UK core inflation measures</w:t>
      </w:r>
    </w:p>
    <w:p>
      <w:pPr>
        <w:pStyle w:val="BodyText"/>
        <w:spacing w:before="5"/>
        <w:rPr>
          <w:b/>
          <w:sz w:val="18"/>
        </w:rPr>
      </w:pPr>
    </w:p>
    <w:p>
      <w:pPr>
        <w:spacing w:line="244" w:lineRule="auto" w:before="0"/>
        <w:ind w:left="3075" w:right="9" w:firstLine="0"/>
        <w:jc w:val="left"/>
        <w:rPr>
          <w:sz w:val="18"/>
        </w:rPr>
      </w:pPr>
      <w:r>
        <w:rPr>
          <w:sz w:val="18"/>
        </w:rPr>
        <w:t>Percentage change on a year earlier</w:t>
      </w:r>
    </w:p>
    <w:p>
      <w:pPr>
        <w:spacing w:line="180" w:lineRule="exact" w:before="0"/>
        <w:ind w:left="4723" w:right="0" w:firstLine="0"/>
        <w:jc w:val="left"/>
        <w:rPr>
          <w:sz w:val="18"/>
        </w:rPr>
      </w:pPr>
      <w:r>
        <w:rPr/>
        <w:pict>
          <v:group style="position:absolute;margin-left:94.5pt;margin-top:3.349712pt;width:195.8pt;height:146pt;mso-position-horizontal-relative:page;mso-position-vertical-relative:paragraph;z-index:251675648" coordorigin="1890,67" coordsize="3916,2920">
            <v:line style="position:absolute" from="5749,73" to="5749,2981" stroked="true" strokeweight=".72pt" strokecolor="#868686">
              <v:stroke dashstyle="solid"/>
            </v:line>
            <v:shape style="position:absolute;left:5749;top:67;width:57;height:2920" coordorigin="5749,67" coordsize="57,2920" path="m5806,2973l5749,2973,5749,2987,5806,2987,5806,2973m5806,2564l5749,2564,5749,2577,5806,2577,5806,2564m5806,2141l5749,2141,5749,2155,5806,2155,5806,2141m5806,1731l5749,1731,5749,1746,5806,1746,5806,1731m5806,1308l5749,1308,5749,1322,5806,1322,5806,1308m5806,899l5749,899,5749,913,5806,913,5806,899m5806,489l5749,489,5749,504,5806,504,5806,489m5806,67l5749,67,5749,80,5806,80,5806,67e" filled="true" fillcolor="#868686" stroked="false">
              <v:path arrowok="t"/>
              <v:fill type="solid"/>
            </v:shape>
            <v:shape style="position:absolute;left:1890;top:406;width:3867;height:2257" type="#_x0000_t75" stroked="false">
              <v:imagedata r:id="rId13" o:title=""/>
            </v:shape>
            <w10:wrap type="none"/>
          </v:group>
        </w:pict>
      </w:r>
      <w:r>
        <w:rPr>
          <w:w w:val="101"/>
          <w:sz w:val="18"/>
        </w:rPr>
        <w:t>6</w:t>
      </w:r>
    </w:p>
    <w:p>
      <w:pPr>
        <w:pStyle w:val="BodyText"/>
        <w:spacing w:before="1"/>
        <w:rPr>
          <w:sz w:val="18"/>
        </w:rPr>
      </w:pPr>
    </w:p>
    <w:p>
      <w:pPr>
        <w:spacing w:before="0"/>
        <w:ind w:left="0" w:right="0" w:firstLine="0"/>
        <w:jc w:val="right"/>
        <w:rPr>
          <w:sz w:val="18"/>
        </w:rPr>
      </w:pPr>
      <w:r>
        <w:rPr>
          <w:w w:val="101"/>
          <w:sz w:val="18"/>
        </w:rPr>
        <w:t>5</w:t>
      </w:r>
    </w:p>
    <w:p>
      <w:pPr>
        <w:pStyle w:val="BodyText"/>
        <w:rPr>
          <w:sz w:val="18"/>
        </w:rPr>
      </w:pPr>
    </w:p>
    <w:p>
      <w:pPr>
        <w:spacing w:before="0"/>
        <w:ind w:left="0" w:right="0" w:firstLine="0"/>
        <w:jc w:val="right"/>
        <w:rPr>
          <w:sz w:val="18"/>
        </w:rPr>
      </w:pPr>
      <w:r>
        <w:rPr>
          <w:w w:val="101"/>
          <w:sz w:val="18"/>
        </w:rPr>
        <w:t>4</w:t>
      </w:r>
    </w:p>
    <w:p>
      <w:pPr>
        <w:pStyle w:val="BodyText"/>
        <w:spacing w:before="1"/>
        <w:rPr>
          <w:sz w:val="18"/>
        </w:rPr>
      </w:pPr>
    </w:p>
    <w:p>
      <w:pPr>
        <w:spacing w:before="0"/>
        <w:ind w:left="0" w:right="0" w:firstLine="0"/>
        <w:jc w:val="right"/>
        <w:rPr>
          <w:sz w:val="18"/>
        </w:rPr>
      </w:pPr>
      <w:r>
        <w:rPr>
          <w:w w:val="101"/>
          <w:sz w:val="18"/>
        </w:rPr>
        <w:t>3</w:t>
      </w:r>
    </w:p>
    <w:p>
      <w:pPr>
        <w:pStyle w:val="BodyText"/>
        <w:rPr>
          <w:sz w:val="18"/>
        </w:rPr>
      </w:pPr>
    </w:p>
    <w:p>
      <w:pPr>
        <w:spacing w:before="1"/>
        <w:ind w:left="0" w:right="0" w:firstLine="0"/>
        <w:jc w:val="right"/>
        <w:rPr>
          <w:sz w:val="18"/>
        </w:rPr>
      </w:pPr>
      <w:r>
        <w:rPr>
          <w:w w:val="101"/>
          <w:sz w:val="18"/>
        </w:rPr>
        <w:t>2</w:t>
      </w:r>
    </w:p>
    <w:p>
      <w:pPr>
        <w:pStyle w:val="BodyText"/>
        <w:spacing w:before="1"/>
        <w:rPr>
          <w:sz w:val="18"/>
        </w:rPr>
      </w:pPr>
    </w:p>
    <w:p>
      <w:pPr>
        <w:spacing w:before="0"/>
        <w:ind w:left="0" w:right="0" w:firstLine="0"/>
        <w:jc w:val="right"/>
        <w:rPr>
          <w:sz w:val="18"/>
        </w:rPr>
      </w:pPr>
      <w:r>
        <w:rPr>
          <w:w w:val="101"/>
          <w:sz w:val="18"/>
        </w:rPr>
        <w:t>1</w:t>
      </w:r>
    </w:p>
    <w:p>
      <w:pPr>
        <w:pStyle w:val="BodyText"/>
        <w:rPr>
          <w:sz w:val="18"/>
        </w:rPr>
      </w:pPr>
    </w:p>
    <w:p>
      <w:pPr>
        <w:spacing w:before="0"/>
        <w:ind w:left="0" w:right="0" w:firstLine="0"/>
        <w:jc w:val="right"/>
        <w:rPr>
          <w:sz w:val="18"/>
        </w:rPr>
      </w:pPr>
      <w:r>
        <w:rPr>
          <w:w w:val="101"/>
          <w:sz w:val="18"/>
        </w:rPr>
        <w:t>0</w:t>
      </w:r>
    </w:p>
    <w:p>
      <w:pPr>
        <w:spacing w:line="278" w:lineRule="auto" w:before="87"/>
        <w:ind w:left="198" w:right="14" w:firstLine="0"/>
        <w:jc w:val="left"/>
        <w:rPr>
          <w:b/>
          <w:sz w:val="18"/>
        </w:rPr>
      </w:pPr>
      <w:r>
        <w:rPr/>
        <w:br w:type="column"/>
      </w:r>
      <w:r>
        <w:rPr>
          <w:b/>
          <w:sz w:val="18"/>
        </w:rPr>
        <w:t>Figure 8: Measures of UK domestically generated inflation</w:t>
      </w:r>
    </w:p>
    <w:p>
      <w:pPr>
        <w:pStyle w:val="BodyText"/>
        <w:spacing w:before="2"/>
        <w:rPr>
          <w:b/>
          <w:sz w:val="17"/>
        </w:rPr>
      </w:pPr>
    </w:p>
    <w:p>
      <w:pPr>
        <w:tabs>
          <w:tab w:pos="860" w:val="left" w:leader="none"/>
          <w:tab w:pos="2047" w:val="left" w:leader="none"/>
        </w:tabs>
        <w:spacing w:before="1"/>
        <w:ind w:left="0" w:right="561" w:firstLine="0"/>
        <w:jc w:val="right"/>
        <w:rPr>
          <w:sz w:val="18"/>
        </w:rPr>
      </w:pPr>
      <w:r>
        <w:rPr/>
        <w:pict>
          <v:group style="position:absolute;margin-left:322.02002pt;margin-top:2.431931pt;width:5.7pt;height:5.65pt;mso-position-horizontal-relative:page;mso-position-vertical-relative:paragraph;z-index:251682816" coordorigin="6440,49" coordsize="114,113">
            <v:rect style="position:absolute;left:6447;top:54;width:100;height:100" filled="true" fillcolor="#604a7b" stroked="false">
              <v:fill type="solid"/>
            </v:rect>
            <v:shape style="position:absolute;left:6440;top:48;width:114;height:113" coordorigin="6440,49" coordsize="114,113" path="m6551,49l6444,49,6440,51,6440,158,6444,161,6551,161,6554,158,6554,154,6455,154,6448,147,6455,147,6455,62,6448,62,6455,55,6554,55,6554,51,6551,49xm6455,147l6448,147,6455,154,6455,147xm6540,147l6455,147,6455,154,6540,154,6540,147xm6540,55l6540,154,6547,147,6554,147,6554,62,6547,62,6540,55xm6554,147l6547,147,6540,154,6554,154,6554,147xm6455,55l6448,62,6455,62,6455,55xm6540,55l6455,55,6455,62,6540,62,6540,55xm6554,55l6540,55,6547,62,6554,62,6554,55xe" filled="true" fillcolor="#000000" stroked="false">
              <v:path arrowok="t"/>
              <v:fill type="solid"/>
            </v:shape>
            <w10:wrap type="none"/>
          </v:group>
        </w:pict>
      </w:r>
      <w:r>
        <w:rPr/>
        <w:pict>
          <v:group style="position:absolute;margin-left:365.100006pt;margin-top:1.711927pt;width:6.3pt;height:6.4pt;mso-position-horizontal-relative:page;mso-position-vertical-relative:paragraph;z-index:-254969856" coordorigin="7302,34" coordsize="126,128">
            <v:rect style="position:absolute;left:7309;top:41;width:113;height:113" filled="true" fillcolor="#ff0000" stroked="false">
              <v:fill type="solid"/>
            </v:rect>
            <v:shape style="position:absolute;left:7302;top:34;width:126;height:128" coordorigin="7302,34" coordsize="126,128" path="m7426,34l7304,34,7302,37,7302,158,7304,161,7426,161,7428,158,7428,154,7315,154,7309,147,7315,147,7315,49,7309,49,7315,41,7428,41,7428,37,7426,34xm7315,147l7309,147,7315,154,7315,147xm7415,147l7315,147,7315,154,7415,154,7415,147xm7415,41l7415,154,7422,147,7428,147,7428,49,7422,49,7415,41xm7428,147l7422,147,7415,154,7428,154,7428,147xm7315,41l7309,49,7315,49,7315,41xm7415,41l7315,41,7315,49,7415,49,7415,41xm7428,41l7415,41,7422,49,7428,49,7428,41xe" filled="true" fillcolor="#000000" stroked="false">
              <v:path arrowok="t"/>
              <v:fill type="solid"/>
            </v:shape>
            <w10:wrap type="none"/>
          </v:group>
        </w:pict>
      </w:r>
      <w:r>
        <w:rPr>
          <w:spacing w:val="2"/>
          <w:sz w:val="18"/>
        </w:rPr>
        <w:t>Latest</w:t>
        <w:tab/>
      </w:r>
      <w:r>
        <w:rPr>
          <w:sz w:val="18"/>
        </w:rPr>
        <w:t>1</w:t>
      </w:r>
      <w:r>
        <w:rPr>
          <w:spacing w:val="6"/>
          <w:sz w:val="18"/>
        </w:rPr>
        <w:t> </w:t>
      </w:r>
      <w:r>
        <w:rPr>
          <w:spacing w:val="3"/>
          <w:sz w:val="18"/>
        </w:rPr>
        <w:t>year</w:t>
      </w:r>
      <w:r>
        <w:rPr>
          <w:spacing w:val="5"/>
          <w:sz w:val="18"/>
        </w:rPr>
        <w:t> </w:t>
      </w:r>
      <w:r>
        <w:rPr>
          <w:spacing w:val="2"/>
          <w:sz w:val="18"/>
        </w:rPr>
        <w:t>ago</w:t>
        <w:tab/>
      </w:r>
      <w:r>
        <w:rPr>
          <w:sz w:val="18"/>
        </w:rPr>
        <w:t>Percentage  changes</w:t>
      </w:r>
      <w:r>
        <w:rPr>
          <w:spacing w:val="18"/>
          <w:sz w:val="18"/>
        </w:rPr>
        <w:t> </w:t>
      </w:r>
      <w:r>
        <w:rPr>
          <w:sz w:val="18"/>
        </w:rPr>
        <w:t>on</w:t>
      </w:r>
    </w:p>
    <w:p>
      <w:pPr>
        <w:spacing w:line="189" w:lineRule="exact" w:before="0"/>
        <w:ind w:left="0" w:right="559" w:firstLine="0"/>
        <w:jc w:val="right"/>
        <w:rPr>
          <w:sz w:val="18"/>
        </w:rPr>
      </w:pPr>
      <w:r>
        <w:rPr>
          <w:sz w:val="18"/>
        </w:rPr>
        <w:t>a year</w:t>
      </w:r>
      <w:r>
        <w:rPr>
          <w:spacing w:val="21"/>
          <w:sz w:val="18"/>
        </w:rPr>
        <w:t> </w:t>
      </w:r>
      <w:r>
        <w:rPr>
          <w:sz w:val="18"/>
        </w:rPr>
        <w:t>earlier</w:t>
      </w:r>
    </w:p>
    <w:p>
      <w:pPr>
        <w:spacing w:line="189" w:lineRule="exact" w:before="0"/>
        <w:ind w:left="0" w:right="458" w:firstLine="0"/>
        <w:jc w:val="right"/>
        <w:rPr>
          <w:sz w:val="18"/>
        </w:rPr>
      </w:pPr>
      <w:r>
        <w:rPr/>
        <w:pict>
          <v:group style="position:absolute;margin-left:319.920013pt;margin-top:3.682008pt;width:197.9pt;height:101.25pt;mso-position-horizontal-relative:page;mso-position-vertical-relative:paragraph;z-index:251681792" coordorigin="6398,74" coordsize="3958,2025">
            <v:rect style="position:absolute;left:6532;top:1237;width:170;height:804" filled="true" fillcolor="#604a7b" stroked="false">
              <v:fill type="solid"/>
            </v:rect>
            <v:shape style="position:absolute;left:6525;top:1230;width:184;height:819" coordorigin="6526,1230" coordsize="184,819" path="m6706,1230l6529,1230,6526,1234,6526,2046,6529,2049,6706,2049,6709,2046,6709,2042,6540,2042,6533,2036,6540,2036,6540,1245,6533,1245,6540,1238,6709,1238,6709,1234,6706,1230xm6540,2036l6533,2036,6540,2042,6540,2036xm6695,2036l6540,2036,6540,2042,6695,2042,6695,2036xm6695,1238l6695,2042,6702,2036,6709,2036,6709,1245,6702,1245,6695,1238xm6709,2036l6702,2036,6695,2042,6709,2042,6709,2036xm6540,1238l6533,1245,6540,1245,6540,1238xm6695,1238l6540,1238,6540,1245,6695,1245,6695,1238xm6709,1238l6695,1238,6702,1245,6709,1245,6709,1238xe" filled="true" fillcolor="#000000" stroked="false">
              <v:path arrowok="t"/>
              <v:fill type="solid"/>
            </v:shape>
            <v:rect style="position:absolute;left:6956;top:1153;width:183;height:888" filled="true" fillcolor="#604a7b" stroked="false">
              <v:fill type="solid"/>
            </v:rect>
            <v:shape style="position:absolute;left:6949;top:1146;width:197;height:903" coordorigin="6949,1146" coordsize="197,903" path="m7144,1146l6952,1146,6949,1149,6949,2046,6952,2049,7144,2049,7146,2046,7146,2042,6962,2042,6956,2036,6962,2036,6962,1161,6956,1161,6962,1154,7146,1154,7146,1149,7144,1146xm6962,2036l6956,2036,6962,2042,6962,2036xm7133,2036l6962,2036,6962,2042,7133,2042,7133,2036xm7133,1154l7133,2042,7139,2036,7146,2036,7146,1161,7139,1161,7133,1154xm7146,2036l7139,2036,7133,2042,7146,2042,7146,2036xm6962,1154l6956,1161,6962,1161,6962,1154xm7133,1154l6962,1154,6962,1161,7133,1161,7133,1154xm7146,1154l7133,1154,7139,1161,7146,1161,7146,1154xe" filled="true" fillcolor="#000000" stroked="false">
              <v:path arrowok="t"/>
              <v:fill type="solid"/>
            </v:shape>
            <v:rect style="position:absolute;left:7393;top:1646;width:170;height:395" filled="true" fillcolor="#604a7b" stroked="false">
              <v:fill type="solid"/>
            </v:rect>
            <v:shape style="position:absolute;left:7386;top:1639;width:184;height:410" coordorigin="7386,1640" coordsize="184,410" path="m7566,1640l7390,1640,7386,1643,7386,2046,7390,2049,7566,2049,7570,2046,7570,2042,7400,2042,7393,2036,7400,2036,7400,1654,7393,1654,7400,1647,7570,1647,7570,1643,7566,1640xm7400,2036l7393,2036,7400,2042,7400,2036xm7555,2036l7400,2036,7400,2042,7555,2042,7555,2036xm7555,1647l7555,2042,7562,2036,7570,2036,7570,1654,7562,1654,7555,1647xm7570,2036l7562,2036,7555,2042,7570,2042,7570,2036xm7400,1647l7393,1654,7400,1654,7400,1647xm7555,1647l7400,1647,7400,1654,7555,1654,7555,1647xm7570,1647l7555,1647,7562,1654,7570,1654,7570,1647xe" filled="true" fillcolor="#000000" stroked="false">
              <v:path arrowok="t"/>
              <v:fill type="solid"/>
            </v:shape>
            <v:rect style="position:absolute;left:7831;top:1364;width:170;height:677" filled="true" fillcolor="#604a7b" stroked="false">
              <v:fill type="solid"/>
            </v:rect>
            <v:shape style="position:absolute;left:7824;top:1357;width:183;height:692" coordorigin="7824,1358" coordsize="183,692" path="m8004,1358l7826,1358,7824,1361,7824,2046,7826,2049,8004,2049,8006,2046,8006,2042,7837,2042,7831,2036,7837,2036,7837,1372,7831,1372,7837,1365,8006,1365,8006,1361,8004,1358xm7837,2036l7831,2036,7837,2042,7837,2036xm7993,2036l7837,2036,7837,2042,7993,2042,7993,2036xm7993,1365l7993,2042,8000,2036,8006,2036,8006,1372,8000,1372,7993,1365xm8006,2036l8000,2036,7993,2042,8006,2042,8006,2036xm7837,1365l7831,1372,7837,1372,7837,1365xm7993,1365l7837,1365,7837,1372,7993,1372,7993,1365xm8006,1365l7993,1365,8000,1372,8006,1372,8006,1365xe" filled="true" fillcolor="#000000" stroked="false">
              <v:path arrowok="t"/>
              <v:fill type="solid"/>
            </v:shape>
            <v:rect style="position:absolute;left:8253;top:602;width:184;height:1439" filled="true" fillcolor="#604a7b" stroked="false">
              <v:fill type="solid"/>
            </v:rect>
            <v:shape style="position:absolute;left:8246;top:595;width:198;height:1454" coordorigin="8246,596" coordsize="198,1454" path="m8441,596l8250,596,8246,599,8246,2046,8250,2049,8441,2049,8444,2046,8444,2042,8261,2042,8254,2036,8261,2036,8261,610,8254,610,8261,603,8444,603,8444,599,8441,596xm8261,2036l8254,2036,8261,2042,8261,2036xm8430,2036l8261,2036,8261,2042,8430,2042,8430,2036xm8430,603l8430,2042,8437,2036,8444,2036,8444,610,8437,610,8430,603xm8444,2036l8437,2036,8430,2042,8444,2042,8444,2036xm8261,603l8254,610,8261,610,8261,603xm8430,603l8261,603,8261,610,8430,610,8430,603xm8444,603l8430,603,8437,610,8444,610,8444,603xe" filled="true" fillcolor="#000000" stroked="false">
              <v:path arrowok="t"/>
              <v:fill type="solid"/>
            </v:shape>
            <v:rect style="position:absolute;left:8691;top:292;width:170;height:1750" filled="true" fillcolor="#604a7b" stroked="false">
              <v:fill type="solid"/>
            </v:rect>
            <v:shape style="position:absolute;left:8684;top:286;width:184;height:1763" coordorigin="8684,286" coordsize="184,1763" path="m8864,286l8687,286,8684,288,8684,2046,8687,2049,8864,2049,8868,2046,8868,2042,8699,2042,8692,2036,8699,2036,8699,299,8692,299,8699,292,8868,292,8868,288,8864,286xm8699,2036l8692,2036,8699,2042,8699,2036xm8854,2036l8699,2036,8699,2042,8854,2042,8854,2036xm8854,292l8854,2042,8861,2036,8868,2036,8868,299,8861,299,8854,292xm8868,2036l8861,2036,8854,2042,8868,2042,8868,2036xm8699,292l8692,299,8699,299,8699,292xm8854,292l8699,292,8699,299,8854,299,8854,292xm8868,292l8854,292,8861,299,8868,299,8868,292xe" filled="true" fillcolor="#000000" stroked="false">
              <v:path arrowok="t"/>
              <v:fill type="solid"/>
            </v:shape>
            <v:rect style="position:absolute;left:9128;top:1519;width:170;height:522" filled="true" fillcolor="#604a7b" stroked="false">
              <v:fill type="solid"/>
            </v:rect>
            <v:shape style="position:absolute;left:9121;top:1513;width:184;height:536" coordorigin="9121,1514" coordsize="184,536" path="m9301,1514l9125,1514,9121,1516,9121,2046,9125,2049,9301,2049,9305,2046,9305,2042,9136,2042,9128,2036,9136,2036,9136,1527,9128,1527,9136,1520,9305,1520,9305,1516,9301,1514xm9136,2036l9128,2036,9136,2042,9136,2036xm9290,2036l9136,2036,9136,2042,9290,2042,9290,2036xm9290,1520l9290,2042,9298,2036,9305,2036,9305,1527,9298,1527,9290,1520xm9305,2036l9298,2036,9290,2042,9305,2042,9305,2036xm9136,1520l9128,1527,9136,1527,9136,1520xm9290,1520l9136,1520,9136,1527,9290,1527,9290,1520xm9305,1520l9290,1520,9298,1527,9305,1527,9305,1520xe" filled="true" fillcolor="#000000" stroked="false">
              <v:path arrowok="t"/>
              <v:fill type="solid"/>
            </v:shape>
            <v:rect style="position:absolute;left:9552;top:730;width:184;height:1312" filled="true" fillcolor="#604a7b" stroked="false">
              <v:fill type="solid"/>
            </v:rect>
            <v:shape style="position:absolute;left:9544;top:722;width:198;height:1326" coordorigin="9545,723" coordsize="198,1326" path="m9739,723l9548,723,9545,726,9545,2046,9548,2049,9739,2049,9743,2046,9743,2042,9559,2042,9552,2036,9559,2036,9559,737,9552,737,9559,730,9743,730,9743,726,9739,723xm9559,2036l9552,2036,9559,2042,9559,2036xm9728,2036l9559,2036,9559,2042,9728,2042,9728,2036xm9728,730l9728,2042,9736,2036,9743,2036,9743,737,9736,737,9728,730xm9743,2036l9736,2036,9728,2042,9743,2042,9743,2036xm9559,730l9552,737,9559,737,9559,730xm9728,730l9559,730,9559,737,9728,737,9728,730xm9743,730l9728,730,9736,737,9743,737,9743,730xe" filled="true" fillcolor="#000000" stroked="false">
              <v:path arrowok="t"/>
              <v:fill type="solid"/>
            </v:shape>
            <v:rect style="position:absolute;left:9988;top:1788;width:170;height:254" filled="true" fillcolor="#604a7b" stroked="false">
              <v:fill type="solid"/>
            </v:rect>
            <v:shape style="position:absolute;left:9981;top:1781;width:184;height:268" coordorigin="9982,1781" coordsize="184,268" path="m10163,1781l9985,1781,9982,1785,9982,2046,9985,2049,10163,2049,10165,2046,10165,2042,9996,2042,9989,2036,9996,2036,9996,1796,9989,1796,9996,1788,10165,1788,10165,1785,10163,1781xm9996,2036l9989,2036,9996,2042,9996,2036xm10151,2036l9996,2036,9996,2042,10151,2042,10151,2036xm10151,1788l10151,2042,10158,2036,10165,2036,10165,1796,10158,1796,10151,1788xm10165,2036l10158,2036,10151,2042,10165,2042,10165,2036xm9996,1788l9989,1796,9996,1796,9996,1788xm10151,1788l9996,1788,9996,1796,10151,1796,10151,1788xm10165,1788l10151,1788,10158,1796,10165,1796,10165,1788xe" filled="true" fillcolor="#000000" stroked="false">
              <v:path arrowok="t"/>
              <v:fill type="solid"/>
            </v:shape>
            <v:line style="position:absolute" from="10300,81" to="10300,2098" stroked="true" strokeweight=".72pt" strokecolor="#000000">
              <v:stroke dashstyle="solid"/>
            </v:line>
            <v:shape style="position:absolute;left:10299;top:73;width:57;height:1976" coordorigin="10300,74" coordsize="57,1976" path="m10356,2036l10300,2036,10300,2049,10356,2049,10356,2036m10356,1809l10300,1809,10300,1823,10356,1823,10356,1809m10356,1598l10300,1598,10300,1612,10356,1612,10356,1598m10356,1372l10300,1372,10300,1386,10356,1386,10356,1372m10356,1161l10300,1161,10300,1174,10356,1174,10356,1161m10356,948l10300,948,10300,963,10356,963,10356,948m10356,723l10300,723,10300,737,10356,737,10356,723m10356,512l10300,512,10300,525,10356,525,10356,512m10356,299l10300,299,10300,314,10356,314,10356,299m10356,74l10300,74,10300,88,10356,88,10356,74e" filled="true" fillcolor="#000000" stroked="false">
              <v:path arrowok="t"/>
              <v:fill type="solid"/>
            </v:shape>
            <v:line style="position:absolute" from="6406,2042" to="10300,2042" stroked="true" strokeweight=".66pt" strokecolor="#000000">
              <v:stroke dashstyle="solid"/>
            </v:line>
            <v:shape style="position:absolute;left:6398;top:1160;width:3683;height:938" coordorigin="6398,1161" coordsize="3683,938" path="m6413,2042l6398,2042,6398,2098,6413,2098,6413,2042m6653,1163l6649,1161,6613,1161,6611,1163,6611,1172,6613,1174,6649,1174,6653,1172,6653,1163m6709,1163l6706,1161,6670,1161,6667,1163,6667,1172,6670,1174,6706,1174,6709,1172,6709,1163m6766,1163l6762,1161,6726,1161,6724,1163,6724,1172,6726,1174,6762,1174,6766,1172,6766,1163m6822,1163l6818,1161,6782,1161,6780,1163,6780,1172,6782,1174,6818,1174,6822,1172,6822,1163m6836,2042l6822,2042,6822,2098,6836,2098,6836,2042m6878,1163l6875,1161,6839,1161,6836,1163,6836,1172,6839,1174,6875,1174,6878,1172,6878,1163m6935,1163l6931,1161,6895,1161,6893,1163,6893,1172,6895,1174,6931,1174,6935,1172,6935,1163m6991,1163l6988,1161,6952,1161,6949,1163,6949,1172,6952,1174,6988,1174,6991,1172,6991,1163m7048,1163l7044,1161,7008,1161,7006,1163,7006,1172,7008,1174,7044,1174,7048,1172,7048,1163m7104,1163l7100,1161,7064,1161,7062,1163,7062,1172,7064,1174,7100,1174,7104,1172,7104,1163m7160,1163l7157,1161,7121,1161,7118,1163,7118,1172,7121,1174,7157,1174,7160,1172,7160,1163m7217,1163l7213,1161,7177,1161,7175,1163,7175,1172,7177,1174,7213,1174,7217,1172,7217,1163m7273,1163l7271,1161,7234,1161,7231,1163,7231,1172,7234,1174,7271,1174,7273,1172,7273,1163m7273,2042l7259,2042,7259,2098,7273,2098,7273,2042m7330,1163l7327,1161,7291,1161,7288,1163,7288,1172,7291,1174,7327,1174,7330,1172,7330,1163m7386,1163l7384,1161,7348,1161,7344,1163,7344,1172,7348,1174,7384,1174,7386,1172,7386,1163m7442,1163l7440,1161,7404,1161,7400,1163,7400,1172,7404,1174,7440,1174,7442,1172,7442,1163m7499,1163l7496,1161,7460,1161,7457,1163,7457,1172,7460,1174,7496,1174,7499,1172,7499,1163m7555,1163l7553,1161,7517,1161,7513,1163,7513,1172,7517,1174,7553,1174,7555,1172,7555,1163m7612,1163l7609,1161,7573,1161,7570,1163,7570,1172,7573,1174,7609,1174,7612,1172,7612,1163m7668,1163l7666,1161,7630,1161,7626,1163,7626,1172,7630,1174,7666,1174,7668,1172,7668,1163m7711,2042l7697,2042,7697,2098,7711,2098,7711,2042m7724,1163l7722,1161,7686,1161,7682,1163,7682,1172,7686,1174,7722,1174,7724,1172,7724,1163m7781,1163l7778,1161,7742,1161,7739,1163,7739,1172,7742,1174,7778,1174,7781,1172,7781,1163m7837,1163l7835,1161,7799,1161,7795,1163,7795,1172,7799,1174,7835,1174,7837,1172,7837,1163m7894,1163l7891,1161,7855,1161,7852,1163,7852,1172,7855,1174,7891,1174,7894,1172,7894,1163m7950,1163l7948,1161,7912,1161,7908,1163,7908,1172,7912,1174,7948,1174,7950,1172,7950,1163m8006,1163l8004,1161,7968,1161,7964,1163,7964,1172,7968,1174,8004,1174,8006,1172,8006,1163m8064,1163l8060,1161,8024,1161,8021,1163,8021,1172,8024,1174,8060,1174,8064,1172,8064,1163m8120,1163l8117,1161,8081,1161,8077,1163,8077,1172,8081,1174,8117,1174,8120,1172,8120,1163m8134,2042l8120,2042,8120,2098,8134,2098,8134,2042m8177,1163l8173,1161,8137,1161,8134,1163,8134,1172,8137,1174,8173,1174,8177,1172,8177,1163m8233,1163l8230,1161,8194,1161,8190,1163,8190,1172,8194,1174,8230,1174,8233,1172,8233,1163m8290,1163l8286,1161,8250,1161,8246,1163,8246,1172,8250,1174,8286,1174,8290,1172,8290,1163m8346,1163l8342,1161,8306,1161,8303,1163,8303,1172,8306,1174,8342,1174,8346,1172,8346,1163m8402,1163l8399,1161,8363,1161,8359,1163,8359,1172,8363,1174,8399,1174,8402,1172,8402,1163m8459,1163l8455,1161,8419,1161,8416,1163,8416,1172,8419,1174,8455,1174,8459,1172,8459,1163m8515,1163l8512,1161,8476,1161,8472,1163,8472,1172,8476,1174,8512,1174,8515,1172,8515,1163m8572,1163l8568,1161,8532,1161,8528,1163,8528,1172,8532,1174,8568,1174,8572,1172,8572,1163m8572,2042l8557,2042,8557,2098,8572,2098,8572,2042m8628,1163l8624,1161,8588,1161,8585,1163,8585,1172,8588,1174,8624,1174,8628,1172,8628,1163m8684,1163l8681,1161,8645,1161,8642,1163,8642,1172,8645,1174,8681,1174,8684,1172,8684,1163m8741,1163l8737,1161,8701,1161,8699,1163,8699,1172,8701,1174,8737,1174,8741,1172,8741,1163m8797,1163l8794,1161,8758,1161,8755,1163,8755,1172,8758,1174,8794,1174,8797,1172,8797,1163m8854,1163l8850,1161,8814,1161,8812,1163,8812,1172,8814,1174,8850,1174,8854,1172,8854,1163m8910,1163l8906,1161,8870,1161,8868,1163,8868,1172,8870,1174,8906,1174,8910,1172,8910,1163m8966,1163l8963,1161,8927,1161,8924,1163,8924,1172,8927,1174,8963,1174,8966,1172,8966,1163m9008,2042l8994,2042,8994,2098,9008,2098,9008,2042m9023,1163l9019,1161,8983,1161,8981,1163,8981,1172,8983,1174,9019,1174,9023,1172,9023,1163m9079,1163l9076,1161,9040,1161,9037,1163,9037,1172,9040,1174,9076,1174,9079,1172,9079,1163m9136,1163l9132,1161,9096,1161,9094,1163,9094,1172,9096,1174,9132,1174,9136,1172,9136,1163m9192,1163l9188,1161,9152,1161,9150,1163,9150,1172,9152,1174,9188,1174,9192,1172,9192,1163m9248,1163l9245,1161,9209,1161,9206,1163,9206,1172,9209,1174,9245,1174,9248,1172,9248,1163m9305,1163l9301,1161,9265,1161,9263,1163,9263,1172,9265,1174,9301,1174,9305,1172,9305,1163m9361,1163l9358,1161,9322,1161,9319,1163,9319,1172,9322,1174,9358,1174,9361,1172,9361,1163m9418,1163l9415,1161,9378,1161,9376,1163,9376,1172,9378,1174,9415,1174,9418,1172,9418,1163m9432,2042l9418,2042,9418,2098,9432,2098,9432,2042m9474,1163l9472,1161,9436,1161,9432,1163,9432,1172,9436,1174,9472,1174,9474,1172,9474,1163m9530,1163l9528,1161,9492,1161,9488,1163,9488,1172,9492,1174,9528,1174,9530,1172,9530,1163m9587,1163l9584,1161,9548,1161,9545,1163,9545,1172,9548,1174,9584,1174,9587,1172,9587,1163m9643,1163l9641,1161,9605,1161,9601,1163,9601,1172,9605,1174,9641,1174,9643,1172,9643,1163m9700,1163l9697,1161,9661,1161,9658,1163,9658,1172,9661,1174,9697,1174,9700,1172,9700,1163m9756,1163l9754,1161,9718,1161,9714,1163,9714,1172,9718,1174,9754,1174,9756,1172,9756,1163m9812,1163l9810,1161,9774,1161,9770,1163,9770,1172,9774,1174,9810,1174,9812,1172,9812,1163m9869,1163l9866,1161,9830,1161,9827,1163,9827,1172,9830,1174,9866,1174,9869,1172,9869,1163m9869,2042l9856,2042,9856,2098,9869,2098,9869,2042m9925,1163l9923,1161,9887,1161,9883,1163,9883,1172,9887,1174,9923,1174,9925,1172,9925,1163m9982,1163l9979,1161,9943,1161,9940,1163,9940,1172,9943,1174,9979,1174,9982,1172,9982,1163m10038,1163l10036,1161,10000,1161,9996,1163,9996,1172,10000,1174,10036,1174,10038,1172,10038,1163m10081,1163l10078,1161,10056,1161,10052,1163,10052,1172,10056,1174,10078,1174,10081,1172,10081,1163e" filled="true" fillcolor="#000000" stroked="false">
              <v:path arrowok="t"/>
              <v:fill type="solid"/>
            </v:shape>
            <v:rect style="position:absolute;left:6547;top:1054;width:126;height:128" filled="true" fillcolor="#ff0000" stroked="false">
              <v:fill type="solid"/>
            </v:rect>
            <v:shape style="position:absolute;left:6540;top:1048;width:141;height:141" coordorigin="6540,1048" coordsize="141,141" path="m6678,1048l6542,1048,6540,1050,6540,1185,6542,1188,6678,1188,6680,1185,6680,1181,6554,1181,6547,1174,6554,1174,6554,1061,6547,1061,6554,1054,6680,1054,6680,1050,6678,1048xm6554,1174l6547,1174,6554,1181,6554,1174xm6667,1174l6554,1174,6554,1181,6667,1181,6667,1174xm6667,1054l6667,1181,6673,1174,6680,1174,6680,1061,6673,1061,6667,1054xm6680,1174l6673,1174,6667,1181,6680,1181,6680,1174xm6554,1054l6547,1061,6554,1061,6554,1054xm6667,1054l6554,1054,6554,1061,6667,1061,6667,1054xm6680,1054l6667,1054,6673,1061,6680,1061,6680,1054xe" filled="true" fillcolor="#000000" stroked="false">
              <v:path arrowok="t"/>
              <v:fill type="solid"/>
            </v:shape>
            <v:rect style="position:absolute;left:6984;top:617;width:128;height:128" filled="true" fillcolor="#ff0000" stroked="false">
              <v:fill type="solid"/>
            </v:rect>
            <v:shape style="position:absolute;left:6976;top:610;width:142;height:142" coordorigin="6977,610" coordsize="142,142" path="m7115,610l6980,610,6977,614,6977,748,6980,752,7115,752,7118,748,7118,744,6991,744,6984,737,6991,737,6991,624,6984,624,6991,617,7118,617,7118,614,7115,610xm6991,737l6984,737,6991,744,6991,737xm7104,737l6991,737,6991,744,7104,744,7104,737xm7104,617l7104,744,7111,737,7118,737,7118,624,7111,624,7104,617xm7118,737l7111,737,7104,744,7118,744,7118,737xm6991,617l6984,624,6991,624,6991,617xm7104,617l6991,617,6991,624,7104,624,7104,617xm7118,617l7104,617,7111,624,7118,624,7118,617xe" filled="true" fillcolor="#000000" stroked="false">
              <v:path arrowok="t"/>
              <v:fill type="solid"/>
            </v:shape>
            <v:rect style="position:absolute;left:7407;top:1732;width:128;height:128" filled="true" fillcolor="#ff0000" stroked="false">
              <v:fill type="solid"/>
            </v:rect>
            <v:shape style="position:absolute;left:7400;top:1724;width:142;height:141" coordorigin="7400,1725" coordsize="142,141" path="m7538,1725l7404,1725,7400,1727,7400,1863,7404,1865,7538,1865,7542,1863,7542,1859,7415,1859,7408,1852,7415,1852,7415,1739,7408,1739,7415,1732,7542,1732,7542,1727,7538,1725xm7415,1852l7408,1852,7415,1859,7415,1852xm7528,1852l7415,1852,7415,1859,7528,1859,7528,1852xm7528,1732l7528,1859,7535,1852,7542,1852,7542,1739,7535,1739,7528,1732xm7542,1852l7535,1852,7528,1859,7542,1859,7542,1852xm7415,1732l7408,1739,7415,1739,7415,1732xm7528,1732l7415,1732,7415,1739,7528,1739,7528,1732xm7542,1732l7528,1732,7535,1739,7542,1739,7542,1732xe" filled="true" fillcolor="#000000" stroked="false">
              <v:path arrowok="t"/>
              <v:fill type="solid"/>
            </v:shape>
            <v:rect style="position:absolute;left:7844;top:1463;width:128;height:128" filled="true" fillcolor="#ff0000" stroked="false">
              <v:fill type="solid"/>
            </v:rect>
            <v:shape style="position:absolute;left:7837;top:1456;width:142;height:142" coordorigin="7837,1456" coordsize="142,142" path="m7975,1456l7841,1456,7837,1460,7837,1594,7841,1598,7975,1598,7979,1594,7979,1590,7852,1590,7844,1583,7852,1583,7852,1470,7844,1470,7852,1463,7979,1463,7979,1460,7975,1456xm7852,1583l7844,1583,7852,1590,7852,1583xm7964,1583l7852,1583,7852,1590,7964,1590,7964,1583xm7964,1463l7964,1590,7972,1583,7979,1583,7979,1470,7972,1470,7964,1463xm7979,1583l7972,1583,7964,1590,7979,1590,7979,1583xm7852,1463l7844,1470,7852,1470,7852,1463xm7964,1463l7852,1463,7852,1470,7964,1470,7964,1463xm7979,1463l7964,1463,7972,1470,7979,1470,7979,1463xe" filled="true" fillcolor="#000000" stroked="false">
              <v:path arrowok="t"/>
              <v:fill type="solid"/>
            </v:shape>
            <v:rect style="position:absolute;left:8282;top:1280;width:128;height:126" filled="true" fillcolor="#ff0000" stroked="false">
              <v:fill type="solid"/>
            </v:rect>
            <v:shape style="position:absolute;left:8275;top:1273;width:141;height:141" coordorigin="8275,1274" coordsize="141,141" path="m8413,1274l8278,1274,8275,1276,8275,1412,8278,1414,8413,1414,8416,1412,8416,1407,8290,1407,8282,1400,8290,1400,8290,1287,8282,1287,8290,1281,8416,1281,8416,1276,8413,1274xm8290,1400l8282,1400,8290,1407,8290,1400xm8402,1400l8290,1400,8290,1407,8402,1407,8402,1400xm8402,1281l8402,1407,8410,1400,8416,1400,8416,1287,8410,1287,8402,1281xm8416,1400l8410,1400,8402,1407,8416,1407,8416,1400xm8290,1281l8282,1287,8290,1287,8290,1281xm8402,1281l8290,1281,8290,1287,8402,1287,8402,1281xm8416,1281l8402,1281,8410,1287,8416,1287,8416,1281xe" filled="true" fillcolor="#000000" stroked="false">
              <v:path arrowok="t"/>
              <v:fill type="solid"/>
            </v:shape>
            <v:rect style="position:absolute;left:8704;top:1280;width:128;height:126" filled="true" fillcolor="#ff0000" stroked="false">
              <v:fill type="solid"/>
            </v:rect>
            <v:shape style="position:absolute;left:8698;top:1273;width:141;height:141" coordorigin="8699,1274" coordsize="141,141" path="m8836,1274l8701,1274,8699,1276,8699,1412,8701,1414,8836,1414,8839,1412,8839,1407,8712,1407,8705,1400,8712,1400,8712,1287,8705,1287,8712,1281,8839,1281,8839,1276,8836,1274xm8712,1400l8705,1400,8712,1407,8712,1400xm8825,1400l8712,1400,8712,1407,8825,1407,8825,1400xm8825,1281l8825,1407,8832,1400,8839,1400,8839,1287,8832,1287,8825,1281xm8839,1400l8832,1400,8825,1407,8839,1407,8839,1400xm8712,1281l8705,1287,8712,1287,8712,1281xm8825,1281l8712,1281,8712,1287,8825,1287,8825,1281xm8839,1281l8825,1281,8832,1287,8839,1287,8839,1281xe" filled="true" fillcolor="#000000" stroked="false">
              <v:path arrowok="t"/>
              <v:fill type="solid"/>
            </v:shape>
            <v:rect style="position:absolute;left:9142;top:1280;width:128;height:126" filled="true" fillcolor="#ff0000" stroked="false">
              <v:fill type="solid"/>
            </v:rect>
            <v:shape style="position:absolute;left:9135;top:1273;width:142;height:141" coordorigin="9136,1274" coordsize="142,141" path="m9274,1274l9139,1274,9136,1276,9136,1412,9139,1414,9274,1414,9277,1412,9277,1407,9150,1407,9143,1400,9150,1400,9150,1287,9143,1287,9150,1281,9277,1281,9277,1276,9274,1274xm9150,1400l9143,1400,9150,1407,9150,1400xm9263,1400l9150,1400,9150,1407,9263,1407,9263,1400xm9263,1281l9263,1407,9270,1400,9277,1400,9277,1287,9270,1287,9263,1281xm9277,1400l9270,1400,9263,1407,9277,1407,9277,1400xm9150,1281l9143,1287,9150,1287,9150,1281xm9263,1281l9150,1281,9150,1287,9263,1287,9263,1281xm9277,1281l9263,1281,9270,1287,9277,1287,9277,1281xe" filled="true" fillcolor="#000000" stroked="false">
              <v:path arrowok="t"/>
              <v:fill type="solid"/>
            </v:shape>
            <v:rect style="position:absolute;left:9579;top:631;width:128;height:126" filled="true" fillcolor="#ff0000" stroked="false">
              <v:fill type="solid"/>
            </v:rect>
            <v:shape style="position:absolute;left:9572;top:624;width:142;height:141" coordorigin="9572,624" coordsize="142,141" path="m9710,624l9576,624,9572,627,9572,762,9576,765,9710,765,9714,762,9714,758,9587,758,9580,752,9587,752,9587,639,9580,639,9587,632,9714,632,9714,627,9710,624xm9587,752l9580,752,9587,758,9587,752xm9700,752l9587,752,9587,758,9700,758,9700,752xm9700,632l9700,758,9707,752,9714,752,9714,639,9707,639,9700,632xm9714,752l9707,752,9700,758,9714,758,9714,752xm9587,632l9580,639,9587,639,9587,632xm9700,632l9587,632,9587,639,9700,639,9700,632xm9714,632l9700,632,9707,639,9714,639,9714,632xe" filled="true" fillcolor="#000000" stroked="false">
              <v:path arrowok="t"/>
              <v:fill type="solid"/>
            </v:shape>
            <v:rect style="position:absolute;left:10003;top:1590;width:128;height:128" filled="true" fillcolor="#ff0000" stroked="false">
              <v:fill type="solid"/>
            </v:rect>
            <v:shape style="position:absolute;left:9996;top:1583;width:142;height:142" coordorigin="9996,1583" coordsize="142,142" path="m10134,1583l10000,1583,9996,1587,9996,1721,10000,1725,10134,1725,10138,1721,10138,1718,10010,1718,10003,1710,10010,1710,10010,1598,10003,1598,10010,1590,10138,1590,10138,1587,10134,1583xm10010,1710l10003,1710,10010,1718,10010,1710xm10123,1710l10010,1710,10010,1718,10123,1718,10123,1710xm10123,1590l10123,1718,10130,1710,10138,1710,10138,1598,10130,1598,10123,1590xm10138,1710l10130,1710,10123,1718,10138,1718,10138,1710xm10010,1590l10003,1598,10010,1598,10010,1590xm10123,1590l10010,1590,10010,1598,10123,1598,10123,1590xm10138,1590l10123,1590,10130,1598,10138,1598,10138,1590xe" filled="true" fillcolor="#000000" stroked="false">
              <v:path arrowok="t"/>
              <v:fill type="solid"/>
            </v:shape>
            <w10:wrap type="none"/>
          </v:group>
        </w:pict>
      </w:r>
      <w:r>
        <w:rPr>
          <w:sz w:val="18"/>
        </w:rPr>
        <w:t>4.5</w:t>
      </w:r>
    </w:p>
    <w:p>
      <w:pPr>
        <w:spacing w:before="10"/>
        <w:ind w:left="0" w:right="458" w:firstLine="0"/>
        <w:jc w:val="right"/>
        <w:rPr>
          <w:sz w:val="18"/>
        </w:rPr>
      </w:pPr>
      <w:r>
        <w:rPr>
          <w:sz w:val="18"/>
        </w:rPr>
        <w:t>4.0</w:t>
      </w:r>
    </w:p>
    <w:p>
      <w:pPr>
        <w:spacing w:before="9"/>
        <w:ind w:left="0" w:right="458" w:firstLine="0"/>
        <w:jc w:val="right"/>
        <w:rPr>
          <w:sz w:val="18"/>
        </w:rPr>
      </w:pPr>
      <w:r>
        <w:rPr>
          <w:sz w:val="18"/>
        </w:rPr>
        <w:t>3.5</w:t>
      </w:r>
    </w:p>
    <w:p>
      <w:pPr>
        <w:spacing w:before="11"/>
        <w:ind w:left="0" w:right="458" w:firstLine="0"/>
        <w:jc w:val="right"/>
        <w:rPr>
          <w:sz w:val="18"/>
        </w:rPr>
      </w:pPr>
      <w:r>
        <w:rPr>
          <w:sz w:val="18"/>
        </w:rPr>
        <w:t>3.0</w:t>
      </w:r>
    </w:p>
    <w:p>
      <w:pPr>
        <w:spacing w:before="10"/>
        <w:ind w:left="0" w:right="458" w:firstLine="0"/>
        <w:jc w:val="right"/>
        <w:rPr>
          <w:sz w:val="18"/>
        </w:rPr>
      </w:pPr>
      <w:r>
        <w:rPr>
          <w:sz w:val="18"/>
        </w:rPr>
        <w:t>2.5</w:t>
      </w:r>
    </w:p>
    <w:p>
      <w:pPr>
        <w:spacing w:before="9"/>
        <w:ind w:left="0" w:right="458" w:firstLine="0"/>
        <w:jc w:val="right"/>
        <w:rPr>
          <w:sz w:val="18"/>
        </w:rPr>
      </w:pPr>
      <w:r>
        <w:rPr>
          <w:sz w:val="18"/>
        </w:rPr>
        <w:t>2.0</w:t>
      </w:r>
    </w:p>
    <w:p>
      <w:pPr>
        <w:spacing w:before="10"/>
        <w:ind w:left="0" w:right="458" w:firstLine="0"/>
        <w:jc w:val="right"/>
        <w:rPr>
          <w:sz w:val="18"/>
        </w:rPr>
      </w:pPr>
      <w:r>
        <w:rPr>
          <w:sz w:val="18"/>
        </w:rPr>
        <w:t>1.5</w:t>
      </w:r>
    </w:p>
    <w:p>
      <w:pPr>
        <w:spacing w:before="9"/>
        <w:ind w:left="0" w:right="458" w:firstLine="0"/>
        <w:jc w:val="right"/>
        <w:rPr>
          <w:sz w:val="18"/>
        </w:rPr>
      </w:pPr>
      <w:r>
        <w:rPr>
          <w:sz w:val="18"/>
        </w:rPr>
        <w:t>1.0</w:t>
      </w:r>
    </w:p>
    <w:p>
      <w:pPr>
        <w:spacing w:before="10"/>
        <w:ind w:left="0" w:right="458" w:firstLine="0"/>
        <w:jc w:val="right"/>
        <w:rPr>
          <w:sz w:val="18"/>
        </w:rPr>
      </w:pPr>
      <w:r>
        <w:rPr>
          <w:sz w:val="18"/>
        </w:rPr>
        <w:t>0.5</w:t>
      </w:r>
    </w:p>
    <w:p>
      <w:pPr>
        <w:spacing w:before="9"/>
        <w:ind w:left="0" w:right="458" w:firstLine="0"/>
        <w:jc w:val="right"/>
        <w:rPr>
          <w:sz w:val="18"/>
        </w:rPr>
      </w:pPr>
      <w:r>
        <w:rPr/>
        <w:pict>
          <v:shape style="position:absolute;margin-left:319.618744pt;margin-top:10.433056pt;width:60.95pt;height:103.1pt;mso-position-horizontal-relative:page;mso-position-vertical-relative:paragraph;z-index:251684864" type="#_x0000_t202" filled="false" stroked="false">
            <v:textbox inset="0,0,0,0" style="layout-flow:vertical;mso-layout-flow-alt:bottom-to-top">
              <w:txbxContent>
                <w:p>
                  <w:pPr>
                    <w:spacing w:line="244" w:lineRule="auto" w:before="17"/>
                    <w:ind w:left="916" w:right="0" w:hanging="395"/>
                    <w:jc w:val="left"/>
                    <w:rPr>
                      <w:sz w:val="18"/>
                    </w:rPr>
                  </w:pPr>
                  <w:r>
                    <w:rPr>
                      <w:sz w:val="18"/>
                    </w:rPr>
                    <w:t>Core CPI services measure</w:t>
                  </w:r>
                </w:p>
                <w:p>
                  <w:pPr>
                    <w:spacing w:line="247" w:lineRule="auto" w:before="10"/>
                    <w:ind w:left="471" w:right="0" w:hanging="452"/>
                    <w:jc w:val="left"/>
                    <w:rPr>
                      <w:sz w:val="18"/>
                    </w:rPr>
                  </w:pPr>
                  <w:r>
                    <w:rPr>
                      <w:sz w:val="18"/>
                    </w:rPr>
                    <w:t>Inverse-import-intensity- weighted CPI</w:t>
                  </w:r>
                </w:p>
                <w:p>
                  <w:pPr>
                    <w:spacing w:before="115"/>
                    <w:ind w:left="0" w:right="26" w:firstLine="0"/>
                    <w:jc w:val="right"/>
                    <w:rPr>
                      <w:sz w:val="18"/>
                    </w:rPr>
                  </w:pPr>
                  <w:r>
                    <w:rPr>
                      <w:sz w:val="18"/>
                    </w:rPr>
                    <w:t>ULC</w:t>
                  </w:r>
                </w:p>
              </w:txbxContent>
            </v:textbox>
            <w10:wrap type="none"/>
          </v:shape>
        </w:pict>
      </w:r>
      <w:r>
        <w:rPr/>
        <w:pict>
          <v:shape style="position:absolute;margin-left:389.942688pt;margin-top:10.492845pt;width:77.2pt;height:94.7pt;mso-position-horizontal-relative:page;mso-position-vertical-relative:paragraph;z-index:251685888" type="#_x0000_t202" filled="false" stroked="false">
            <v:textbox inset="0,0,0,0" style="layout-flow:vertical;mso-layout-flow-alt:bottom-to-top">
              <w:txbxContent>
                <w:p>
                  <w:pPr>
                    <w:spacing w:before="17"/>
                    <w:ind w:left="0" w:right="27" w:firstLine="0"/>
                    <w:jc w:val="right"/>
                    <w:rPr>
                      <w:sz w:val="18"/>
                    </w:rPr>
                  </w:pPr>
                  <w:r>
                    <w:rPr>
                      <w:sz w:val="18"/>
                    </w:rPr>
                    <w:t>UWC</w:t>
                  </w:r>
                </w:p>
                <w:p>
                  <w:pPr>
                    <w:spacing w:line="252" w:lineRule="auto" w:before="117"/>
                    <w:ind w:left="51" w:right="18" w:firstLine="208"/>
                    <w:jc w:val="right"/>
                    <w:rPr>
                      <w:sz w:val="18"/>
                    </w:rPr>
                  </w:pPr>
                  <w:r>
                    <w:rPr>
                      <w:sz w:val="18"/>
                    </w:rPr>
                    <w:t>AWE</w:t>
                  </w:r>
                  <w:r>
                    <w:rPr>
                      <w:spacing w:val="39"/>
                      <w:sz w:val="18"/>
                    </w:rPr>
                    <w:t> </w:t>
                  </w:r>
                  <w:r>
                    <w:rPr>
                      <w:sz w:val="18"/>
                    </w:rPr>
                    <w:t>private</w:t>
                  </w:r>
                  <w:r>
                    <w:rPr>
                      <w:spacing w:val="26"/>
                      <w:sz w:val="18"/>
                    </w:rPr>
                    <w:t> </w:t>
                  </w:r>
                  <w:r>
                    <w:rPr>
                      <w:sz w:val="18"/>
                    </w:rPr>
                    <w:t>sector</w:t>
                  </w:r>
                  <w:r>
                    <w:rPr>
                      <w:w w:val="101"/>
                      <w:sz w:val="18"/>
                    </w:rPr>
                    <w:t> </w:t>
                  </w:r>
                  <w:r>
                    <w:rPr>
                      <w:sz w:val="18"/>
                    </w:rPr>
                    <w:t>regular</w:t>
                  </w:r>
                  <w:r>
                    <w:rPr>
                      <w:spacing w:val="23"/>
                      <w:sz w:val="18"/>
                    </w:rPr>
                    <w:t> </w:t>
                  </w:r>
                  <w:r>
                    <w:rPr>
                      <w:sz w:val="18"/>
                    </w:rPr>
                    <w:t>pay</w:t>
                  </w:r>
                  <w:r>
                    <w:rPr>
                      <w:spacing w:val="20"/>
                      <w:sz w:val="18"/>
                    </w:rPr>
                    <w:t> </w:t>
                  </w:r>
                  <w:r>
                    <w:rPr>
                      <w:spacing w:val="2"/>
                      <w:sz w:val="18"/>
                    </w:rPr>
                    <w:t>growth</w:t>
                  </w:r>
                  <w:r>
                    <w:rPr>
                      <w:w w:val="101"/>
                      <w:sz w:val="18"/>
                    </w:rPr>
                    <w:t> </w:t>
                  </w:r>
                  <w:r>
                    <w:rPr>
                      <w:spacing w:val="2"/>
                      <w:sz w:val="18"/>
                    </w:rPr>
                    <w:t>Composition-adjusted</w:t>
                  </w:r>
                </w:p>
                <w:p>
                  <w:pPr>
                    <w:spacing w:line="199" w:lineRule="exact" w:before="0"/>
                    <w:ind w:left="41" w:right="5" w:firstLine="0"/>
                    <w:jc w:val="center"/>
                    <w:rPr>
                      <w:sz w:val="18"/>
                    </w:rPr>
                  </w:pPr>
                  <w:r>
                    <w:rPr>
                      <w:sz w:val="18"/>
                    </w:rPr>
                    <w:t>AWE pay growth</w:t>
                  </w:r>
                </w:p>
                <w:p>
                  <w:pPr>
                    <w:spacing w:before="123"/>
                    <w:ind w:left="41" w:right="41" w:firstLine="0"/>
                    <w:jc w:val="center"/>
                    <w:rPr>
                      <w:sz w:val="18"/>
                    </w:rPr>
                  </w:pPr>
                  <w:r>
                    <w:rPr>
                      <w:sz w:val="18"/>
                    </w:rPr>
                    <w:t>Services GVA deflator</w:t>
                  </w:r>
                </w:p>
              </w:txbxContent>
            </v:textbox>
            <w10:wrap type="none"/>
          </v:shape>
        </w:pict>
      </w:r>
      <w:r>
        <w:rPr/>
        <w:pict>
          <v:shape style="position:absolute;margin-left:476.524902pt;margin-top:10.514735pt;width:12.25pt;height:102.55pt;mso-position-horizontal-relative:page;mso-position-vertical-relative:paragraph;z-index:251686912" type="#_x0000_t202" filled="false" stroked="false">
            <v:textbox inset="0,0,0,0" style="layout-flow:vertical;mso-layout-flow-alt:bottom-to-top">
              <w:txbxContent>
                <w:p>
                  <w:pPr>
                    <w:spacing w:before="17"/>
                    <w:ind w:left="20" w:right="0" w:firstLine="0"/>
                    <w:jc w:val="left"/>
                    <w:rPr>
                      <w:sz w:val="18"/>
                    </w:rPr>
                  </w:pPr>
                  <w:r>
                    <w:rPr>
                      <w:sz w:val="18"/>
                    </w:rPr>
                    <w:t>GDP deflator ex exports</w:t>
                  </w:r>
                </w:p>
              </w:txbxContent>
            </v:textbox>
            <w10:wrap type="none"/>
          </v:shape>
        </w:pict>
      </w:r>
      <w:r>
        <w:rPr/>
        <w:pict>
          <v:shape style="position:absolute;margin-left:498.129181pt;margin-top:10.825172pt;width:12.25pt;height:55.2pt;mso-position-horizontal-relative:page;mso-position-vertical-relative:paragraph;z-index:251687936" type="#_x0000_t202" filled="false" stroked="false">
            <v:textbox inset="0,0,0,0" style="layout-flow:vertical;mso-layout-flow-alt:bottom-to-top">
              <w:txbxContent>
                <w:p>
                  <w:pPr>
                    <w:spacing w:before="17"/>
                    <w:ind w:left="20" w:right="0" w:firstLine="0"/>
                    <w:jc w:val="left"/>
                    <w:rPr>
                      <w:sz w:val="18"/>
                    </w:rPr>
                  </w:pPr>
                  <w:r>
                    <w:rPr>
                      <w:sz w:val="18"/>
                    </w:rPr>
                    <w:t>SPPI (gross)</w:t>
                  </w:r>
                </w:p>
              </w:txbxContent>
            </v:textbox>
            <w10:wrap type="none"/>
          </v:shape>
        </w:pict>
      </w:r>
      <w:r>
        <w:rPr>
          <w:sz w:val="18"/>
        </w:rPr>
        <w:t>0.0</w:t>
      </w:r>
    </w:p>
    <w:p>
      <w:pPr>
        <w:spacing w:after="0"/>
        <w:jc w:val="right"/>
        <w:rPr>
          <w:sz w:val="18"/>
        </w:rPr>
        <w:sectPr>
          <w:pgSz w:w="12240" w:h="15840"/>
          <w:pgMar w:header="0" w:footer="1240" w:top="1480" w:bottom="1440" w:left="1200" w:right="1060"/>
          <w:cols w:num="2" w:equalWidth="0">
            <w:col w:w="4826" w:space="40"/>
            <w:col w:w="5114"/>
          </w:cols>
        </w:sectPr>
      </w:pPr>
    </w:p>
    <w:p>
      <w:pPr>
        <w:pStyle w:val="BodyText"/>
        <w:spacing w:before="6"/>
        <w:rPr>
          <w:sz w:val="9"/>
        </w:rPr>
      </w:pPr>
    </w:p>
    <w:p>
      <w:pPr>
        <w:spacing w:before="98"/>
        <w:ind w:left="0" w:right="377" w:firstLine="0"/>
        <w:jc w:val="center"/>
        <w:rPr>
          <w:sz w:val="18"/>
        </w:rPr>
      </w:pPr>
      <w:r>
        <w:rPr>
          <w:sz w:val="18"/>
        </w:rPr>
        <w:t>-1</w:t>
      </w:r>
    </w:p>
    <w:p>
      <w:pPr>
        <w:tabs>
          <w:tab w:pos="629" w:val="left" w:leader="none"/>
          <w:tab w:pos="1261" w:val="left" w:leader="none"/>
          <w:tab w:pos="1891" w:val="left" w:leader="none"/>
          <w:tab w:pos="2521" w:val="left" w:leader="none"/>
          <w:tab w:pos="3151" w:val="left" w:leader="none"/>
          <w:tab w:pos="3782" w:val="left" w:leader="none"/>
        </w:tabs>
        <w:spacing w:before="17"/>
        <w:ind w:left="0" w:right="4786" w:firstLine="0"/>
        <w:jc w:val="center"/>
        <w:rPr>
          <w:sz w:val="18"/>
        </w:rPr>
      </w:pPr>
      <w:r>
        <w:rPr>
          <w:sz w:val="18"/>
        </w:rPr>
        <w:t>1997</w:t>
        <w:tab/>
        <w:t>2000</w:t>
        <w:tab/>
        <w:t>2003</w:t>
        <w:tab/>
        <w:t>2006</w:t>
        <w:tab/>
        <w:t>2009</w:t>
        <w:tab/>
        <w:t>2012</w:t>
        <w:tab/>
        <w:t>2015</w:t>
      </w:r>
    </w:p>
    <w:p>
      <w:pPr>
        <w:spacing w:before="170"/>
        <w:ind w:left="1020" w:right="0" w:firstLine="0"/>
        <w:jc w:val="left"/>
        <w:rPr>
          <w:sz w:val="15"/>
        </w:rPr>
      </w:pPr>
      <w:r>
        <w:rPr/>
        <w:pict>
          <v:line style="position:absolute;mso-position-horizontal-relative:page;mso-position-vertical-relative:paragraph;z-index:251676672" from="90.300003pt,12.564909pt" to="109.320003pt,12.564909pt" stroked="true" strokeweight=".66pt" strokecolor="#ff0000">
            <v:stroke dashstyle="solid"/>
            <w10:wrap type="none"/>
          </v:line>
        </w:pict>
      </w:r>
      <w:r>
        <w:rPr>
          <w:w w:val="105"/>
          <w:sz w:val="15"/>
        </w:rPr>
        <w:t>Headline CPI inflation</w:t>
      </w:r>
    </w:p>
    <w:p>
      <w:pPr>
        <w:spacing w:before="49"/>
        <w:ind w:left="1020" w:right="0" w:firstLine="0"/>
        <w:jc w:val="left"/>
        <w:rPr>
          <w:sz w:val="15"/>
        </w:rPr>
      </w:pPr>
      <w:r>
        <w:rPr/>
        <w:pict>
          <v:line style="position:absolute;mso-position-horizontal-relative:page;mso-position-vertical-relative:paragraph;z-index:251677696" from="90.300003pt,6.784899pt" to="109.320003pt,6.784899pt" stroked="true" strokeweight=".72pt" strokecolor="#416fa6">
            <v:stroke dashstyle="solid"/>
            <w10:wrap type="none"/>
          </v:line>
        </w:pict>
      </w:r>
      <w:r>
        <w:rPr>
          <w:w w:val="105"/>
          <w:sz w:val="15"/>
        </w:rPr>
        <w:t>CPI ex. food, energy &amp; NAB</w:t>
      </w:r>
    </w:p>
    <w:p>
      <w:pPr>
        <w:spacing w:after="0"/>
        <w:jc w:val="left"/>
        <w:rPr>
          <w:sz w:val="15"/>
        </w:rPr>
        <w:sectPr>
          <w:type w:val="continuous"/>
          <w:pgSz w:w="12240" w:h="15840"/>
          <w:pgMar w:top="1120" w:bottom="1440" w:left="1200" w:right="1060"/>
        </w:sectPr>
      </w:pPr>
    </w:p>
    <w:p>
      <w:pPr>
        <w:spacing w:line="307" w:lineRule="auto" w:before="49"/>
        <w:ind w:left="1020" w:right="0" w:firstLine="0"/>
        <w:jc w:val="left"/>
        <w:rPr>
          <w:sz w:val="15"/>
        </w:rPr>
      </w:pPr>
      <w:r>
        <w:rPr/>
        <w:pict>
          <v:line style="position:absolute;mso-position-horizontal-relative:page;mso-position-vertical-relative:paragraph;z-index:251678720" from="90.300003pt,6.244921pt" to="109.320003pt,6.244921pt" stroked="true" strokeweight=".72pt" strokecolor="#7030a0">
            <v:stroke dashstyle="solid"/>
            <w10:wrap type="none"/>
          </v:line>
        </w:pict>
      </w:r>
      <w:r>
        <w:rPr/>
        <w:pict>
          <v:line style="position:absolute;mso-position-horizontal-relative:page;mso-position-vertical-relative:paragraph;z-index:251679744" from="90.300003pt,17.524920pt" to="109.320003pt,17.524920pt" stroked="true" strokeweight=".72pt" strokecolor="#00b0f0">
            <v:stroke dashstyle="solid"/>
            <w10:wrap type="none"/>
          </v:line>
        </w:pict>
      </w:r>
      <w:r>
        <w:rPr>
          <w:w w:val="105"/>
          <w:sz w:val="15"/>
        </w:rPr>
        <w:t>CPI</w:t>
      </w:r>
      <w:r>
        <w:rPr>
          <w:spacing w:val="-14"/>
          <w:w w:val="105"/>
          <w:sz w:val="15"/>
        </w:rPr>
        <w:t> </w:t>
      </w:r>
      <w:r>
        <w:rPr>
          <w:w w:val="105"/>
          <w:sz w:val="15"/>
        </w:rPr>
        <w:t>ex</w:t>
      </w:r>
      <w:r>
        <w:rPr>
          <w:spacing w:val="-18"/>
          <w:w w:val="105"/>
          <w:sz w:val="15"/>
        </w:rPr>
        <w:t> </w:t>
      </w:r>
      <w:r>
        <w:rPr>
          <w:w w:val="105"/>
          <w:sz w:val="15"/>
        </w:rPr>
        <w:t>food,</w:t>
      </w:r>
      <w:r>
        <w:rPr>
          <w:spacing w:val="-13"/>
          <w:w w:val="105"/>
          <w:sz w:val="15"/>
        </w:rPr>
        <w:t> </w:t>
      </w:r>
      <w:r>
        <w:rPr>
          <w:spacing w:val="-4"/>
          <w:w w:val="105"/>
          <w:sz w:val="15"/>
        </w:rPr>
        <w:t>alcohol,</w:t>
      </w:r>
      <w:r>
        <w:rPr>
          <w:spacing w:val="-13"/>
          <w:w w:val="105"/>
          <w:sz w:val="15"/>
        </w:rPr>
        <w:t> </w:t>
      </w:r>
      <w:r>
        <w:rPr>
          <w:w w:val="105"/>
          <w:sz w:val="15"/>
        </w:rPr>
        <w:t>energy,</w:t>
      </w:r>
      <w:r>
        <w:rPr>
          <w:spacing w:val="-12"/>
          <w:w w:val="105"/>
          <w:sz w:val="15"/>
        </w:rPr>
        <w:t> </w:t>
      </w:r>
      <w:r>
        <w:rPr>
          <w:spacing w:val="-4"/>
          <w:w w:val="105"/>
          <w:sz w:val="15"/>
        </w:rPr>
        <w:t>tobacco,</w:t>
      </w:r>
      <w:r>
        <w:rPr>
          <w:spacing w:val="-14"/>
          <w:w w:val="105"/>
          <w:sz w:val="15"/>
        </w:rPr>
        <w:t> </w:t>
      </w:r>
      <w:r>
        <w:rPr>
          <w:w w:val="105"/>
          <w:sz w:val="15"/>
        </w:rPr>
        <w:t>education</w:t>
      </w:r>
      <w:r>
        <w:rPr>
          <w:spacing w:val="-13"/>
          <w:w w:val="105"/>
          <w:sz w:val="15"/>
        </w:rPr>
        <w:t> </w:t>
      </w:r>
      <w:r>
        <w:rPr>
          <w:w w:val="105"/>
          <w:sz w:val="15"/>
        </w:rPr>
        <w:t>&amp;</w:t>
      </w:r>
      <w:r>
        <w:rPr>
          <w:spacing w:val="-16"/>
          <w:w w:val="105"/>
          <w:sz w:val="15"/>
        </w:rPr>
        <w:t> </w:t>
      </w:r>
      <w:r>
        <w:rPr>
          <w:spacing w:val="-7"/>
          <w:w w:val="105"/>
          <w:sz w:val="15"/>
        </w:rPr>
        <w:t>NAB </w:t>
      </w:r>
      <w:r>
        <w:rPr>
          <w:spacing w:val="-3"/>
          <w:w w:val="105"/>
          <w:sz w:val="15"/>
        </w:rPr>
        <w:t>Inverse-volatility-weighted</w:t>
      </w:r>
      <w:r>
        <w:rPr>
          <w:spacing w:val="-6"/>
          <w:w w:val="105"/>
          <w:sz w:val="15"/>
        </w:rPr>
        <w:t> </w:t>
      </w:r>
      <w:r>
        <w:rPr>
          <w:w w:val="105"/>
          <w:sz w:val="15"/>
        </w:rPr>
        <w:t>CPI</w:t>
      </w:r>
    </w:p>
    <w:p>
      <w:pPr>
        <w:spacing w:before="0"/>
        <w:ind w:left="1020" w:right="0" w:firstLine="0"/>
        <w:jc w:val="left"/>
        <w:rPr>
          <w:sz w:val="15"/>
        </w:rPr>
      </w:pPr>
      <w:r>
        <w:rPr/>
        <w:pict>
          <v:line style="position:absolute;mso-position-horizontal-relative:page;mso-position-vertical-relative:paragraph;z-index:251680768" from="90.300003pt,4.274902pt" to="109.320003pt,4.274902pt" stroked="true" strokeweight=".72pt" strokecolor="#ffc000">
            <v:stroke dashstyle="solid"/>
            <w10:wrap type="none"/>
          </v:line>
        </w:pict>
      </w:r>
      <w:r>
        <w:rPr>
          <w:w w:val="105"/>
          <w:sz w:val="15"/>
        </w:rPr>
        <w:t>Most sticky CPI components</w:t>
      </w:r>
    </w:p>
    <w:p>
      <w:pPr>
        <w:spacing w:before="140"/>
        <w:ind w:left="429" w:right="0" w:firstLine="0"/>
        <w:jc w:val="left"/>
        <w:rPr>
          <w:sz w:val="15"/>
        </w:rPr>
      </w:pPr>
      <w:r>
        <w:rPr>
          <w:b/>
          <w:i/>
          <w:w w:val="105"/>
          <w:sz w:val="15"/>
        </w:rPr>
        <w:t>Source: </w:t>
      </w:r>
      <w:r>
        <w:rPr>
          <w:w w:val="105"/>
          <w:sz w:val="15"/>
        </w:rPr>
        <w:t>ONS and Bank of England</w:t>
      </w:r>
    </w:p>
    <w:p>
      <w:pPr>
        <w:pStyle w:val="BodyText"/>
        <w:rPr>
          <w:sz w:val="18"/>
        </w:rPr>
      </w:pPr>
      <w:r>
        <w:rPr/>
        <w:br w:type="column"/>
      </w:r>
      <w:r>
        <w:rPr>
          <w:sz w:val="18"/>
        </w:rPr>
      </w:r>
    </w:p>
    <w:p>
      <w:pPr>
        <w:pStyle w:val="BodyText"/>
        <w:rPr>
          <w:sz w:val="18"/>
        </w:rPr>
      </w:pPr>
    </w:p>
    <w:p>
      <w:pPr>
        <w:pStyle w:val="BodyText"/>
        <w:rPr>
          <w:sz w:val="18"/>
        </w:rPr>
      </w:pPr>
    </w:p>
    <w:p>
      <w:pPr>
        <w:spacing w:before="125"/>
        <w:ind w:left="276" w:right="0" w:firstLine="0"/>
        <w:jc w:val="left"/>
        <w:rPr>
          <w:sz w:val="15"/>
        </w:rPr>
      </w:pPr>
      <w:r>
        <w:rPr>
          <w:b/>
          <w:i/>
          <w:w w:val="105"/>
          <w:sz w:val="15"/>
        </w:rPr>
        <w:t>Source: </w:t>
      </w:r>
      <w:r>
        <w:rPr>
          <w:w w:val="105"/>
          <w:sz w:val="15"/>
        </w:rPr>
        <w:t>ONS and Bank of England</w:t>
      </w:r>
    </w:p>
    <w:p>
      <w:pPr>
        <w:spacing w:after="0"/>
        <w:jc w:val="left"/>
        <w:rPr>
          <w:sz w:val="15"/>
        </w:rPr>
        <w:sectPr>
          <w:type w:val="continuous"/>
          <w:pgSz w:w="12240" w:h="15840"/>
          <w:pgMar w:top="1120" w:bottom="1440" w:left="1200" w:right="1060"/>
          <w:cols w:num="2" w:equalWidth="0">
            <w:col w:w="4748" w:space="40"/>
            <w:col w:w="5192"/>
          </w:cols>
        </w:sectPr>
      </w:pPr>
    </w:p>
    <w:p>
      <w:pPr>
        <w:pStyle w:val="BodyText"/>
        <w:rPr>
          <w:sz w:val="20"/>
        </w:rPr>
      </w:pPr>
    </w:p>
    <w:p>
      <w:pPr>
        <w:pStyle w:val="BodyText"/>
        <w:spacing w:before="2"/>
        <w:rPr>
          <w:sz w:val="23"/>
        </w:rPr>
      </w:pPr>
    </w:p>
    <w:p>
      <w:pPr>
        <w:pStyle w:val="BodyText"/>
        <w:spacing w:line="357" w:lineRule="auto"/>
        <w:ind w:left="386" w:right="517"/>
      </w:pPr>
      <w:r>
        <w:rPr/>
        <w:t>In order to better assess this role of the exchange rate, it is useful to track measures of inflation that attempt to</w:t>
      </w:r>
      <w:r>
        <w:rPr>
          <w:spacing w:val="-10"/>
        </w:rPr>
        <w:t> </w:t>
      </w:r>
      <w:r>
        <w:rPr/>
        <w:t>exclude—or</w:t>
      </w:r>
      <w:r>
        <w:rPr>
          <w:spacing w:val="-10"/>
        </w:rPr>
        <w:t> </w:t>
      </w:r>
      <w:r>
        <w:rPr/>
        <w:t>at</w:t>
      </w:r>
      <w:r>
        <w:rPr>
          <w:spacing w:val="-8"/>
        </w:rPr>
        <w:t> </w:t>
      </w:r>
      <w:r>
        <w:rPr/>
        <w:t>least</w:t>
      </w:r>
      <w:r>
        <w:rPr>
          <w:spacing w:val="-10"/>
        </w:rPr>
        <w:t> </w:t>
      </w:r>
      <w:r>
        <w:rPr/>
        <w:t>minimize—the</w:t>
      </w:r>
      <w:r>
        <w:rPr>
          <w:spacing w:val="-10"/>
        </w:rPr>
        <w:t> </w:t>
      </w:r>
      <w:r>
        <w:rPr/>
        <w:t>effects</w:t>
      </w:r>
      <w:r>
        <w:rPr>
          <w:spacing w:val="-9"/>
        </w:rPr>
        <w:t> </w:t>
      </w:r>
      <w:r>
        <w:rPr/>
        <w:t>of</w:t>
      </w:r>
      <w:r>
        <w:rPr>
          <w:spacing w:val="-10"/>
        </w:rPr>
        <w:t> </w:t>
      </w:r>
      <w:r>
        <w:rPr/>
        <w:t>exchange</w:t>
      </w:r>
      <w:r>
        <w:rPr>
          <w:spacing w:val="-10"/>
        </w:rPr>
        <w:t> </w:t>
      </w:r>
      <w:r>
        <w:rPr/>
        <w:t>rate</w:t>
      </w:r>
      <w:r>
        <w:rPr>
          <w:spacing w:val="-10"/>
        </w:rPr>
        <w:t> </w:t>
      </w:r>
      <w:r>
        <w:rPr/>
        <w:t>movements.</w:t>
      </w:r>
      <w:r>
        <w:rPr>
          <w:spacing w:val="-9"/>
        </w:rPr>
        <w:t> </w:t>
      </w:r>
      <w:r>
        <w:rPr/>
        <w:t>This</w:t>
      </w:r>
      <w:r>
        <w:rPr>
          <w:spacing w:val="-10"/>
        </w:rPr>
        <w:t> </w:t>
      </w:r>
      <w:r>
        <w:rPr/>
        <w:t>is</w:t>
      </w:r>
      <w:r>
        <w:rPr>
          <w:spacing w:val="-9"/>
        </w:rPr>
        <w:t> </w:t>
      </w:r>
      <w:r>
        <w:rPr/>
        <w:t>a</w:t>
      </w:r>
      <w:r>
        <w:rPr>
          <w:spacing w:val="-11"/>
        </w:rPr>
        <w:t> </w:t>
      </w:r>
      <w:r>
        <w:rPr/>
        <w:t>straightforward</w:t>
      </w:r>
      <w:r>
        <w:rPr>
          <w:spacing w:val="-10"/>
        </w:rPr>
        <w:t> </w:t>
      </w:r>
      <w:r>
        <w:rPr/>
        <w:t>concept, but difficult to do in practice. Exchange rates affect a wide range of goods in many different ways—from the costs of imported consumer goods, to companies’ markups, to the price of imported inputs used to produce other items, to the latent competitive effects from foreign prices. Given the challenges in coming up with any one measure to capture inflationary pressures excluding sterling’s movements, I find it useful to track a collection</w:t>
      </w:r>
      <w:r>
        <w:rPr>
          <w:spacing w:val="-10"/>
        </w:rPr>
        <w:t> </w:t>
      </w:r>
      <w:r>
        <w:rPr/>
        <w:t>of</w:t>
      </w:r>
      <w:r>
        <w:rPr>
          <w:spacing w:val="-10"/>
        </w:rPr>
        <w:t> </w:t>
      </w:r>
      <w:r>
        <w:rPr/>
        <w:t>measures</w:t>
      </w:r>
      <w:r>
        <w:rPr>
          <w:spacing w:val="-9"/>
        </w:rPr>
        <w:t> </w:t>
      </w:r>
      <w:r>
        <w:rPr/>
        <w:t>of</w:t>
      </w:r>
      <w:r>
        <w:rPr>
          <w:spacing w:val="-10"/>
        </w:rPr>
        <w:t> </w:t>
      </w:r>
      <w:r>
        <w:rPr/>
        <w:t>domestically-generated</w:t>
      </w:r>
      <w:r>
        <w:rPr>
          <w:spacing w:val="-9"/>
        </w:rPr>
        <w:t> </w:t>
      </w:r>
      <w:r>
        <w:rPr/>
        <w:t>inflation—or</w:t>
      </w:r>
      <w:r>
        <w:rPr>
          <w:spacing w:val="-10"/>
        </w:rPr>
        <w:t> </w:t>
      </w:r>
      <w:r>
        <w:rPr/>
        <w:t>DGI.</w:t>
      </w:r>
      <w:r>
        <w:rPr>
          <w:spacing w:val="-10"/>
        </w:rPr>
        <w:t> </w:t>
      </w:r>
      <w:r>
        <w:rPr/>
        <w:t>I</w:t>
      </w:r>
      <w:r>
        <w:rPr>
          <w:spacing w:val="-10"/>
        </w:rPr>
        <w:t> </w:t>
      </w:r>
      <w:r>
        <w:rPr/>
        <w:t>discussed</w:t>
      </w:r>
      <w:r>
        <w:rPr>
          <w:spacing w:val="-9"/>
        </w:rPr>
        <w:t> </w:t>
      </w:r>
      <w:r>
        <w:rPr/>
        <w:t>one</w:t>
      </w:r>
      <w:r>
        <w:rPr>
          <w:spacing w:val="-9"/>
        </w:rPr>
        <w:t> </w:t>
      </w:r>
      <w:r>
        <w:rPr/>
        <w:t>set</w:t>
      </w:r>
      <w:r>
        <w:rPr>
          <w:spacing w:val="-10"/>
        </w:rPr>
        <w:t> </w:t>
      </w:r>
      <w:r>
        <w:rPr/>
        <w:t>of</w:t>
      </w:r>
      <w:r>
        <w:rPr>
          <w:spacing w:val="-9"/>
        </w:rPr>
        <w:t> </w:t>
      </w:r>
      <w:r>
        <w:rPr/>
        <w:t>these</w:t>
      </w:r>
      <w:r>
        <w:rPr>
          <w:spacing w:val="-10"/>
        </w:rPr>
        <w:t> </w:t>
      </w:r>
      <w:r>
        <w:rPr/>
        <w:t>measures</w:t>
      </w:r>
      <w:r>
        <w:rPr>
          <w:spacing w:val="-9"/>
        </w:rPr>
        <w:t> </w:t>
      </w:r>
      <w:r>
        <w:rPr/>
        <w:t>in a</w:t>
      </w:r>
      <w:r>
        <w:rPr>
          <w:spacing w:val="-4"/>
        </w:rPr>
        <w:t> </w:t>
      </w:r>
      <w:r>
        <w:rPr/>
        <w:t>speech</w:t>
      </w:r>
      <w:r>
        <w:rPr>
          <w:spacing w:val="-5"/>
        </w:rPr>
        <w:t> </w:t>
      </w:r>
      <w:r>
        <w:rPr/>
        <w:t>last</w:t>
      </w:r>
      <w:r>
        <w:rPr>
          <w:spacing w:val="-3"/>
        </w:rPr>
        <w:t> </w:t>
      </w:r>
      <w:r>
        <w:rPr/>
        <w:t>fall.</w:t>
      </w:r>
      <w:r>
        <w:rPr>
          <w:spacing w:val="-4"/>
        </w:rPr>
        <w:t> </w:t>
      </w:r>
      <w:r>
        <w:rPr/>
        <w:t>In</w:t>
      </w:r>
      <w:r>
        <w:rPr>
          <w:spacing w:val="-4"/>
        </w:rPr>
        <w:t> </w:t>
      </w:r>
      <w:r>
        <w:rPr/>
        <w:t>that</w:t>
      </w:r>
      <w:r>
        <w:rPr>
          <w:spacing w:val="-3"/>
        </w:rPr>
        <w:t> </w:t>
      </w:r>
      <w:r>
        <w:rPr/>
        <w:t>speech,</w:t>
      </w:r>
      <w:r>
        <w:rPr>
          <w:spacing w:val="-2"/>
        </w:rPr>
        <w:t> </w:t>
      </w:r>
      <w:r>
        <w:rPr/>
        <w:t>I</w:t>
      </w:r>
      <w:r>
        <w:rPr>
          <w:spacing w:val="-3"/>
        </w:rPr>
        <w:t> </w:t>
      </w:r>
      <w:r>
        <w:rPr/>
        <w:t>also</w:t>
      </w:r>
      <w:r>
        <w:rPr>
          <w:spacing w:val="-6"/>
        </w:rPr>
        <w:t> </w:t>
      </w:r>
      <w:r>
        <w:rPr/>
        <w:t>mentioned</w:t>
      </w:r>
      <w:r>
        <w:rPr>
          <w:spacing w:val="-4"/>
        </w:rPr>
        <w:t> </w:t>
      </w:r>
      <w:r>
        <w:rPr/>
        <w:t>the</w:t>
      </w:r>
      <w:r>
        <w:rPr>
          <w:spacing w:val="-3"/>
        </w:rPr>
        <w:t> </w:t>
      </w:r>
      <w:r>
        <w:rPr/>
        <w:t>challenges</w:t>
      </w:r>
      <w:r>
        <w:rPr>
          <w:spacing w:val="-4"/>
        </w:rPr>
        <w:t> </w:t>
      </w:r>
      <w:r>
        <w:rPr/>
        <w:t>of</w:t>
      </w:r>
      <w:r>
        <w:rPr>
          <w:spacing w:val="-4"/>
        </w:rPr>
        <w:t> </w:t>
      </w:r>
      <w:r>
        <w:rPr/>
        <w:t>using</w:t>
      </w:r>
      <w:r>
        <w:rPr>
          <w:spacing w:val="-3"/>
        </w:rPr>
        <w:t> </w:t>
      </w:r>
      <w:r>
        <w:rPr/>
        <w:t>these</w:t>
      </w:r>
      <w:r>
        <w:rPr>
          <w:spacing w:val="-4"/>
        </w:rPr>
        <w:t> </w:t>
      </w:r>
      <w:r>
        <w:rPr/>
        <w:t>measures</w:t>
      </w:r>
      <w:r>
        <w:rPr>
          <w:spacing w:val="-3"/>
        </w:rPr>
        <w:t> </w:t>
      </w:r>
      <w:r>
        <w:rPr/>
        <w:t>for</w:t>
      </w:r>
    </w:p>
    <w:p>
      <w:pPr>
        <w:pStyle w:val="BodyText"/>
        <w:spacing w:line="211" w:lineRule="exact"/>
        <w:ind w:left="386"/>
      </w:pPr>
      <w:r>
        <w:rPr/>
        <w:t>forward-looking monetary policy, as many are reported with substantial lags.</w:t>
      </w:r>
      <w:r>
        <w:rPr>
          <w:vertAlign w:val="superscript"/>
        </w:rPr>
        <w:t>10</w:t>
      </w:r>
    </w:p>
    <w:p>
      <w:pPr>
        <w:pStyle w:val="BodyText"/>
        <w:rPr>
          <w:sz w:val="24"/>
        </w:rPr>
      </w:pPr>
    </w:p>
    <w:p>
      <w:pPr>
        <w:pStyle w:val="BodyText"/>
        <w:spacing w:line="357" w:lineRule="auto" w:before="155"/>
        <w:ind w:left="386" w:right="517"/>
      </w:pPr>
      <w:r>
        <w:rPr/>
        <w:t>Therefore,</w:t>
      </w:r>
      <w:r>
        <w:rPr>
          <w:spacing w:val="-8"/>
        </w:rPr>
        <w:t> </w:t>
      </w:r>
      <w:r>
        <w:rPr/>
        <w:t>I</w:t>
      </w:r>
      <w:r>
        <w:rPr>
          <w:spacing w:val="-9"/>
        </w:rPr>
        <w:t> </w:t>
      </w:r>
      <w:r>
        <w:rPr/>
        <w:t>have</w:t>
      </w:r>
      <w:r>
        <w:rPr>
          <w:spacing w:val="-9"/>
        </w:rPr>
        <w:t> </w:t>
      </w:r>
      <w:r>
        <w:rPr/>
        <w:t>recently</w:t>
      </w:r>
      <w:r>
        <w:rPr>
          <w:spacing w:val="-8"/>
        </w:rPr>
        <w:t> </w:t>
      </w:r>
      <w:r>
        <w:rPr/>
        <w:t>expanded</w:t>
      </w:r>
      <w:r>
        <w:rPr>
          <w:spacing w:val="-9"/>
        </w:rPr>
        <w:t> </w:t>
      </w:r>
      <w:r>
        <w:rPr/>
        <w:t>on</w:t>
      </w:r>
      <w:r>
        <w:rPr>
          <w:spacing w:val="-8"/>
        </w:rPr>
        <w:t> </w:t>
      </w:r>
      <w:r>
        <w:rPr/>
        <w:t>these</w:t>
      </w:r>
      <w:r>
        <w:rPr>
          <w:spacing w:val="-10"/>
        </w:rPr>
        <w:t> </w:t>
      </w:r>
      <w:r>
        <w:rPr/>
        <w:t>DGI</w:t>
      </w:r>
      <w:r>
        <w:rPr>
          <w:spacing w:val="-9"/>
        </w:rPr>
        <w:t> </w:t>
      </w:r>
      <w:r>
        <w:rPr/>
        <w:t>measures</w:t>
      </w:r>
      <w:r>
        <w:rPr>
          <w:spacing w:val="-8"/>
        </w:rPr>
        <w:t> </w:t>
      </w:r>
      <w:r>
        <w:rPr/>
        <w:t>to</w:t>
      </w:r>
      <w:r>
        <w:rPr>
          <w:spacing w:val="-8"/>
        </w:rPr>
        <w:t> </w:t>
      </w:r>
      <w:r>
        <w:rPr/>
        <w:t>include</w:t>
      </w:r>
      <w:r>
        <w:rPr>
          <w:spacing w:val="-9"/>
        </w:rPr>
        <w:t> </w:t>
      </w:r>
      <w:r>
        <w:rPr/>
        <w:t>additional</w:t>
      </w:r>
      <w:r>
        <w:rPr>
          <w:spacing w:val="-8"/>
        </w:rPr>
        <w:t> </w:t>
      </w:r>
      <w:r>
        <w:rPr/>
        <w:t>statistics</w:t>
      </w:r>
      <w:r>
        <w:rPr>
          <w:spacing w:val="-9"/>
        </w:rPr>
        <w:t> </w:t>
      </w:r>
      <w:r>
        <w:rPr/>
        <w:t>that</w:t>
      </w:r>
      <w:r>
        <w:rPr>
          <w:spacing w:val="-7"/>
        </w:rPr>
        <w:t> </w:t>
      </w:r>
      <w:r>
        <w:rPr/>
        <w:t>are</w:t>
      </w:r>
      <w:r>
        <w:rPr>
          <w:spacing w:val="-9"/>
        </w:rPr>
        <w:t> </w:t>
      </w:r>
      <w:r>
        <w:rPr/>
        <w:t>reported on a more timely basis, as well as that provide additional insight on wages. Growth in wages, and especially unit labour costs, will be critical to sustaining inflation at target over the medium term as the effect of more transitory</w:t>
      </w:r>
      <w:r>
        <w:rPr>
          <w:spacing w:val="-10"/>
        </w:rPr>
        <w:t> </w:t>
      </w:r>
      <w:r>
        <w:rPr/>
        <w:t>factors</w:t>
      </w:r>
      <w:r>
        <w:rPr>
          <w:spacing w:val="-8"/>
        </w:rPr>
        <w:t> </w:t>
      </w:r>
      <w:r>
        <w:rPr/>
        <w:t>fades.</w:t>
      </w:r>
      <w:r>
        <w:rPr>
          <w:spacing w:val="-8"/>
        </w:rPr>
        <w:t> </w:t>
      </w:r>
      <w:r>
        <w:rPr/>
        <w:t>These</w:t>
      </w:r>
      <w:r>
        <w:rPr>
          <w:spacing w:val="-9"/>
        </w:rPr>
        <w:t> </w:t>
      </w:r>
      <w:r>
        <w:rPr/>
        <w:t>nine</w:t>
      </w:r>
      <w:r>
        <w:rPr>
          <w:spacing w:val="-10"/>
        </w:rPr>
        <w:t> </w:t>
      </w:r>
      <w:r>
        <w:rPr/>
        <w:t>DGI</w:t>
      </w:r>
      <w:r>
        <w:rPr>
          <w:spacing w:val="-10"/>
        </w:rPr>
        <w:t> </w:t>
      </w:r>
      <w:r>
        <w:rPr/>
        <w:t>statistics</w:t>
      </w:r>
      <w:r>
        <w:rPr>
          <w:spacing w:val="-8"/>
        </w:rPr>
        <w:t> </w:t>
      </w:r>
      <w:r>
        <w:rPr/>
        <w:t>are:</w:t>
      </w:r>
      <w:r>
        <w:rPr>
          <w:spacing w:val="-8"/>
        </w:rPr>
        <w:t> </w:t>
      </w:r>
      <w:r>
        <w:rPr/>
        <w:t>a</w:t>
      </w:r>
      <w:r>
        <w:rPr>
          <w:spacing w:val="-10"/>
        </w:rPr>
        <w:t> </w:t>
      </w:r>
      <w:r>
        <w:rPr/>
        <w:t>core</w:t>
      </w:r>
      <w:r>
        <w:rPr>
          <w:spacing w:val="-10"/>
        </w:rPr>
        <w:t> </w:t>
      </w:r>
      <w:r>
        <w:rPr/>
        <w:t>CPI</w:t>
      </w:r>
      <w:r>
        <w:rPr>
          <w:spacing w:val="-9"/>
        </w:rPr>
        <w:t> </w:t>
      </w:r>
      <w:r>
        <w:rPr/>
        <w:t>services</w:t>
      </w:r>
      <w:r>
        <w:rPr>
          <w:spacing w:val="-9"/>
        </w:rPr>
        <w:t> </w:t>
      </w:r>
      <w:r>
        <w:rPr/>
        <w:t>measure,</w:t>
      </w:r>
      <w:r>
        <w:rPr>
          <w:spacing w:val="-8"/>
        </w:rPr>
        <w:t> </w:t>
      </w:r>
      <w:r>
        <w:rPr/>
        <w:t>inverse-import-intensity- weighted</w:t>
      </w:r>
      <w:r>
        <w:rPr>
          <w:spacing w:val="-11"/>
        </w:rPr>
        <w:t> </w:t>
      </w:r>
      <w:r>
        <w:rPr/>
        <w:t>CPI</w:t>
      </w:r>
      <w:r>
        <w:rPr>
          <w:spacing w:val="-9"/>
        </w:rPr>
        <w:t> </w:t>
      </w:r>
      <w:r>
        <w:rPr/>
        <w:t>inflation,</w:t>
      </w:r>
      <w:r>
        <w:rPr>
          <w:spacing w:val="-10"/>
        </w:rPr>
        <w:t> </w:t>
      </w:r>
      <w:r>
        <w:rPr/>
        <w:t>unit</w:t>
      </w:r>
      <w:r>
        <w:rPr>
          <w:spacing w:val="-10"/>
        </w:rPr>
        <w:t> </w:t>
      </w:r>
      <w:r>
        <w:rPr/>
        <w:t>labour</w:t>
      </w:r>
      <w:r>
        <w:rPr>
          <w:spacing w:val="-10"/>
        </w:rPr>
        <w:t> </w:t>
      </w:r>
      <w:r>
        <w:rPr/>
        <w:t>costs,</w:t>
      </w:r>
      <w:r>
        <w:rPr>
          <w:spacing w:val="-11"/>
        </w:rPr>
        <w:t> </w:t>
      </w:r>
      <w:r>
        <w:rPr/>
        <w:t>unit</w:t>
      </w:r>
      <w:r>
        <w:rPr>
          <w:spacing w:val="-9"/>
        </w:rPr>
        <w:t> </w:t>
      </w:r>
      <w:r>
        <w:rPr/>
        <w:t>wage</w:t>
      </w:r>
      <w:r>
        <w:rPr>
          <w:spacing w:val="-10"/>
        </w:rPr>
        <w:t> </w:t>
      </w:r>
      <w:r>
        <w:rPr/>
        <w:t>costs,</w:t>
      </w:r>
      <w:r>
        <w:rPr>
          <w:spacing w:val="-11"/>
        </w:rPr>
        <w:t> </w:t>
      </w:r>
      <w:r>
        <w:rPr/>
        <w:t>private-sector</w:t>
      </w:r>
      <w:r>
        <w:rPr>
          <w:spacing w:val="-10"/>
        </w:rPr>
        <w:t> </w:t>
      </w:r>
      <w:r>
        <w:rPr/>
        <w:t>regular-pay</w:t>
      </w:r>
      <w:r>
        <w:rPr>
          <w:spacing w:val="-9"/>
        </w:rPr>
        <w:t> </w:t>
      </w:r>
      <w:r>
        <w:rPr/>
        <w:t>wage</w:t>
      </w:r>
      <w:r>
        <w:rPr>
          <w:spacing w:val="-11"/>
        </w:rPr>
        <w:t> </w:t>
      </w:r>
      <w:r>
        <w:rPr/>
        <w:t>growth</w:t>
      </w:r>
      <w:r>
        <w:rPr>
          <w:spacing w:val="-10"/>
        </w:rPr>
        <w:t> </w:t>
      </w:r>
      <w:r>
        <w:rPr/>
        <w:t>as</w:t>
      </w:r>
      <w:r>
        <w:rPr>
          <w:spacing w:val="-8"/>
        </w:rPr>
        <w:t> </w:t>
      </w:r>
      <w:r>
        <w:rPr/>
        <w:t>reported by the ONS, private-sector regular-pay wage growth adjusted for work force composition, the services GVA deflator,</w:t>
      </w:r>
      <w:r>
        <w:rPr>
          <w:spacing w:val="-9"/>
        </w:rPr>
        <w:t> </w:t>
      </w:r>
      <w:r>
        <w:rPr/>
        <w:t>the</w:t>
      </w:r>
      <w:r>
        <w:rPr>
          <w:spacing w:val="-10"/>
        </w:rPr>
        <w:t> </w:t>
      </w:r>
      <w:r>
        <w:rPr/>
        <w:t>GDP</w:t>
      </w:r>
      <w:r>
        <w:rPr>
          <w:spacing w:val="-9"/>
        </w:rPr>
        <w:t> </w:t>
      </w:r>
      <w:r>
        <w:rPr/>
        <w:t>deflator</w:t>
      </w:r>
      <w:r>
        <w:rPr>
          <w:spacing w:val="-9"/>
        </w:rPr>
        <w:t> </w:t>
      </w:r>
      <w:r>
        <w:rPr/>
        <w:t>excluding</w:t>
      </w:r>
      <w:r>
        <w:rPr>
          <w:spacing w:val="-9"/>
        </w:rPr>
        <w:t> </w:t>
      </w:r>
      <w:r>
        <w:rPr/>
        <w:t>exports,</w:t>
      </w:r>
      <w:r>
        <w:rPr>
          <w:spacing w:val="-9"/>
        </w:rPr>
        <w:t> </w:t>
      </w:r>
      <w:r>
        <w:rPr/>
        <w:t>and</w:t>
      </w:r>
      <w:r>
        <w:rPr>
          <w:spacing w:val="-10"/>
        </w:rPr>
        <w:t> </w:t>
      </w:r>
      <w:r>
        <w:rPr/>
        <w:t>services</w:t>
      </w:r>
      <w:r>
        <w:rPr>
          <w:spacing w:val="-7"/>
        </w:rPr>
        <w:t> </w:t>
      </w:r>
      <w:r>
        <w:rPr/>
        <w:t>PPI</w:t>
      </w:r>
      <w:r>
        <w:rPr>
          <w:spacing w:val="-8"/>
        </w:rPr>
        <w:t> </w:t>
      </w:r>
      <w:r>
        <w:rPr/>
        <w:t>inflation.</w:t>
      </w:r>
      <w:r>
        <w:rPr>
          <w:spacing w:val="-9"/>
        </w:rPr>
        <w:t> </w:t>
      </w:r>
      <w:r>
        <w:rPr/>
        <w:t>Full</w:t>
      </w:r>
      <w:r>
        <w:rPr>
          <w:spacing w:val="-8"/>
        </w:rPr>
        <w:t> </w:t>
      </w:r>
      <w:r>
        <w:rPr/>
        <w:t>definitions</w:t>
      </w:r>
      <w:r>
        <w:rPr>
          <w:spacing w:val="-8"/>
        </w:rPr>
        <w:t> </w:t>
      </w:r>
      <w:r>
        <w:rPr/>
        <w:t>of</w:t>
      </w:r>
      <w:r>
        <w:rPr>
          <w:spacing w:val="-11"/>
        </w:rPr>
        <w:t> </w:t>
      </w:r>
      <w:r>
        <w:rPr/>
        <w:t>these</w:t>
      </w:r>
      <w:r>
        <w:rPr>
          <w:spacing w:val="-9"/>
        </w:rPr>
        <w:t> </w:t>
      </w:r>
      <w:r>
        <w:rPr/>
        <w:t>variables</w:t>
      </w:r>
      <w:r>
        <w:rPr>
          <w:spacing w:val="-8"/>
        </w:rPr>
        <w:t> </w:t>
      </w:r>
      <w:r>
        <w:rPr/>
        <w:t>are in Appendix</w:t>
      </w:r>
      <w:r>
        <w:rPr>
          <w:spacing w:val="-3"/>
        </w:rPr>
        <w:t> </w:t>
      </w:r>
      <w:r>
        <w:rPr/>
        <w:t>A.</w:t>
      </w:r>
    </w:p>
    <w:p>
      <w:pPr>
        <w:pStyle w:val="BodyText"/>
        <w:spacing w:before="4"/>
        <w:rPr>
          <w:sz w:val="18"/>
        </w:rPr>
      </w:pPr>
      <w:r>
        <w:rPr/>
        <w:pict>
          <v:shape style="position:absolute;margin-left:79.320pt;margin-top:12.782352pt;width:135.5pt;height:.1pt;mso-position-horizontal-relative:page;mso-position-vertical-relative:paragraph;z-index:-251641856;mso-wrap-distance-left:0;mso-wrap-distance-right:0" coordorigin="1586,256" coordsize="2710,0" path="m1586,256l4296,256e" filled="false" stroked="true" strokeweight=".42pt" strokecolor="#000000">
            <v:path arrowok="t"/>
            <v:stroke dashstyle="solid"/>
            <w10:wrap type="topAndBottom"/>
          </v:shape>
        </w:pict>
      </w:r>
    </w:p>
    <w:p>
      <w:pPr>
        <w:spacing w:before="27"/>
        <w:ind w:left="386" w:right="0" w:firstLine="0"/>
        <w:jc w:val="left"/>
        <w:rPr>
          <w:sz w:val="15"/>
        </w:rPr>
      </w:pPr>
      <w:r>
        <w:rPr>
          <w:position w:val="8"/>
          <w:sz w:val="9"/>
        </w:rPr>
        <w:t>10 </w:t>
      </w:r>
      <w:r>
        <w:rPr>
          <w:sz w:val="15"/>
        </w:rPr>
        <w:t>See Forbes (2014).</w:t>
      </w:r>
    </w:p>
    <w:p>
      <w:pPr>
        <w:spacing w:after="0"/>
        <w:jc w:val="left"/>
        <w:rPr>
          <w:sz w:val="15"/>
        </w:rPr>
        <w:sectPr>
          <w:type w:val="continuous"/>
          <w:pgSz w:w="12240" w:h="15840"/>
          <w:pgMar w:top="1120" w:bottom="1440" w:left="1200" w:right="1060"/>
        </w:sectPr>
      </w:pPr>
    </w:p>
    <w:p>
      <w:pPr>
        <w:pStyle w:val="BodyText"/>
        <w:spacing w:line="357" w:lineRule="auto" w:before="79"/>
        <w:ind w:left="386" w:right="533"/>
      </w:pPr>
      <w:r>
        <w:rPr/>
        <w:t>Figure 8 graphs the most recent values of each of these indicators. The squares show the values from one year ago—before the recent sharp fall in inflation and when headline inflation was at 1.7%. The dashed line is at 2%—the inflation target. The dashed line is simply meant as a reference, as 2% inflation can be consistent</w:t>
      </w:r>
      <w:r>
        <w:rPr>
          <w:spacing w:val="-8"/>
        </w:rPr>
        <w:t> </w:t>
      </w:r>
      <w:r>
        <w:rPr/>
        <w:t>with</w:t>
      </w:r>
      <w:r>
        <w:rPr>
          <w:spacing w:val="-9"/>
        </w:rPr>
        <w:t> </w:t>
      </w:r>
      <w:r>
        <w:rPr/>
        <w:t>some</w:t>
      </w:r>
      <w:r>
        <w:rPr>
          <w:spacing w:val="-9"/>
        </w:rPr>
        <w:t> </w:t>
      </w:r>
      <w:r>
        <w:rPr/>
        <w:t>of</w:t>
      </w:r>
      <w:r>
        <w:rPr>
          <w:spacing w:val="-8"/>
        </w:rPr>
        <w:t> </w:t>
      </w:r>
      <w:r>
        <w:rPr/>
        <w:t>these</w:t>
      </w:r>
      <w:r>
        <w:rPr>
          <w:spacing w:val="-9"/>
        </w:rPr>
        <w:t> </w:t>
      </w:r>
      <w:r>
        <w:rPr/>
        <w:t>DGI</w:t>
      </w:r>
      <w:r>
        <w:rPr>
          <w:spacing w:val="-9"/>
        </w:rPr>
        <w:t> </w:t>
      </w:r>
      <w:r>
        <w:rPr/>
        <w:t>measures</w:t>
      </w:r>
      <w:r>
        <w:rPr>
          <w:spacing w:val="-7"/>
        </w:rPr>
        <w:t> </w:t>
      </w:r>
      <w:r>
        <w:rPr/>
        <w:t>persistently</w:t>
      </w:r>
      <w:r>
        <w:rPr>
          <w:spacing w:val="-9"/>
        </w:rPr>
        <w:t> </w:t>
      </w:r>
      <w:r>
        <w:rPr/>
        <w:t>above</w:t>
      </w:r>
      <w:r>
        <w:rPr>
          <w:spacing w:val="-9"/>
        </w:rPr>
        <w:t> </w:t>
      </w:r>
      <w:r>
        <w:rPr/>
        <w:t>2%.</w:t>
      </w:r>
      <w:r>
        <w:rPr>
          <w:vertAlign w:val="superscript"/>
        </w:rPr>
        <w:t>11</w:t>
      </w:r>
      <w:r>
        <w:rPr>
          <w:spacing w:val="-8"/>
          <w:vertAlign w:val="baseline"/>
        </w:rPr>
        <w:t> </w:t>
      </w:r>
      <w:r>
        <w:rPr>
          <w:vertAlign w:val="baseline"/>
        </w:rPr>
        <w:t>The</w:t>
      </w:r>
      <w:r>
        <w:rPr>
          <w:spacing w:val="-9"/>
          <w:vertAlign w:val="baseline"/>
        </w:rPr>
        <w:t> </w:t>
      </w:r>
      <w:r>
        <w:rPr>
          <w:vertAlign w:val="baseline"/>
        </w:rPr>
        <w:t>figure</w:t>
      </w:r>
      <w:r>
        <w:rPr>
          <w:spacing w:val="-9"/>
          <w:vertAlign w:val="baseline"/>
        </w:rPr>
        <w:t> </w:t>
      </w:r>
      <w:r>
        <w:rPr>
          <w:vertAlign w:val="baseline"/>
        </w:rPr>
        <w:t>shows</w:t>
      </w:r>
      <w:r>
        <w:rPr>
          <w:spacing w:val="-8"/>
          <w:vertAlign w:val="baseline"/>
        </w:rPr>
        <w:t> </w:t>
      </w:r>
      <w:r>
        <w:rPr>
          <w:vertAlign w:val="baseline"/>
        </w:rPr>
        <w:t>that</w:t>
      </w:r>
      <w:r>
        <w:rPr>
          <w:spacing w:val="-8"/>
          <w:vertAlign w:val="baseline"/>
        </w:rPr>
        <w:t> </w:t>
      </w:r>
      <w:r>
        <w:rPr>
          <w:vertAlign w:val="baseline"/>
        </w:rPr>
        <w:t>some</w:t>
      </w:r>
      <w:r>
        <w:rPr>
          <w:spacing w:val="-9"/>
          <w:vertAlign w:val="baseline"/>
        </w:rPr>
        <w:t> </w:t>
      </w:r>
      <w:r>
        <w:rPr>
          <w:vertAlign w:val="baseline"/>
        </w:rPr>
        <w:t>measures of</w:t>
      </w:r>
      <w:r>
        <w:rPr>
          <w:spacing w:val="-6"/>
          <w:vertAlign w:val="baseline"/>
        </w:rPr>
        <w:t> </w:t>
      </w:r>
      <w:r>
        <w:rPr>
          <w:vertAlign w:val="baseline"/>
        </w:rPr>
        <w:t>domestically-generated</w:t>
      </w:r>
      <w:r>
        <w:rPr>
          <w:spacing w:val="-6"/>
          <w:vertAlign w:val="baseline"/>
        </w:rPr>
        <w:t> </w:t>
      </w:r>
      <w:r>
        <w:rPr>
          <w:vertAlign w:val="baseline"/>
        </w:rPr>
        <w:t>inflation</w:t>
      </w:r>
      <w:r>
        <w:rPr>
          <w:spacing w:val="-5"/>
          <w:vertAlign w:val="baseline"/>
        </w:rPr>
        <w:t> </w:t>
      </w:r>
      <w:r>
        <w:rPr>
          <w:vertAlign w:val="baseline"/>
        </w:rPr>
        <w:t>have</w:t>
      </w:r>
      <w:r>
        <w:rPr>
          <w:spacing w:val="-5"/>
          <w:vertAlign w:val="baseline"/>
        </w:rPr>
        <w:t> </w:t>
      </w:r>
      <w:r>
        <w:rPr>
          <w:vertAlign w:val="baseline"/>
        </w:rPr>
        <w:t>fallen</w:t>
      </w:r>
      <w:r>
        <w:rPr>
          <w:spacing w:val="-7"/>
          <w:vertAlign w:val="baseline"/>
        </w:rPr>
        <w:t> </w:t>
      </w:r>
      <w:r>
        <w:rPr>
          <w:vertAlign w:val="baseline"/>
        </w:rPr>
        <w:t>over</w:t>
      </w:r>
      <w:r>
        <w:rPr>
          <w:spacing w:val="-5"/>
          <w:vertAlign w:val="baseline"/>
        </w:rPr>
        <w:t> </w:t>
      </w:r>
      <w:r>
        <w:rPr>
          <w:vertAlign w:val="baseline"/>
        </w:rPr>
        <w:t>the</w:t>
      </w:r>
      <w:r>
        <w:rPr>
          <w:spacing w:val="-5"/>
          <w:vertAlign w:val="baseline"/>
        </w:rPr>
        <w:t> </w:t>
      </w:r>
      <w:r>
        <w:rPr>
          <w:vertAlign w:val="baseline"/>
        </w:rPr>
        <w:t>last</w:t>
      </w:r>
      <w:r>
        <w:rPr>
          <w:spacing w:val="-4"/>
          <w:vertAlign w:val="baseline"/>
        </w:rPr>
        <w:t> </w:t>
      </w:r>
      <w:r>
        <w:rPr>
          <w:vertAlign w:val="baseline"/>
        </w:rPr>
        <w:t>year—such</w:t>
      </w:r>
      <w:r>
        <w:rPr>
          <w:spacing w:val="-5"/>
          <w:vertAlign w:val="baseline"/>
        </w:rPr>
        <w:t> </w:t>
      </w:r>
      <w:r>
        <w:rPr>
          <w:vertAlign w:val="baseline"/>
        </w:rPr>
        <w:t>as</w:t>
      </w:r>
      <w:r>
        <w:rPr>
          <w:spacing w:val="-4"/>
          <w:vertAlign w:val="baseline"/>
        </w:rPr>
        <w:t> </w:t>
      </w:r>
      <w:r>
        <w:rPr>
          <w:vertAlign w:val="baseline"/>
        </w:rPr>
        <w:t>core</w:t>
      </w:r>
      <w:r>
        <w:rPr>
          <w:spacing w:val="-5"/>
          <w:vertAlign w:val="baseline"/>
        </w:rPr>
        <w:t> </w:t>
      </w:r>
      <w:r>
        <w:rPr>
          <w:vertAlign w:val="baseline"/>
        </w:rPr>
        <w:t>CPI</w:t>
      </w:r>
      <w:r>
        <w:rPr>
          <w:spacing w:val="-7"/>
          <w:vertAlign w:val="baseline"/>
        </w:rPr>
        <w:t> </w:t>
      </w:r>
      <w:r>
        <w:rPr>
          <w:vertAlign w:val="baseline"/>
        </w:rPr>
        <w:t>services</w:t>
      </w:r>
      <w:r>
        <w:rPr>
          <w:spacing w:val="-5"/>
          <w:vertAlign w:val="baseline"/>
        </w:rPr>
        <w:t> </w:t>
      </w:r>
      <w:r>
        <w:rPr>
          <w:vertAlign w:val="baseline"/>
        </w:rPr>
        <w:t>and</w:t>
      </w:r>
      <w:r>
        <w:rPr>
          <w:spacing w:val="-5"/>
          <w:vertAlign w:val="baseline"/>
        </w:rPr>
        <w:t> </w:t>
      </w:r>
      <w:r>
        <w:rPr>
          <w:vertAlign w:val="baseline"/>
        </w:rPr>
        <w:t>the</w:t>
      </w:r>
    </w:p>
    <w:p>
      <w:pPr>
        <w:pStyle w:val="BodyText"/>
        <w:spacing w:line="214" w:lineRule="exact"/>
        <w:ind w:left="386"/>
      </w:pPr>
      <w:r>
        <w:rPr/>
        <w:t>inverse-import weighted measure. Some of these measures, however, are undoubtedly affected by the fall</w:t>
      </w:r>
    </w:p>
    <w:p>
      <w:pPr>
        <w:pStyle w:val="BodyText"/>
        <w:spacing w:before="4"/>
        <w:rPr>
          <w:sz w:val="29"/>
        </w:rPr>
      </w:pPr>
    </w:p>
    <w:p>
      <w:pPr>
        <w:spacing w:after="0"/>
        <w:rPr>
          <w:sz w:val="29"/>
        </w:rPr>
        <w:sectPr>
          <w:pgSz w:w="12240" w:h="15840"/>
          <w:pgMar w:header="0" w:footer="1240" w:top="1440" w:bottom="1440" w:left="1200" w:right="1060"/>
        </w:sectPr>
      </w:pPr>
    </w:p>
    <w:p>
      <w:pPr>
        <w:pStyle w:val="BodyText"/>
        <w:spacing w:line="357" w:lineRule="auto" w:before="92"/>
        <w:ind w:left="386"/>
      </w:pPr>
      <w:r>
        <w:rPr/>
        <w:t>in oil prices (either directly or through its impact on transportation costs). Other measures more closely related to business costs (on the right of the graph) have been more stable, which is somewhat surprising</w:t>
      </w:r>
      <w:r>
        <w:rPr>
          <w:spacing w:val="-9"/>
        </w:rPr>
        <w:t> </w:t>
      </w:r>
      <w:r>
        <w:rPr/>
        <w:t>as</w:t>
      </w:r>
      <w:r>
        <w:rPr>
          <w:spacing w:val="-7"/>
        </w:rPr>
        <w:t> </w:t>
      </w:r>
      <w:r>
        <w:rPr/>
        <w:t>these</w:t>
      </w:r>
      <w:r>
        <w:rPr>
          <w:spacing w:val="-8"/>
        </w:rPr>
        <w:t> </w:t>
      </w:r>
      <w:r>
        <w:rPr/>
        <w:t>also</w:t>
      </w:r>
      <w:r>
        <w:rPr>
          <w:spacing w:val="-8"/>
        </w:rPr>
        <w:t> </w:t>
      </w:r>
      <w:r>
        <w:rPr/>
        <w:t>incorporate</w:t>
      </w:r>
      <w:r>
        <w:rPr>
          <w:spacing w:val="-8"/>
        </w:rPr>
        <w:t> </w:t>
      </w:r>
      <w:r>
        <w:rPr/>
        <w:t>the</w:t>
      </w:r>
      <w:r>
        <w:rPr>
          <w:spacing w:val="-8"/>
        </w:rPr>
        <w:t> </w:t>
      </w:r>
      <w:r>
        <w:rPr/>
        <w:t>fall</w:t>
      </w:r>
      <w:r>
        <w:rPr>
          <w:spacing w:val="-8"/>
        </w:rPr>
        <w:t> </w:t>
      </w:r>
      <w:r>
        <w:rPr/>
        <w:t>in</w:t>
      </w:r>
      <w:r>
        <w:rPr>
          <w:spacing w:val="-8"/>
        </w:rPr>
        <w:t> </w:t>
      </w:r>
      <w:r>
        <w:rPr/>
        <w:t>energy prices.</w:t>
      </w:r>
      <w:r>
        <w:rPr>
          <w:spacing w:val="-10"/>
        </w:rPr>
        <w:t> </w:t>
      </w:r>
      <w:r>
        <w:rPr/>
        <w:t>Perhaps</w:t>
      </w:r>
      <w:r>
        <w:rPr>
          <w:spacing w:val="-8"/>
        </w:rPr>
        <w:t> </w:t>
      </w:r>
      <w:r>
        <w:rPr/>
        <w:t>most</w:t>
      </w:r>
      <w:r>
        <w:rPr>
          <w:spacing w:val="-7"/>
        </w:rPr>
        <w:t> </w:t>
      </w:r>
      <w:r>
        <w:rPr/>
        <w:t>interesting</w:t>
      </w:r>
      <w:r>
        <w:rPr>
          <w:spacing w:val="-9"/>
        </w:rPr>
        <w:t> </w:t>
      </w:r>
      <w:r>
        <w:rPr/>
        <w:t>is</w:t>
      </w:r>
      <w:r>
        <w:rPr>
          <w:spacing w:val="-8"/>
        </w:rPr>
        <w:t> </w:t>
      </w:r>
      <w:r>
        <w:rPr/>
        <w:t>the</w:t>
      </w:r>
      <w:r>
        <w:rPr>
          <w:spacing w:val="-9"/>
        </w:rPr>
        <w:t> </w:t>
      </w:r>
      <w:r>
        <w:rPr/>
        <w:t>4</w:t>
      </w:r>
      <w:r>
        <w:rPr>
          <w:spacing w:val="-9"/>
        </w:rPr>
        <w:t> </w:t>
      </w:r>
      <w:r>
        <w:rPr/>
        <w:t>indicators</w:t>
      </w:r>
      <w:r>
        <w:rPr>
          <w:spacing w:val="-8"/>
        </w:rPr>
        <w:t> </w:t>
      </w:r>
      <w:r>
        <w:rPr/>
        <w:t>in the middle of the graph, which capture various measures of wages and labour costs. These measures all show an increase in labour costs over the</w:t>
      </w:r>
      <w:r>
        <w:rPr>
          <w:spacing w:val="-8"/>
        </w:rPr>
        <w:t> </w:t>
      </w:r>
      <w:r>
        <w:rPr/>
        <w:t>past</w:t>
      </w:r>
      <w:r>
        <w:rPr>
          <w:spacing w:val="-7"/>
        </w:rPr>
        <w:t> </w:t>
      </w:r>
      <w:r>
        <w:rPr/>
        <w:t>year.</w:t>
      </w:r>
      <w:r>
        <w:rPr>
          <w:spacing w:val="-7"/>
        </w:rPr>
        <w:t> </w:t>
      </w:r>
      <w:r>
        <w:rPr/>
        <w:t>Since</w:t>
      </w:r>
      <w:r>
        <w:rPr>
          <w:spacing w:val="-8"/>
        </w:rPr>
        <w:t> </w:t>
      </w:r>
      <w:r>
        <w:rPr/>
        <w:t>unit</w:t>
      </w:r>
      <w:r>
        <w:rPr>
          <w:spacing w:val="-6"/>
        </w:rPr>
        <w:t> </w:t>
      </w:r>
      <w:r>
        <w:rPr/>
        <w:t>labour</w:t>
      </w:r>
      <w:r>
        <w:rPr>
          <w:spacing w:val="-8"/>
        </w:rPr>
        <w:t> </w:t>
      </w:r>
      <w:r>
        <w:rPr/>
        <w:t>costs</w:t>
      </w:r>
      <w:r>
        <w:rPr>
          <w:spacing w:val="-6"/>
        </w:rPr>
        <w:t> </w:t>
      </w:r>
      <w:r>
        <w:rPr/>
        <w:t>are</w:t>
      </w:r>
      <w:r>
        <w:rPr>
          <w:spacing w:val="-8"/>
        </w:rPr>
        <w:t> </w:t>
      </w:r>
      <w:r>
        <w:rPr/>
        <w:t>generally</w:t>
      </w:r>
      <w:r>
        <w:rPr>
          <w:spacing w:val="-7"/>
        </w:rPr>
        <w:t> </w:t>
      </w:r>
      <w:r>
        <w:rPr/>
        <w:t>a key driver of underlying cost pressure in an economy, and wage costs constitute about 37% of average production costs, this suggests that underlying</w:t>
      </w:r>
      <w:r>
        <w:rPr>
          <w:spacing w:val="-9"/>
        </w:rPr>
        <w:t> </w:t>
      </w:r>
      <w:r>
        <w:rPr/>
        <w:t>production</w:t>
      </w:r>
      <w:r>
        <w:rPr>
          <w:spacing w:val="-8"/>
        </w:rPr>
        <w:t> </w:t>
      </w:r>
      <w:r>
        <w:rPr/>
        <w:t>costs</w:t>
      </w:r>
      <w:r>
        <w:rPr>
          <w:spacing w:val="-7"/>
        </w:rPr>
        <w:t> </w:t>
      </w:r>
      <w:r>
        <w:rPr/>
        <w:t>in</w:t>
      </w:r>
      <w:r>
        <w:rPr>
          <w:spacing w:val="-9"/>
        </w:rPr>
        <w:t> </w:t>
      </w:r>
      <w:r>
        <w:rPr/>
        <w:t>the</w:t>
      </w:r>
      <w:r>
        <w:rPr>
          <w:spacing w:val="-9"/>
        </w:rPr>
        <w:t> </w:t>
      </w:r>
      <w:r>
        <w:rPr/>
        <w:t>UK</w:t>
      </w:r>
      <w:r>
        <w:rPr>
          <w:spacing w:val="-8"/>
        </w:rPr>
        <w:t> </w:t>
      </w:r>
      <w:r>
        <w:rPr/>
        <w:t>have</w:t>
      </w:r>
      <w:r>
        <w:rPr>
          <w:spacing w:val="-8"/>
        </w:rPr>
        <w:t> </w:t>
      </w:r>
      <w:r>
        <w:rPr/>
        <w:t>not</w:t>
      </w:r>
      <w:r>
        <w:rPr>
          <w:spacing w:val="-9"/>
        </w:rPr>
        <w:t> </w:t>
      </w:r>
      <w:r>
        <w:rPr/>
        <w:t>fallen to nearly the extent as seen for headline and core inflation. In fact, they may even be</w:t>
      </w:r>
      <w:r>
        <w:rPr>
          <w:spacing w:val="-24"/>
        </w:rPr>
        <w:t> </w:t>
      </w:r>
      <w:r>
        <w:rPr/>
        <w:t>accelerating.</w:t>
      </w:r>
    </w:p>
    <w:p>
      <w:pPr>
        <w:spacing w:line="278" w:lineRule="auto" w:before="140"/>
        <w:ind w:left="232" w:right="224" w:firstLine="0"/>
        <w:jc w:val="left"/>
        <w:rPr>
          <w:b/>
          <w:sz w:val="18"/>
        </w:rPr>
      </w:pPr>
      <w:r>
        <w:rPr/>
        <w:br w:type="column"/>
      </w:r>
      <w:r>
        <w:rPr>
          <w:b/>
          <w:sz w:val="18"/>
        </w:rPr>
        <w:t>Figure 9: Mean and range of UK domestically generated inflation measures</w:t>
      </w:r>
    </w:p>
    <w:p>
      <w:pPr>
        <w:spacing w:line="247" w:lineRule="auto" w:before="122"/>
        <w:ind w:left="2992" w:right="825" w:hanging="283"/>
        <w:jc w:val="right"/>
        <w:rPr>
          <w:sz w:val="18"/>
        </w:rPr>
      </w:pPr>
      <w:r>
        <w:rPr>
          <w:sz w:val="18"/>
        </w:rPr>
        <w:t>Percentage change</w:t>
      </w:r>
      <w:r>
        <w:rPr>
          <w:w w:val="101"/>
          <w:sz w:val="18"/>
        </w:rPr>
        <w:t> </w:t>
      </w:r>
      <w:r>
        <w:rPr>
          <w:sz w:val="18"/>
        </w:rPr>
        <w:t>on a year earlier</w:t>
      </w:r>
    </w:p>
    <w:p>
      <w:pPr>
        <w:spacing w:line="183" w:lineRule="exact" w:before="0"/>
        <w:ind w:left="0" w:right="813" w:firstLine="0"/>
        <w:jc w:val="right"/>
        <w:rPr>
          <w:sz w:val="18"/>
        </w:rPr>
      </w:pPr>
      <w:r>
        <w:rPr/>
        <w:pict>
          <v:group style="position:absolute;margin-left:320.640015pt;margin-top:3.87915pt;width:186.6pt;height:149.6pt;mso-position-horizontal-relative:page;mso-position-vertical-relative:paragraph;z-index:251689984" coordorigin="6413,78" coordsize="3732,2992">
            <v:shape style="position:absolute;left:6456;top:261;width:3630;height:2397" coordorigin="6456,261" coordsize="3630,2397" path="m9985,1320l6606,1320,6655,1383,6704,1527,6755,1693,6804,1804,6854,2335,6904,2454,6954,2658,7003,2368,7052,2278,7103,2101,7152,1982,7202,1952,7263,1952,7302,1713,7563,1713,7600,1578,8369,1578,8395,1448,8468,1448,8495,1407,10086,1407,10086,1322,9986,1322,9985,1320xm9472,2084l9042,2084,9091,2540,9142,2226,9237,2226,9240,2221,9460,2221,9472,2084xm8961,2396l8892,2396,8942,2469,8961,2396xm9458,2236l9390,2236,9439,2458,9458,2236xm9533,1789l8743,1789,8794,2344,8843,2422,8892,2396,8961,2396,8992,2271,9042,2084,9472,2084,9490,1875,9533,1789xm9460,2221l9240,2221,9290,2227,9340,2343,9390,2236,9458,2236,9460,2221xm8369,1578l7600,1578,7650,1930,7699,1944,7750,2019,7799,2322,7848,2002,7898,1797,7948,1734,8007,1734,8047,1593,8365,1593,8369,1578xm9237,2226l9142,2226,9191,2292,9237,2226xm10027,1936l9838,1936,9887,2266,9937,2012,9986,1976,10027,1936xm8365,1593l8047,1593,8098,1744,8147,2084,8196,2174,8246,1956,8296,1681,8347,1681,8365,1593xm9836,1940l9688,1940,9738,2143,9787,2071,9836,1940xm7500,1850l7400,1850,7451,2089,7500,1850xm7563,1713l7302,1713,7351,2028,7400,1850,7500,1850,7500,1848,7550,1759,7563,1713xm7263,1952l7202,1952,7252,2023,7263,1952xm10086,1777l9539,1777,9588,1825,9638,1992,9688,1940,9836,1940,9838,1936,10027,1936,10036,1928,10086,1928,10086,1777xm10086,1429l8644,1429,8694,1952,8743,1789,9533,1789,9539,1777,10086,1777,10086,1429xm10086,1407l8495,1407,8544,1502,8594,1802,8644,1429,10086,1429,10086,1407xm8007,1734l7948,1734,7998,1764,8007,1734xm8347,1681l8296,1681,8346,1688,8347,1681xm8468,1448l8395,1448,8446,1482,8468,1448xm6456,1105l6456,1408,6506,1448,6556,1446,6606,1320,9985,1320,9980,1310,7699,1310,7667,1221,7003,1221,6954,1185,6921,1122,6506,1122,6456,1105xm10086,1066l10036,1191,9986,1322,10086,1322,10086,1066xm7799,993l7750,1248,7699,1310,9980,1310,9973,1299,9838,1299,9828,1287,9490,1287,9479,1254,9142,1254,9130,1202,9042,1202,9010,1113,7848,1113,7799,993xm9937,1236l9887,1286,9838,1299,9973,1299,9937,1236xm9638,864l9588,891,9539,1183,9490,1287,9828,1287,9787,1233,9741,914,9688,914,9638,864xm9340,880l9290,936,9240,1059,9191,1197,9142,1254,9479,1254,9439,1128,9390,894,9340,880xm7052,858l7003,1221,7667,1221,7650,1176,7612,991,7550,991,7520,945,7103,945,7052,858xm9091,1023l9042,1202,9130,1202,9091,1023xm6755,432l6704,644,6655,766,6606,838,6556,966,6506,1122,6921,1122,6905,1090,6854,1090,6804,884,6755,432xm7898,884l7848,1113,9010,1113,9001,1086,8346,1086,8324,1048,8098,1048,8090,1033,7998,1033,7948,918,7898,884xm6904,1087l6854,1090,6905,1090,6904,1087xm8395,723l8346,1086,9001,1086,8992,1060,8978,1021,8843,1021,8835,997,8594,997,8571,910,8446,910,8395,723xm8147,973l8098,1048,8324,1048,8316,1035,8246,1035,8196,1003,8147,973xm8296,1000l8246,1035,8316,1035,8296,1000xm8047,948l7998,1033,8090,1033,8047,948xm8892,412l8843,1021,8978,1021,8942,916,8892,412xm8743,680l8694,868,8644,925,8594,997,8835,997,8794,870,8743,680xm7600,932l7550,991,7612,991,7600,932xm7252,261l7202,535,7152,940,7103,945,7520,945,7500,914,7490,898,7400,898,7351,799,7302,650,7252,261xm9738,890l9688,914,9741,914,9738,890xm8544,811l8495,868,8446,910,8571,910,8544,811xm7451,835l7400,898,7490,898,7451,835xe" filled="true" fillcolor="#c6d9f1" stroked="false">
              <v:path arrowok="t"/>
              <v:fill type="solid"/>
            </v:shape>
            <v:shape style="position:absolute;left:6456;top:77;width:3630;height:1245" coordorigin="6456,78" coordsize="3630,1245" path="m10019,1236l9937,1236,9986,1322,10019,1236xm7888,932l7600,932,7650,1176,7699,1310,7750,1248,7799,993,7874,993,7888,932xm10086,890l9738,890,9787,1233,9838,1299,9887,1286,9937,1236,10019,1236,10036,1191,10086,1066,10086,890xm9608,880l9340,880,9390,894,9439,1128,9490,1287,9539,1183,9588,891,9608,880xm9255,1023l9091,1023,9142,1254,9191,1197,9240,1059,9255,1023xm7021,1087l6904,1087,6954,1185,7003,1221,7021,1087xm9139,412l8892,412,8942,916,8992,1060,9042,1202,9091,1023,9255,1023,9290,936,9340,880,9608,880,9638,864,10086,864,10086,572,9986,572,9973,526,9838,526,9828,502,9490,502,9479,435,9142,435,9139,412xm6456,138l6456,1105,6506,1122,6556,966,6606,838,6655,766,6704,644,6755,432,7221,432,7232,372,7003,372,6954,298,6921,171,6506,171,6456,138xm7874,993l7799,993,7848,1113,7874,993xm7221,432l6755,432,6804,884,6854,1090,6904,1087,7021,1087,7052,858,7162,858,7202,535,7221,432xm8358,1000l8296,1000,8346,1086,8358,1000xm8365,948l8047,948,8098,1048,8147,973,8361,973,8365,948xm8361,973l8147,973,8196,1003,8246,1035,8296,1000,8358,1000,8361,973xm8373,884l7898,884,7948,918,7998,1033,8047,948,8365,948,8373,884xm8870,680l8743,680,8794,870,8843,1021,8870,680xm8709,811l8544,811,8594,997,8644,925,8694,868,8709,811xm8380,835l7451,835,7500,914,7550,991,7600,932,7888,932,7898,884,8373,884,8380,835xm7162,858l7052,858,7103,945,7152,940,7162,858xm10086,864l9638,864,9688,914,9738,890,10086,890,10086,864xm8732,723l8395,723,8446,910,8495,868,8544,811,8709,811,8732,723xm7648,261l7252,261,7302,650,7351,799,7400,898,7451,835,8380,835,8395,723,8732,723,8743,680,8870,680,8881,549,7699,549,7650,280,7648,261xm10086,78l10083,78,10036,310,9986,572,10086,572,10086,78xm7832,78l7783,78,7750,423,7699,549,8881,549,8892,412,9139,412,9130,332,9042,332,9010,154,7848,154,7832,78xm9937,400l9887,500,9838,526,9973,526,9937,400xm9764,78l9557,78,9539,294,9490,502,9828,502,9787,396,9764,78xm9428,78l9235,78,9191,324,9142,435,9479,435,9439,184,9428,78xm7629,78l7023,78,7003,372,7232,372,7252,261,7648,261,7629,78xm9102,78l9077,78,9042,332,9130,332,9102,78xm6850,78l6521,78,6506,171,6921,171,6905,110,6854,110,6850,78xm8340,78l7856,78,7848,154,9010,154,9000,99,8346,99,8340,78xm6904,103l6854,110,6905,110,6904,103xm8997,78l8347,78,8346,99,9000,99,8997,78xe" filled="true" fillcolor="#ffffff" stroked="false">
              <v:path arrowok="t"/>
              <v:fill type="solid"/>
            </v:shape>
            <v:line style="position:absolute" from="10088,85" to="10088,3062" stroked="true" strokeweight=".72pt" strokecolor="#000000">
              <v:stroke dashstyle="solid"/>
            </v:line>
            <v:shape style="position:absolute;left:10088;top:77;width:57;height:2992" coordorigin="10088,78" coordsize="57,2992" path="m10145,3055l10088,3055,10088,3069,10145,3069,10145,3055m10145,2560l10088,2560,10088,2575,10145,2575,10145,2560m10145,2067l10088,2067,10088,2082,10145,2082,10145,2067m10145,1573l10088,1573,10088,1587,10145,1587,10145,1573m10145,1065l10088,1065,10088,1080,10145,1080,10145,1065m10145,572l10088,572,10088,585,10145,585,10145,572m10145,78l10088,78,10088,92,10145,92,10145,78e" filled="true" fillcolor="#000000" stroked="false">
              <v:path arrowok="t"/>
              <v:fill type="solid"/>
            </v:shape>
            <v:line style="position:absolute" from="6420,2074" to="10088,2074" stroked="true" strokeweight=".72pt" strokecolor="#000000">
              <v:stroke dashstyle="solid"/>
            </v:line>
            <v:shape style="position:absolute;left:6412;top:2074;width:3584;height:57" coordorigin="6413,2074" coordsize="3584,57" path="m6427,2074l6413,2074,6413,2131,6427,2131,6427,2074m7020,2074l7006,2074,7006,2131,7020,2131,7020,2074m7612,2074l7598,2074,7598,2131,7612,2131,7612,2074m8219,2074l8204,2074,8204,2131,8219,2131,8219,2074m8812,2074l8797,2074,8797,2131,8812,2131,8812,2074m9403,2074l9390,2074,9390,2131,9403,2131,9403,2074m9996,2074l9983,2074,9983,2131,9996,2131,9996,2074e" filled="true" fillcolor="#000000" stroked="false">
              <v:path arrowok="t"/>
              <v:fill type="solid"/>
            </v:shape>
            <v:shape style="position:absolute;left:6439;top:965;width:3658;height:834" type="#_x0000_t75" stroked="false">
              <v:imagedata r:id="rId14" o:title=""/>
            </v:shape>
            <w10:wrap type="none"/>
          </v:group>
        </w:pict>
      </w:r>
      <w:r>
        <w:rPr>
          <w:w w:val="101"/>
          <w:sz w:val="18"/>
        </w:rPr>
        <w:t>8</w:t>
      </w:r>
    </w:p>
    <w:p>
      <w:pPr>
        <w:pStyle w:val="BodyText"/>
        <w:spacing w:before="4"/>
        <w:rPr>
          <w:sz w:val="25"/>
        </w:rPr>
      </w:pPr>
    </w:p>
    <w:p>
      <w:pPr>
        <w:spacing w:before="0"/>
        <w:ind w:left="4230" w:right="0" w:firstLine="0"/>
        <w:jc w:val="left"/>
        <w:rPr>
          <w:sz w:val="18"/>
        </w:rPr>
      </w:pPr>
      <w:r>
        <w:rPr>
          <w:w w:val="101"/>
          <w:sz w:val="18"/>
        </w:rPr>
        <w:t>6</w:t>
      </w:r>
    </w:p>
    <w:p>
      <w:pPr>
        <w:pStyle w:val="BodyText"/>
        <w:spacing w:before="3"/>
        <w:rPr>
          <w:sz w:val="25"/>
        </w:rPr>
      </w:pPr>
    </w:p>
    <w:p>
      <w:pPr>
        <w:spacing w:before="0"/>
        <w:ind w:left="4230" w:right="0" w:firstLine="0"/>
        <w:jc w:val="left"/>
        <w:rPr>
          <w:sz w:val="18"/>
        </w:rPr>
      </w:pPr>
      <w:r>
        <w:rPr>
          <w:w w:val="101"/>
          <w:sz w:val="18"/>
        </w:rPr>
        <w:t>4</w:t>
      </w:r>
    </w:p>
    <w:p>
      <w:pPr>
        <w:pStyle w:val="BodyText"/>
        <w:spacing w:before="4"/>
        <w:rPr>
          <w:sz w:val="25"/>
        </w:rPr>
      </w:pPr>
    </w:p>
    <w:p>
      <w:pPr>
        <w:spacing w:before="0"/>
        <w:ind w:left="4230" w:right="0" w:firstLine="0"/>
        <w:jc w:val="left"/>
        <w:rPr>
          <w:sz w:val="18"/>
        </w:rPr>
      </w:pPr>
      <w:r>
        <w:rPr>
          <w:w w:val="101"/>
          <w:sz w:val="18"/>
        </w:rPr>
        <w:t>2</w:t>
      </w:r>
    </w:p>
    <w:p>
      <w:pPr>
        <w:pStyle w:val="BodyText"/>
        <w:spacing w:before="3"/>
        <w:rPr>
          <w:sz w:val="25"/>
        </w:rPr>
      </w:pPr>
    </w:p>
    <w:p>
      <w:pPr>
        <w:spacing w:before="1"/>
        <w:ind w:left="4230" w:right="0" w:firstLine="0"/>
        <w:jc w:val="left"/>
        <w:rPr>
          <w:sz w:val="18"/>
        </w:rPr>
      </w:pPr>
      <w:r>
        <w:rPr>
          <w:w w:val="101"/>
          <w:sz w:val="18"/>
        </w:rPr>
        <w:t>0</w:t>
      </w:r>
    </w:p>
    <w:p>
      <w:pPr>
        <w:pStyle w:val="BodyText"/>
        <w:spacing w:before="3"/>
        <w:rPr>
          <w:sz w:val="25"/>
        </w:rPr>
      </w:pPr>
    </w:p>
    <w:p>
      <w:pPr>
        <w:spacing w:before="0"/>
        <w:ind w:left="4230" w:right="0" w:firstLine="0"/>
        <w:jc w:val="left"/>
        <w:rPr>
          <w:sz w:val="18"/>
        </w:rPr>
      </w:pPr>
      <w:r>
        <w:rPr>
          <w:spacing w:val="-5"/>
          <w:sz w:val="18"/>
        </w:rPr>
        <w:t>-2</w:t>
      </w:r>
    </w:p>
    <w:p>
      <w:pPr>
        <w:pStyle w:val="BodyText"/>
        <w:spacing w:before="4"/>
        <w:rPr>
          <w:sz w:val="25"/>
        </w:rPr>
      </w:pPr>
    </w:p>
    <w:p>
      <w:pPr>
        <w:spacing w:before="0"/>
        <w:ind w:left="4230" w:right="0" w:firstLine="0"/>
        <w:jc w:val="left"/>
        <w:rPr>
          <w:sz w:val="18"/>
        </w:rPr>
      </w:pPr>
      <w:r>
        <w:rPr>
          <w:spacing w:val="-5"/>
          <w:sz w:val="18"/>
        </w:rPr>
        <w:t>-4</w:t>
      </w:r>
    </w:p>
    <w:p>
      <w:pPr>
        <w:spacing w:before="17"/>
        <w:ind w:left="189" w:right="0" w:firstLine="0"/>
        <w:jc w:val="left"/>
        <w:rPr>
          <w:sz w:val="18"/>
        </w:rPr>
      </w:pPr>
      <w:r>
        <w:rPr>
          <w:sz w:val="18"/>
        </w:rPr>
        <w:t>1997 2000 2003 2006 2009 2012 2015</w:t>
      </w:r>
    </w:p>
    <w:p>
      <w:pPr>
        <w:spacing w:before="147"/>
        <w:ind w:left="232" w:right="0" w:firstLine="0"/>
        <w:jc w:val="left"/>
        <w:rPr>
          <w:sz w:val="15"/>
        </w:rPr>
      </w:pPr>
      <w:r>
        <w:rPr>
          <w:b/>
          <w:i/>
          <w:w w:val="105"/>
          <w:sz w:val="15"/>
        </w:rPr>
        <w:t>Source: </w:t>
      </w:r>
      <w:r>
        <w:rPr>
          <w:w w:val="105"/>
          <w:sz w:val="15"/>
        </w:rPr>
        <w:t>ONS and Bank of England</w:t>
      </w:r>
    </w:p>
    <w:p>
      <w:pPr>
        <w:spacing w:after="0"/>
        <w:jc w:val="left"/>
        <w:rPr>
          <w:sz w:val="15"/>
        </w:rPr>
        <w:sectPr>
          <w:type w:val="continuous"/>
          <w:pgSz w:w="12240" w:h="15840"/>
          <w:pgMar w:top="1120" w:bottom="1440" w:left="1200" w:right="1060"/>
          <w:cols w:num="2" w:equalWidth="0">
            <w:col w:w="4792" w:space="40"/>
            <w:col w:w="5148"/>
          </w:cols>
        </w:sectPr>
      </w:pPr>
    </w:p>
    <w:p>
      <w:pPr>
        <w:pStyle w:val="BodyText"/>
        <w:spacing w:line="204" w:lineRule="exact"/>
        <w:ind w:left="386"/>
      </w:pPr>
      <w:r>
        <w:rPr/>
        <w:t>There is a substantial range across these DGI measures, however, and each has its own advantages and</w:t>
      </w:r>
    </w:p>
    <w:p>
      <w:pPr>
        <w:pStyle w:val="BodyText"/>
        <w:spacing w:line="355" w:lineRule="auto" w:before="106"/>
        <w:ind w:left="386" w:right="628"/>
      </w:pPr>
      <w:r>
        <w:rPr/>
        <w:t>disadvantages. Therefore, a useful way to summarize this information is to track the average of these measures,</w:t>
      </w:r>
      <w:r>
        <w:rPr>
          <w:spacing w:val="-9"/>
        </w:rPr>
        <w:t> </w:t>
      </w:r>
      <w:r>
        <w:rPr/>
        <w:t>as</w:t>
      </w:r>
      <w:r>
        <w:rPr>
          <w:spacing w:val="-7"/>
        </w:rPr>
        <w:t> </w:t>
      </w:r>
      <w:r>
        <w:rPr/>
        <w:t>well</w:t>
      </w:r>
      <w:r>
        <w:rPr>
          <w:spacing w:val="-8"/>
        </w:rPr>
        <w:t> </w:t>
      </w:r>
      <w:r>
        <w:rPr/>
        <w:t>as</w:t>
      </w:r>
      <w:r>
        <w:rPr>
          <w:spacing w:val="-8"/>
        </w:rPr>
        <w:t> </w:t>
      </w:r>
      <w:r>
        <w:rPr/>
        <w:t>their</w:t>
      </w:r>
      <w:r>
        <w:rPr>
          <w:spacing w:val="-7"/>
        </w:rPr>
        <w:t> </w:t>
      </w:r>
      <w:r>
        <w:rPr/>
        <w:t>range.</w:t>
      </w:r>
      <w:r>
        <w:rPr>
          <w:spacing w:val="-7"/>
        </w:rPr>
        <w:t> </w:t>
      </w:r>
      <w:r>
        <w:rPr/>
        <w:t>Figure</w:t>
      </w:r>
      <w:r>
        <w:rPr>
          <w:spacing w:val="-7"/>
        </w:rPr>
        <w:t> </w:t>
      </w:r>
      <w:r>
        <w:rPr/>
        <w:t>9</w:t>
      </w:r>
      <w:r>
        <w:rPr>
          <w:spacing w:val="-9"/>
        </w:rPr>
        <w:t> </w:t>
      </w:r>
      <w:r>
        <w:rPr/>
        <w:t>shows</w:t>
      </w:r>
      <w:r>
        <w:rPr>
          <w:spacing w:val="-7"/>
        </w:rPr>
        <w:t> </w:t>
      </w:r>
      <w:r>
        <w:rPr/>
        <w:t>these</w:t>
      </w:r>
      <w:r>
        <w:rPr>
          <w:spacing w:val="-9"/>
        </w:rPr>
        <w:t> </w:t>
      </w:r>
      <w:r>
        <w:rPr/>
        <w:t>statistics.</w:t>
      </w:r>
      <w:r>
        <w:rPr>
          <w:spacing w:val="-7"/>
        </w:rPr>
        <w:t> </w:t>
      </w:r>
      <w:r>
        <w:rPr/>
        <w:t>This</w:t>
      </w:r>
      <w:r>
        <w:rPr>
          <w:spacing w:val="-7"/>
        </w:rPr>
        <w:t> </w:t>
      </w:r>
      <w:r>
        <w:rPr/>
        <w:t>graph</w:t>
      </w:r>
      <w:r>
        <w:rPr>
          <w:spacing w:val="-9"/>
        </w:rPr>
        <w:t> </w:t>
      </w:r>
      <w:r>
        <w:rPr/>
        <w:t>shows</w:t>
      </w:r>
      <w:r>
        <w:rPr>
          <w:spacing w:val="-7"/>
        </w:rPr>
        <w:t> </w:t>
      </w:r>
      <w:r>
        <w:rPr/>
        <w:t>that</w:t>
      </w:r>
      <w:r>
        <w:rPr>
          <w:spacing w:val="-7"/>
        </w:rPr>
        <w:t> </w:t>
      </w:r>
      <w:r>
        <w:rPr/>
        <w:t>the</w:t>
      </w:r>
      <w:r>
        <w:rPr>
          <w:spacing w:val="-8"/>
        </w:rPr>
        <w:t> </w:t>
      </w:r>
      <w:r>
        <w:rPr/>
        <w:t>DGI</w:t>
      </w:r>
      <w:r>
        <w:rPr>
          <w:spacing w:val="-9"/>
        </w:rPr>
        <w:t> </w:t>
      </w:r>
      <w:r>
        <w:rPr/>
        <w:t>measures have been remarkably stable over the past 1 ½ years. This suggests that although sterling’s recent appreciation has been dragging on core and headline inflation, it has not had more persistent effects on measures of inflation that put less weight on these exchange rate</w:t>
      </w:r>
      <w:r>
        <w:rPr>
          <w:spacing w:val="-27"/>
        </w:rPr>
        <w:t> </w:t>
      </w:r>
      <w:r>
        <w:rPr/>
        <w:t>movements.</w:t>
      </w:r>
    </w:p>
    <w:p>
      <w:pPr>
        <w:pStyle w:val="BodyText"/>
        <w:spacing w:before="8"/>
        <w:rPr>
          <w:sz w:val="28"/>
        </w:rPr>
      </w:pPr>
    </w:p>
    <w:p>
      <w:pPr>
        <w:pStyle w:val="BodyText"/>
        <w:spacing w:line="357" w:lineRule="auto"/>
        <w:ind w:left="386" w:right="628"/>
      </w:pPr>
      <w:r>
        <w:rPr/>
        <w:t>To summarize, although UK monetary policy is set to meet a 2% target for </w:t>
      </w:r>
      <w:r>
        <w:rPr>
          <w:u w:val="single"/>
        </w:rPr>
        <w:t>headline</w:t>
      </w:r>
      <w:r>
        <w:rPr/>
        <w:t> inflation, this series of graphs</w:t>
      </w:r>
      <w:r>
        <w:rPr>
          <w:spacing w:val="-8"/>
        </w:rPr>
        <w:t> </w:t>
      </w:r>
      <w:r>
        <w:rPr/>
        <w:t>is</w:t>
      </w:r>
      <w:r>
        <w:rPr>
          <w:spacing w:val="-7"/>
        </w:rPr>
        <w:t> </w:t>
      </w:r>
      <w:r>
        <w:rPr/>
        <w:t>helpful</w:t>
      </w:r>
      <w:r>
        <w:rPr>
          <w:spacing w:val="-7"/>
        </w:rPr>
        <w:t> </w:t>
      </w:r>
      <w:r>
        <w:rPr/>
        <w:t>to</w:t>
      </w:r>
      <w:r>
        <w:rPr>
          <w:spacing w:val="-8"/>
        </w:rPr>
        <w:t> </w:t>
      </w:r>
      <w:r>
        <w:rPr/>
        <w:t>better</w:t>
      </w:r>
      <w:r>
        <w:rPr>
          <w:spacing w:val="-8"/>
        </w:rPr>
        <w:t> </w:t>
      </w:r>
      <w:r>
        <w:rPr/>
        <w:t>understand</w:t>
      </w:r>
      <w:r>
        <w:rPr>
          <w:spacing w:val="-8"/>
        </w:rPr>
        <w:t> </w:t>
      </w:r>
      <w:r>
        <w:rPr/>
        <w:t>the</w:t>
      </w:r>
      <w:r>
        <w:rPr>
          <w:spacing w:val="-8"/>
        </w:rPr>
        <w:t> </w:t>
      </w:r>
      <w:r>
        <w:rPr/>
        <w:t>dynamics</w:t>
      </w:r>
      <w:r>
        <w:rPr>
          <w:spacing w:val="-6"/>
        </w:rPr>
        <w:t> </w:t>
      </w:r>
      <w:r>
        <w:rPr/>
        <w:t>behind</w:t>
      </w:r>
      <w:r>
        <w:rPr>
          <w:spacing w:val="-9"/>
        </w:rPr>
        <w:t> </w:t>
      </w:r>
      <w:r>
        <w:rPr/>
        <w:t>and</w:t>
      </w:r>
      <w:r>
        <w:rPr>
          <w:spacing w:val="-7"/>
        </w:rPr>
        <w:t> </w:t>
      </w:r>
      <w:r>
        <w:rPr/>
        <w:t>persistence</w:t>
      </w:r>
      <w:r>
        <w:rPr>
          <w:spacing w:val="-8"/>
        </w:rPr>
        <w:t> </w:t>
      </w:r>
      <w:r>
        <w:rPr/>
        <w:t>of</w:t>
      </w:r>
      <w:r>
        <w:rPr>
          <w:spacing w:val="-8"/>
        </w:rPr>
        <w:t> </w:t>
      </w:r>
      <w:r>
        <w:rPr/>
        <w:t>low</w:t>
      </w:r>
      <w:r>
        <w:rPr>
          <w:spacing w:val="-8"/>
        </w:rPr>
        <w:t> </w:t>
      </w:r>
      <w:r>
        <w:rPr/>
        <w:t>inflation</w:t>
      </w:r>
      <w:r>
        <w:rPr>
          <w:spacing w:val="-8"/>
        </w:rPr>
        <w:t> </w:t>
      </w:r>
      <w:r>
        <w:rPr/>
        <w:t>in</w:t>
      </w:r>
      <w:r>
        <w:rPr>
          <w:spacing w:val="-9"/>
        </w:rPr>
        <w:t> </w:t>
      </w:r>
      <w:r>
        <w:rPr/>
        <w:t>the</w:t>
      </w:r>
      <w:r>
        <w:rPr>
          <w:spacing w:val="-8"/>
        </w:rPr>
        <w:t> </w:t>
      </w:r>
      <w:r>
        <w:rPr/>
        <w:t>UK</w:t>
      </w:r>
      <w:r>
        <w:rPr>
          <w:spacing w:val="-8"/>
        </w:rPr>
        <w:t> </w:t>
      </w:r>
      <w:r>
        <w:rPr/>
        <w:t>today. Much of the recent fall in headline inflation appears to be caused by the sharp falls in energy and food prices,</w:t>
      </w:r>
      <w:r>
        <w:rPr>
          <w:spacing w:val="-9"/>
        </w:rPr>
        <w:t> </w:t>
      </w:r>
      <w:r>
        <w:rPr/>
        <w:t>as</w:t>
      </w:r>
      <w:r>
        <w:rPr>
          <w:spacing w:val="-8"/>
        </w:rPr>
        <w:t> </w:t>
      </w:r>
      <w:r>
        <w:rPr/>
        <w:t>well</w:t>
      </w:r>
      <w:r>
        <w:rPr>
          <w:spacing w:val="-9"/>
        </w:rPr>
        <w:t> </w:t>
      </w:r>
      <w:r>
        <w:rPr/>
        <w:t>as</w:t>
      </w:r>
      <w:r>
        <w:rPr>
          <w:spacing w:val="-8"/>
        </w:rPr>
        <w:t> </w:t>
      </w:r>
      <w:r>
        <w:rPr/>
        <w:t>the</w:t>
      </w:r>
      <w:r>
        <w:rPr>
          <w:spacing w:val="-9"/>
        </w:rPr>
        <w:t> </w:t>
      </w:r>
      <w:r>
        <w:rPr/>
        <w:t>past</w:t>
      </w:r>
      <w:r>
        <w:rPr>
          <w:spacing w:val="-9"/>
        </w:rPr>
        <w:t> </w:t>
      </w:r>
      <w:r>
        <w:rPr/>
        <w:t>appreciation</w:t>
      </w:r>
      <w:r>
        <w:rPr>
          <w:spacing w:val="-8"/>
        </w:rPr>
        <w:t> </w:t>
      </w:r>
      <w:r>
        <w:rPr/>
        <w:t>of</w:t>
      </w:r>
      <w:r>
        <w:rPr>
          <w:spacing w:val="-9"/>
        </w:rPr>
        <w:t> </w:t>
      </w:r>
      <w:r>
        <w:rPr/>
        <w:t>sterling.</w:t>
      </w:r>
      <w:r>
        <w:rPr>
          <w:spacing w:val="-9"/>
        </w:rPr>
        <w:t> </w:t>
      </w:r>
      <w:r>
        <w:rPr/>
        <w:t>In</w:t>
      </w:r>
      <w:r>
        <w:rPr>
          <w:spacing w:val="-8"/>
        </w:rPr>
        <w:t> </w:t>
      </w:r>
      <w:r>
        <w:rPr/>
        <w:t>fact,</w:t>
      </w:r>
      <w:r>
        <w:rPr>
          <w:spacing w:val="-10"/>
        </w:rPr>
        <w:t> </w:t>
      </w:r>
      <w:r>
        <w:rPr/>
        <w:t>Bank</w:t>
      </w:r>
      <w:r>
        <w:rPr>
          <w:spacing w:val="-8"/>
        </w:rPr>
        <w:t> </w:t>
      </w:r>
      <w:r>
        <w:rPr/>
        <w:t>of</w:t>
      </w:r>
      <w:r>
        <w:rPr>
          <w:spacing w:val="-9"/>
        </w:rPr>
        <w:t> </w:t>
      </w:r>
      <w:r>
        <w:rPr/>
        <w:t>England</w:t>
      </w:r>
      <w:r>
        <w:rPr>
          <w:spacing w:val="-10"/>
        </w:rPr>
        <w:t> </w:t>
      </w:r>
      <w:r>
        <w:rPr/>
        <w:t>calculations</w:t>
      </w:r>
      <w:r>
        <w:rPr>
          <w:spacing w:val="-8"/>
        </w:rPr>
        <w:t> </w:t>
      </w:r>
      <w:r>
        <w:rPr/>
        <w:t>indicate</w:t>
      </w:r>
      <w:r>
        <w:rPr>
          <w:spacing w:val="-9"/>
        </w:rPr>
        <w:t> </w:t>
      </w:r>
      <w:r>
        <w:rPr/>
        <w:t>that</w:t>
      </w:r>
      <w:r>
        <w:rPr>
          <w:spacing w:val="-9"/>
        </w:rPr>
        <w:t> </w:t>
      </w:r>
      <w:r>
        <w:rPr/>
        <w:t>around</w:t>
      </w:r>
    </w:p>
    <w:p>
      <w:pPr>
        <w:pStyle w:val="BodyText"/>
        <w:spacing w:line="357" w:lineRule="auto"/>
        <w:ind w:left="386" w:right="533"/>
      </w:pPr>
      <w:r>
        <w:rPr/>
        <w:pict>
          <v:shape style="position:absolute;margin-left:79.320pt;margin-top:55.808147pt;width:135.5pt;height:.1pt;mso-position-horizontal-relative:page;mso-position-vertical-relative:paragraph;z-index:-251627520;mso-wrap-distance-left:0;mso-wrap-distance-right:0" coordorigin="1586,1116" coordsize="2710,0" path="m1586,1116l4296,1116e" filled="false" stroked="true" strokeweight=".42pt" strokecolor="#000000">
            <v:path arrowok="t"/>
            <v:stroke dashstyle="solid"/>
            <w10:wrap type="topAndBottom"/>
          </v:shape>
        </w:pict>
      </w:r>
      <w:r>
        <w:rPr/>
        <w:t>¾</w:t>
      </w:r>
      <w:r>
        <w:rPr>
          <w:spacing w:val="-8"/>
        </w:rPr>
        <w:t> </w:t>
      </w:r>
      <w:r>
        <w:rPr/>
        <w:t>of</w:t>
      </w:r>
      <w:r>
        <w:rPr>
          <w:spacing w:val="-9"/>
        </w:rPr>
        <w:t> </w:t>
      </w:r>
      <w:r>
        <w:rPr/>
        <w:t>the</w:t>
      </w:r>
      <w:r>
        <w:rPr>
          <w:spacing w:val="-7"/>
        </w:rPr>
        <w:t> </w:t>
      </w:r>
      <w:r>
        <w:rPr/>
        <w:t>deviation</w:t>
      </w:r>
      <w:r>
        <w:rPr>
          <w:spacing w:val="-8"/>
        </w:rPr>
        <w:t> </w:t>
      </w:r>
      <w:r>
        <w:rPr/>
        <w:t>of</w:t>
      </w:r>
      <w:r>
        <w:rPr>
          <w:spacing w:val="-6"/>
        </w:rPr>
        <w:t> </w:t>
      </w:r>
      <w:r>
        <w:rPr/>
        <w:t>inflation</w:t>
      </w:r>
      <w:r>
        <w:rPr>
          <w:spacing w:val="-7"/>
        </w:rPr>
        <w:t> </w:t>
      </w:r>
      <w:r>
        <w:rPr/>
        <w:t>from</w:t>
      </w:r>
      <w:r>
        <w:rPr>
          <w:spacing w:val="-7"/>
        </w:rPr>
        <w:t> </w:t>
      </w:r>
      <w:r>
        <w:rPr/>
        <w:t>target</w:t>
      </w:r>
      <w:r>
        <w:rPr>
          <w:spacing w:val="-8"/>
        </w:rPr>
        <w:t> </w:t>
      </w:r>
      <w:r>
        <w:rPr/>
        <w:t>today</w:t>
      </w:r>
      <w:r>
        <w:rPr>
          <w:spacing w:val="-6"/>
        </w:rPr>
        <w:t> </w:t>
      </w:r>
      <w:r>
        <w:rPr/>
        <w:t>results</w:t>
      </w:r>
      <w:r>
        <w:rPr>
          <w:spacing w:val="-7"/>
        </w:rPr>
        <w:t> </w:t>
      </w:r>
      <w:r>
        <w:rPr/>
        <w:t>from</w:t>
      </w:r>
      <w:r>
        <w:rPr>
          <w:spacing w:val="-7"/>
        </w:rPr>
        <w:t> </w:t>
      </w:r>
      <w:r>
        <w:rPr/>
        <w:t>energy,</w:t>
      </w:r>
      <w:r>
        <w:rPr>
          <w:spacing w:val="-7"/>
        </w:rPr>
        <w:t> </w:t>
      </w:r>
      <w:r>
        <w:rPr/>
        <w:t>food</w:t>
      </w:r>
      <w:r>
        <w:rPr>
          <w:spacing w:val="-8"/>
        </w:rPr>
        <w:t> </w:t>
      </w:r>
      <w:r>
        <w:rPr/>
        <w:t>and</w:t>
      </w:r>
      <w:r>
        <w:rPr>
          <w:spacing w:val="-8"/>
        </w:rPr>
        <w:t> </w:t>
      </w:r>
      <w:r>
        <w:rPr/>
        <w:t>other</w:t>
      </w:r>
      <w:r>
        <w:rPr>
          <w:spacing w:val="-7"/>
        </w:rPr>
        <w:t> </w:t>
      </w:r>
      <w:r>
        <w:rPr/>
        <w:t>goods</w:t>
      </w:r>
      <w:r>
        <w:rPr>
          <w:spacing w:val="-7"/>
        </w:rPr>
        <w:t> </w:t>
      </w:r>
      <w:r>
        <w:rPr/>
        <w:t>prices.</w:t>
      </w:r>
      <w:r>
        <w:rPr>
          <w:spacing w:val="-9"/>
        </w:rPr>
        <w:t> </w:t>
      </w:r>
      <w:r>
        <w:rPr/>
        <w:t>All</w:t>
      </w:r>
      <w:r>
        <w:rPr>
          <w:spacing w:val="-7"/>
        </w:rPr>
        <w:t> </w:t>
      </w:r>
      <w:r>
        <w:rPr/>
        <w:t>of</w:t>
      </w:r>
      <w:r>
        <w:rPr>
          <w:spacing w:val="-8"/>
        </w:rPr>
        <w:t> </w:t>
      </w:r>
      <w:r>
        <w:rPr/>
        <w:t>these influences on inflation tend to be fairly transitory, although the effects of exchange rate movements tend to persist</w:t>
      </w:r>
      <w:r>
        <w:rPr>
          <w:spacing w:val="-9"/>
        </w:rPr>
        <w:t> </w:t>
      </w:r>
      <w:r>
        <w:rPr/>
        <w:t>longer</w:t>
      </w:r>
      <w:r>
        <w:rPr>
          <w:spacing w:val="-7"/>
        </w:rPr>
        <w:t> </w:t>
      </w:r>
      <w:r>
        <w:rPr/>
        <w:t>than</w:t>
      </w:r>
      <w:r>
        <w:rPr>
          <w:spacing w:val="-9"/>
        </w:rPr>
        <w:t> </w:t>
      </w:r>
      <w:r>
        <w:rPr/>
        <w:t>the</w:t>
      </w:r>
      <w:r>
        <w:rPr>
          <w:spacing w:val="-8"/>
        </w:rPr>
        <w:t> </w:t>
      </w:r>
      <w:r>
        <w:rPr/>
        <w:t>roughly</w:t>
      </w:r>
      <w:r>
        <w:rPr>
          <w:spacing w:val="-7"/>
        </w:rPr>
        <w:t> </w:t>
      </w:r>
      <w:r>
        <w:rPr/>
        <w:t>12-month</w:t>
      </w:r>
      <w:r>
        <w:rPr>
          <w:spacing w:val="-10"/>
        </w:rPr>
        <w:t> </w:t>
      </w:r>
      <w:r>
        <w:rPr/>
        <w:t>effects</w:t>
      </w:r>
      <w:r>
        <w:rPr>
          <w:spacing w:val="-6"/>
        </w:rPr>
        <w:t> </w:t>
      </w:r>
      <w:r>
        <w:rPr/>
        <w:t>from</w:t>
      </w:r>
      <w:r>
        <w:rPr>
          <w:spacing w:val="-8"/>
        </w:rPr>
        <w:t> </w:t>
      </w:r>
      <w:r>
        <w:rPr/>
        <w:t>movements</w:t>
      </w:r>
      <w:r>
        <w:rPr>
          <w:spacing w:val="-8"/>
        </w:rPr>
        <w:t> </w:t>
      </w:r>
      <w:r>
        <w:rPr/>
        <w:t>in</w:t>
      </w:r>
      <w:r>
        <w:rPr>
          <w:spacing w:val="-8"/>
        </w:rPr>
        <w:t> </w:t>
      </w:r>
      <w:r>
        <w:rPr/>
        <w:t>energy</w:t>
      </w:r>
      <w:r>
        <w:rPr>
          <w:spacing w:val="-9"/>
        </w:rPr>
        <w:t> </w:t>
      </w:r>
      <w:r>
        <w:rPr/>
        <w:t>and</w:t>
      </w:r>
      <w:r>
        <w:rPr>
          <w:spacing w:val="-8"/>
        </w:rPr>
        <w:t> </w:t>
      </w:r>
      <w:r>
        <w:rPr/>
        <w:t>food</w:t>
      </w:r>
      <w:r>
        <w:rPr>
          <w:spacing w:val="-8"/>
        </w:rPr>
        <w:t> </w:t>
      </w:r>
      <w:r>
        <w:rPr/>
        <w:t>prices.</w:t>
      </w:r>
      <w:r>
        <w:rPr>
          <w:spacing w:val="-9"/>
        </w:rPr>
        <w:t> </w:t>
      </w:r>
      <w:r>
        <w:rPr/>
        <w:t>The</w:t>
      </w:r>
      <w:r>
        <w:rPr>
          <w:spacing w:val="-8"/>
        </w:rPr>
        <w:t> </w:t>
      </w:r>
      <w:r>
        <w:rPr/>
        <w:t>weakness</w:t>
      </w:r>
    </w:p>
    <w:p>
      <w:pPr>
        <w:spacing w:before="26"/>
        <w:ind w:left="386" w:right="533" w:firstLine="0"/>
        <w:jc w:val="left"/>
        <w:rPr>
          <w:sz w:val="15"/>
        </w:rPr>
      </w:pPr>
      <w:r>
        <w:rPr>
          <w:position w:val="8"/>
          <w:sz w:val="9"/>
        </w:rPr>
        <w:t>11 </w:t>
      </w:r>
      <w:r>
        <w:rPr>
          <w:sz w:val="15"/>
        </w:rPr>
        <w:t>For example, if wage growth was 3%, and productivity growth 1%, unit labour costs would only be growing at 2%−and consistent with the inflation target.</w:t>
      </w:r>
    </w:p>
    <w:p>
      <w:pPr>
        <w:spacing w:after="0"/>
        <w:jc w:val="left"/>
        <w:rPr>
          <w:sz w:val="15"/>
        </w:rPr>
        <w:sectPr>
          <w:type w:val="continuous"/>
          <w:pgSz w:w="12240" w:h="15840"/>
          <w:pgMar w:top="1120" w:bottom="1440" w:left="1200" w:right="1060"/>
        </w:sectPr>
      </w:pPr>
    </w:p>
    <w:p>
      <w:pPr>
        <w:pStyle w:val="BodyText"/>
        <w:spacing w:line="357" w:lineRule="auto" w:before="79"/>
        <w:ind w:left="386" w:right="533"/>
      </w:pPr>
      <w:r>
        <w:rPr/>
        <w:t>in core inflation, compared to the relative stability of the DGI measures, highlights this impact of the exchange rate. But although the DGI measures have been stable, they are still largely lower than pre-crisis levels</w:t>
      </w:r>
      <w:r>
        <w:rPr>
          <w:spacing w:val="-7"/>
        </w:rPr>
        <w:t> </w:t>
      </w:r>
      <w:r>
        <w:rPr/>
        <w:t>and</w:t>
      </w:r>
      <w:r>
        <w:rPr>
          <w:spacing w:val="-7"/>
        </w:rPr>
        <w:t> </w:t>
      </w:r>
      <w:r>
        <w:rPr/>
        <w:t>not</w:t>
      </w:r>
      <w:r>
        <w:rPr>
          <w:spacing w:val="-7"/>
        </w:rPr>
        <w:t> </w:t>
      </w:r>
      <w:r>
        <w:rPr/>
        <w:t>likely</w:t>
      </w:r>
      <w:r>
        <w:rPr>
          <w:spacing w:val="-7"/>
        </w:rPr>
        <w:t> </w:t>
      </w:r>
      <w:r>
        <w:rPr/>
        <w:t>to</w:t>
      </w:r>
      <w:r>
        <w:rPr>
          <w:spacing w:val="-7"/>
        </w:rPr>
        <w:t> </w:t>
      </w:r>
      <w:r>
        <w:rPr/>
        <w:t>be</w:t>
      </w:r>
      <w:r>
        <w:rPr>
          <w:spacing w:val="-7"/>
        </w:rPr>
        <w:t> </w:t>
      </w:r>
      <w:r>
        <w:rPr/>
        <w:t>strong</w:t>
      </w:r>
      <w:r>
        <w:rPr>
          <w:spacing w:val="-8"/>
        </w:rPr>
        <w:t> </w:t>
      </w:r>
      <w:r>
        <w:rPr/>
        <w:t>enough</w:t>
      </w:r>
      <w:r>
        <w:rPr>
          <w:spacing w:val="-7"/>
        </w:rPr>
        <w:t> </w:t>
      </w:r>
      <w:r>
        <w:rPr/>
        <w:t>to</w:t>
      </w:r>
      <w:r>
        <w:rPr>
          <w:spacing w:val="-8"/>
        </w:rPr>
        <w:t> </w:t>
      </w:r>
      <w:r>
        <w:rPr/>
        <w:t>be</w:t>
      </w:r>
      <w:r>
        <w:rPr>
          <w:spacing w:val="-7"/>
        </w:rPr>
        <w:t> </w:t>
      </w:r>
      <w:r>
        <w:rPr/>
        <w:t>consistent</w:t>
      </w:r>
      <w:r>
        <w:rPr>
          <w:spacing w:val="-4"/>
        </w:rPr>
        <w:t> </w:t>
      </w:r>
      <w:r>
        <w:rPr/>
        <w:t>with</w:t>
      </w:r>
      <w:r>
        <w:rPr>
          <w:spacing w:val="-8"/>
        </w:rPr>
        <w:t> </w:t>
      </w:r>
      <w:r>
        <w:rPr/>
        <w:t>our</w:t>
      </w:r>
      <w:r>
        <w:rPr>
          <w:spacing w:val="-8"/>
        </w:rPr>
        <w:t> </w:t>
      </w:r>
      <w:r>
        <w:rPr/>
        <w:t>2%</w:t>
      </w:r>
      <w:r>
        <w:rPr>
          <w:spacing w:val="-7"/>
        </w:rPr>
        <w:t> </w:t>
      </w:r>
      <w:r>
        <w:rPr/>
        <w:t>inflation</w:t>
      </w:r>
      <w:r>
        <w:rPr>
          <w:spacing w:val="-7"/>
        </w:rPr>
        <w:t> </w:t>
      </w:r>
      <w:r>
        <w:rPr/>
        <w:t>target.</w:t>
      </w:r>
      <w:r>
        <w:rPr>
          <w:spacing w:val="-5"/>
        </w:rPr>
        <w:t> </w:t>
      </w:r>
      <w:r>
        <w:rPr/>
        <w:t>The</w:t>
      </w:r>
      <w:r>
        <w:rPr>
          <w:spacing w:val="-7"/>
        </w:rPr>
        <w:t> </w:t>
      </w:r>
      <w:r>
        <w:rPr/>
        <w:t>recent</w:t>
      </w:r>
      <w:r>
        <w:rPr>
          <w:spacing w:val="-7"/>
        </w:rPr>
        <w:t> </w:t>
      </w:r>
      <w:r>
        <w:rPr/>
        <w:t>sharp</w:t>
      </w:r>
      <w:r>
        <w:rPr>
          <w:spacing w:val="-8"/>
        </w:rPr>
        <w:t> </w:t>
      </w:r>
      <w:r>
        <w:rPr/>
        <w:t>fall</w:t>
      </w:r>
      <w:r>
        <w:rPr>
          <w:spacing w:val="-7"/>
        </w:rPr>
        <w:t> </w:t>
      </w:r>
      <w:r>
        <w:rPr/>
        <w:t>in core</w:t>
      </w:r>
      <w:r>
        <w:rPr>
          <w:spacing w:val="-5"/>
        </w:rPr>
        <w:t> </w:t>
      </w:r>
      <w:r>
        <w:rPr/>
        <w:t>prices</w:t>
      </w:r>
      <w:r>
        <w:rPr>
          <w:spacing w:val="-3"/>
        </w:rPr>
        <w:t> </w:t>
      </w:r>
      <w:r>
        <w:rPr/>
        <w:t>also</w:t>
      </w:r>
      <w:r>
        <w:rPr>
          <w:spacing w:val="-5"/>
        </w:rPr>
        <w:t> </w:t>
      </w:r>
      <w:r>
        <w:rPr/>
        <w:t>seems</w:t>
      </w:r>
      <w:r>
        <w:rPr>
          <w:spacing w:val="-3"/>
        </w:rPr>
        <w:t> </w:t>
      </w:r>
      <w:r>
        <w:rPr/>
        <w:t>larger</w:t>
      </w:r>
      <w:r>
        <w:rPr>
          <w:spacing w:val="-5"/>
        </w:rPr>
        <w:t> </w:t>
      </w:r>
      <w:r>
        <w:rPr/>
        <w:t>than</w:t>
      </w:r>
      <w:r>
        <w:rPr>
          <w:spacing w:val="-3"/>
        </w:rPr>
        <w:t> </w:t>
      </w:r>
      <w:r>
        <w:rPr/>
        <w:t>what</w:t>
      </w:r>
      <w:r>
        <w:rPr>
          <w:spacing w:val="-5"/>
        </w:rPr>
        <w:t> </w:t>
      </w:r>
      <w:r>
        <w:rPr/>
        <w:t>might</w:t>
      </w:r>
      <w:r>
        <w:rPr>
          <w:spacing w:val="-4"/>
        </w:rPr>
        <w:t> </w:t>
      </w:r>
      <w:r>
        <w:rPr/>
        <w:t>be</w:t>
      </w:r>
      <w:r>
        <w:rPr>
          <w:spacing w:val="-5"/>
        </w:rPr>
        <w:t> </w:t>
      </w:r>
      <w:r>
        <w:rPr/>
        <w:t>expected</w:t>
      </w:r>
      <w:r>
        <w:rPr>
          <w:spacing w:val="-4"/>
        </w:rPr>
        <w:t> </w:t>
      </w:r>
      <w:r>
        <w:rPr/>
        <w:t>from</w:t>
      </w:r>
      <w:r>
        <w:rPr>
          <w:spacing w:val="-4"/>
        </w:rPr>
        <w:t> </w:t>
      </w:r>
      <w:r>
        <w:rPr/>
        <w:t>just</w:t>
      </w:r>
      <w:r>
        <w:rPr>
          <w:spacing w:val="-5"/>
        </w:rPr>
        <w:t> </w:t>
      </w:r>
      <w:r>
        <w:rPr/>
        <w:t>sterling’s</w:t>
      </w:r>
      <w:r>
        <w:rPr>
          <w:spacing w:val="-3"/>
        </w:rPr>
        <w:t> </w:t>
      </w:r>
      <w:r>
        <w:rPr/>
        <w:t>past</w:t>
      </w:r>
      <w:r>
        <w:rPr>
          <w:spacing w:val="-4"/>
        </w:rPr>
        <w:t> </w:t>
      </w:r>
      <w:r>
        <w:rPr/>
        <w:t>appreciation.</w:t>
      </w:r>
    </w:p>
    <w:p>
      <w:pPr>
        <w:pStyle w:val="BodyText"/>
        <w:rPr>
          <w:sz w:val="28"/>
        </w:rPr>
      </w:pPr>
    </w:p>
    <w:p>
      <w:pPr>
        <w:pStyle w:val="BodyText"/>
        <w:spacing w:line="357" w:lineRule="auto"/>
        <w:ind w:left="386" w:right="533"/>
      </w:pPr>
      <w:r>
        <w:rPr/>
        <w:t>Could there be other factors at play? Could the sharp fall in inflation—even if initially caused by more transitory influences such as oil prices—be having more pervasive second-round effects? Could the low levels of inflation around the world have additional effects on core and headline inflation in the UK? Has the greater integration of the world economy caused global inflation rates to have a greater impact on domestic inflation than in the past? As shown in Table 1, we have little experience of such low inflation. Since 1961 (the</w:t>
      </w:r>
      <w:r>
        <w:rPr>
          <w:spacing w:val="-11"/>
        </w:rPr>
        <w:t> </w:t>
      </w:r>
      <w:r>
        <w:rPr/>
        <w:t>earliest</w:t>
      </w:r>
      <w:r>
        <w:rPr>
          <w:spacing w:val="-8"/>
        </w:rPr>
        <w:t> </w:t>
      </w:r>
      <w:r>
        <w:rPr/>
        <w:t>available</w:t>
      </w:r>
      <w:r>
        <w:rPr>
          <w:spacing w:val="-9"/>
        </w:rPr>
        <w:t> </w:t>
      </w:r>
      <w:r>
        <w:rPr/>
        <w:t>monthly</w:t>
      </w:r>
      <w:r>
        <w:rPr>
          <w:spacing w:val="-9"/>
        </w:rPr>
        <w:t> </w:t>
      </w:r>
      <w:r>
        <w:rPr/>
        <w:t>data),</w:t>
      </w:r>
      <w:r>
        <w:rPr>
          <w:spacing w:val="-10"/>
        </w:rPr>
        <w:t> </w:t>
      </w:r>
      <w:r>
        <w:rPr/>
        <w:t>the</w:t>
      </w:r>
      <w:r>
        <w:rPr>
          <w:spacing w:val="-9"/>
        </w:rPr>
        <w:t> </w:t>
      </w:r>
      <w:r>
        <w:rPr/>
        <w:t>UK</w:t>
      </w:r>
      <w:r>
        <w:rPr>
          <w:spacing w:val="-8"/>
        </w:rPr>
        <w:t> </w:t>
      </w:r>
      <w:r>
        <w:rPr/>
        <w:t>has</w:t>
      </w:r>
      <w:r>
        <w:rPr>
          <w:spacing w:val="-9"/>
        </w:rPr>
        <w:t> </w:t>
      </w:r>
      <w:r>
        <w:rPr/>
        <w:t>never</w:t>
      </w:r>
      <w:r>
        <w:rPr>
          <w:spacing w:val="-8"/>
        </w:rPr>
        <w:t> </w:t>
      </w:r>
      <w:r>
        <w:rPr/>
        <w:t>experienced</w:t>
      </w:r>
      <w:r>
        <w:rPr>
          <w:spacing w:val="-9"/>
        </w:rPr>
        <w:t> </w:t>
      </w:r>
      <w:r>
        <w:rPr/>
        <w:t>inflation</w:t>
      </w:r>
      <w:r>
        <w:rPr>
          <w:spacing w:val="-9"/>
        </w:rPr>
        <w:t> </w:t>
      </w:r>
      <w:r>
        <w:rPr/>
        <w:t>below</w:t>
      </w:r>
      <w:r>
        <w:rPr>
          <w:spacing w:val="-11"/>
        </w:rPr>
        <w:t> </w:t>
      </w:r>
      <w:r>
        <w:rPr/>
        <w:t>0.5%—except</w:t>
      </w:r>
      <w:r>
        <w:rPr>
          <w:spacing w:val="-9"/>
        </w:rPr>
        <w:t> </w:t>
      </w:r>
      <w:r>
        <w:rPr/>
        <w:t>in</w:t>
      </w:r>
      <w:r>
        <w:rPr>
          <w:spacing w:val="-10"/>
        </w:rPr>
        <w:t> </w:t>
      </w:r>
      <w:r>
        <w:rPr/>
        <w:t>this</w:t>
      </w:r>
      <w:r>
        <w:rPr>
          <w:spacing w:val="-7"/>
        </w:rPr>
        <w:t> </w:t>
      </w:r>
      <w:r>
        <w:rPr/>
        <w:t>year from January. As a result, we must carefully assess the risks of such low inflation rates, as well as how our traditional</w:t>
      </w:r>
      <w:r>
        <w:rPr>
          <w:spacing w:val="-9"/>
        </w:rPr>
        <w:t> </w:t>
      </w:r>
      <w:r>
        <w:rPr/>
        <w:t>analysis</w:t>
      </w:r>
      <w:r>
        <w:rPr>
          <w:spacing w:val="-8"/>
        </w:rPr>
        <w:t> </w:t>
      </w:r>
      <w:r>
        <w:rPr/>
        <w:t>may</w:t>
      </w:r>
      <w:r>
        <w:rPr>
          <w:spacing w:val="-9"/>
        </w:rPr>
        <w:t> </w:t>
      </w:r>
      <w:r>
        <w:rPr/>
        <w:t>no</w:t>
      </w:r>
      <w:r>
        <w:rPr>
          <w:spacing w:val="-8"/>
        </w:rPr>
        <w:t> </w:t>
      </w:r>
      <w:r>
        <w:rPr/>
        <w:t>longer</w:t>
      </w:r>
      <w:r>
        <w:rPr>
          <w:spacing w:val="-9"/>
        </w:rPr>
        <w:t> </w:t>
      </w:r>
      <w:r>
        <w:rPr/>
        <w:t>apply,</w:t>
      </w:r>
      <w:r>
        <w:rPr>
          <w:spacing w:val="-7"/>
        </w:rPr>
        <w:t> </w:t>
      </w:r>
      <w:r>
        <w:rPr/>
        <w:t>during</w:t>
      </w:r>
      <w:r>
        <w:rPr>
          <w:spacing w:val="-9"/>
        </w:rPr>
        <w:t> </w:t>
      </w:r>
      <w:r>
        <w:rPr/>
        <w:t>this</w:t>
      </w:r>
      <w:r>
        <w:rPr>
          <w:spacing w:val="-8"/>
        </w:rPr>
        <w:t> </w:t>
      </w:r>
      <w:r>
        <w:rPr/>
        <w:t>unprecedented</w:t>
      </w:r>
      <w:r>
        <w:rPr>
          <w:spacing w:val="-8"/>
        </w:rPr>
        <w:t> </w:t>
      </w:r>
      <w:r>
        <w:rPr/>
        <w:t>period.</w:t>
      </w:r>
      <w:r>
        <w:rPr>
          <w:spacing w:val="-9"/>
        </w:rPr>
        <w:t> </w:t>
      </w:r>
      <w:r>
        <w:rPr/>
        <w:t>This</w:t>
      </w:r>
      <w:r>
        <w:rPr>
          <w:spacing w:val="-9"/>
        </w:rPr>
        <w:t> </w:t>
      </w:r>
      <w:r>
        <w:rPr/>
        <w:t>is</w:t>
      </w:r>
      <w:r>
        <w:rPr>
          <w:spacing w:val="-8"/>
        </w:rPr>
        <w:t> </w:t>
      </w:r>
      <w:r>
        <w:rPr/>
        <w:t>especially</w:t>
      </w:r>
      <w:r>
        <w:rPr>
          <w:spacing w:val="-9"/>
        </w:rPr>
        <w:t> </w:t>
      </w:r>
      <w:r>
        <w:rPr/>
        <w:t>true</w:t>
      </w:r>
      <w:r>
        <w:rPr>
          <w:spacing w:val="-10"/>
        </w:rPr>
        <w:t> </w:t>
      </w:r>
      <w:r>
        <w:rPr/>
        <w:t>for</w:t>
      </w:r>
      <w:r>
        <w:rPr>
          <w:spacing w:val="-9"/>
        </w:rPr>
        <w:t> </w:t>
      </w:r>
      <w:r>
        <w:rPr/>
        <w:t>those</w:t>
      </w:r>
      <w:r>
        <w:rPr>
          <w:spacing w:val="-9"/>
        </w:rPr>
        <w:t> </w:t>
      </w:r>
      <w:r>
        <w:rPr/>
        <w:t>of us on the Monetary Policy Committee, as understanding why prices have fallen so much, and what effects might</w:t>
      </w:r>
      <w:r>
        <w:rPr>
          <w:spacing w:val="-8"/>
        </w:rPr>
        <w:t> </w:t>
      </w:r>
      <w:r>
        <w:rPr/>
        <w:t>persist,</w:t>
      </w:r>
      <w:r>
        <w:rPr>
          <w:spacing w:val="-8"/>
        </w:rPr>
        <w:t> </w:t>
      </w:r>
      <w:r>
        <w:rPr/>
        <w:t>is</w:t>
      </w:r>
      <w:r>
        <w:rPr>
          <w:spacing w:val="-8"/>
        </w:rPr>
        <w:t> </w:t>
      </w:r>
      <w:r>
        <w:rPr/>
        <w:t>critical</w:t>
      </w:r>
      <w:r>
        <w:rPr>
          <w:spacing w:val="-7"/>
        </w:rPr>
        <w:t> </w:t>
      </w:r>
      <w:r>
        <w:rPr/>
        <w:t>to</w:t>
      </w:r>
      <w:r>
        <w:rPr>
          <w:spacing w:val="-8"/>
        </w:rPr>
        <w:t> </w:t>
      </w:r>
      <w:r>
        <w:rPr/>
        <w:t>forecasting</w:t>
      </w:r>
      <w:r>
        <w:rPr>
          <w:spacing w:val="-8"/>
        </w:rPr>
        <w:t> </w:t>
      </w:r>
      <w:r>
        <w:rPr/>
        <w:t>inflation</w:t>
      </w:r>
      <w:r>
        <w:rPr>
          <w:spacing w:val="-8"/>
        </w:rPr>
        <w:t> </w:t>
      </w:r>
      <w:r>
        <w:rPr/>
        <w:t>and</w:t>
      </w:r>
      <w:r>
        <w:rPr>
          <w:spacing w:val="-9"/>
        </w:rPr>
        <w:t> </w:t>
      </w:r>
      <w:r>
        <w:rPr/>
        <w:t>setting</w:t>
      </w:r>
      <w:r>
        <w:rPr>
          <w:spacing w:val="-8"/>
        </w:rPr>
        <w:t> </w:t>
      </w:r>
      <w:r>
        <w:rPr/>
        <w:t>monetary</w:t>
      </w:r>
      <w:r>
        <w:rPr>
          <w:spacing w:val="-6"/>
        </w:rPr>
        <w:t> </w:t>
      </w:r>
      <w:r>
        <w:rPr/>
        <w:t>policy</w:t>
      </w:r>
      <w:r>
        <w:rPr>
          <w:spacing w:val="-7"/>
        </w:rPr>
        <w:t> </w:t>
      </w:r>
      <w:r>
        <w:rPr/>
        <w:t>appropriately</w:t>
      </w:r>
      <w:r>
        <w:rPr>
          <w:spacing w:val="-8"/>
        </w:rPr>
        <w:t> </w:t>
      </w:r>
      <w:r>
        <w:rPr/>
        <w:t>to</w:t>
      </w:r>
      <w:r>
        <w:rPr>
          <w:spacing w:val="-8"/>
        </w:rPr>
        <w:t> </w:t>
      </w:r>
      <w:r>
        <w:rPr/>
        <w:t>reach</w:t>
      </w:r>
      <w:r>
        <w:rPr>
          <w:spacing w:val="-8"/>
        </w:rPr>
        <w:t> </w:t>
      </w:r>
      <w:r>
        <w:rPr/>
        <w:t>our</w:t>
      </w:r>
      <w:r>
        <w:rPr>
          <w:spacing w:val="-8"/>
        </w:rPr>
        <w:t> </w:t>
      </w:r>
      <w:r>
        <w:rPr/>
        <w:t>target.</w:t>
      </w:r>
    </w:p>
    <w:p>
      <w:pPr>
        <w:pStyle w:val="BodyText"/>
        <w:spacing w:before="2"/>
        <w:rPr>
          <w:sz w:val="27"/>
        </w:rPr>
      </w:pPr>
    </w:p>
    <w:p>
      <w:pPr>
        <w:pStyle w:val="Heading1"/>
      </w:pPr>
      <w:r>
        <w:rPr/>
        <w:t>Table 1: Months of low inflation in the UK since 1961</w:t>
      </w:r>
    </w:p>
    <w:p>
      <w:pPr>
        <w:pStyle w:val="BodyText"/>
        <w:spacing w:before="7"/>
        <w:rPr>
          <w:b/>
          <w:sz w:val="9"/>
        </w:rPr>
      </w:pPr>
    </w:p>
    <w:tbl>
      <w:tblPr>
        <w:tblW w:w="0" w:type="auto"/>
        <w:jc w:val="left"/>
        <w:tblInd w:w="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8"/>
        <w:gridCol w:w="1477"/>
        <w:gridCol w:w="1610"/>
        <w:gridCol w:w="1694"/>
        <w:gridCol w:w="1948"/>
      </w:tblGrid>
      <w:tr>
        <w:trPr>
          <w:trHeight w:val="973" w:hRule="atLeast"/>
        </w:trPr>
        <w:tc>
          <w:tcPr>
            <w:tcW w:w="1988" w:type="dxa"/>
          </w:tcPr>
          <w:p>
            <w:pPr>
              <w:pStyle w:val="TableParagraph"/>
              <w:rPr>
                <w:rFonts w:ascii="Times New Roman"/>
                <w:sz w:val="18"/>
              </w:rPr>
            </w:pPr>
          </w:p>
        </w:tc>
        <w:tc>
          <w:tcPr>
            <w:tcW w:w="1477" w:type="dxa"/>
          </w:tcPr>
          <w:p>
            <w:pPr>
              <w:pStyle w:val="TableParagraph"/>
              <w:spacing w:before="11"/>
              <w:rPr>
                <w:b/>
                <w:sz w:val="18"/>
              </w:rPr>
            </w:pPr>
          </w:p>
          <w:p>
            <w:pPr>
              <w:pStyle w:val="TableParagraph"/>
              <w:spacing w:line="320" w:lineRule="atLeast"/>
              <w:ind w:left="339" w:hanging="74"/>
              <w:rPr>
                <w:b/>
                <w:sz w:val="19"/>
              </w:rPr>
            </w:pPr>
            <w:r>
              <w:rPr>
                <w:b/>
                <w:sz w:val="19"/>
              </w:rPr>
              <w:t>Number of months?</w:t>
            </w:r>
          </w:p>
        </w:tc>
        <w:tc>
          <w:tcPr>
            <w:tcW w:w="1610" w:type="dxa"/>
          </w:tcPr>
          <w:p>
            <w:pPr>
              <w:pStyle w:val="TableParagraph"/>
              <w:spacing w:line="355" w:lineRule="auto"/>
              <w:ind w:left="192" w:firstLine="141"/>
              <w:rPr>
                <w:b/>
                <w:sz w:val="19"/>
              </w:rPr>
            </w:pPr>
            <w:r>
              <w:rPr>
                <w:b/>
                <w:sz w:val="19"/>
              </w:rPr>
              <w:t>How many were during a</w:t>
            </w:r>
          </w:p>
          <w:p>
            <w:pPr>
              <w:pStyle w:val="TableParagraph"/>
              <w:ind w:left="306"/>
              <w:rPr>
                <w:b/>
                <w:sz w:val="19"/>
              </w:rPr>
            </w:pPr>
            <w:r>
              <w:rPr>
                <w:b/>
                <w:sz w:val="19"/>
              </w:rPr>
              <w:t>recession?</w:t>
            </w:r>
          </w:p>
        </w:tc>
        <w:tc>
          <w:tcPr>
            <w:tcW w:w="1694" w:type="dxa"/>
          </w:tcPr>
          <w:p>
            <w:pPr>
              <w:pStyle w:val="TableParagraph"/>
              <w:spacing w:line="355" w:lineRule="auto"/>
              <w:ind w:left="442" w:right="432"/>
              <w:jc w:val="center"/>
              <w:rPr>
                <w:b/>
                <w:sz w:val="19"/>
              </w:rPr>
            </w:pPr>
            <w:r>
              <w:rPr>
                <w:b/>
                <w:sz w:val="19"/>
              </w:rPr>
              <w:t>During a floating</w:t>
            </w:r>
          </w:p>
          <w:p>
            <w:pPr>
              <w:pStyle w:val="TableParagraph"/>
              <w:ind w:left="127" w:right="122"/>
              <w:jc w:val="center"/>
              <w:rPr>
                <w:b/>
                <w:sz w:val="19"/>
              </w:rPr>
            </w:pPr>
            <w:r>
              <w:rPr>
                <w:b/>
                <w:sz w:val="19"/>
              </w:rPr>
              <w:t>exchange rate?</w:t>
            </w:r>
          </w:p>
        </w:tc>
        <w:tc>
          <w:tcPr>
            <w:tcW w:w="1948" w:type="dxa"/>
          </w:tcPr>
          <w:p>
            <w:pPr>
              <w:pStyle w:val="TableParagraph"/>
              <w:spacing w:line="355" w:lineRule="auto"/>
              <w:ind w:left="248" w:firstLine="183"/>
              <w:rPr>
                <w:b/>
                <w:sz w:val="19"/>
              </w:rPr>
            </w:pPr>
            <w:r>
              <w:rPr>
                <w:b/>
                <w:sz w:val="19"/>
              </w:rPr>
              <w:t>Floating but weren't during a</w:t>
            </w:r>
          </w:p>
          <w:p>
            <w:pPr>
              <w:pStyle w:val="TableParagraph"/>
              <w:ind w:left="474"/>
              <w:rPr>
                <w:b/>
                <w:sz w:val="19"/>
              </w:rPr>
            </w:pPr>
            <w:r>
              <w:rPr>
                <w:b/>
                <w:sz w:val="19"/>
              </w:rPr>
              <w:t>recession?</w:t>
            </w:r>
          </w:p>
        </w:tc>
      </w:tr>
      <w:tr>
        <w:trPr>
          <w:trHeight w:val="271" w:hRule="atLeast"/>
        </w:trPr>
        <w:tc>
          <w:tcPr>
            <w:tcW w:w="1988" w:type="dxa"/>
            <w:tcBorders>
              <w:bottom w:val="nil"/>
            </w:tcBorders>
          </w:tcPr>
          <w:p>
            <w:pPr>
              <w:pStyle w:val="TableParagraph"/>
              <w:spacing w:line="215" w:lineRule="exact"/>
              <w:ind w:left="101"/>
              <w:rPr>
                <w:sz w:val="19"/>
              </w:rPr>
            </w:pPr>
            <w:r>
              <w:rPr>
                <w:sz w:val="19"/>
              </w:rPr>
              <w:t>Inflation &lt;1.5%</w:t>
            </w:r>
          </w:p>
        </w:tc>
        <w:tc>
          <w:tcPr>
            <w:tcW w:w="1477" w:type="dxa"/>
            <w:tcBorders>
              <w:bottom w:val="nil"/>
            </w:tcBorders>
          </w:tcPr>
          <w:p>
            <w:pPr>
              <w:pStyle w:val="TableParagraph"/>
              <w:spacing w:line="215" w:lineRule="exact"/>
              <w:ind w:right="93"/>
              <w:jc w:val="right"/>
              <w:rPr>
                <w:sz w:val="19"/>
              </w:rPr>
            </w:pPr>
            <w:r>
              <w:rPr>
                <w:w w:val="95"/>
                <w:sz w:val="19"/>
              </w:rPr>
              <w:t>85</w:t>
            </w:r>
          </w:p>
        </w:tc>
        <w:tc>
          <w:tcPr>
            <w:tcW w:w="1610" w:type="dxa"/>
            <w:tcBorders>
              <w:bottom w:val="nil"/>
            </w:tcBorders>
          </w:tcPr>
          <w:p>
            <w:pPr>
              <w:pStyle w:val="TableParagraph"/>
              <w:spacing w:line="215" w:lineRule="exact"/>
              <w:ind w:right="91"/>
              <w:jc w:val="right"/>
              <w:rPr>
                <w:sz w:val="19"/>
              </w:rPr>
            </w:pPr>
            <w:r>
              <w:rPr>
                <w:w w:val="95"/>
                <w:sz w:val="19"/>
              </w:rPr>
              <w:t>38</w:t>
            </w:r>
          </w:p>
        </w:tc>
        <w:tc>
          <w:tcPr>
            <w:tcW w:w="1694" w:type="dxa"/>
            <w:tcBorders>
              <w:bottom w:val="nil"/>
            </w:tcBorders>
          </w:tcPr>
          <w:p>
            <w:pPr>
              <w:pStyle w:val="TableParagraph"/>
              <w:spacing w:line="215" w:lineRule="exact"/>
              <w:ind w:right="92"/>
              <w:jc w:val="right"/>
              <w:rPr>
                <w:sz w:val="19"/>
              </w:rPr>
            </w:pPr>
            <w:r>
              <w:rPr>
                <w:w w:val="95"/>
                <w:sz w:val="19"/>
              </w:rPr>
              <w:t>76</w:t>
            </w:r>
          </w:p>
        </w:tc>
        <w:tc>
          <w:tcPr>
            <w:tcW w:w="1948" w:type="dxa"/>
            <w:tcBorders>
              <w:bottom w:val="nil"/>
            </w:tcBorders>
          </w:tcPr>
          <w:p>
            <w:pPr>
              <w:pStyle w:val="TableParagraph"/>
              <w:spacing w:line="215" w:lineRule="exact"/>
              <w:ind w:right="92"/>
              <w:jc w:val="right"/>
              <w:rPr>
                <w:sz w:val="19"/>
              </w:rPr>
            </w:pPr>
            <w:r>
              <w:rPr>
                <w:w w:val="95"/>
                <w:sz w:val="19"/>
              </w:rPr>
              <w:t>38</w:t>
            </w:r>
          </w:p>
        </w:tc>
      </w:tr>
      <w:tr>
        <w:trPr>
          <w:trHeight w:val="324" w:hRule="atLeast"/>
        </w:trPr>
        <w:tc>
          <w:tcPr>
            <w:tcW w:w="1988" w:type="dxa"/>
            <w:tcBorders>
              <w:top w:val="nil"/>
              <w:bottom w:val="nil"/>
            </w:tcBorders>
          </w:tcPr>
          <w:p>
            <w:pPr>
              <w:pStyle w:val="TableParagraph"/>
              <w:spacing w:before="49"/>
              <w:ind w:left="101"/>
              <w:rPr>
                <w:sz w:val="19"/>
              </w:rPr>
            </w:pPr>
            <w:r>
              <w:rPr>
                <w:sz w:val="19"/>
              </w:rPr>
              <w:t>Inflation &lt;1%</w:t>
            </w:r>
          </w:p>
        </w:tc>
        <w:tc>
          <w:tcPr>
            <w:tcW w:w="1477" w:type="dxa"/>
            <w:tcBorders>
              <w:top w:val="nil"/>
              <w:bottom w:val="nil"/>
            </w:tcBorders>
          </w:tcPr>
          <w:p>
            <w:pPr>
              <w:pStyle w:val="TableParagraph"/>
              <w:spacing w:before="49"/>
              <w:ind w:right="93"/>
              <w:jc w:val="right"/>
              <w:rPr>
                <w:sz w:val="19"/>
              </w:rPr>
            </w:pPr>
            <w:r>
              <w:rPr>
                <w:w w:val="95"/>
                <w:sz w:val="19"/>
              </w:rPr>
              <w:t>29</w:t>
            </w:r>
          </w:p>
        </w:tc>
        <w:tc>
          <w:tcPr>
            <w:tcW w:w="1610" w:type="dxa"/>
            <w:tcBorders>
              <w:top w:val="nil"/>
              <w:bottom w:val="nil"/>
            </w:tcBorders>
          </w:tcPr>
          <w:p>
            <w:pPr>
              <w:pStyle w:val="TableParagraph"/>
              <w:spacing w:before="49"/>
              <w:ind w:right="91"/>
              <w:jc w:val="right"/>
              <w:rPr>
                <w:sz w:val="19"/>
              </w:rPr>
            </w:pPr>
            <w:r>
              <w:rPr>
                <w:w w:val="95"/>
                <w:sz w:val="19"/>
              </w:rPr>
              <w:t>12</w:t>
            </w:r>
          </w:p>
        </w:tc>
        <w:tc>
          <w:tcPr>
            <w:tcW w:w="1694" w:type="dxa"/>
            <w:tcBorders>
              <w:top w:val="nil"/>
              <w:bottom w:val="nil"/>
            </w:tcBorders>
          </w:tcPr>
          <w:p>
            <w:pPr>
              <w:pStyle w:val="TableParagraph"/>
              <w:spacing w:before="49"/>
              <w:ind w:right="92"/>
              <w:jc w:val="right"/>
              <w:rPr>
                <w:sz w:val="19"/>
              </w:rPr>
            </w:pPr>
            <w:r>
              <w:rPr>
                <w:w w:val="95"/>
                <w:sz w:val="19"/>
              </w:rPr>
              <w:t>26</w:t>
            </w:r>
          </w:p>
        </w:tc>
        <w:tc>
          <w:tcPr>
            <w:tcW w:w="1948" w:type="dxa"/>
            <w:tcBorders>
              <w:top w:val="nil"/>
              <w:bottom w:val="nil"/>
            </w:tcBorders>
          </w:tcPr>
          <w:p>
            <w:pPr>
              <w:pStyle w:val="TableParagraph"/>
              <w:spacing w:before="49"/>
              <w:ind w:right="92"/>
              <w:jc w:val="right"/>
              <w:rPr>
                <w:sz w:val="19"/>
              </w:rPr>
            </w:pPr>
            <w:r>
              <w:rPr>
                <w:w w:val="95"/>
                <w:sz w:val="19"/>
              </w:rPr>
              <w:t>14</w:t>
            </w:r>
          </w:p>
        </w:tc>
      </w:tr>
      <w:tr>
        <w:trPr>
          <w:trHeight w:val="377" w:hRule="atLeast"/>
        </w:trPr>
        <w:tc>
          <w:tcPr>
            <w:tcW w:w="1988" w:type="dxa"/>
            <w:tcBorders>
              <w:top w:val="nil"/>
            </w:tcBorders>
          </w:tcPr>
          <w:p>
            <w:pPr>
              <w:pStyle w:val="TableParagraph"/>
              <w:spacing w:before="49"/>
              <w:ind w:left="101"/>
              <w:rPr>
                <w:sz w:val="19"/>
              </w:rPr>
            </w:pPr>
            <w:r>
              <w:rPr>
                <w:sz w:val="19"/>
              </w:rPr>
              <w:t>Inflation &lt;0.5%</w:t>
            </w:r>
          </w:p>
        </w:tc>
        <w:tc>
          <w:tcPr>
            <w:tcW w:w="1477" w:type="dxa"/>
            <w:tcBorders>
              <w:top w:val="nil"/>
            </w:tcBorders>
          </w:tcPr>
          <w:p>
            <w:pPr>
              <w:pStyle w:val="TableParagraph"/>
              <w:spacing w:before="49"/>
              <w:ind w:right="91"/>
              <w:jc w:val="right"/>
              <w:rPr>
                <w:sz w:val="19"/>
              </w:rPr>
            </w:pPr>
            <w:r>
              <w:rPr>
                <w:w w:val="99"/>
                <w:sz w:val="19"/>
              </w:rPr>
              <w:t>5</w:t>
            </w:r>
          </w:p>
        </w:tc>
        <w:tc>
          <w:tcPr>
            <w:tcW w:w="1610" w:type="dxa"/>
            <w:tcBorders>
              <w:top w:val="nil"/>
            </w:tcBorders>
          </w:tcPr>
          <w:p>
            <w:pPr>
              <w:pStyle w:val="TableParagraph"/>
              <w:spacing w:before="49"/>
              <w:ind w:right="91"/>
              <w:jc w:val="right"/>
              <w:rPr>
                <w:sz w:val="19"/>
              </w:rPr>
            </w:pPr>
            <w:r>
              <w:rPr>
                <w:w w:val="99"/>
                <w:sz w:val="19"/>
              </w:rPr>
              <w:t>0</w:t>
            </w:r>
          </w:p>
        </w:tc>
        <w:tc>
          <w:tcPr>
            <w:tcW w:w="1694" w:type="dxa"/>
            <w:tcBorders>
              <w:top w:val="nil"/>
            </w:tcBorders>
          </w:tcPr>
          <w:p>
            <w:pPr>
              <w:pStyle w:val="TableParagraph"/>
              <w:spacing w:before="49"/>
              <w:ind w:right="91"/>
              <w:jc w:val="right"/>
              <w:rPr>
                <w:sz w:val="19"/>
              </w:rPr>
            </w:pPr>
            <w:r>
              <w:rPr>
                <w:w w:val="99"/>
                <w:sz w:val="19"/>
              </w:rPr>
              <w:t>5</w:t>
            </w:r>
          </w:p>
        </w:tc>
        <w:tc>
          <w:tcPr>
            <w:tcW w:w="1948" w:type="dxa"/>
            <w:tcBorders>
              <w:top w:val="nil"/>
            </w:tcBorders>
          </w:tcPr>
          <w:p>
            <w:pPr>
              <w:pStyle w:val="TableParagraph"/>
              <w:spacing w:before="49"/>
              <w:ind w:right="92"/>
              <w:jc w:val="right"/>
              <w:rPr>
                <w:sz w:val="19"/>
              </w:rPr>
            </w:pPr>
            <w:r>
              <w:rPr>
                <w:w w:val="99"/>
                <w:sz w:val="19"/>
              </w:rPr>
              <w:t>5</w:t>
            </w:r>
          </w:p>
        </w:tc>
      </w:tr>
    </w:tbl>
    <w:p>
      <w:pPr>
        <w:pStyle w:val="BodyText"/>
        <w:rPr>
          <w:b/>
          <w:sz w:val="28"/>
        </w:rPr>
      </w:pPr>
    </w:p>
    <w:p>
      <w:pPr>
        <w:spacing w:before="0"/>
        <w:ind w:left="386" w:right="628" w:firstLine="0"/>
        <w:jc w:val="left"/>
        <w:rPr>
          <w:sz w:val="15"/>
        </w:rPr>
      </w:pPr>
      <w:r>
        <w:rPr>
          <w:b/>
          <w:i/>
          <w:sz w:val="15"/>
        </w:rPr>
        <w:t>Note: </w:t>
      </w:r>
      <w:r>
        <w:rPr>
          <w:sz w:val="15"/>
        </w:rPr>
        <w:t>The only 5 examples of inflation below 0.5% were from January 2015 to present. Pre-1961 there were only three periods of annual inflation being negative for more than one consecutive year: the 1880s, the early 1900s, and from the 1920s to the early 1930s. </w:t>
      </w:r>
      <w:r>
        <w:rPr>
          <w:b/>
          <w:i/>
          <w:sz w:val="15"/>
        </w:rPr>
        <w:t>Source: </w:t>
      </w:r>
      <w:r>
        <w:rPr>
          <w:sz w:val="15"/>
        </w:rPr>
        <w:t>ONS, OECD and Bank of England</w:t>
      </w:r>
    </w:p>
    <w:p>
      <w:pPr>
        <w:pStyle w:val="BodyText"/>
        <w:rPr>
          <w:sz w:val="16"/>
        </w:rPr>
      </w:pPr>
    </w:p>
    <w:p>
      <w:pPr>
        <w:pStyle w:val="Heading1"/>
        <w:spacing w:before="140"/>
      </w:pPr>
      <w:r>
        <w:rPr>
          <w:u w:val="thick"/>
        </w:rPr>
        <w:t>Low inflation today: more formal analysis</w:t>
      </w:r>
    </w:p>
    <w:p>
      <w:pPr>
        <w:pStyle w:val="BodyText"/>
        <w:spacing w:before="5"/>
        <w:rPr>
          <w:b/>
          <w:sz w:val="29"/>
        </w:rPr>
      </w:pPr>
    </w:p>
    <w:p>
      <w:pPr>
        <w:pStyle w:val="BodyText"/>
        <w:spacing w:line="357" w:lineRule="auto" w:before="93"/>
        <w:ind w:left="386" w:right="533"/>
      </w:pPr>
      <w:r>
        <w:rPr/>
        <w:t>In an effort to better understand why inflation is so low today, whether it should bounce back soon, and whether there are any implications of the simultaneous fall in inflation in many countries around the world, I begin by looking at the raw correlations between inflation rates around the world and several global variables. Figure 10 shows the correlation of quarterly headline inflation rates with global headline inflation, oil prices, and world export prices (excluding oil), from 2000 through 2014.</w:t>
      </w:r>
      <w:r>
        <w:rPr>
          <w:vertAlign w:val="superscript"/>
        </w:rPr>
        <w:t>12</w:t>
      </w:r>
      <w:r>
        <w:rPr>
          <w:vertAlign w:val="baseline"/>
        </w:rPr>
        <w:t> I focus on 14 major economies—the</w:t>
      </w:r>
      <w:r>
        <w:rPr>
          <w:spacing w:val="-9"/>
          <w:vertAlign w:val="baseline"/>
        </w:rPr>
        <w:t> </w:t>
      </w:r>
      <w:r>
        <w:rPr>
          <w:vertAlign w:val="baseline"/>
        </w:rPr>
        <w:t>G10</w:t>
      </w:r>
      <w:r>
        <w:rPr>
          <w:spacing w:val="-8"/>
          <w:vertAlign w:val="baseline"/>
        </w:rPr>
        <w:t> </w:t>
      </w:r>
      <w:r>
        <w:rPr>
          <w:vertAlign w:val="baseline"/>
        </w:rPr>
        <w:t>plus</w:t>
      </w:r>
      <w:r>
        <w:rPr>
          <w:spacing w:val="-8"/>
          <w:vertAlign w:val="baseline"/>
        </w:rPr>
        <w:t> </w:t>
      </w:r>
      <w:r>
        <w:rPr>
          <w:vertAlign w:val="baseline"/>
        </w:rPr>
        <w:t>Australia,</w:t>
      </w:r>
      <w:r>
        <w:rPr>
          <w:spacing w:val="-8"/>
          <w:vertAlign w:val="baseline"/>
        </w:rPr>
        <w:t> </w:t>
      </w:r>
      <w:r>
        <w:rPr>
          <w:vertAlign w:val="baseline"/>
        </w:rPr>
        <w:t>New</w:t>
      </w:r>
      <w:r>
        <w:rPr>
          <w:spacing w:val="-8"/>
          <w:vertAlign w:val="baseline"/>
        </w:rPr>
        <w:t> </w:t>
      </w:r>
      <w:r>
        <w:rPr>
          <w:vertAlign w:val="baseline"/>
        </w:rPr>
        <w:t>Zealand</w:t>
      </w:r>
      <w:r>
        <w:rPr>
          <w:spacing w:val="-9"/>
          <w:vertAlign w:val="baseline"/>
        </w:rPr>
        <w:t> </w:t>
      </w:r>
      <w:r>
        <w:rPr>
          <w:vertAlign w:val="baseline"/>
        </w:rPr>
        <w:t>and</w:t>
      </w:r>
      <w:r>
        <w:rPr>
          <w:spacing w:val="-8"/>
          <w:vertAlign w:val="baseline"/>
        </w:rPr>
        <w:t> </w:t>
      </w:r>
      <w:r>
        <w:rPr>
          <w:vertAlign w:val="baseline"/>
        </w:rPr>
        <w:t>China.</w:t>
      </w:r>
      <w:r>
        <w:rPr>
          <w:spacing w:val="-7"/>
          <w:vertAlign w:val="baseline"/>
        </w:rPr>
        <w:t> </w:t>
      </w:r>
      <w:r>
        <w:rPr>
          <w:vertAlign w:val="baseline"/>
        </w:rPr>
        <w:t>(Yes—I</w:t>
      </w:r>
      <w:r>
        <w:rPr>
          <w:spacing w:val="-8"/>
          <w:vertAlign w:val="baseline"/>
        </w:rPr>
        <w:t> </w:t>
      </w:r>
      <w:r>
        <w:rPr>
          <w:vertAlign w:val="baseline"/>
        </w:rPr>
        <w:t>can</w:t>
      </w:r>
      <w:r>
        <w:rPr>
          <w:spacing w:val="-9"/>
          <w:vertAlign w:val="baseline"/>
        </w:rPr>
        <w:t> </w:t>
      </w:r>
      <w:r>
        <w:rPr>
          <w:vertAlign w:val="baseline"/>
        </w:rPr>
        <w:t>do</w:t>
      </w:r>
      <w:r>
        <w:rPr>
          <w:spacing w:val="-8"/>
          <w:vertAlign w:val="baseline"/>
        </w:rPr>
        <w:t> </w:t>
      </w:r>
      <w:r>
        <w:rPr>
          <w:vertAlign w:val="baseline"/>
        </w:rPr>
        <w:t>math,</w:t>
      </w:r>
      <w:r>
        <w:rPr>
          <w:spacing w:val="-9"/>
          <w:vertAlign w:val="baseline"/>
        </w:rPr>
        <w:t> </w:t>
      </w:r>
      <w:r>
        <w:rPr>
          <w:vertAlign w:val="baseline"/>
        </w:rPr>
        <w:t>there</w:t>
      </w:r>
      <w:r>
        <w:rPr>
          <w:spacing w:val="-8"/>
          <w:vertAlign w:val="baseline"/>
        </w:rPr>
        <w:t> </w:t>
      </w:r>
      <w:r>
        <w:rPr>
          <w:vertAlign w:val="baseline"/>
        </w:rPr>
        <w:t>are</w:t>
      </w:r>
      <w:r>
        <w:rPr>
          <w:spacing w:val="-8"/>
          <w:vertAlign w:val="baseline"/>
        </w:rPr>
        <w:t> </w:t>
      </w:r>
      <w:r>
        <w:rPr>
          <w:vertAlign w:val="baseline"/>
        </w:rPr>
        <w:t>11</w:t>
      </w:r>
      <w:r>
        <w:rPr>
          <w:spacing w:val="-9"/>
          <w:vertAlign w:val="baseline"/>
        </w:rPr>
        <w:t> </w:t>
      </w:r>
      <w:r>
        <w:rPr>
          <w:vertAlign w:val="baseline"/>
        </w:rPr>
        <w:t>countries</w:t>
      </w:r>
      <w:r>
        <w:rPr>
          <w:spacing w:val="-6"/>
          <w:vertAlign w:val="baseline"/>
        </w:rPr>
        <w:t> </w:t>
      </w:r>
      <w:r>
        <w:rPr>
          <w:vertAlign w:val="baseline"/>
        </w:rPr>
        <w:t>in the</w:t>
      </w:r>
      <w:r>
        <w:rPr>
          <w:spacing w:val="-8"/>
          <w:vertAlign w:val="baseline"/>
        </w:rPr>
        <w:t> </w:t>
      </w:r>
      <w:r>
        <w:rPr>
          <w:vertAlign w:val="baseline"/>
        </w:rPr>
        <w:t>G10.)</w:t>
      </w:r>
      <w:r>
        <w:rPr>
          <w:spacing w:val="-8"/>
          <w:vertAlign w:val="baseline"/>
        </w:rPr>
        <w:t> </w:t>
      </w:r>
      <w:r>
        <w:rPr>
          <w:vertAlign w:val="baseline"/>
        </w:rPr>
        <w:t>Correlations</w:t>
      </w:r>
      <w:r>
        <w:rPr>
          <w:spacing w:val="-7"/>
          <w:vertAlign w:val="baseline"/>
        </w:rPr>
        <w:t> </w:t>
      </w:r>
      <w:r>
        <w:rPr>
          <w:vertAlign w:val="baseline"/>
        </w:rPr>
        <w:t>tend</w:t>
      </w:r>
      <w:r>
        <w:rPr>
          <w:spacing w:val="-8"/>
          <w:vertAlign w:val="baseline"/>
        </w:rPr>
        <w:t> </w:t>
      </w:r>
      <w:r>
        <w:rPr>
          <w:vertAlign w:val="baseline"/>
        </w:rPr>
        <w:t>to</w:t>
      </w:r>
      <w:r>
        <w:rPr>
          <w:spacing w:val="-8"/>
          <w:vertAlign w:val="baseline"/>
        </w:rPr>
        <w:t> </w:t>
      </w:r>
      <w:r>
        <w:rPr>
          <w:vertAlign w:val="baseline"/>
        </w:rPr>
        <w:t>be</w:t>
      </w:r>
      <w:r>
        <w:rPr>
          <w:spacing w:val="-8"/>
          <w:vertAlign w:val="baseline"/>
        </w:rPr>
        <w:t> </w:t>
      </w:r>
      <w:r>
        <w:rPr>
          <w:vertAlign w:val="baseline"/>
        </w:rPr>
        <w:t>quite</w:t>
      </w:r>
      <w:r>
        <w:rPr>
          <w:spacing w:val="-8"/>
          <w:vertAlign w:val="baseline"/>
        </w:rPr>
        <w:t> </w:t>
      </w:r>
      <w:r>
        <w:rPr>
          <w:vertAlign w:val="baseline"/>
        </w:rPr>
        <w:t>high—and</w:t>
      </w:r>
      <w:r>
        <w:rPr>
          <w:spacing w:val="-8"/>
          <w:vertAlign w:val="baseline"/>
        </w:rPr>
        <w:t> </w:t>
      </w:r>
      <w:r>
        <w:rPr>
          <w:vertAlign w:val="baseline"/>
        </w:rPr>
        <w:t>often</w:t>
      </w:r>
      <w:r>
        <w:rPr>
          <w:spacing w:val="-7"/>
          <w:vertAlign w:val="baseline"/>
        </w:rPr>
        <w:t> </w:t>
      </w:r>
      <w:r>
        <w:rPr>
          <w:vertAlign w:val="baseline"/>
        </w:rPr>
        <w:t>above</w:t>
      </w:r>
      <w:r>
        <w:rPr>
          <w:spacing w:val="-8"/>
          <w:vertAlign w:val="baseline"/>
        </w:rPr>
        <w:t> </w:t>
      </w:r>
      <w:r>
        <w:rPr>
          <w:vertAlign w:val="baseline"/>
        </w:rPr>
        <w:t>50%.</w:t>
      </w:r>
      <w:r>
        <w:rPr>
          <w:spacing w:val="-8"/>
          <w:vertAlign w:val="baseline"/>
        </w:rPr>
        <w:t> </w:t>
      </w:r>
      <w:r>
        <w:rPr>
          <w:vertAlign w:val="baseline"/>
        </w:rPr>
        <w:t>In</w:t>
      </w:r>
      <w:r>
        <w:rPr>
          <w:spacing w:val="-9"/>
          <w:vertAlign w:val="baseline"/>
        </w:rPr>
        <w:t> </w:t>
      </w:r>
      <w:r>
        <w:rPr>
          <w:vertAlign w:val="baseline"/>
        </w:rPr>
        <w:t>fact,</w:t>
      </w:r>
      <w:r>
        <w:rPr>
          <w:spacing w:val="-9"/>
          <w:vertAlign w:val="baseline"/>
        </w:rPr>
        <w:t> </w:t>
      </w:r>
      <w:r>
        <w:rPr>
          <w:vertAlign w:val="baseline"/>
        </w:rPr>
        <w:t>the</w:t>
      </w:r>
      <w:r>
        <w:rPr>
          <w:spacing w:val="-8"/>
          <w:vertAlign w:val="baseline"/>
        </w:rPr>
        <w:t> </w:t>
      </w:r>
      <w:r>
        <w:rPr>
          <w:vertAlign w:val="baseline"/>
        </w:rPr>
        <w:t>average</w:t>
      </w:r>
      <w:r>
        <w:rPr>
          <w:spacing w:val="-7"/>
          <w:vertAlign w:val="baseline"/>
        </w:rPr>
        <w:t> </w:t>
      </w:r>
      <w:r>
        <w:rPr>
          <w:vertAlign w:val="baseline"/>
        </w:rPr>
        <w:t>correlation</w:t>
      </w:r>
      <w:r>
        <w:rPr>
          <w:spacing w:val="-9"/>
          <w:vertAlign w:val="baseline"/>
        </w:rPr>
        <w:t> </w:t>
      </w:r>
      <w:r>
        <w:rPr>
          <w:vertAlign w:val="baseline"/>
        </w:rPr>
        <w:t>between</w:t>
      </w:r>
    </w:p>
    <w:p>
      <w:pPr>
        <w:pStyle w:val="BodyText"/>
        <w:spacing w:before="10"/>
        <w:rPr>
          <w:sz w:val="14"/>
        </w:rPr>
      </w:pPr>
      <w:r>
        <w:rPr/>
        <w:pict>
          <v:shape style="position:absolute;margin-left:79.320pt;margin-top:10.793615pt;width:135.5pt;height:.1pt;mso-position-horizontal-relative:page;mso-position-vertical-relative:paragraph;z-index:-251625472;mso-wrap-distance-left:0;mso-wrap-distance-right:0" coordorigin="1586,216" coordsize="2710,0" path="m1586,216l4296,216e" filled="false" stroked="true" strokeweight=".48pt" strokecolor="#000000">
            <v:path arrowok="t"/>
            <v:stroke dashstyle="solid"/>
            <w10:wrap type="topAndBottom"/>
          </v:shape>
        </w:pict>
      </w:r>
    </w:p>
    <w:p>
      <w:pPr>
        <w:spacing w:before="27"/>
        <w:ind w:left="386" w:right="560" w:firstLine="0"/>
        <w:jc w:val="left"/>
        <w:rPr>
          <w:sz w:val="15"/>
        </w:rPr>
      </w:pPr>
      <w:r>
        <w:rPr>
          <w:position w:val="8"/>
          <w:sz w:val="9"/>
        </w:rPr>
        <w:t>12 </w:t>
      </w:r>
      <w:r>
        <w:rPr>
          <w:sz w:val="15"/>
        </w:rPr>
        <w:t>Global headline inflation is the PPP-weighted average of 20 countries’ (accounting for 70% of global PPP) headline CPI inflation rates; the oil price is measured by Brent spot prices in US dollars; world export prices exclude energy and are weighted by country share in  UK imports. The higher correlation of US inflation with many of these measures may reflect the key role that US demand and economic conditions have traditionally played in the global</w:t>
      </w:r>
      <w:r>
        <w:rPr>
          <w:spacing w:val="-6"/>
          <w:sz w:val="15"/>
        </w:rPr>
        <w:t> </w:t>
      </w:r>
      <w:r>
        <w:rPr>
          <w:sz w:val="15"/>
        </w:rPr>
        <w:t>economy.</w:t>
      </w:r>
    </w:p>
    <w:p>
      <w:pPr>
        <w:spacing w:after="0"/>
        <w:jc w:val="left"/>
        <w:rPr>
          <w:sz w:val="15"/>
        </w:rPr>
        <w:sectPr>
          <w:pgSz w:w="12240" w:h="15840"/>
          <w:pgMar w:header="0" w:footer="1240" w:top="1440" w:bottom="1440" w:left="1200" w:right="1060"/>
        </w:sectPr>
      </w:pPr>
    </w:p>
    <w:p>
      <w:pPr>
        <w:pStyle w:val="BodyText"/>
        <w:spacing w:line="357" w:lineRule="auto" w:before="79"/>
        <w:ind w:left="386" w:right="533"/>
      </w:pPr>
      <w:r>
        <w:rPr/>
        <w:t>each</w:t>
      </w:r>
      <w:r>
        <w:rPr>
          <w:spacing w:val="-9"/>
        </w:rPr>
        <w:t> </w:t>
      </w:r>
      <w:r>
        <w:rPr/>
        <w:t>of</w:t>
      </w:r>
      <w:r>
        <w:rPr>
          <w:spacing w:val="-9"/>
        </w:rPr>
        <w:t> </w:t>
      </w:r>
      <w:r>
        <w:rPr/>
        <w:t>these</w:t>
      </w:r>
      <w:r>
        <w:rPr>
          <w:spacing w:val="-8"/>
        </w:rPr>
        <w:t> </w:t>
      </w:r>
      <w:r>
        <w:rPr/>
        <w:t>economies’</w:t>
      </w:r>
      <w:r>
        <w:rPr>
          <w:spacing w:val="-7"/>
        </w:rPr>
        <w:t> </w:t>
      </w:r>
      <w:r>
        <w:rPr/>
        <w:t>headline</w:t>
      </w:r>
      <w:r>
        <w:rPr>
          <w:spacing w:val="-8"/>
        </w:rPr>
        <w:t> </w:t>
      </w:r>
      <w:r>
        <w:rPr/>
        <w:t>inflation</w:t>
      </w:r>
      <w:r>
        <w:rPr>
          <w:spacing w:val="-9"/>
        </w:rPr>
        <w:t> </w:t>
      </w:r>
      <w:r>
        <w:rPr/>
        <w:t>rates</w:t>
      </w:r>
      <w:r>
        <w:rPr>
          <w:spacing w:val="-7"/>
        </w:rPr>
        <w:t> </w:t>
      </w:r>
      <w:r>
        <w:rPr/>
        <w:t>with</w:t>
      </w:r>
      <w:r>
        <w:rPr>
          <w:spacing w:val="-9"/>
        </w:rPr>
        <w:t> </w:t>
      </w:r>
      <w:r>
        <w:rPr/>
        <w:t>global</w:t>
      </w:r>
      <w:r>
        <w:rPr>
          <w:spacing w:val="-8"/>
        </w:rPr>
        <w:t> </w:t>
      </w:r>
      <w:r>
        <w:rPr/>
        <w:t>inflation</w:t>
      </w:r>
      <w:r>
        <w:rPr>
          <w:spacing w:val="-9"/>
        </w:rPr>
        <w:t> </w:t>
      </w:r>
      <w:r>
        <w:rPr/>
        <w:t>is</w:t>
      </w:r>
      <w:r>
        <w:rPr>
          <w:spacing w:val="-8"/>
        </w:rPr>
        <w:t> </w:t>
      </w:r>
      <w:r>
        <w:rPr/>
        <w:t>63%.</w:t>
      </w:r>
      <w:r>
        <w:rPr>
          <w:spacing w:val="-8"/>
        </w:rPr>
        <w:t> </w:t>
      </w:r>
      <w:r>
        <w:rPr/>
        <w:t>The</w:t>
      </w:r>
      <w:r>
        <w:rPr>
          <w:spacing w:val="-8"/>
        </w:rPr>
        <w:t> </w:t>
      </w:r>
      <w:r>
        <w:rPr/>
        <w:t>correlation</w:t>
      </w:r>
      <w:r>
        <w:rPr>
          <w:spacing w:val="-10"/>
        </w:rPr>
        <w:t> </w:t>
      </w:r>
      <w:r>
        <w:rPr/>
        <w:t>with</w:t>
      </w:r>
      <w:r>
        <w:rPr>
          <w:spacing w:val="-9"/>
        </w:rPr>
        <w:t> </w:t>
      </w:r>
      <w:r>
        <w:rPr/>
        <w:t>oil</w:t>
      </w:r>
      <w:r>
        <w:rPr>
          <w:spacing w:val="-7"/>
        </w:rPr>
        <w:t> </w:t>
      </w:r>
      <w:r>
        <w:rPr/>
        <w:t>prices</w:t>
      </w:r>
      <w:r>
        <w:rPr>
          <w:spacing w:val="-7"/>
        </w:rPr>
        <w:t> </w:t>
      </w:r>
      <w:r>
        <w:rPr/>
        <w:t>is 50%, and with world export prices (excluding oil) is 0.52%. UK headline inflation has had a 56%, 47% and 44% correlation with global inflation, oil prices, and other world export prices over this time period, respectively.</w:t>
      </w:r>
    </w:p>
    <w:p>
      <w:pPr>
        <w:pStyle w:val="BodyText"/>
        <w:spacing w:before="10"/>
        <w:rPr>
          <w:sz w:val="24"/>
        </w:rPr>
      </w:pPr>
    </w:p>
    <w:p>
      <w:pPr>
        <w:spacing w:after="0"/>
        <w:rPr>
          <w:sz w:val="24"/>
        </w:rPr>
        <w:sectPr>
          <w:pgSz w:w="12240" w:h="15840"/>
          <w:pgMar w:header="0" w:footer="1240" w:top="1440" w:bottom="1440" w:left="1200" w:right="1060"/>
        </w:sectPr>
      </w:pPr>
    </w:p>
    <w:p>
      <w:pPr>
        <w:spacing w:line="278" w:lineRule="auto" w:before="126"/>
        <w:ind w:left="429" w:right="0" w:firstLine="0"/>
        <w:jc w:val="left"/>
        <w:rPr>
          <w:b/>
          <w:sz w:val="18"/>
        </w:rPr>
      </w:pPr>
      <w:r>
        <w:rPr>
          <w:b/>
          <w:sz w:val="18"/>
        </w:rPr>
        <w:t>Figure 10: Correlation of selected countries’ quarterly </w:t>
      </w:r>
      <w:r>
        <w:rPr>
          <w:b/>
          <w:sz w:val="18"/>
          <w:u w:val="single"/>
        </w:rPr>
        <w:t>headline</w:t>
      </w:r>
      <w:r>
        <w:rPr>
          <w:b/>
          <w:sz w:val="18"/>
        </w:rPr>
        <w:t> inflation rates with world inflation, oil prices and world export prices (excluding oil) during 2000-2014</w:t>
      </w:r>
    </w:p>
    <w:p>
      <w:pPr>
        <w:spacing w:before="127"/>
        <w:ind w:left="789" w:right="0" w:firstLine="0"/>
        <w:jc w:val="left"/>
        <w:rPr>
          <w:sz w:val="18"/>
        </w:rPr>
      </w:pPr>
      <w:r>
        <w:rPr/>
        <w:pict>
          <v:rect style="position:absolute;margin-left:92.400002pt;margin-top:9.391872pt;width:4.92pt;height:4.2pt;mso-position-horizontal-relative:page;mso-position-vertical-relative:paragraph;z-index:251693056" filled="true" fillcolor="#4f81bd" stroked="false">
            <v:fill type="solid"/>
            <w10:wrap type="none"/>
          </v:rect>
        </w:pict>
      </w:r>
      <w:r>
        <w:rPr>
          <w:sz w:val="18"/>
        </w:rPr>
        <w:t>Global headline inflation (PPP-weighted)</w:t>
      </w:r>
    </w:p>
    <w:p>
      <w:pPr>
        <w:spacing w:line="278" w:lineRule="auto" w:before="97"/>
        <w:ind w:left="429" w:right="535" w:firstLine="0"/>
        <w:jc w:val="left"/>
        <w:rPr>
          <w:b/>
          <w:sz w:val="18"/>
        </w:rPr>
      </w:pPr>
      <w:r>
        <w:rPr/>
        <w:br w:type="column"/>
      </w:r>
      <w:r>
        <w:rPr>
          <w:b/>
          <w:sz w:val="18"/>
        </w:rPr>
        <w:t>Figure 11: Correlation of selected countries’ quarterly </w:t>
      </w:r>
      <w:r>
        <w:rPr>
          <w:b/>
          <w:sz w:val="18"/>
          <w:u w:val="single"/>
        </w:rPr>
        <w:t>core</w:t>
      </w:r>
      <w:r>
        <w:rPr>
          <w:b/>
          <w:sz w:val="18"/>
        </w:rPr>
        <w:t> inflation rates with world inflation, oil prices and world export prices (excluding oil) during 2000-2014</w:t>
      </w:r>
    </w:p>
    <w:p>
      <w:pPr>
        <w:spacing w:before="100"/>
        <w:ind w:left="729" w:right="0" w:firstLine="0"/>
        <w:jc w:val="left"/>
        <w:rPr>
          <w:sz w:val="18"/>
        </w:rPr>
      </w:pPr>
      <w:r>
        <w:rPr/>
        <w:pict>
          <v:rect style="position:absolute;margin-left:321.359985pt;margin-top:7.981882pt;width:4.2pt;height:4.2pt;mso-position-horizontal-relative:page;mso-position-vertical-relative:paragraph;z-index:251697152" filled="true" fillcolor="#4f81bd" stroked="false">
            <v:fill type="solid"/>
            <w10:wrap type="none"/>
          </v:rect>
        </w:pict>
      </w:r>
      <w:r>
        <w:rPr>
          <w:sz w:val="18"/>
        </w:rPr>
        <w:t>Global core inflation (PPP-weighted)</w:t>
      </w:r>
    </w:p>
    <w:p>
      <w:pPr>
        <w:spacing w:after="0"/>
        <w:jc w:val="left"/>
        <w:rPr>
          <w:sz w:val="18"/>
        </w:rPr>
        <w:sectPr>
          <w:type w:val="continuous"/>
          <w:pgSz w:w="12240" w:h="15840"/>
          <w:pgMar w:top="1120" w:bottom="1440" w:left="1200" w:right="1060"/>
          <w:cols w:num="2" w:equalWidth="0">
            <w:col w:w="4406" w:space="229"/>
            <w:col w:w="5345"/>
          </w:cols>
        </w:sectPr>
      </w:pPr>
    </w:p>
    <w:p>
      <w:pPr>
        <w:spacing w:before="105"/>
        <w:ind w:left="789" w:right="0" w:firstLine="0"/>
        <w:jc w:val="left"/>
        <w:rPr>
          <w:sz w:val="18"/>
        </w:rPr>
      </w:pPr>
      <w:r>
        <w:rPr/>
        <w:pict>
          <v:rect style="position:absolute;margin-left:92.400002pt;margin-top:8.171897pt;width:4.92pt;height:4.26pt;mso-position-horizontal-relative:page;mso-position-vertical-relative:paragraph;z-index:251694080" filled="true" fillcolor="#c0504d" stroked="false">
            <v:fill type="solid"/>
            <w10:wrap type="none"/>
          </v:rect>
        </w:pict>
      </w:r>
      <w:r>
        <w:rPr>
          <w:sz w:val="18"/>
        </w:rPr>
        <w:t>Brent oil ($)</w:t>
      </w:r>
    </w:p>
    <w:p>
      <w:pPr>
        <w:spacing w:line="250" w:lineRule="exact" w:before="25"/>
        <w:ind w:left="789" w:right="0" w:firstLine="0"/>
        <w:jc w:val="left"/>
        <w:rPr>
          <w:sz w:val="18"/>
        </w:rPr>
      </w:pPr>
      <w:r>
        <w:rPr/>
        <w:pict>
          <v:rect style="position:absolute;margin-left:92.400002pt;margin-top:8.111921pt;width:4.92pt;height:4.92pt;mso-position-horizontal-relative:page;mso-position-vertical-relative:paragraph;z-index:251695104" filled="true" fillcolor="#9bbb59" stroked="false">
            <v:fill type="solid"/>
            <w10:wrap type="none"/>
          </v:rect>
        </w:pict>
      </w:r>
      <w:r>
        <w:rPr>
          <w:sz w:val="18"/>
        </w:rPr>
        <w:t>World export prices (UK-weighted) </w:t>
      </w:r>
      <w:r>
        <w:rPr>
          <w:position w:val="8"/>
          <w:sz w:val="18"/>
        </w:rPr>
        <w:t>Correlation</w:t>
      </w:r>
    </w:p>
    <w:p>
      <w:pPr>
        <w:spacing w:line="170" w:lineRule="exact" w:before="0"/>
        <w:ind w:left="0" w:right="154" w:firstLine="0"/>
        <w:jc w:val="right"/>
        <w:rPr>
          <w:sz w:val="18"/>
        </w:rPr>
      </w:pPr>
      <w:r>
        <w:rPr>
          <w:sz w:val="18"/>
        </w:rPr>
        <w:t>coefficient</w:t>
      </w:r>
    </w:p>
    <w:p>
      <w:pPr>
        <w:spacing w:before="135"/>
        <w:ind w:left="4534" w:right="0" w:firstLine="0"/>
        <w:jc w:val="left"/>
        <w:rPr>
          <w:sz w:val="18"/>
        </w:rPr>
      </w:pPr>
      <w:r>
        <w:rPr/>
        <w:pict>
          <v:group style="position:absolute;margin-left:88.860001pt;margin-top:11.222573pt;width:192.25pt;height:73.75pt;mso-position-horizontal-relative:page;mso-position-vertical-relative:paragraph;z-index:251692032" coordorigin="1777,224" coordsize="3845,1475">
            <v:line style="position:absolute" from="1862,648" to="1862,1636" stroked="true" strokeweight="2.82pt" strokecolor="#4f81bd">
              <v:stroke dashstyle="solid"/>
            </v:line>
            <v:line style="position:absolute" from="1918,817" to="1918,1636" stroked="true" strokeweight="2.82pt" strokecolor="#c0504d">
              <v:stroke dashstyle="solid"/>
            </v:line>
            <v:line style="position:absolute" from="1982,874" to="1982,1636" stroked="true" strokeweight="3.54pt" strokecolor="#9bbb59">
              <v:stroke dashstyle="solid"/>
            </v:line>
            <v:line style="position:absolute" from="2131,224" to="2131,1636" stroked="true" strokeweight="2.82pt" strokecolor="#4f81bd">
              <v:stroke dashstyle="solid"/>
            </v:line>
            <v:line style="position:absolute" from="2187,310" to="2187,1636" stroked="true" strokeweight="2.82pt" strokecolor="#c0504d">
              <v:stroke dashstyle="solid"/>
            </v:line>
            <v:line style="position:absolute" from="2250,464" to="2250,1636" stroked="true" strokeweight="3.48pt" strokecolor="#9bbb59">
              <v:stroke dashstyle="solid"/>
            </v:line>
            <v:line style="position:absolute" from="2398,366" to="2398,1636" stroked="true" strokeweight="2.82pt" strokecolor="#4f81bd">
              <v:stroke dashstyle="solid"/>
            </v:line>
            <v:line style="position:absolute" from="2462,790" to="2462,1636" stroked="true" strokeweight="3.54pt" strokecolor="#c0504d">
              <v:stroke dashstyle="solid"/>
            </v:line>
            <v:line style="position:absolute" from="2525,324" to="2525,1636" stroked="true" strokeweight="2.82pt" strokecolor="#9bbb59">
              <v:stroke dashstyle="solid"/>
            </v:line>
            <v:line style="position:absolute" from="2673,479" to="2673,1636" stroked="true" strokeweight="3.54pt" strokecolor="#4f81bd">
              <v:stroke dashstyle="solid"/>
            </v:line>
            <v:line style="position:absolute" from="2737,508" to="2737,1636" stroked="true" strokeweight="2.82pt" strokecolor="#c0504d">
              <v:stroke dashstyle="solid"/>
            </v:line>
            <v:line style="position:absolute" from="2793,648" to="2793,1636" stroked="true" strokeweight="2.82pt" strokecolor="#9bbb59">
              <v:stroke dashstyle="solid"/>
            </v:line>
            <v:line style="position:absolute" from="2942,366" to="2942,1636" stroked="true" strokeweight="3.54pt" strokecolor="#4f81bd">
              <v:stroke dashstyle="solid"/>
            </v:line>
            <v:line style="position:absolute" from="3005,450" to="3005,1636" stroked="true" strokeweight="2.82pt" strokecolor="#c0504d">
              <v:stroke dashstyle="solid"/>
            </v:line>
            <v:line style="position:absolute" from="3062,508" to="3062,1636" stroked="true" strokeweight="2.82pt" strokecolor="#9bbb59">
              <v:stroke dashstyle="solid"/>
            </v:line>
            <v:line style="position:absolute" from="3217,366" to="3217,1636" stroked="true" strokeweight="2.82pt" strokecolor="#4f81bd">
              <v:stroke dashstyle="solid"/>
            </v:line>
            <v:line style="position:absolute" from="3273,620" to="3273,1636" stroked="true" strokeweight="2.82pt" strokecolor="#c0504d">
              <v:stroke dashstyle="solid"/>
            </v:line>
            <v:line style="position:absolute" from="3329,521" to="3329,1636" stroked="true" strokeweight="2.82pt" strokecolor="#9bbb59">
              <v:stroke dashstyle="solid"/>
            </v:line>
            <v:line style="position:absolute" from="3484,422" to="3484,1636" stroked="true" strokeweight="2.82pt" strokecolor="#4f81bd">
              <v:stroke dashstyle="solid"/>
            </v:line>
            <v:line style="position:absolute" from="3541,846" to="3541,1636" stroked="true" strokeweight="2.82pt" strokecolor="#c0504d">
              <v:stroke dashstyle="solid"/>
            </v:line>
            <v:line style="position:absolute" from="3597,620" to="3597,1636" stroked="true" strokeweight="2.82pt" strokecolor="#9bbb59">
              <v:stroke dashstyle="solid"/>
            </v:line>
            <v:line style="position:absolute" from="3753,916" to="3753,1636" stroked="true" strokeweight="2.82pt" strokecolor="#4f81bd">
              <v:stroke dashstyle="solid"/>
            </v:line>
            <v:line style="position:absolute" from="3809,1283" to="3809,1636" stroked="true" strokeweight="2.82pt" strokecolor="#c0504d">
              <v:stroke dashstyle="solid"/>
            </v:line>
            <v:line style="position:absolute" from="3872,1226" to="3872,1636" stroked="true" strokeweight="3.48pt" strokecolor="#9bbb59">
              <v:stroke dashstyle="solid"/>
            </v:line>
            <v:line style="position:absolute" from="4021,902" to="4021,1636" stroked="true" strokeweight="2.82pt" strokecolor="#4f81bd">
              <v:stroke dashstyle="solid"/>
            </v:line>
            <v:line style="position:absolute" from="4077,1410" to="4077,1636" stroked="true" strokeweight="2.82pt" strokecolor="#c0504d">
              <v:stroke dashstyle="solid"/>
            </v:line>
            <v:line style="position:absolute" from="4141,1283" to="4141,1636" stroked="true" strokeweight="3.54pt" strokecolor="#9bbb59">
              <v:stroke dashstyle="solid"/>
            </v:line>
            <v:line style="position:absolute" from="4288,310" to="4288,1636" stroked="true" strokeweight="2.82pt" strokecolor="#4f81bd">
              <v:stroke dashstyle="solid"/>
            </v:line>
            <v:line style="position:absolute" from="4352,761" to="4352,1636" stroked="true" strokeweight="3.54pt" strokecolor="#c0504d">
              <v:stroke dashstyle="solid"/>
            </v:line>
            <v:line style="position:absolute" from="4415,620" to="4415,1636" stroked="true" strokeweight="2.82pt" strokecolor="#9bbb59">
              <v:stroke dashstyle="solid"/>
            </v:line>
            <v:line style="position:absolute" from="4557,408" to="4557,1636" stroked="true" strokeweight="2.82pt" strokecolor="#4f81bd">
              <v:stroke dashstyle="solid"/>
            </v:line>
            <v:line style="position:absolute" from="4621,479" to="4621,1636" stroked="true" strokeweight="3.54pt" strokecolor="#c0504d">
              <v:stroke dashstyle="solid"/>
            </v:line>
            <v:line style="position:absolute" from="4684,508" to="4684,1636" stroked="true" strokeweight="2.82pt" strokecolor="#9bbb59">
              <v:stroke dashstyle="solid"/>
            </v:line>
            <v:line style="position:absolute" from="4832,817" to="4832,1636" stroked="true" strokeweight="3.54pt" strokecolor="#4f81bd">
              <v:stroke dashstyle="solid"/>
            </v:line>
            <v:line style="position:absolute" from="4895,973" to="4895,1636" stroked="true" strokeweight="2.82pt" strokecolor="#c0504d">
              <v:stroke dashstyle="solid"/>
            </v:line>
            <v:line style="position:absolute" from="4952,930" to="4952,1636" stroked="true" strokeweight="2.82pt" strokecolor="#9bbb59">
              <v:stroke dashstyle="solid"/>
            </v:line>
            <v:line style="position:absolute" from="5107,634" to="5107,1636" stroked="true" strokeweight="2.82pt" strokecolor="#4f81bd">
              <v:stroke dashstyle="solid"/>
            </v:line>
            <v:line style="position:absolute" from="5163,690" to="5163,1636" stroked="true" strokeweight="2.82pt" strokecolor="#c0504d">
              <v:stroke dashstyle="solid"/>
            </v:line>
            <v:line style="position:absolute" from="5219,888" to="5219,1636" stroked="true" strokeweight="2.82pt" strokecolor="#9bbb59">
              <v:stroke dashstyle="solid"/>
            </v:line>
            <v:line style="position:absolute" from="5375,662" to="5375,1636" stroked="true" strokeweight="2.82pt" strokecolor="#4f81bd">
              <v:stroke dashstyle="solid"/>
            </v:line>
            <v:line style="position:absolute" from="5432,790" to="5432,1636" stroked="true" strokeweight="2.82pt" strokecolor="#c0504d">
              <v:stroke dashstyle="solid"/>
            </v:line>
            <v:line style="position:absolute" from="5488,677" to="5488,1636" stroked="true" strokeweight="2.82pt" strokecolor="#9bbb59">
              <v:stroke dashstyle="solid"/>
            </v:line>
            <v:line style="position:absolute" from="5566,232" to="5566,1699" stroked="true" strokeweight=".72pt" strokecolor="#868686">
              <v:stroke dashstyle="solid"/>
            </v:line>
            <v:shape style="position:absolute;left:5565;top:224;width:57;height:1426" coordorigin="5566,224" coordsize="57,1426" path="m5622,1636l5566,1636,5566,1650,5622,1650,5622,1636m5622,1283l5566,1283,5566,1297,5622,1297,5622,1283m5622,930l5566,930,5566,944,5622,944,5622,930m5622,577l5566,577,5566,592,5622,592,5622,577m5622,224l5566,224,5566,239,5622,239,5622,224e" filled="true" fillcolor="#868686" stroked="false">
              <v:path arrowok="t"/>
              <v:fill type="solid"/>
            </v:shape>
            <v:line style="position:absolute" from="1784,1643" to="5566,1643" stroked="true" strokeweight=".72pt" strokecolor="#868686">
              <v:stroke dashstyle="solid"/>
            </v:line>
            <v:shape style="position:absolute;left:1777;top:1642;width:3527;height:57" coordorigin="1777,1643" coordsize="3527,57" path="m1792,1643l1777,1643,1777,1699,1792,1699,1792,1643m2059,1643l2046,1643,2046,1699,2059,1699,2059,1643m2328,1643l2314,1643,2314,1699,2328,1699,2328,1643m2610,1643l2596,1643,2596,1699,2610,1699,2610,1643m2878,1643l2863,1643,2863,1699,2878,1699,2878,1643m3146,1643l3132,1643,3132,1699,3146,1699,3146,1643m3414,1643l3400,1643,3400,1699,3414,1699,3414,1643m3682,1643l3668,1643,3668,1699,3682,1699,3682,1643m3950,1643l3936,1643,3936,1699,3950,1699,3950,1643m4218,1643l4204,1643,4204,1699,4218,1699,4218,1643m4500,1643l4486,1643,4486,1699,4500,1699,4500,1643m4769,1643l4754,1643,4754,1699,4769,1699,4769,1643m5036,1643l5022,1643,5022,1699,5036,1699,5036,1643m5304,1643l5291,1643,5291,1699,5304,1699,5304,1643e" filled="true" fillcolor="#868686" stroked="false">
              <v:path arrowok="t"/>
              <v:fill type="solid"/>
            </v:shape>
            <w10:wrap type="none"/>
          </v:group>
        </w:pict>
      </w:r>
      <w:r>
        <w:rPr>
          <w:sz w:val="18"/>
        </w:rPr>
        <w:t>0.8</w:t>
      </w:r>
    </w:p>
    <w:p>
      <w:pPr>
        <w:spacing w:before="143"/>
        <w:ind w:left="4534" w:right="0" w:firstLine="0"/>
        <w:jc w:val="left"/>
        <w:rPr>
          <w:sz w:val="18"/>
        </w:rPr>
      </w:pPr>
      <w:r>
        <w:rPr>
          <w:sz w:val="18"/>
        </w:rPr>
        <w:t>0.6</w:t>
      </w:r>
    </w:p>
    <w:p>
      <w:pPr>
        <w:spacing w:before="144"/>
        <w:ind w:left="4534" w:right="0" w:firstLine="0"/>
        <w:jc w:val="left"/>
        <w:rPr>
          <w:sz w:val="18"/>
        </w:rPr>
      </w:pPr>
      <w:r>
        <w:rPr>
          <w:sz w:val="18"/>
        </w:rPr>
        <w:t>0.4</w:t>
      </w:r>
    </w:p>
    <w:p>
      <w:pPr>
        <w:spacing w:before="142"/>
        <w:ind w:left="4534" w:right="0" w:firstLine="0"/>
        <w:jc w:val="left"/>
        <w:rPr>
          <w:sz w:val="18"/>
        </w:rPr>
      </w:pPr>
      <w:r>
        <w:rPr>
          <w:sz w:val="18"/>
        </w:rPr>
        <w:t>0.2</w:t>
      </w:r>
    </w:p>
    <w:p>
      <w:pPr>
        <w:spacing w:before="143"/>
        <w:ind w:left="4534" w:right="0" w:firstLine="0"/>
        <w:jc w:val="left"/>
        <w:rPr>
          <w:sz w:val="18"/>
        </w:rPr>
      </w:pPr>
      <w:r>
        <w:rPr/>
        <w:pict>
          <v:shape style="position:absolute;margin-left:90.360817pt;margin-top:16.781702pt;width:187.75pt;height:58.05pt;mso-position-horizontal-relative:page;mso-position-vertical-relative:paragraph;z-index:251700224" type="#_x0000_t202" filled="false" stroked="false">
            <v:textbox inset="0,0,0,0" style="layout-flow:vertical;mso-layout-flow-alt:bottom-to-top">
              <w:txbxContent>
                <w:p>
                  <w:pPr>
                    <w:spacing w:line="312" w:lineRule="auto" w:before="17"/>
                    <w:ind w:left="628" w:right="18" w:firstLine="0"/>
                    <w:jc w:val="right"/>
                    <w:rPr>
                      <w:sz w:val="18"/>
                    </w:rPr>
                  </w:pPr>
                  <w:r>
                    <w:rPr>
                      <w:spacing w:val="9"/>
                      <w:sz w:val="18"/>
                    </w:rPr>
                    <w:t>UK US</w:t>
                  </w:r>
                </w:p>
                <w:p>
                  <w:pPr>
                    <w:spacing w:line="312" w:lineRule="auto" w:before="2"/>
                    <w:ind w:left="354" w:right="33" w:firstLine="94"/>
                    <w:jc w:val="right"/>
                    <w:rPr>
                      <w:sz w:val="18"/>
                    </w:rPr>
                  </w:pPr>
                  <w:r>
                    <w:rPr>
                      <w:sz w:val="18"/>
                    </w:rPr>
                    <w:t>Belgium Canada France Germany</w:t>
                  </w:r>
                </w:p>
                <w:p>
                  <w:pPr>
                    <w:spacing w:line="312" w:lineRule="auto" w:before="4"/>
                    <w:ind w:left="114" w:right="28" w:firstLine="668"/>
                    <w:jc w:val="right"/>
                    <w:rPr>
                      <w:sz w:val="18"/>
                    </w:rPr>
                  </w:pPr>
                  <w:r>
                    <w:rPr>
                      <w:sz w:val="18"/>
                    </w:rPr>
                    <w:t>Italy Japan Netherlands</w:t>
                  </w:r>
                </w:p>
                <w:p>
                  <w:pPr>
                    <w:spacing w:line="312" w:lineRule="auto" w:before="3"/>
                    <w:ind w:left="156" w:right="28" w:firstLine="292"/>
                    <w:jc w:val="right"/>
                    <w:rPr>
                      <w:sz w:val="18"/>
                    </w:rPr>
                  </w:pPr>
                  <w:r>
                    <w:rPr>
                      <w:spacing w:val="2"/>
                      <w:sz w:val="18"/>
                    </w:rPr>
                    <w:t>Sweden </w:t>
                  </w:r>
                  <w:r>
                    <w:rPr>
                      <w:sz w:val="18"/>
                    </w:rPr>
                    <w:t>Switzerland Australia</w:t>
                  </w:r>
                </w:p>
                <w:p>
                  <w:pPr>
                    <w:spacing w:before="2"/>
                    <w:ind w:left="0" w:right="34" w:firstLine="0"/>
                    <w:jc w:val="right"/>
                    <w:rPr>
                      <w:sz w:val="18"/>
                    </w:rPr>
                  </w:pPr>
                  <w:r>
                    <w:rPr>
                      <w:sz w:val="18"/>
                    </w:rPr>
                    <w:t>New</w:t>
                  </w:r>
                  <w:r>
                    <w:rPr>
                      <w:spacing w:val="26"/>
                      <w:sz w:val="18"/>
                    </w:rPr>
                    <w:t> </w:t>
                  </w:r>
                  <w:r>
                    <w:rPr>
                      <w:spacing w:val="2"/>
                      <w:sz w:val="18"/>
                    </w:rPr>
                    <w:t>Zealand</w:t>
                  </w:r>
                </w:p>
                <w:p>
                  <w:pPr>
                    <w:spacing w:before="63"/>
                    <w:ind w:left="628" w:right="38" w:firstLine="0"/>
                    <w:jc w:val="right"/>
                    <w:rPr>
                      <w:sz w:val="18"/>
                    </w:rPr>
                  </w:pPr>
                  <w:r>
                    <w:rPr>
                      <w:sz w:val="18"/>
                    </w:rPr>
                    <w:t>China</w:t>
                  </w:r>
                </w:p>
              </w:txbxContent>
            </v:textbox>
            <w10:wrap type="none"/>
          </v:shape>
        </w:pict>
      </w:r>
      <w:r>
        <w:rPr>
          <w:w w:val="101"/>
          <w:sz w:val="18"/>
        </w:rPr>
        <w:t>0</w:t>
      </w:r>
    </w:p>
    <w:p>
      <w:pPr>
        <w:spacing w:before="49"/>
        <w:ind w:left="531" w:right="0" w:firstLine="0"/>
        <w:jc w:val="left"/>
        <w:rPr>
          <w:sz w:val="18"/>
        </w:rPr>
      </w:pPr>
      <w:r>
        <w:rPr/>
        <w:br w:type="column"/>
      </w:r>
      <w:r>
        <w:rPr>
          <w:sz w:val="18"/>
        </w:rPr>
        <w:t>Brent oil ($)</w:t>
      </w:r>
    </w:p>
    <w:p>
      <w:pPr>
        <w:spacing w:before="105"/>
        <w:ind w:left="531" w:right="0" w:firstLine="0"/>
        <w:jc w:val="left"/>
        <w:rPr>
          <w:sz w:val="18"/>
        </w:rPr>
      </w:pPr>
      <w:r>
        <w:rPr/>
        <w:pict>
          <v:rect style="position:absolute;margin-left:321.359985pt;margin-top:-7.48813pt;width:4.2pt;height:4.980pt;mso-position-horizontal-relative:page;mso-position-vertical-relative:paragraph;z-index:251698176" filled="true" fillcolor="#c0504d" stroked="false">
            <v:fill type="solid"/>
            <w10:wrap type="none"/>
          </v:rect>
        </w:pict>
      </w:r>
      <w:r>
        <w:rPr/>
        <w:pict>
          <v:rect style="position:absolute;margin-left:321.359985pt;margin-top:8.051870pt;width:4.2pt;height:4.92pt;mso-position-horizontal-relative:page;mso-position-vertical-relative:paragraph;z-index:251699200" filled="true" fillcolor="#9bbb59" stroked="false">
            <v:fill type="solid"/>
            <w10:wrap type="none"/>
          </v:rect>
        </w:pict>
      </w:r>
      <w:r>
        <w:rPr>
          <w:sz w:val="18"/>
        </w:rPr>
        <w:t>World export prices (UK-weighted)</w:t>
      </w:r>
    </w:p>
    <w:p>
      <w:pPr>
        <w:spacing w:line="244" w:lineRule="auto" w:before="155"/>
        <w:ind w:left="214" w:right="613" w:firstLine="0"/>
        <w:jc w:val="center"/>
        <w:rPr>
          <w:sz w:val="18"/>
        </w:rPr>
      </w:pPr>
      <w:r>
        <w:rPr/>
        <w:br w:type="column"/>
      </w:r>
      <w:r>
        <w:rPr>
          <w:spacing w:val="-2"/>
          <w:sz w:val="18"/>
        </w:rPr>
        <w:t>Correlation </w:t>
      </w:r>
      <w:r>
        <w:rPr>
          <w:sz w:val="18"/>
        </w:rPr>
        <w:t>coefficient</w:t>
      </w:r>
    </w:p>
    <w:p>
      <w:pPr>
        <w:spacing w:line="188" w:lineRule="exact" w:before="0"/>
        <w:ind w:left="835" w:right="0" w:firstLine="0"/>
        <w:jc w:val="left"/>
        <w:rPr>
          <w:sz w:val="18"/>
        </w:rPr>
      </w:pPr>
      <w:r>
        <w:rPr/>
        <w:pict>
          <v:group style="position:absolute;margin-left:320.640015pt;margin-top:4.006924pt;width:189.45pt;height:98.8pt;mso-position-horizontal-relative:page;mso-position-vertical-relative:paragraph;z-index:251696128" coordorigin="6413,80" coordsize="3789,1976">
            <v:rect style="position:absolute;left:6469;top:1138;width:57;height:254" filled="true" fillcolor="#4f81bd" stroked="false">
              <v:fill type="solid"/>
            </v:rect>
            <v:rect style="position:absolute;left:6525;top:1124;width:57;height:268" filled="true" fillcolor="#c0504d" stroked="false">
              <v:fill type="solid"/>
            </v:rect>
            <v:rect style="position:absolute;left:6582;top:1265;width:57;height:126" filled="true" fillcolor="#9bbb59" stroked="false">
              <v:fill type="solid"/>
            </v:rect>
            <v:line style="position:absolute" from="6765,602" to="6765,1392" stroked="true" strokeweight="2.82pt" strokecolor="#4f81bd">
              <v:stroke dashstyle="solid"/>
            </v:line>
            <v:line style="position:absolute" from="6821,1195" to="6821,1392" stroked="true" strokeweight="2.82pt" strokecolor="#c0504d">
              <v:stroke dashstyle="solid"/>
            </v:line>
            <v:line style="position:absolute" from="6878,1139" to="6878,1392" stroked="true" strokeweight="2.82pt" strokecolor="#9bbb59">
              <v:stroke dashstyle="solid"/>
            </v:line>
            <v:line style="position:absolute" from="7027,913" to="7027,1392" stroked="true" strokeweight="3.54pt" strokecolor="#4f81bd">
              <v:stroke dashstyle="solid"/>
            </v:line>
            <v:line style="position:absolute" from="7090,1181" to="7090,1392" stroked="true" strokeweight="2.82pt" strokecolor="#c0504d">
              <v:stroke dashstyle="solid"/>
            </v:line>
            <v:line style="position:absolute" from="7147,857" to="7147,1392" stroked="true" strokeweight="2.82pt" strokecolor="#9bbb59">
              <v:stroke dashstyle="solid"/>
            </v:line>
            <v:rect style="position:absolute;left:7258;top:1391;width:57;height:255" filled="true" fillcolor="#4f81bd" stroked="false">
              <v:fill type="solid"/>
            </v:rect>
            <v:rect style="position:absolute;left:7315;top:1391;width:71;height:269" filled="true" fillcolor="#c0504d" stroked="false">
              <v:fill type="solid"/>
            </v:rect>
            <v:line style="position:absolute" from="7414,1392" to="7414,1745" stroked="true" strokeweight="2.82pt" strokecolor="#9bbb59">
              <v:stroke dashstyle="solid"/>
            </v:line>
            <v:line style="position:absolute" from="7556,1392" to="7556,1632" stroked="true" strokeweight="2.82pt" strokecolor="#4f81bd">
              <v:stroke dashstyle="solid"/>
            </v:line>
            <v:rect style="position:absolute;left:7584;top:1391;width:57;height:128" filled="true" fillcolor="#c0504d" stroked="false">
              <v:fill type="solid"/>
            </v:rect>
            <v:line style="position:absolute" from="7676,1392" to="7676,1970" stroked="true" strokeweight="3.54pt" strokecolor="#9bbb59">
              <v:stroke dashstyle="solid"/>
            </v:line>
            <v:line style="position:absolute" from="7823,1237" to="7823,1392" stroked="true" strokeweight="2.82pt" strokecolor="#4f81bd">
              <v:stroke dashstyle="solid"/>
            </v:line>
            <v:rect style="position:absolute;left:7851;top:1293;width:57;height:99" filled="true" fillcolor="#c0504d" stroked="false">
              <v:fill type="solid"/>
            </v:rect>
            <v:rect style="position:absolute;left:7908;top:1391;width:57;height:29" filled="true" fillcolor="#9bbb59" stroked="false">
              <v:fill type="solid"/>
            </v:rect>
            <v:line style="position:absolute" from="8092,701" to="8092,1392" stroked="true" strokeweight="2.82pt" strokecolor="#4f81bd">
              <v:stroke dashstyle="solid"/>
            </v:line>
            <v:line style="position:absolute" from="8149,1153" to="8149,1392" stroked="true" strokeweight="2.82pt" strokecolor="#c0504d">
              <v:stroke dashstyle="solid"/>
            </v:line>
            <v:line style="position:absolute" from="8205,1095" to="8205,1392" stroked="true" strokeweight="2.82pt" strokecolor="#9bbb59">
              <v:stroke dashstyle="solid"/>
            </v:line>
            <v:rect style="position:absolute;left:8331;top:1391;width:57;height:71" filled="true" fillcolor="#4f81bd" stroked="false">
              <v:fill type="solid"/>
            </v:rect>
            <v:rect style="position:absolute;left:8388;top:1391;width:57;height:15" filled="true" fillcolor="#c0504d" stroked="false">
              <v:fill type="solid"/>
            </v:rect>
            <v:rect style="position:absolute;left:8444;top:1391;width:57;height:113" filled="true" fillcolor="#9bbb59" stroked="false">
              <v:fill type="solid"/>
            </v:rect>
            <v:line style="position:absolute" from="8620,1068" to="8620,1392" stroked="true" strokeweight="3.54pt" strokecolor="#4f81bd">
              <v:stroke dashstyle="solid"/>
            </v:line>
            <v:line style="position:absolute" from="8684,1392" to="8684,1675" stroked="true" strokeweight="2.82pt" strokecolor="#c0504d">
              <v:stroke dashstyle="solid"/>
            </v:line>
            <v:line style="position:absolute" from="8740,1392" to="8740,1632" stroked="true" strokeweight="2.82pt" strokecolor="#9bbb59">
              <v:stroke dashstyle="solid"/>
            </v:line>
            <v:line style="position:absolute" from="8882,1082" to="8882,1392" stroked="true" strokeweight="2.82pt" strokecolor="#4f81bd">
              <v:stroke dashstyle="solid"/>
            </v:line>
            <v:line style="position:absolute" from="8945,1392" to="8945,1590" stroked="true" strokeweight="3.54pt" strokecolor="#c0504d">
              <v:stroke dashstyle="solid"/>
            </v:line>
            <v:rect style="position:absolute;left:8980;top:1278;width:57;height:113" filled="true" fillcolor="#9bbb59" stroked="false">
              <v:fill type="solid"/>
            </v:rect>
            <v:line style="position:absolute" from="9149,1039" to="9149,1392" stroked="true" strokeweight="2.82pt" strokecolor="#4f81bd">
              <v:stroke dashstyle="solid"/>
            </v:line>
            <v:line style="position:absolute" from="9206,941" to="9206,1392" stroked="true" strokeweight="2.82pt" strokecolor="#c0504d">
              <v:stroke dashstyle="solid"/>
            </v:line>
            <v:line style="position:absolute" from="9269,1139" to="9269,1392" stroked="true" strokeweight="3.54pt" strokecolor="#9bbb59">
              <v:stroke dashstyle="solid"/>
            </v:line>
            <v:line style="position:absolute" from="9418,1082" to="9418,1392" stroked="true" strokeweight="2.82pt" strokecolor="#4f81bd">
              <v:stroke dashstyle="solid"/>
            </v:line>
            <v:line style="position:absolute" from="9475,1124" to="9475,1392" stroked="true" strokeweight="2.82pt" strokecolor="#c0504d">
              <v:stroke dashstyle="solid"/>
            </v:line>
            <v:line style="position:absolute" from="9531,997" to="9531,1392" stroked="true" strokeweight="2.82pt" strokecolor="#9bbb59">
              <v:stroke dashstyle="solid"/>
            </v:line>
            <v:line style="position:absolute" from="9686,1139" to="9686,1392" stroked="true" strokeweight="2.82pt" strokecolor="#4f81bd">
              <v:stroke dashstyle="solid"/>
            </v:line>
            <v:line style="position:absolute" from="9742,983" to="9742,1392" stroked="true" strokeweight="2.82pt" strokecolor="#c0504d">
              <v:stroke dashstyle="solid"/>
            </v:line>
            <v:line style="position:absolute" from="9799,1110" to="9799,1392" stroked="true" strokeweight="2.82pt" strokecolor="#9bbb59">
              <v:stroke dashstyle="solid"/>
            </v:line>
            <v:line style="position:absolute" from="9947,137" to="9947,1392" stroked="true" strokeweight="3.48pt" strokecolor="#4f81bd">
              <v:stroke dashstyle="solid"/>
            </v:line>
            <v:line style="position:absolute" from="10010,560" to="10010,1392" stroked="true" strokeweight="2.82pt" strokecolor="#c0504d">
              <v:stroke dashstyle="solid"/>
            </v:line>
            <v:line style="position:absolute" from="10066,433" to="10066,1392" stroked="true" strokeweight="2.82pt" strokecolor="#9bbb59">
              <v:stroke dashstyle="solid"/>
            </v:line>
            <v:line style="position:absolute" from="10144,87" to="10144,2048" stroked="true" strokeweight=".66pt" strokecolor="#868686">
              <v:stroke dashstyle="solid"/>
            </v:line>
            <v:shape style="position:absolute;left:10144;top:80;width:57;height:1976" coordorigin="10145,80" coordsize="57,1976" path="m10201,2041l10145,2041,10145,2055,10201,2055,10201,2041m10201,1717l10145,1717,10145,1731,10201,1731,10201,1717m10201,1392l10145,1392,10145,1406,10201,1406,10201,1392m10201,1068l10145,1068,10145,1082,10201,1082,10201,1068m10201,729l10145,729,10145,744,10201,744,10201,729m10201,404l10145,404,10145,419,10201,419,10201,404m10201,80l10145,80,10145,95,10201,95,10201,80e" filled="true" fillcolor="#868686" stroked="false">
              <v:path arrowok="t"/>
              <v:fill type="solid"/>
            </v:shape>
            <v:line style="position:absolute" from="6420,1399" to="10145,1399" stroked="true" strokeweight=".72pt" strokecolor="#868686">
              <v:stroke dashstyle="solid"/>
            </v:line>
            <v:shape style="position:absolute;left:6412;top:1398;width:3471;height:57" coordorigin="6413,1399" coordsize="3471,57" path="m6427,1399l6413,1399,6413,1455,6427,1455,6427,1399m6695,1399l6680,1399,6680,1455,6695,1455,6695,1399m6962,1399l6949,1399,6949,1455,6962,1455,6962,1399m7231,1399l7217,1399,7217,1455,7231,1455,7231,1399m7484,1399l7471,1399,7471,1455,7484,1455,7484,1399m7753,1399l7739,1399,7739,1455,7753,1455,7753,1399m8021,1399l8006,1399,8006,1455,8021,1455,8021,1399m8290,1399l8275,1399,8275,1455,8290,1455,8290,1399m8557,1399l8543,1399,8543,1455,8557,1455,8557,1399m8825,1399l8812,1399,8812,1455,8825,1455,8825,1399m9079,1399l9065,1399,9065,1455,9079,1455,9079,1399m9347,1399l9334,1399,9334,1455,9347,1455,9347,1399m9616,1399l9601,1399,9601,1455,9616,1455,9616,1399m9883,1399l9869,1399,9869,1455,9883,1455,9883,1399e" filled="true" fillcolor="#868686" stroked="false">
              <v:path arrowok="t"/>
              <v:fill type="solid"/>
            </v:shape>
            <w10:wrap type="none"/>
          </v:group>
        </w:pict>
      </w:r>
      <w:r>
        <w:rPr>
          <w:sz w:val="18"/>
        </w:rPr>
        <w:t>0.8</w:t>
      </w:r>
    </w:p>
    <w:p>
      <w:pPr>
        <w:spacing w:before="121"/>
        <w:ind w:left="835" w:right="0" w:firstLine="0"/>
        <w:jc w:val="left"/>
        <w:rPr>
          <w:sz w:val="18"/>
        </w:rPr>
      </w:pPr>
      <w:r>
        <w:rPr>
          <w:sz w:val="18"/>
        </w:rPr>
        <w:t>0.6</w:t>
      </w:r>
    </w:p>
    <w:p>
      <w:pPr>
        <w:spacing w:before="121"/>
        <w:ind w:left="835" w:right="0" w:firstLine="0"/>
        <w:jc w:val="left"/>
        <w:rPr>
          <w:sz w:val="18"/>
        </w:rPr>
      </w:pPr>
      <w:r>
        <w:rPr>
          <w:sz w:val="18"/>
        </w:rPr>
        <w:t>0.4</w:t>
      </w:r>
    </w:p>
    <w:p>
      <w:pPr>
        <w:spacing w:before="121"/>
        <w:ind w:left="835" w:right="0" w:firstLine="0"/>
        <w:jc w:val="left"/>
        <w:rPr>
          <w:sz w:val="18"/>
        </w:rPr>
      </w:pPr>
      <w:r>
        <w:rPr>
          <w:sz w:val="18"/>
        </w:rPr>
        <w:t>0.2</w:t>
      </w:r>
    </w:p>
    <w:p>
      <w:pPr>
        <w:spacing w:before="122"/>
        <w:ind w:left="835" w:right="0" w:firstLine="0"/>
        <w:jc w:val="left"/>
        <w:rPr>
          <w:sz w:val="18"/>
        </w:rPr>
      </w:pPr>
      <w:r>
        <w:rPr>
          <w:w w:val="101"/>
          <w:sz w:val="18"/>
        </w:rPr>
        <w:t>0</w:t>
      </w:r>
    </w:p>
    <w:p>
      <w:pPr>
        <w:spacing w:before="121"/>
        <w:ind w:left="835" w:right="0" w:firstLine="0"/>
        <w:jc w:val="left"/>
        <w:rPr>
          <w:sz w:val="18"/>
        </w:rPr>
      </w:pPr>
      <w:r>
        <w:rPr>
          <w:spacing w:val="2"/>
          <w:sz w:val="18"/>
        </w:rPr>
        <w:t>-0.2</w:t>
      </w:r>
    </w:p>
    <w:p>
      <w:pPr>
        <w:spacing w:before="120"/>
        <w:ind w:left="835" w:right="0" w:firstLine="0"/>
        <w:jc w:val="left"/>
        <w:rPr>
          <w:sz w:val="18"/>
        </w:rPr>
      </w:pPr>
      <w:r>
        <w:rPr/>
        <w:pict>
          <v:shape style="position:absolute;margin-left:322.018738pt;margin-top:15.630897pt;width:184.85pt;height:58.05pt;mso-position-horizontal-relative:page;mso-position-vertical-relative:paragraph;z-index:251701248" type="#_x0000_t202" filled="false" stroked="false">
            <v:textbox inset="0,0,0,0" style="layout-flow:vertical;mso-layout-flow-alt:bottom-to-top">
              <w:txbxContent>
                <w:p>
                  <w:pPr>
                    <w:spacing w:line="307" w:lineRule="auto" w:before="17"/>
                    <w:ind w:left="628" w:right="18" w:firstLine="0"/>
                    <w:jc w:val="right"/>
                    <w:rPr>
                      <w:sz w:val="18"/>
                    </w:rPr>
                  </w:pPr>
                  <w:r>
                    <w:rPr>
                      <w:spacing w:val="9"/>
                      <w:sz w:val="18"/>
                    </w:rPr>
                    <w:t>UK </w:t>
                  </w:r>
                  <w:r>
                    <w:rPr>
                      <w:spacing w:val="8"/>
                      <w:sz w:val="18"/>
                    </w:rPr>
                    <w:t>US</w:t>
                  </w:r>
                </w:p>
                <w:p>
                  <w:pPr>
                    <w:spacing w:line="307" w:lineRule="auto" w:before="0"/>
                    <w:ind w:left="354" w:right="32" w:firstLine="94"/>
                    <w:jc w:val="right"/>
                    <w:rPr>
                      <w:sz w:val="18"/>
                    </w:rPr>
                  </w:pPr>
                  <w:r>
                    <w:rPr>
                      <w:sz w:val="18"/>
                    </w:rPr>
                    <w:t>Belgium Canada France Germany</w:t>
                  </w:r>
                </w:p>
                <w:p>
                  <w:pPr>
                    <w:spacing w:line="307" w:lineRule="auto" w:before="3"/>
                    <w:ind w:left="114" w:right="28" w:firstLine="668"/>
                    <w:jc w:val="right"/>
                    <w:rPr>
                      <w:sz w:val="18"/>
                    </w:rPr>
                  </w:pPr>
                  <w:r>
                    <w:rPr>
                      <w:sz w:val="18"/>
                    </w:rPr>
                    <w:t>Italy Japan Netherlands</w:t>
                  </w:r>
                </w:p>
                <w:p>
                  <w:pPr>
                    <w:spacing w:line="307" w:lineRule="auto" w:before="2"/>
                    <w:ind w:left="156" w:right="29" w:firstLine="291"/>
                    <w:jc w:val="right"/>
                    <w:rPr>
                      <w:sz w:val="18"/>
                    </w:rPr>
                  </w:pPr>
                  <w:r>
                    <w:rPr>
                      <w:spacing w:val="2"/>
                      <w:sz w:val="18"/>
                    </w:rPr>
                    <w:t>Sweden </w:t>
                  </w:r>
                  <w:r>
                    <w:rPr>
                      <w:sz w:val="18"/>
                    </w:rPr>
                    <w:t>Switzerland Australia</w:t>
                  </w:r>
                </w:p>
                <w:p>
                  <w:pPr>
                    <w:spacing w:before="2"/>
                    <w:ind w:left="0" w:right="34" w:firstLine="0"/>
                    <w:jc w:val="right"/>
                    <w:rPr>
                      <w:sz w:val="18"/>
                    </w:rPr>
                  </w:pPr>
                  <w:r>
                    <w:rPr>
                      <w:sz w:val="18"/>
                    </w:rPr>
                    <w:t>New</w:t>
                  </w:r>
                  <w:r>
                    <w:rPr>
                      <w:spacing w:val="26"/>
                      <w:sz w:val="18"/>
                    </w:rPr>
                    <w:t> </w:t>
                  </w:r>
                  <w:r>
                    <w:rPr>
                      <w:spacing w:val="2"/>
                      <w:sz w:val="18"/>
                    </w:rPr>
                    <w:t>Zealand</w:t>
                  </w:r>
                </w:p>
                <w:p>
                  <w:pPr>
                    <w:spacing w:before="58"/>
                    <w:ind w:left="0" w:right="29" w:firstLine="0"/>
                    <w:jc w:val="right"/>
                    <w:rPr>
                      <w:sz w:val="18"/>
                    </w:rPr>
                  </w:pPr>
                  <w:r>
                    <w:rPr>
                      <w:spacing w:val="2"/>
                      <w:sz w:val="18"/>
                    </w:rPr>
                    <w:t>China*</w:t>
                  </w:r>
                </w:p>
              </w:txbxContent>
            </v:textbox>
            <w10:wrap type="none"/>
          </v:shape>
        </w:pict>
      </w:r>
      <w:r>
        <w:rPr>
          <w:spacing w:val="2"/>
          <w:sz w:val="18"/>
        </w:rPr>
        <w:t>-0.4</w:t>
      </w:r>
    </w:p>
    <w:p>
      <w:pPr>
        <w:spacing w:after="0"/>
        <w:jc w:val="left"/>
        <w:rPr>
          <w:sz w:val="18"/>
        </w:rPr>
        <w:sectPr>
          <w:type w:val="continuous"/>
          <w:pgSz w:w="12240" w:h="15840"/>
          <w:pgMar w:top="1120" w:bottom="1440" w:left="1200" w:right="1060"/>
          <w:cols w:num="3" w:equalWidth="0">
            <w:col w:w="4793" w:space="40"/>
            <w:col w:w="3400" w:space="39"/>
            <w:col w:w="1708"/>
          </w:cols>
        </w:sectPr>
      </w:pPr>
    </w:p>
    <w:p>
      <w:pPr>
        <w:pStyle w:val="BodyText"/>
        <w:rPr>
          <w:sz w:val="20"/>
        </w:rPr>
      </w:pPr>
    </w:p>
    <w:p>
      <w:pPr>
        <w:pStyle w:val="BodyText"/>
        <w:rPr>
          <w:sz w:val="20"/>
        </w:rPr>
      </w:pPr>
    </w:p>
    <w:p>
      <w:pPr>
        <w:pStyle w:val="BodyText"/>
        <w:rPr>
          <w:sz w:val="20"/>
        </w:rPr>
      </w:pPr>
    </w:p>
    <w:p>
      <w:pPr>
        <w:pStyle w:val="BodyText"/>
        <w:spacing w:before="8"/>
        <w:rPr>
          <w:sz w:val="23"/>
        </w:rPr>
      </w:pPr>
    </w:p>
    <w:p>
      <w:pPr>
        <w:spacing w:after="0"/>
        <w:rPr>
          <w:sz w:val="23"/>
        </w:rPr>
        <w:sectPr>
          <w:type w:val="continuous"/>
          <w:pgSz w:w="12240" w:h="15840"/>
          <w:pgMar w:top="1120" w:bottom="1440" w:left="1200" w:right="1060"/>
        </w:sectPr>
      </w:pPr>
    </w:p>
    <w:p>
      <w:pPr>
        <w:spacing w:before="105"/>
        <w:ind w:left="429" w:right="0" w:firstLine="0"/>
        <w:jc w:val="left"/>
        <w:rPr>
          <w:sz w:val="15"/>
        </w:rPr>
      </w:pPr>
      <w:r>
        <w:rPr>
          <w:b/>
          <w:i/>
          <w:w w:val="105"/>
          <w:sz w:val="15"/>
        </w:rPr>
        <w:t>Source</w:t>
      </w:r>
      <w:r>
        <w:rPr>
          <w:b/>
          <w:i/>
          <w:spacing w:val="-23"/>
          <w:w w:val="105"/>
          <w:sz w:val="15"/>
        </w:rPr>
        <w:t> </w:t>
      </w:r>
      <w:r>
        <w:rPr>
          <w:b/>
          <w:w w:val="105"/>
          <w:sz w:val="15"/>
        </w:rPr>
        <w:t>:</w:t>
      </w:r>
      <w:r>
        <w:rPr>
          <w:b/>
          <w:spacing w:val="-16"/>
          <w:w w:val="105"/>
          <w:sz w:val="15"/>
        </w:rPr>
        <w:t> </w:t>
      </w:r>
      <w:r>
        <w:rPr>
          <w:spacing w:val="-7"/>
          <w:w w:val="105"/>
          <w:sz w:val="15"/>
        </w:rPr>
        <w:t>ONS,</w:t>
      </w:r>
      <w:r>
        <w:rPr>
          <w:spacing w:val="-10"/>
          <w:w w:val="105"/>
          <w:sz w:val="15"/>
        </w:rPr>
        <w:t> </w:t>
      </w:r>
      <w:r>
        <w:rPr>
          <w:spacing w:val="-11"/>
          <w:w w:val="105"/>
          <w:sz w:val="15"/>
        </w:rPr>
        <w:t>OECD,</w:t>
      </w:r>
      <w:r>
        <w:rPr>
          <w:spacing w:val="-8"/>
          <w:w w:val="105"/>
          <w:sz w:val="15"/>
        </w:rPr>
        <w:t> </w:t>
      </w:r>
      <w:r>
        <w:rPr>
          <w:w w:val="105"/>
          <w:sz w:val="15"/>
        </w:rPr>
        <w:t>Datastream</w:t>
      </w:r>
      <w:r>
        <w:rPr>
          <w:spacing w:val="-23"/>
          <w:w w:val="105"/>
          <w:sz w:val="15"/>
        </w:rPr>
        <w:t> </w:t>
      </w:r>
      <w:r>
        <w:rPr>
          <w:w w:val="105"/>
          <w:sz w:val="15"/>
        </w:rPr>
        <w:t>and</w:t>
      </w:r>
      <w:r>
        <w:rPr>
          <w:spacing w:val="-10"/>
          <w:w w:val="105"/>
          <w:sz w:val="15"/>
        </w:rPr>
        <w:t> </w:t>
      </w:r>
      <w:r>
        <w:rPr>
          <w:spacing w:val="-3"/>
          <w:w w:val="105"/>
          <w:sz w:val="15"/>
        </w:rPr>
        <w:t>Bank</w:t>
      </w:r>
      <w:r>
        <w:rPr>
          <w:spacing w:val="-15"/>
          <w:w w:val="105"/>
          <w:sz w:val="15"/>
        </w:rPr>
        <w:t> </w:t>
      </w:r>
      <w:r>
        <w:rPr>
          <w:w w:val="105"/>
          <w:sz w:val="15"/>
        </w:rPr>
        <w:t>of</w:t>
      </w:r>
      <w:r>
        <w:rPr>
          <w:spacing w:val="3"/>
          <w:w w:val="105"/>
          <w:sz w:val="15"/>
        </w:rPr>
        <w:t> </w:t>
      </w:r>
      <w:r>
        <w:rPr>
          <w:spacing w:val="-6"/>
          <w:w w:val="105"/>
          <w:sz w:val="15"/>
        </w:rPr>
        <w:t>England</w:t>
      </w:r>
    </w:p>
    <w:p>
      <w:pPr>
        <w:pStyle w:val="BodyText"/>
        <w:spacing w:before="9"/>
        <w:rPr>
          <w:sz w:val="23"/>
        </w:rPr>
      </w:pPr>
      <w:r>
        <w:rPr/>
        <w:br w:type="column"/>
      </w:r>
      <w:r>
        <w:rPr>
          <w:sz w:val="23"/>
        </w:rPr>
      </w:r>
    </w:p>
    <w:p>
      <w:pPr>
        <w:spacing w:before="0"/>
        <w:ind w:left="429" w:right="0" w:firstLine="0"/>
        <w:jc w:val="left"/>
        <w:rPr>
          <w:sz w:val="15"/>
        </w:rPr>
      </w:pPr>
      <w:r>
        <w:rPr>
          <w:b/>
          <w:i/>
          <w:w w:val="105"/>
          <w:sz w:val="15"/>
        </w:rPr>
        <w:t>Source </w:t>
      </w:r>
      <w:r>
        <w:rPr>
          <w:b/>
          <w:w w:val="105"/>
          <w:sz w:val="15"/>
        </w:rPr>
        <w:t>: </w:t>
      </w:r>
      <w:r>
        <w:rPr>
          <w:w w:val="105"/>
          <w:sz w:val="15"/>
        </w:rPr>
        <w:t>ONS, OECD, Datastream and Bank of England</w:t>
      </w:r>
    </w:p>
    <w:p>
      <w:pPr>
        <w:spacing w:before="119"/>
        <w:ind w:left="429" w:right="0" w:firstLine="0"/>
        <w:jc w:val="left"/>
        <w:rPr>
          <w:sz w:val="15"/>
        </w:rPr>
      </w:pPr>
      <w:r>
        <w:rPr>
          <w:w w:val="105"/>
          <w:sz w:val="15"/>
        </w:rPr>
        <w:t>* Data only available for 2006-2014</w:t>
      </w:r>
    </w:p>
    <w:p>
      <w:pPr>
        <w:spacing w:after="0"/>
        <w:jc w:val="left"/>
        <w:rPr>
          <w:sz w:val="15"/>
        </w:rPr>
        <w:sectPr>
          <w:type w:val="continuous"/>
          <w:pgSz w:w="12240" w:h="15840"/>
          <w:pgMar w:top="1120" w:bottom="1440" w:left="1200" w:right="1060"/>
          <w:cols w:num="2" w:equalWidth="0">
            <w:col w:w="4209" w:space="426"/>
            <w:col w:w="5345"/>
          </w:cols>
        </w:sectPr>
      </w:pPr>
    </w:p>
    <w:p>
      <w:pPr>
        <w:pStyle w:val="BodyText"/>
        <w:rPr>
          <w:sz w:val="20"/>
        </w:rPr>
      </w:pPr>
    </w:p>
    <w:p>
      <w:pPr>
        <w:pStyle w:val="BodyText"/>
        <w:spacing w:before="3"/>
        <w:rPr>
          <w:sz w:val="22"/>
        </w:rPr>
      </w:pPr>
    </w:p>
    <w:p>
      <w:pPr>
        <w:pStyle w:val="BodyText"/>
        <w:spacing w:line="355" w:lineRule="auto"/>
        <w:ind w:left="386" w:right="628"/>
      </w:pPr>
      <w:r>
        <w:rPr/>
        <w:t>Much</w:t>
      </w:r>
      <w:r>
        <w:rPr>
          <w:spacing w:val="-9"/>
        </w:rPr>
        <w:t> </w:t>
      </w:r>
      <w:r>
        <w:rPr/>
        <w:t>of</w:t>
      </w:r>
      <w:r>
        <w:rPr>
          <w:spacing w:val="-9"/>
        </w:rPr>
        <w:t> </w:t>
      </w:r>
      <w:r>
        <w:rPr/>
        <w:t>this</w:t>
      </w:r>
      <w:r>
        <w:rPr>
          <w:spacing w:val="-9"/>
        </w:rPr>
        <w:t> </w:t>
      </w:r>
      <w:r>
        <w:rPr/>
        <w:t>high</w:t>
      </w:r>
      <w:r>
        <w:rPr>
          <w:spacing w:val="-9"/>
        </w:rPr>
        <w:t> </w:t>
      </w:r>
      <w:r>
        <w:rPr/>
        <w:t>correlation</w:t>
      </w:r>
      <w:r>
        <w:rPr>
          <w:spacing w:val="-8"/>
        </w:rPr>
        <w:t> </w:t>
      </w:r>
      <w:r>
        <w:rPr/>
        <w:t>in</w:t>
      </w:r>
      <w:r>
        <w:rPr>
          <w:spacing w:val="-9"/>
        </w:rPr>
        <w:t> </w:t>
      </w:r>
      <w:r>
        <w:rPr/>
        <w:t>headline</w:t>
      </w:r>
      <w:r>
        <w:rPr>
          <w:spacing w:val="-8"/>
        </w:rPr>
        <w:t> </w:t>
      </w:r>
      <w:r>
        <w:rPr/>
        <w:t>inflation</w:t>
      </w:r>
      <w:r>
        <w:rPr>
          <w:spacing w:val="-9"/>
        </w:rPr>
        <w:t> </w:t>
      </w:r>
      <w:r>
        <w:rPr/>
        <w:t>rates,</w:t>
      </w:r>
      <w:r>
        <w:rPr>
          <w:spacing w:val="-8"/>
        </w:rPr>
        <w:t> </w:t>
      </w:r>
      <w:r>
        <w:rPr/>
        <w:t>however,</w:t>
      </w:r>
      <w:r>
        <w:rPr>
          <w:spacing w:val="-8"/>
        </w:rPr>
        <w:t> </w:t>
      </w:r>
      <w:r>
        <w:rPr/>
        <w:t>is</w:t>
      </w:r>
      <w:r>
        <w:rPr>
          <w:spacing w:val="-8"/>
        </w:rPr>
        <w:t> </w:t>
      </w:r>
      <w:r>
        <w:rPr/>
        <w:t>driven</w:t>
      </w:r>
      <w:r>
        <w:rPr>
          <w:spacing w:val="-9"/>
        </w:rPr>
        <w:t> </w:t>
      </w:r>
      <w:r>
        <w:rPr/>
        <w:t>by</w:t>
      </w:r>
      <w:r>
        <w:rPr>
          <w:spacing w:val="-9"/>
        </w:rPr>
        <w:t> </w:t>
      </w:r>
      <w:r>
        <w:rPr/>
        <w:t>movements</w:t>
      </w:r>
      <w:r>
        <w:rPr>
          <w:spacing w:val="-8"/>
        </w:rPr>
        <w:t> </w:t>
      </w:r>
      <w:r>
        <w:rPr/>
        <w:t>in</w:t>
      </w:r>
      <w:r>
        <w:rPr>
          <w:spacing w:val="-8"/>
        </w:rPr>
        <w:t> </w:t>
      </w:r>
      <w:r>
        <w:rPr/>
        <w:t>global</w:t>
      </w:r>
      <w:r>
        <w:rPr>
          <w:spacing w:val="-9"/>
        </w:rPr>
        <w:t> </w:t>
      </w:r>
      <w:r>
        <w:rPr/>
        <w:t>energy and</w:t>
      </w:r>
      <w:r>
        <w:rPr>
          <w:spacing w:val="-7"/>
        </w:rPr>
        <w:t> </w:t>
      </w:r>
      <w:r>
        <w:rPr/>
        <w:t>commodity</w:t>
      </w:r>
      <w:r>
        <w:rPr>
          <w:spacing w:val="-6"/>
        </w:rPr>
        <w:t> </w:t>
      </w:r>
      <w:r>
        <w:rPr/>
        <w:t>prices</w:t>
      </w:r>
      <w:r>
        <w:rPr>
          <w:spacing w:val="-5"/>
        </w:rPr>
        <w:t> </w:t>
      </w:r>
      <w:r>
        <w:rPr/>
        <w:t>(a</w:t>
      </w:r>
      <w:r>
        <w:rPr>
          <w:spacing w:val="-6"/>
        </w:rPr>
        <w:t> </w:t>
      </w:r>
      <w:r>
        <w:rPr/>
        <w:t>point</w:t>
      </w:r>
      <w:r>
        <w:rPr>
          <w:spacing w:val="-3"/>
        </w:rPr>
        <w:t> </w:t>
      </w:r>
      <w:r>
        <w:rPr/>
        <w:t>which</w:t>
      </w:r>
      <w:r>
        <w:rPr>
          <w:spacing w:val="-5"/>
        </w:rPr>
        <w:t> </w:t>
      </w:r>
      <w:r>
        <w:rPr/>
        <w:t>was</w:t>
      </w:r>
      <w:r>
        <w:rPr>
          <w:spacing w:val="-4"/>
        </w:rPr>
        <w:t> </w:t>
      </w:r>
      <w:r>
        <w:rPr/>
        <w:t>recently</w:t>
      </w:r>
      <w:r>
        <w:rPr>
          <w:spacing w:val="-6"/>
        </w:rPr>
        <w:t> </w:t>
      </w:r>
      <w:r>
        <w:rPr/>
        <w:t>made</w:t>
      </w:r>
      <w:r>
        <w:rPr>
          <w:spacing w:val="-7"/>
        </w:rPr>
        <w:t> </w:t>
      </w:r>
      <w:r>
        <w:rPr/>
        <w:t>using</w:t>
      </w:r>
      <w:r>
        <w:rPr>
          <w:spacing w:val="-6"/>
        </w:rPr>
        <w:t> </w:t>
      </w:r>
      <w:r>
        <w:rPr/>
        <w:t>a</w:t>
      </w:r>
      <w:r>
        <w:rPr>
          <w:spacing w:val="-6"/>
        </w:rPr>
        <w:t> </w:t>
      </w:r>
      <w:r>
        <w:rPr/>
        <w:t>different</w:t>
      </w:r>
      <w:r>
        <w:rPr>
          <w:spacing w:val="-7"/>
        </w:rPr>
        <w:t> </w:t>
      </w:r>
      <w:r>
        <w:rPr/>
        <w:t>approach</w:t>
      </w:r>
      <w:r>
        <w:rPr>
          <w:spacing w:val="-6"/>
        </w:rPr>
        <w:t> </w:t>
      </w:r>
      <w:r>
        <w:rPr/>
        <w:t>in</w:t>
      </w:r>
      <w:r>
        <w:rPr>
          <w:spacing w:val="-6"/>
        </w:rPr>
        <w:t> </w:t>
      </w:r>
      <w:r>
        <w:rPr/>
        <w:t>Weale,</w:t>
      </w:r>
      <w:r>
        <w:rPr>
          <w:spacing w:val="-7"/>
        </w:rPr>
        <w:t> </w:t>
      </w:r>
      <w:r>
        <w:rPr/>
        <w:t>2015).</w:t>
      </w:r>
    </w:p>
    <w:p>
      <w:pPr>
        <w:pStyle w:val="BodyText"/>
        <w:spacing w:line="357" w:lineRule="auto" w:before="3"/>
        <w:ind w:left="386" w:right="533"/>
      </w:pPr>
      <w:r>
        <w:rPr/>
        <w:t>Figure 11 shows correlations for </w:t>
      </w:r>
      <w:r>
        <w:rPr>
          <w:u w:val="single"/>
        </w:rPr>
        <w:t>core</w:t>
      </w:r>
      <w:r>
        <w:rPr/>
        <w:t> inflation rates, with global core inflation, oil prices, and world export prices</w:t>
      </w:r>
      <w:r>
        <w:rPr>
          <w:spacing w:val="-8"/>
        </w:rPr>
        <w:t> </w:t>
      </w:r>
      <w:r>
        <w:rPr/>
        <w:t>(excluding</w:t>
      </w:r>
      <w:r>
        <w:rPr>
          <w:spacing w:val="-9"/>
        </w:rPr>
        <w:t> </w:t>
      </w:r>
      <w:r>
        <w:rPr/>
        <w:t>oil)</w:t>
      </w:r>
      <w:r>
        <w:rPr>
          <w:spacing w:val="-9"/>
        </w:rPr>
        <w:t> </w:t>
      </w:r>
      <w:r>
        <w:rPr/>
        <w:t>for</w:t>
      </w:r>
      <w:r>
        <w:rPr>
          <w:spacing w:val="-8"/>
        </w:rPr>
        <w:t> </w:t>
      </w:r>
      <w:r>
        <w:rPr/>
        <w:t>the</w:t>
      </w:r>
      <w:r>
        <w:rPr>
          <w:spacing w:val="-9"/>
        </w:rPr>
        <w:t> </w:t>
      </w:r>
      <w:r>
        <w:rPr/>
        <w:t>same</w:t>
      </w:r>
      <w:r>
        <w:rPr>
          <w:spacing w:val="-8"/>
        </w:rPr>
        <w:t> </w:t>
      </w:r>
      <w:r>
        <w:rPr/>
        <w:t>countries</w:t>
      </w:r>
      <w:r>
        <w:rPr>
          <w:spacing w:val="-7"/>
        </w:rPr>
        <w:t> </w:t>
      </w:r>
      <w:r>
        <w:rPr/>
        <w:t>over</w:t>
      </w:r>
      <w:r>
        <w:rPr>
          <w:spacing w:val="-9"/>
        </w:rPr>
        <w:t> </w:t>
      </w:r>
      <w:r>
        <w:rPr/>
        <w:t>the</w:t>
      </w:r>
      <w:r>
        <w:rPr>
          <w:spacing w:val="-8"/>
        </w:rPr>
        <w:t> </w:t>
      </w:r>
      <w:r>
        <w:rPr/>
        <w:t>same</w:t>
      </w:r>
      <w:r>
        <w:rPr>
          <w:spacing w:val="-8"/>
        </w:rPr>
        <w:t> </w:t>
      </w:r>
      <w:r>
        <w:rPr/>
        <w:t>time</w:t>
      </w:r>
      <w:r>
        <w:rPr>
          <w:spacing w:val="-8"/>
        </w:rPr>
        <w:t> </w:t>
      </w:r>
      <w:r>
        <w:rPr/>
        <w:t>period.</w:t>
      </w:r>
      <w:r>
        <w:rPr>
          <w:spacing w:val="-7"/>
        </w:rPr>
        <w:t> </w:t>
      </w:r>
      <w:r>
        <w:rPr/>
        <w:t>Correlations</w:t>
      </w:r>
      <w:r>
        <w:rPr>
          <w:spacing w:val="-7"/>
        </w:rPr>
        <w:t> </w:t>
      </w:r>
      <w:r>
        <w:rPr/>
        <w:t>are</w:t>
      </w:r>
      <w:r>
        <w:rPr>
          <w:spacing w:val="-8"/>
        </w:rPr>
        <w:t> </w:t>
      </w:r>
      <w:r>
        <w:rPr/>
        <w:t>much</w:t>
      </w:r>
      <w:r>
        <w:rPr>
          <w:spacing w:val="-8"/>
        </w:rPr>
        <w:t> </w:t>
      </w:r>
      <w:r>
        <w:rPr/>
        <w:t>lower—and</w:t>
      </w:r>
      <w:r>
        <w:rPr>
          <w:spacing w:val="-9"/>
        </w:rPr>
        <w:t> </w:t>
      </w:r>
      <w:r>
        <w:rPr/>
        <w:t>in some cases even negative. In fact, the average correlation between each of these economies’ core inflation rate</w:t>
      </w:r>
      <w:r>
        <w:rPr>
          <w:spacing w:val="-7"/>
        </w:rPr>
        <w:t> </w:t>
      </w:r>
      <w:r>
        <w:rPr/>
        <w:t>with</w:t>
      </w:r>
      <w:r>
        <w:rPr>
          <w:spacing w:val="-7"/>
        </w:rPr>
        <w:t> </w:t>
      </w:r>
      <w:r>
        <w:rPr/>
        <w:t>global</w:t>
      </w:r>
      <w:r>
        <w:rPr>
          <w:spacing w:val="-7"/>
        </w:rPr>
        <w:t> </w:t>
      </w:r>
      <w:r>
        <w:rPr/>
        <w:t>core</w:t>
      </w:r>
      <w:r>
        <w:rPr>
          <w:spacing w:val="-7"/>
        </w:rPr>
        <w:t> </w:t>
      </w:r>
      <w:r>
        <w:rPr/>
        <w:t>inflation</w:t>
      </w:r>
      <w:r>
        <w:rPr>
          <w:spacing w:val="-8"/>
        </w:rPr>
        <w:t> </w:t>
      </w:r>
      <w:r>
        <w:rPr/>
        <w:t>is</w:t>
      </w:r>
      <w:r>
        <w:rPr>
          <w:spacing w:val="-6"/>
        </w:rPr>
        <w:t> </w:t>
      </w:r>
      <w:r>
        <w:rPr/>
        <w:t>only</w:t>
      </w:r>
      <w:r>
        <w:rPr>
          <w:spacing w:val="-6"/>
        </w:rPr>
        <w:t> </w:t>
      </w:r>
      <w:r>
        <w:rPr/>
        <w:t>20%,</w:t>
      </w:r>
      <w:r>
        <w:rPr>
          <w:spacing w:val="-7"/>
        </w:rPr>
        <w:t> </w:t>
      </w:r>
      <w:r>
        <w:rPr/>
        <w:t>with</w:t>
      </w:r>
      <w:r>
        <w:rPr>
          <w:spacing w:val="-7"/>
        </w:rPr>
        <w:t> </w:t>
      </w:r>
      <w:r>
        <w:rPr/>
        <w:t>oil</w:t>
      </w:r>
      <w:r>
        <w:rPr>
          <w:spacing w:val="-6"/>
        </w:rPr>
        <w:t> </w:t>
      </w:r>
      <w:r>
        <w:rPr/>
        <w:t>prices</w:t>
      </w:r>
      <w:r>
        <w:rPr>
          <w:spacing w:val="-6"/>
        </w:rPr>
        <w:t> </w:t>
      </w:r>
      <w:r>
        <w:rPr/>
        <w:t>is</w:t>
      </w:r>
      <w:r>
        <w:rPr>
          <w:spacing w:val="-6"/>
        </w:rPr>
        <w:t> </w:t>
      </w:r>
      <w:r>
        <w:rPr/>
        <w:t>only</w:t>
      </w:r>
      <w:r>
        <w:rPr>
          <w:spacing w:val="-6"/>
        </w:rPr>
        <w:t> </w:t>
      </w:r>
      <w:r>
        <w:rPr/>
        <w:t>9%,</w:t>
      </w:r>
      <w:r>
        <w:rPr>
          <w:spacing w:val="-7"/>
        </w:rPr>
        <w:t> </w:t>
      </w:r>
      <w:r>
        <w:rPr/>
        <w:t>and</w:t>
      </w:r>
      <w:r>
        <w:rPr>
          <w:spacing w:val="-6"/>
        </w:rPr>
        <w:t> </w:t>
      </w:r>
      <w:r>
        <w:rPr/>
        <w:t>with</w:t>
      </w:r>
      <w:r>
        <w:rPr>
          <w:spacing w:val="-7"/>
        </w:rPr>
        <w:t> </w:t>
      </w:r>
      <w:r>
        <w:rPr/>
        <w:t>other</w:t>
      </w:r>
      <w:r>
        <w:rPr>
          <w:spacing w:val="-6"/>
        </w:rPr>
        <w:t> </w:t>
      </w:r>
      <w:r>
        <w:rPr/>
        <w:t>world</w:t>
      </w:r>
      <w:r>
        <w:rPr>
          <w:spacing w:val="-7"/>
        </w:rPr>
        <w:t> </w:t>
      </w:r>
      <w:r>
        <w:rPr/>
        <w:t>export</w:t>
      </w:r>
      <w:r>
        <w:rPr>
          <w:spacing w:val="-5"/>
        </w:rPr>
        <w:t> </w:t>
      </w:r>
      <w:r>
        <w:rPr/>
        <w:t>prices</w:t>
      </w:r>
      <w:r>
        <w:rPr>
          <w:spacing w:val="-6"/>
        </w:rPr>
        <w:t> </w:t>
      </w:r>
      <w:r>
        <w:rPr/>
        <w:t>is</w:t>
      </w:r>
      <w:r>
        <w:rPr>
          <w:spacing w:val="-8"/>
        </w:rPr>
        <w:t> </w:t>
      </w:r>
      <w:r>
        <w:rPr/>
        <w:t>only 8%. UK core inflation is only 15%, 17%, and 8% correlated with global core inflation, oil prices, and other world export prices,</w:t>
      </w:r>
      <w:r>
        <w:rPr>
          <w:spacing w:val="-2"/>
        </w:rPr>
        <w:t> </w:t>
      </w:r>
      <w:r>
        <w:rPr/>
        <w:t>respectively.</w:t>
      </w:r>
    </w:p>
    <w:p>
      <w:pPr>
        <w:pStyle w:val="BodyText"/>
        <w:spacing w:before="7"/>
        <w:rPr>
          <w:sz w:val="27"/>
        </w:rPr>
      </w:pPr>
    </w:p>
    <w:p>
      <w:pPr>
        <w:pStyle w:val="BodyText"/>
        <w:spacing w:line="357" w:lineRule="auto" w:before="1"/>
        <w:ind w:left="386" w:right="628"/>
      </w:pPr>
      <w:r>
        <w:rPr/>
        <w:t>As a more formal test of what may be driving this high comovement in headline inflation rates, but low comovement</w:t>
      </w:r>
      <w:r>
        <w:rPr>
          <w:spacing w:val="-9"/>
        </w:rPr>
        <w:t> </w:t>
      </w:r>
      <w:r>
        <w:rPr/>
        <w:t>in</w:t>
      </w:r>
      <w:r>
        <w:rPr>
          <w:spacing w:val="-9"/>
        </w:rPr>
        <w:t> </w:t>
      </w:r>
      <w:r>
        <w:rPr/>
        <w:t>core</w:t>
      </w:r>
      <w:r>
        <w:rPr>
          <w:spacing w:val="-9"/>
        </w:rPr>
        <w:t> </w:t>
      </w:r>
      <w:r>
        <w:rPr/>
        <w:t>inflation</w:t>
      </w:r>
      <w:r>
        <w:rPr>
          <w:spacing w:val="-9"/>
        </w:rPr>
        <w:t> </w:t>
      </w:r>
      <w:r>
        <w:rPr/>
        <w:t>rates,</w:t>
      </w:r>
      <w:r>
        <w:rPr>
          <w:spacing w:val="-10"/>
        </w:rPr>
        <w:t> </w:t>
      </w:r>
      <w:r>
        <w:rPr/>
        <w:t>I</w:t>
      </w:r>
      <w:r>
        <w:rPr>
          <w:spacing w:val="-9"/>
        </w:rPr>
        <w:t> </w:t>
      </w:r>
      <w:r>
        <w:rPr/>
        <w:t>estimate</w:t>
      </w:r>
      <w:r>
        <w:rPr>
          <w:spacing w:val="-9"/>
        </w:rPr>
        <w:t> </w:t>
      </w:r>
      <w:r>
        <w:rPr/>
        <w:t>the</w:t>
      </w:r>
      <w:r>
        <w:rPr>
          <w:spacing w:val="-10"/>
        </w:rPr>
        <w:t> </w:t>
      </w:r>
      <w:r>
        <w:rPr/>
        <w:t>first-principal</w:t>
      </w:r>
      <w:r>
        <w:rPr>
          <w:spacing w:val="-9"/>
        </w:rPr>
        <w:t> </w:t>
      </w:r>
      <w:r>
        <w:rPr/>
        <w:t>component</w:t>
      </w:r>
      <w:r>
        <w:rPr>
          <w:spacing w:val="-10"/>
        </w:rPr>
        <w:t> </w:t>
      </w:r>
      <w:r>
        <w:rPr/>
        <w:t>of</w:t>
      </w:r>
      <w:r>
        <w:rPr>
          <w:spacing w:val="-9"/>
        </w:rPr>
        <w:t> </w:t>
      </w:r>
      <w:r>
        <w:rPr/>
        <w:t>quarterly</w:t>
      </w:r>
      <w:r>
        <w:rPr>
          <w:spacing w:val="-9"/>
        </w:rPr>
        <w:t> </w:t>
      </w:r>
      <w:r>
        <w:rPr/>
        <w:t>headline</w:t>
      </w:r>
      <w:r>
        <w:rPr>
          <w:spacing w:val="-10"/>
        </w:rPr>
        <w:t> </w:t>
      </w:r>
      <w:r>
        <w:rPr/>
        <w:t>inflation rates. This is basically the shared trend or common component behind headline inflation in all of the countries.</w:t>
      </w:r>
      <w:r>
        <w:rPr>
          <w:spacing w:val="-8"/>
        </w:rPr>
        <w:t> </w:t>
      </w:r>
      <w:r>
        <w:rPr/>
        <w:t>I</w:t>
      </w:r>
      <w:r>
        <w:rPr>
          <w:spacing w:val="-8"/>
        </w:rPr>
        <w:t> </w:t>
      </w:r>
      <w:r>
        <w:rPr/>
        <w:t>estimate</w:t>
      </w:r>
      <w:r>
        <w:rPr>
          <w:spacing w:val="-8"/>
        </w:rPr>
        <w:t> </w:t>
      </w:r>
      <w:r>
        <w:rPr/>
        <w:t>this</w:t>
      </w:r>
      <w:r>
        <w:rPr>
          <w:spacing w:val="-9"/>
        </w:rPr>
        <w:t> </w:t>
      </w:r>
      <w:r>
        <w:rPr/>
        <w:t>for</w:t>
      </w:r>
      <w:r>
        <w:rPr>
          <w:spacing w:val="-8"/>
        </w:rPr>
        <w:t> </w:t>
      </w:r>
      <w:r>
        <w:rPr/>
        <w:t>a</w:t>
      </w:r>
      <w:r>
        <w:rPr>
          <w:spacing w:val="-9"/>
        </w:rPr>
        <w:t> </w:t>
      </w:r>
      <w:r>
        <w:rPr/>
        <w:t>larger</w:t>
      </w:r>
      <w:r>
        <w:rPr>
          <w:spacing w:val="-8"/>
        </w:rPr>
        <w:t> </w:t>
      </w:r>
      <w:r>
        <w:rPr/>
        <w:t>sample</w:t>
      </w:r>
      <w:r>
        <w:rPr>
          <w:spacing w:val="-8"/>
        </w:rPr>
        <w:t> </w:t>
      </w:r>
      <w:r>
        <w:rPr/>
        <w:t>of</w:t>
      </w:r>
      <w:r>
        <w:rPr>
          <w:spacing w:val="-8"/>
        </w:rPr>
        <w:t> </w:t>
      </w:r>
      <w:r>
        <w:rPr/>
        <w:t>48</w:t>
      </w:r>
      <w:r>
        <w:rPr>
          <w:spacing w:val="-9"/>
        </w:rPr>
        <w:t> </w:t>
      </w:r>
      <w:r>
        <w:rPr/>
        <w:t>countries</w:t>
      </w:r>
      <w:r>
        <w:rPr>
          <w:spacing w:val="-7"/>
        </w:rPr>
        <w:t> </w:t>
      </w:r>
      <w:r>
        <w:rPr/>
        <w:t>(both</w:t>
      </w:r>
      <w:r>
        <w:rPr>
          <w:spacing w:val="-8"/>
        </w:rPr>
        <w:t> </w:t>
      </w:r>
      <w:r>
        <w:rPr/>
        <w:t>advanced</w:t>
      </w:r>
      <w:r>
        <w:rPr>
          <w:spacing w:val="-8"/>
        </w:rPr>
        <w:t> </w:t>
      </w:r>
      <w:r>
        <w:rPr/>
        <w:t>and</w:t>
      </w:r>
      <w:r>
        <w:rPr>
          <w:spacing w:val="-8"/>
        </w:rPr>
        <w:t> </w:t>
      </w:r>
      <w:r>
        <w:rPr/>
        <w:t>emerging</w:t>
      </w:r>
      <w:r>
        <w:rPr>
          <w:spacing w:val="-9"/>
        </w:rPr>
        <w:t> </w:t>
      </w:r>
      <w:r>
        <w:rPr/>
        <w:t>markets).</w:t>
      </w:r>
      <w:r>
        <w:rPr>
          <w:spacing w:val="-8"/>
        </w:rPr>
        <w:t> </w:t>
      </w:r>
      <w:r>
        <w:rPr/>
        <w:t>This shared</w:t>
      </w:r>
      <w:r>
        <w:rPr>
          <w:spacing w:val="-8"/>
        </w:rPr>
        <w:t> </w:t>
      </w:r>
      <w:r>
        <w:rPr/>
        <w:t>principal</w:t>
      </w:r>
      <w:r>
        <w:rPr>
          <w:spacing w:val="-7"/>
        </w:rPr>
        <w:t> </w:t>
      </w:r>
      <w:r>
        <w:rPr/>
        <w:t>component</w:t>
      </w:r>
      <w:r>
        <w:rPr>
          <w:spacing w:val="-8"/>
        </w:rPr>
        <w:t> </w:t>
      </w:r>
      <w:r>
        <w:rPr/>
        <w:t>is</w:t>
      </w:r>
      <w:r>
        <w:rPr>
          <w:spacing w:val="-7"/>
        </w:rPr>
        <w:t> </w:t>
      </w:r>
      <w:r>
        <w:rPr/>
        <w:t>graphed</w:t>
      </w:r>
      <w:r>
        <w:rPr>
          <w:spacing w:val="-9"/>
        </w:rPr>
        <w:t> </w:t>
      </w:r>
      <w:r>
        <w:rPr/>
        <w:t>in</w:t>
      </w:r>
      <w:r>
        <w:rPr>
          <w:spacing w:val="-7"/>
        </w:rPr>
        <w:t> </w:t>
      </w:r>
      <w:r>
        <w:rPr/>
        <w:t>Figure</w:t>
      </w:r>
      <w:r>
        <w:rPr>
          <w:spacing w:val="-9"/>
        </w:rPr>
        <w:t> </w:t>
      </w:r>
      <w:r>
        <w:rPr/>
        <w:t>12</w:t>
      </w:r>
      <w:r>
        <w:rPr>
          <w:spacing w:val="-7"/>
        </w:rPr>
        <w:t> </w:t>
      </w:r>
      <w:r>
        <w:rPr/>
        <w:t>and</w:t>
      </w:r>
      <w:r>
        <w:rPr>
          <w:spacing w:val="-8"/>
        </w:rPr>
        <w:t> </w:t>
      </w:r>
      <w:r>
        <w:rPr/>
        <w:t>can</w:t>
      </w:r>
      <w:r>
        <w:rPr>
          <w:spacing w:val="-8"/>
        </w:rPr>
        <w:t> </w:t>
      </w:r>
      <w:r>
        <w:rPr/>
        <w:t>explain</w:t>
      </w:r>
      <w:r>
        <w:rPr>
          <w:spacing w:val="-7"/>
        </w:rPr>
        <w:t> </w:t>
      </w:r>
      <w:r>
        <w:rPr/>
        <w:t>about</w:t>
      </w:r>
      <w:r>
        <w:rPr>
          <w:spacing w:val="-8"/>
        </w:rPr>
        <w:t> </w:t>
      </w:r>
      <w:r>
        <w:rPr/>
        <w:t>30%</w:t>
      </w:r>
      <w:r>
        <w:rPr>
          <w:spacing w:val="-8"/>
        </w:rPr>
        <w:t> </w:t>
      </w:r>
      <w:r>
        <w:rPr/>
        <w:t>of</w:t>
      </w:r>
      <w:r>
        <w:rPr>
          <w:spacing w:val="-8"/>
        </w:rPr>
        <w:t> </w:t>
      </w:r>
      <w:r>
        <w:rPr/>
        <w:t>the</w:t>
      </w:r>
      <w:r>
        <w:rPr>
          <w:spacing w:val="-7"/>
        </w:rPr>
        <w:t> </w:t>
      </w:r>
      <w:r>
        <w:rPr/>
        <w:t>overall</w:t>
      </w:r>
      <w:r>
        <w:rPr>
          <w:spacing w:val="-7"/>
        </w:rPr>
        <w:t> </w:t>
      </w:r>
      <w:r>
        <w:rPr/>
        <w:t>variance</w:t>
      </w:r>
      <w:r>
        <w:rPr>
          <w:spacing w:val="-7"/>
        </w:rPr>
        <w:t> </w:t>
      </w:r>
      <w:r>
        <w:rPr/>
        <w:t>of</w:t>
      </w:r>
    </w:p>
    <w:p>
      <w:pPr>
        <w:spacing w:after="0" w:line="357" w:lineRule="auto"/>
        <w:sectPr>
          <w:type w:val="continuous"/>
          <w:pgSz w:w="12240" w:h="15840"/>
          <w:pgMar w:top="1120" w:bottom="1440" w:left="1200" w:right="1060"/>
        </w:sectPr>
      </w:pPr>
    </w:p>
    <w:p>
      <w:pPr>
        <w:pStyle w:val="BodyText"/>
        <w:spacing w:line="357" w:lineRule="auto" w:before="79"/>
        <w:ind w:left="386" w:right="628"/>
      </w:pPr>
      <w:r>
        <w:rPr/>
        <w:t>inflation</w:t>
      </w:r>
      <w:r>
        <w:rPr>
          <w:spacing w:val="-10"/>
        </w:rPr>
        <w:t> </w:t>
      </w:r>
      <w:r>
        <w:rPr/>
        <w:t>rates.</w:t>
      </w:r>
      <w:r>
        <w:rPr>
          <w:spacing w:val="-9"/>
        </w:rPr>
        <w:t> </w:t>
      </w:r>
      <w:r>
        <w:rPr/>
        <w:t>The</w:t>
      </w:r>
      <w:r>
        <w:rPr>
          <w:spacing w:val="-9"/>
        </w:rPr>
        <w:t> </w:t>
      </w:r>
      <w:r>
        <w:rPr/>
        <w:t>figure</w:t>
      </w:r>
      <w:r>
        <w:rPr>
          <w:spacing w:val="-9"/>
        </w:rPr>
        <w:t> </w:t>
      </w:r>
      <w:r>
        <w:rPr/>
        <w:t>shows</w:t>
      </w:r>
      <w:r>
        <w:rPr>
          <w:spacing w:val="-8"/>
        </w:rPr>
        <w:t> </w:t>
      </w:r>
      <w:r>
        <w:rPr/>
        <w:t>that</w:t>
      </w:r>
      <w:r>
        <w:rPr>
          <w:spacing w:val="-7"/>
        </w:rPr>
        <w:t> </w:t>
      </w:r>
      <w:r>
        <w:rPr/>
        <w:t>this</w:t>
      </w:r>
      <w:r>
        <w:rPr>
          <w:spacing w:val="-9"/>
        </w:rPr>
        <w:t> </w:t>
      </w:r>
      <w:r>
        <w:rPr/>
        <w:t>shared</w:t>
      </w:r>
      <w:r>
        <w:rPr>
          <w:spacing w:val="-10"/>
        </w:rPr>
        <w:t> </w:t>
      </w:r>
      <w:r>
        <w:rPr/>
        <w:t>component</w:t>
      </w:r>
      <w:r>
        <w:rPr>
          <w:spacing w:val="-9"/>
        </w:rPr>
        <w:t> </w:t>
      </w:r>
      <w:r>
        <w:rPr/>
        <w:t>moves</w:t>
      </w:r>
      <w:r>
        <w:rPr>
          <w:spacing w:val="-8"/>
        </w:rPr>
        <w:t> </w:t>
      </w:r>
      <w:r>
        <w:rPr/>
        <w:t>closely</w:t>
      </w:r>
      <w:r>
        <w:rPr>
          <w:spacing w:val="-6"/>
        </w:rPr>
        <w:t> </w:t>
      </w:r>
      <w:r>
        <w:rPr/>
        <w:t>with</w:t>
      </w:r>
      <w:r>
        <w:rPr>
          <w:spacing w:val="-10"/>
        </w:rPr>
        <w:t> </w:t>
      </w:r>
      <w:r>
        <w:rPr/>
        <w:t>oil</w:t>
      </w:r>
      <w:r>
        <w:rPr>
          <w:spacing w:val="-9"/>
        </w:rPr>
        <w:t> </w:t>
      </w:r>
      <w:r>
        <w:rPr/>
        <w:t>prices,</w:t>
      </w:r>
      <w:r>
        <w:rPr>
          <w:spacing w:val="-9"/>
        </w:rPr>
        <w:t> </w:t>
      </w:r>
      <w:r>
        <w:rPr/>
        <w:t>with</w:t>
      </w:r>
      <w:r>
        <w:rPr>
          <w:spacing w:val="-10"/>
        </w:rPr>
        <w:t> </w:t>
      </w:r>
      <w:r>
        <w:rPr/>
        <w:t>a</w:t>
      </w:r>
      <w:r>
        <w:rPr>
          <w:spacing w:val="-9"/>
        </w:rPr>
        <w:t> </w:t>
      </w:r>
      <w:r>
        <w:rPr/>
        <w:t>correlation of 54%.</w:t>
      </w:r>
      <w:r>
        <w:rPr>
          <w:vertAlign w:val="superscript"/>
        </w:rPr>
        <w:t>13</w:t>
      </w:r>
      <w:r>
        <w:rPr>
          <w:vertAlign w:val="baseline"/>
        </w:rPr>
        <w:t> This shared principal component is also correlated with global food prices, albeit with a lower correlation of only 28%.</w:t>
      </w:r>
      <w:r>
        <w:rPr>
          <w:vertAlign w:val="superscript"/>
        </w:rPr>
        <w:t>14</w:t>
      </w:r>
      <w:r>
        <w:rPr>
          <w:vertAlign w:val="baseline"/>
        </w:rPr>
        <w:t> Figure 12 also shows that this shared principal component for inflation rates has been negative for an unusually long period and has not reached such low levels in over 15 years—except during</w:t>
      </w:r>
      <w:r>
        <w:rPr>
          <w:spacing w:val="-4"/>
          <w:vertAlign w:val="baseline"/>
        </w:rPr>
        <w:t> </w:t>
      </w:r>
      <w:r>
        <w:rPr>
          <w:vertAlign w:val="baseline"/>
        </w:rPr>
        <w:t>the</w:t>
      </w:r>
      <w:r>
        <w:rPr>
          <w:spacing w:val="-4"/>
          <w:vertAlign w:val="baseline"/>
        </w:rPr>
        <w:t> </w:t>
      </w:r>
      <w:r>
        <w:rPr>
          <w:vertAlign w:val="baseline"/>
        </w:rPr>
        <w:t>peak</w:t>
      </w:r>
      <w:r>
        <w:rPr>
          <w:spacing w:val="-2"/>
          <w:vertAlign w:val="baseline"/>
        </w:rPr>
        <w:t> </w:t>
      </w:r>
      <w:r>
        <w:rPr>
          <w:vertAlign w:val="baseline"/>
        </w:rPr>
        <w:t>of</w:t>
      </w:r>
      <w:r>
        <w:rPr>
          <w:spacing w:val="-5"/>
          <w:vertAlign w:val="baseline"/>
        </w:rPr>
        <w:t> </w:t>
      </w:r>
      <w:r>
        <w:rPr>
          <w:vertAlign w:val="baseline"/>
        </w:rPr>
        <w:t>the</w:t>
      </w:r>
      <w:r>
        <w:rPr>
          <w:spacing w:val="-3"/>
          <w:vertAlign w:val="baseline"/>
        </w:rPr>
        <w:t> </w:t>
      </w:r>
      <w:r>
        <w:rPr>
          <w:vertAlign w:val="baseline"/>
        </w:rPr>
        <w:t>global</w:t>
      </w:r>
      <w:r>
        <w:rPr>
          <w:spacing w:val="-4"/>
          <w:vertAlign w:val="baseline"/>
        </w:rPr>
        <w:t> </w:t>
      </w:r>
      <w:r>
        <w:rPr>
          <w:vertAlign w:val="baseline"/>
        </w:rPr>
        <w:t>financial</w:t>
      </w:r>
      <w:r>
        <w:rPr>
          <w:spacing w:val="-3"/>
          <w:vertAlign w:val="baseline"/>
        </w:rPr>
        <w:t> </w:t>
      </w:r>
      <w:r>
        <w:rPr>
          <w:vertAlign w:val="baseline"/>
        </w:rPr>
        <w:t>crisis</w:t>
      </w:r>
      <w:r>
        <w:rPr>
          <w:spacing w:val="-3"/>
          <w:vertAlign w:val="baseline"/>
        </w:rPr>
        <w:t> </w:t>
      </w:r>
      <w:r>
        <w:rPr>
          <w:vertAlign w:val="baseline"/>
        </w:rPr>
        <w:t>and</w:t>
      </w:r>
      <w:r>
        <w:rPr>
          <w:spacing w:val="-3"/>
          <w:vertAlign w:val="baseline"/>
        </w:rPr>
        <w:t> </w:t>
      </w:r>
      <w:r>
        <w:rPr>
          <w:vertAlign w:val="baseline"/>
        </w:rPr>
        <w:t>alongside</w:t>
      </w:r>
      <w:r>
        <w:rPr>
          <w:spacing w:val="-4"/>
          <w:vertAlign w:val="baseline"/>
        </w:rPr>
        <w:t> </w:t>
      </w:r>
      <w:r>
        <w:rPr>
          <w:vertAlign w:val="baseline"/>
        </w:rPr>
        <w:t>another</w:t>
      </w:r>
      <w:r>
        <w:rPr>
          <w:spacing w:val="-3"/>
          <w:vertAlign w:val="baseline"/>
        </w:rPr>
        <w:t> </w:t>
      </w:r>
      <w:r>
        <w:rPr>
          <w:vertAlign w:val="baseline"/>
        </w:rPr>
        <w:t>significant</w:t>
      </w:r>
      <w:r>
        <w:rPr>
          <w:spacing w:val="-2"/>
          <w:vertAlign w:val="baseline"/>
        </w:rPr>
        <w:t> </w:t>
      </w:r>
      <w:r>
        <w:rPr>
          <w:vertAlign w:val="baseline"/>
        </w:rPr>
        <w:t>oil</w:t>
      </w:r>
      <w:r>
        <w:rPr>
          <w:spacing w:val="-4"/>
          <w:vertAlign w:val="baseline"/>
        </w:rPr>
        <w:t> </w:t>
      </w:r>
      <w:r>
        <w:rPr>
          <w:vertAlign w:val="baseline"/>
        </w:rPr>
        <w:t>price</w:t>
      </w:r>
      <w:r>
        <w:rPr>
          <w:spacing w:val="-4"/>
          <w:vertAlign w:val="baseline"/>
        </w:rPr>
        <w:t> </w:t>
      </w:r>
      <w:r>
        <w:rPr>
          <w:vertAlign w:val="baseline"/>
        </w:rPr>
        <w:t>fall.</w:t>
      </w:r>
    </w:p>
    <w:p>
      <w:pPr>
        <w:pStyle w:val="BodyText"/>
        <w:spacing w:before="8"/>
        <w:rPr>
          <w:sz w:val="24"/>
        </w:rPr>
      </w:pPr>
    </w:p>
    <w:p>
      <w:pPr>
        <w:spacing w:after="0"/>
        <w:rPr>
          <w:sz w:val="24"/>
        </w:rPr>
        <w:sectPr>
          <w:pgSz w:w="12240" w:h="15840"/>
          <w:pgMar w:header="0" w:footer="1240" w:top="1440" w:bottom="1440" w:left="1200" w:right="1060"/>
        </w:sectPr>
      </w:pPr>
    </w:p>
    <w:p>
      <w:pPr>
        <w:spacing w:line="278" w:lineRule="auto" w:before="97"/>
        <w:ind w:left="295" w:right="0" w:firstLine="0"/>
        <w:jc w:val="left"/>
        <w:rPr>
          <w:b/>
          <w:sz w:val="18"/>
        </w:rPr>
      </w:pPr>
      <w:r>
        <w:rPr>
          <w:b/>
          <w:sz w:val="18"/>
        </w:rPr>
        <w:t>Figure 12: First principal component of quarterly headline inflation rates of 48 countries and quarterly changes in the brent oil price ($)</w:t>
      </w:r>
    </w:p>
    <w:p>
      <w:pPr>
        <w:spacing w:line="278" w:lineRule="auto" w:before="112"/>
        <w:ind w:left="295" w:right="461" w:firstLine="0"/>
        <w:jc w:val="left"/>
        <w:rPr>
          <w:b/>
          <w:sz w:val="18"/>
        </w:rPr>
      </w:pPr>
      <w:r>
        <w:rPr/>
        <w:br w:type="column"/>
      </w:r>
      <w:r>
        <w:rPr>
          <w:b/>
          <w:sz w:val="18"/>
        </w:rPr>
        <w:t>Figure 13: Correlation of selected countries’ quarterly </w:t>
      </w:r>
      <w:r>
        <w:rPr>
          <w:b/>
          <w:sz w:val="18"/>
          <w:u w:val="single"/>
        </w:rPr>
        <w:t>headline</w:t>
      </w:r>
      <w:r>
        <w:rPr>
          <w:b/>
          <w:sz w:val="18"/>
        </w:rPr>
        <w:t> inflation rates with two-year lagged world inflation, oil prices and world</w:t>
      </w:r>
    </w:p>
    <w:p>
      <w:pPr>
        <w:spacing w:after="0" w:line="278" w:lineRule="auto"/>
        <w:jc w:val="left"/>
        <w:rPr>
          <w:sz w:val="18"/>
        </w:rPr>
        <w:sectPr>
          <w:type w:val="continuous"/>
          <w:pgSz w:w="12240" w:h="15840"/>
          <w:pgMar w:top="1120" w:bottom="1440" w:left="1200" w:right="1060"/>
          <w:cols w:num="2" w:equalWidth="0">
            <w:col w:w="4657" w:space="45"/>
            <w:col w:w="5278"/>
          </w:cols>
        </w:sectPr>
      </w:pPr>
    </w:p>
    <w:p>
      <w:pPr>
        <w:spacing w:line="247" w:lineRule="auto" w:before="108"/>
        <w:ind w:left="388" w:right="0" w:firstLine="0"/>
        <w:jc w:val="left"/>
        <w:rPr>
          <w:sz w:val="18"/>
        </w:rPr>
      </w:pPr>
      <w:r>
        <w:rPr>
          <w:sz w:val="18"/>
        </w:rPr>
        <w:t>Percentage change on previous quarter</w:t>
      </w:r>
    </w:p>
    <w:p>
      <w:pPr>
        <w:spacing w:before="79"/>
        <w:ind w:left="344" w:right="0" w:firstLine="0"/>
        <w:jc w:val="left"/>
        <w:rPr>
          <w:sz w:val="18"/>
        </w:rPr>
      </w:pPr>
      <w:r>
        <w:rPr/>
        <w:pict>
          <v:group style="position:absolute;margin-left:92.400002pt;margin-top:8.841162pt;width:186.25pt;height:121.35pt;mso-position-horizontal-relative:page;mso-position-vertical-relative:paragraph;z-index:251703296" coordorigin="1848,177" coordsize="3725,2427">
            <v:line style="position:absolute" from="5516,184" to="5516,2596" stroked="true" strokeweight=".72pt" strokecolor="#868686">
              <v:stroke dashstyle="solid"/>
            </v:line>
            <v:shape style="position:absolute;left:5516;top:176;width:57;height:2427" coordorigin="5516,177" coordsize="57,2427" path="m5573,2589l5516,2589,5516,2603,5573,2603,5573,2589m5573,2349l5516,2349,5516,2363,5573,2363,5573,2349m5573,2109l5516,2109,5516,2123,5573,2123,5573,2109m5573,1856l5516,1856,5516,1870,5573,1870,5573,1856m5573,1616l5516,1616,5516,1630,5573,1630,5573,1616m5573,1376l5516,1376,5516,1390,5573,1390,5573,1376m5573,1136l5516,1136,5516,1150,5573,1150,5573,1136m5573,896l5516,896,5516,910,5573,910,5573,896m5573,656l5516,656,5516,670,5573,670,5573,656m5573,417l5516,417,5516,430,5573,430,5573,417m5573,177l5516,177,5516,190,5573,190,5573,177e" filled="true" fillcolor="#868686" stroked="false">
              <v:path arrowok="t"/>
              <v:fill type="solid"/>
            </v:shape>
            <v:line style="position:absolute" from="1905,184" to="1905,2596" stroked="true" strokeweight=".66pt" strokecolor="#868686">
              <v:stroke dashstyle="solid"/>
            </v:line>
            <v:shape style="position:absolute;left:1848;top:176;width:57;height:2427" coordorigin="1848,177" coordsize="57,2427" path="m1904,2589l1848,2589,1848,2603,1904,2603,1904,2589m1904,2180l1848,2180,1848,2194,1904,2194,1904,2180m1904,1785l1848,1785,1848,1799,1904,1799,1904,1785m1904,1376l1848,1376,1848,1390,1904,1390,1904,1376m1904,981l1848,981,1848,995,1904,995,1904,981m1904,572l1848,572,1848,586,1904,586,1904,572m1904,177l1848,177,1848,190,1904,190,1904,177e" filled="true" fillcolor="#868686" stroked="false">
              <v:path arrowok="t"/>
              <v:fill type="solid"/>
            </v:shape>
            <v:line style="position:absolute" from="1904,1383" to="5516,1383" stroked="true" strokeweight=".72pt" strokecolor="#868686">
              <v:stroke dashstyle="solid"/>
            </v:line>
            <v:shape style="position:absolute;left:2533;top:1382;width:2567;height:57" coordorigin="2533,1383" coordsize="2567,57" path="m2546,1383l2533,1383,2533,1439,2546,1439,2546,1383m3196,1383l3181,1383,3181,1439,3196,1439,3196,1383m3830,1383l3816,1383,3816,1439,3830,1439,3830,1383m4465,1383l4451,1383,4451,1439,4465,1439,4465,1383m5100,1383l5087,1383,5087,1439,5100,1439,5100,1383e" filled="true" fillcolor="#868686" stroked="false">
              <v:path arrowok="t"/>
              <v:fill type="solid"/>
            </v:shape>
            <v:shape style="position:absolute;left:1923;top:529;width:3587;height:1708" coordorigin="1924,529" coordsize="3587,1708" path="m4127,673l4099,673,4120,683,4102,692,4156,1011,4198,2195,4198,2201,4200,2205,4205,2207,4261,2235,4266,2237,4271,2237,4278,2233,4282,2229,4282,2225,4282,2221,4254,2221,4257,2202,4244,2195,4225,2195,4218,2181,4225,2181,4183,1007,4127,673xm4257,2202l4254,2221,4274,2211,4257,2202xm4488,1391l4475,1391,4470,1393,4411,1481,4369,1553,4367,1555,4367,1557,4310,1881,4257,2202,4274,2211,4254,2221,4282,2221,4338,1887,4394,1567,4393,1567,4394,1563,4396,1563,4435,1497,4481,1429,4469,1413,4504,1413,4490,1395,4488,1391xm4218,2181l4225,2195,4225,2185,4218,2181xm4225,2185l4225,2195,4244,2195,4225,2185xm4225,2181l4218,2181,4225,2185,4225,2181xm5426,1696l5482,1999,5483,2007,5490,2013,5498,2011,5506,2011,5510,2003,5509,1995,5455,1699,5432,1699,5426,1696xm3201,1351l3148,1377,3144,1379,3142,1383,3084,1555,3083,1557,3059,1735,3068,1869,3041,1869,3041,1877,3047,1883,3061,1883,3067,1879,3068,1871,3110,1561,3112,1561,3164,1403,3160,1403,3167,1395,3176,1395,3216,1375,3218,1373,3222,1371,3232,1355,3198,1355,3201,1351xm3012,1081l2984,1081,3012,1085,2990,1157,3041,1869,3041,1869,3059,1735,3012,1081xm3059,1735l3041,1869,3068,1869,3059,1735xm5242,1449l5242,1449,5228,1520,5270,1731,5270,1735,5272,1737,5274,1739,5316,1781,5320,1785,5333,1785,5336,1781,5345,1765,5314,1765,5322,1748,5301,1727,5298,1727,5293,1719,5296,1719,5242,1449xm5322,1748l5314,1765,5336,1761,5322,1748xm5382,1643l5374,1645,5322,1748,5336,1761,5314,1765,5345,1765,5389,1678,5376,1671,5395,1665,5428,1665,5389,1647,5382,1643xm5058,1449l5100,1731,5101,1737,5106,1741,5111,1743,5167,1757,5176,1757,5178,1755,5182,1753,5184,1749,5185,1745,5186,1741,5158,1741,5160,1727,5129,1727,5118,1715,5127,1715,5088,1461,5072,1461,5058,1449xm5161,1726l5158,1741,5174,1729,5161,1726xm5234,1433l5220,1433,5215,1437,5214,1445,5161,1726,5174,1729,5158,1741,5186,1741,5228,1520,5214,1449,5242,1449,5242,1445,5240,1437,5234,1433xm5118,1715l5129,1727,5127,1718,5118,1715xm5127,1718l5129,1727,5160,1727,5161,1726,5127,1718xm5293,1719l5298,1727,5297,1723,5293,1719xm5297,1723l5298,1727,5301,1727,5297,1723xm5296,1719l5293,1719,5297,1723,5296,1719xm5127,1715l5118,1715,5127,1718,5127,1715xm5425,1689l5426,1696,5432,1699,5425,1689xm5454,1689l5425,1689,5432,1699,5455,1699,5454,1689xm5428,1665l5395,1665,5389,1678,5426,1696,5425,1689,5454,1689,5453,1685,5452,1679,5449,1677,5446,1673,5428,1665xm5395,1665l5376,1671,5389,1678,5395,1665xm1940,1275l1934,1279,1927,1283,1924,1291,1927,1299,1970,1383,2026,1523,2027,1523,2027,1525,2028,1527,2084,1597,2087,1599,2143,1641,2147,1643,2153,1645,2156,1643,2161,1641,2165,1637,2166,1633,2167,1627,2138,1627,2143,1606,2106,1579,2106,1579,2104,1577,2104,1577,2050,1509,2051,1509,1996,1371,1952,1285,1949,1277,1940,1275xm2646,927l2646,927,2629,1065,2659,1407,2660,1407,2717,1635,2718,1641,2724,1645,2731,1643,2737,1643,2743,1639,2745,1629,2717,1629,2727,1558,2688,1403,2688,1403,2646,927xm2727,1558l2717,1629,2744,1627,2727,1558xm2789,1235l2784,1235,2780,1237,2776,1239,2773,1243,2773,1247,2727,1558,2744,1627,2717,1629,2745,1629,2798,1271,2780,1263,2801,1251,2821,1251,2792,1237,2789,1235xm2143,1606l2138,1627,2160,1619,2143,1606xm2239,1325l2183,1411,2180,1413,2180,1415,2143,1606,2160,1619,2138,1627,2167,1627,2207,1427,2206,1427,2208,1421,2210,1421,2262,1341,2263,1341,2263,1339,2267,1329,2238,1329,2239,1325xm3706,1239l3703,1239,3690,1282,3732,1409,3774,1591,3776,1597,3782,1601,3796,1601,3800,1597,3802,1591,3803,1585,3774,1585,3787,1522,3760,1401,3706,1239xm3787,1522l3774,1585,3802,1585,3787,1522xm3906,1193l3895,1193,3890,1197,3832,1313,3832,1317,3830,1317,3787,1522,3802,1585,3803,1585,3858,1325,3857,1325,3901,1237,3889,1215,3913,1213,3921,1213,3913,1199,3911,1195,3906,1193xm2104,1577l2106,1579,2106,1579,2104,1577xm2106,1579l2106,1579,2106,1579,2106,1579xm2104,1577l2104,1577,2106,1579,2104,1577xm4394,1563l4393,1567,4394,1566,4394,1563xm4394,1566l4393,1567,4394,1567,4394,1566xm4396,1563l4394,1563,4394,1566,4396,1563xm3112,1561l3110,1561,3110,1565,3112,1561xm5242,1449l5214,1449,5228,1520,5242,1449xm2051,1509l2050,1509,2052,1511,2051,1509xm3381,1281l3352,1281,3378,1283,3363,1322,3408,1493,3409,1497,3413,1503,3419,1503,3424,1505,3430,1503,3432,1497,3442,1485,3436,1485,3410,1481,3428,1458,3381,1281xm4918,1253l4889,1253,4907,1263,4892,1268,4945,1493,4946,1497,4950,1501,4955,1503,4964,1503,4968,1499,4987,1485,4973,1485,4951,1479,4968,1466,4918,1253xm4504,1413l4492,1413,4481,1429,4530,1491,4538,1491,4544,1487,4570,1467,4547,1467,4528,1463,4538,1456,4504,1413xm2831,1286l2872,1479,2873,1485,2879,1489,2892,1489,2897,1485,2899,1479,2901,1473,2899,1473,2872,1471,2887,1414,2860,1289,2837,1289,2831,1286xm3428,1458l3410,1481,3436,1485,3428,1458xm3465,1411l3428,1458,3436,1485,3442,1485,3488,1427,3491,1425,3492,1423,3492,1421,3493,1417,3464,1417,3465,1411xm4968,1466l4951,1479,4973,1485,4968,1466xm5080,1433l5012,1433,5008,1435,4968,1466,4973,1485,4987,1485,5019,1461,5016,1461,5024,1457,5059,1457,5058,1449,5086,1449,5086,1445,5086,1437,5080,1433xm4707,943l4678,943,4704,945,4689,983,4734,1139,4790,1463,4792,1469,4796,1475,4810,1475,4816,1471,4818,1465,4820,1459,4818,1459,4790,1457,4807,1398,4762,1133,4707,943xm2887,1414l2872,1471,2899,1473,2887,1414xm3000,1065l2993,1065,2987,1069,2984,1077,2928,1259,2887,1413,2887,1415,2899,1473,2901,1473,2956,1267,2990,1157,2984,1081,3012,1081,3012,1073,3006,1067,3000,1065xm4538,1456l4528,1463,4547,1467,4538,1456xm4579,1425l4538,1456,4547,1467,4570,1467,4601,1443,4604,1443,4606,1439,4607,1433,4607,1431,4578,1431,4579,1425xm5024,1457l5016,1461,5019,1461,5024,1457xm5059,1457l5024,1457,5019,1461,5060,1461,5059,1457xm5086,1449l5058,1449,5072,1461,5088,1461,5086,1449xm4807,1398l4790,1457,4818,1459,4807,1398xm4907,1235l4898,1235,4856,1251,4852,1251,4848,1255,4847,1259,4807,1398,4818,1459,4820,1459,4872,1277,4865,1277,4874,1267,4892,1267,4889,1253,4918,1253,4916,1247,4915,1241,4913,1239,4909,1237,4907,1235xm3282,1281l3253,1281,3278,1285,3262,1310,3296,1427,3302,1433,3314,1433,3319,1429,3322,1425,3326,1415,3322,1415,3295,1413,3310,1376,3282,1281xm3536,1125l3534,1125,3524,1193,3563,1337,3564,1339,3564,1341,3565,1341,3622,1427,3624,1431,3630,1433,3635,1433,3641,1431,3644,1427,3647,1423,3649,1415,3619,1415,3628,1386,3592,1331,3590,1331,3588,1325,3589,1325,3536,1125xm4584,1421l4579,1425,4578,1431,4584,1421xm4608,1421l4584,1421,4578,1431,4607,1431,4608,1421xm4492,1413l4469,1413,4481,1429,4492,1413xm2208,1421l2206,1427,2207,1425,2208,1421xm2207,1425l2206,1427,2207,1427,2207,1425xm4698,925l4686,925,4680,929,4678,933,4621,1075,4621,1079,4579,1425,4584,1421,4608,1421,4649,1085,4648,1085,4689,983,4678,943,4707,943,4705,935,4703,929,4698,925xm2210,1421l2208,1421,2207,1425,2210,1421xm3467,1409l3465,1411,3464,1417,3467,1409xm3494,1409l3467,1409,3464,1417,3493,1417,3494,1409xm3310,1376l3295,1413,3322,1415,3310,1376xm3372,1263l3360,1263,3354,1267,3352,1271,3310,1376,3322,1415,3326,1415,3363,1322,3352,1281,3381,1281,3379,1275,3377,1269,3372,1263xm3628,1386l3619,1415,3644,1411,3628,1386xm3696,1221l3683,1221,3678,1225,3676,1231,3628,1386,3644,1411,3619,1415,3649,1415,3690,1282,3676,1239,3706,1239,3703,1231,3701,1225,3696,1221xm3526,1107l3520,1109,3512,1109,3508,1113,3506,1121,3465,1411,3467,1409,3494,1409,3524,1193,3506,1125,3536,1125,3534,1119,3532,1113,3526,1107xm2504,1042l2561,1393,2562,1399,2568,1405,2575,1405,2582,1403,2588,1399,2590,1391,2590,1389,2561,1389,2573,1291,2534,1045,2507,1045,2504,1042xm2688,1401l2688,1403,2688,1403,2688,1401xm3167,1395l3160,1403,3165,1401,3167,1395xm3165,1401l3160,1403,3164,1403,3165,1401xm3176,1395l3167,1395,3165,1401,3176,1395xm2573,1291l2561,1389,2588,1389,2573,1291xm2639,911l2624,911,2618,915,2617,923,2573,1289,2573,1291,2588,1389,2590,1389,2629,1065,2617,927,2646,927,2646,923,2645,917,2639,911xm3204,1349l3201,1351,3198,1355,3204,1349xm3236,1349l3204,1349,3198,1355,3232,1355,3236,1349xm3269,1263l3263,1263,3258,1265,3254,1269,3201,1351,3204,1349,3236,1349,3262,1310,3253,1281,3282,1281,3278,1269,3274,1265,3269,1263xm2350,1197l2392,1337,2394,1343,2400,1349,2407,1347,2413,1347,2419,1343,2419,1335,2420,1331,2392,1331,2401,1269,2401,1268,2383,1207,2363,1207,2350,1197xm2401,1268l2392,1331,2419,1329,2401,1268xm2465,939l2453,941,2449,945,2448,951,2401,1268,2419,1329,2392,1331,2420,1331,2470,991,2450,961,2476,955,2481,955,2474,945,2471,941,2465,939xm3588,1325l3590,1331,3589,1327,3588,1325xm3589,1327l3590,1331,3592,1331,3589,1327xm2370,1179l2302,1179,2296,1181,2294,1187,2238,1329,2267,1329,2316,1207,2306,1207,2320,1199,2350,1199,2350,1197,2380,1197,2377,1189,2375,1183,2370,1179xm3589,1325l3588,1325,3589,1327,3589,1325xm3858,1323l3857,1325,3858,1325,3858,1323xm3352,1281l3363,1322,3378,1283,3352,1281xm3921,1213l3913,1213,3901,1237,3946,1313,3948,1319,3955,1321,3967,1317,3971,1313,3972,1307,3972,1305,3943,1305,3946,1257,3921,1213xm3253,1281l3262,1310,3278,1285,3253,1281xm3946,1257l3943,1305,3970,1299,3946,1257xm4004,529l3998,531,3991,531,3986,537,3986,545,3946,1257,3970,1299,3943,1305,3972,1305,4010,615,3986,549,4014,545,4015,545,4013,539,4010,533,4004,529xm2830,1281l2831,1286,2837,1289,2830,1281xm2858,1281l2830,1281,2837,1289,2860,1289,2858,1281xm2821,1251l2801,1251,2798,1271,2831,1286,2830,1281,2858,1281,2857,1275,2856,1271,2854,1267,2849,1265,2821,1251xm3703,1239l3676,1239,3690,1282,3703,1239xm4874,1267l4865,1277,4872,1275,4874,1267xm4872,1275l4865,1277,4872,1277,4872,1275xm4892,1267l4874,1267,4872,1275,4892,1268,4892,1267xm2801,1251l2780,1263,2798,1271,2801,1251xm4889,1253l4892,1268,4907,1263,4889,1253xm3913,1213l3889,1215,3901,1237,3913,1213xm2320,1199l2306,1207,2316,1207,2320,1199xm2350,1199l2320,1199,2316,1207,2353,1207,2350,1199xm2380,1197l2350,1197,2363,1207,2383,1207,2380,1197xm3534,1125l3506,1125,3524,1193,3534,1125xm2984,1081l2990,1157,3012,1085,2984,1081xm4649,1083l4648,1085,4649,1085,4649,1083xm2646,927l2617,927,2629,1065,2646,927xm2504,1041l2504,1042,2507,1045,2504,1041xm2533,1041l2504,1041,2507,1045,2534,1045,2533,1041xm2481,955l2476,955,2470,991,2504,1042,2504,1041,2533,1041,2532,1035,2532,1031,2531,1029,2481,955xm2476,955l2450,961,2470,991,2476,955xm4678,943l4689,983,4704,945,4678,943xm4015,545l4014,545,4010,615,4043,705,4044,707,4051,713,4060,713,4063,711,4095,695,4069,695,4050,687,4064,680,4015,545xm4064,680l4050,687,4069,695,4064,680xm4115,657l4110,657,4106,659,4064,680,4069,695,4095,695,4102,692,4099,673,4127,673,4127,669,4126,665,4123,659,4120,659,4115,657xm4099,673l4102,692,4120,683,4099,673xm4014,545l3986,549,4010,615,4014,545xe" filled="true" fillcolor="#4a7ebb" stroked="false">
              <v:path arrowok="t"/>
              <v:fill type="solid"/>
            </v:shape>
            <v:shape style="position:absolute;left:1924;top:503;width:3586;height:2100" coordorigin="1925,503" coordsize="3586,2100" path="m4127,743l4109,881,4156,1523,4197,2603,4200,2603,4216,2387,4183,1523,4127,743xm4216,2387l4200,2603,4224,2603,4216,2387xm4310,643l4254,1883,4216,2387,4224,2603,4227,2603,4282,1883,4331,791,4310,643xm2050,1523l1969,1523,1968,1543,1926,2003,1925,2023,1954,2023,1955,2003,1995,1563,1982,1563,1997,1543,2059,1543,2050,1523xm5396,1363l5394,1363,5376,1389,5425,1563,5482,2003,5483,2023,5504,2023,5510,2003,5509,2003,5453,1563,5396,1363xm2725,1818l2716,1938,2717,1943,2717,1963,2743,1963,2744,1943,2725,1818xm2716,1938l2716,1943,2717,1943,2716,1938xm2857,923l2830,923,2773,1183,2772,1183,2725,1818,2744,1943,2801,1183,2840,1015,2830,943,2860,943,2857,923xm2646,1263l2632,1374,2659,1583,2716,1938,2725,1818,2688,1583,2646,1263xm3012,983l2994,1123,3041,1803,3054,1601,3012,983xm3054,1601l3041,1803,3068,1803,3054,1601xm3110,1183l3083,1183,3054,1601,3068,1803,3107,1252,3084,1203,3111,1184,3110,1183xm3792,1668l3774,1763,3775,1783,3800,1783,3802,1763,3802,1759,3792,1668xm3703,1083l3677,1083,3676,1084,3702,1103,3685,1133,3732,1383,3774,1763,3792,1668,3760,1383,3703,1083xm3802,1759l3802,1763,3803,1763,3802,1759xm3888,943l3887,943,3830,1463,3792,1668,3802,1759,3858,1463,3907,1023,3888,943xm2476,1083l2461,1168,2504,1463,2561,1723,2588,1723,2590,1703,2561,1703,2571,1627,2532,1463,2476,1083xm2571,1627l2561,1703,2588,1703,2571,1627xm2617,1263l2571,1627,2588,1703,2590,1703,2632,1374,2617,1263xm2027,1543l2086,1663,2110,1663,2113,1643,2082,1643,2090,1605,2069,1563,2039,1563,2027,1543xm2090,1605l2082,1643,2108,1643,2090,1605xm2202,503l2190,503,2184,523,2180,523,2138,1363,2090,1605,2108,1643,2113,1643,2166,1363,2206,568,2183,543,2207,524,2206,523,2202,503xm5129,1343l5101,1343,5124,1363,5108,1377,5158,1623,5185,1623,5188,1603,5156,1603,5168,1524,5129,1343xm3580,1463l3563,1583,3569,1603,3583,1603,3589,1583,3590,1583,3580,1463xm4916,1183l4902,1280,4945,1603,4963,1528,4916,1183xm4963,1528l4945,1603,4973,1603,4963,1528xm5076,1363l5002,1363,4963,1528,4973,1603,5028,1389,5012,1383,5062,1383,5076,1363xm5168,1524l5156,1603,5185,1603,5168,1524xm5240,1223l5213,1223,5168,1524,5185,1603,5188,1603,5231,1298,5214,1243,5241,1224,5240,1223xm3534,943l3516,1054,3563,1583,3580,1463,3534,943xm3647,1183l3619,1183,3580,1463,3590,1583,3647,1183xm1997,1543l1982,1563,1995,1563,1997,1543xm2027,1543l1997,1543,1995,1563,2037,1563,2027,1543xm2059,1543l2027,1543,2039,1563,2069,1563,2059,1543xm4710,903l4704,903,4688,948,4734,1143,4790,1483,4793,1503,4807,1503,4864,1483,4818,1483,4801,1463,4815,1463,4762,1123,4710,903xm4523,1343l4579,1483,4606,1483,4607,1463,4578,1463,4583,1415,4559,1363,4536,1363,4523,1343xm4815,1463l4801,1463,4818,1483,4815,1463xm4889,1183l4847,1463,4815,1463,4818,1483,4873,1483,4874,1463,4902,1280,4889,1183xm4583,1415l4578,1463,4606,1463,4583,1415xm4705,883l4678,883,4621,1063,4583,1415,4606,1463,4607,1463,4649,1063,4648,1063,4688,948,4678,903,4710,903,4705,883xm5395,1343l5371,1343,5319,1418,5330,1423,5279,1423,5322,1443,5338,1443,5376,1389,5369,1363,5396,1363,5395,1343xm2418,1403l2393,1403,2399,1423,2412,1423,2418,1403xm2860,943l2857,943,2840,1015,2872,1223,2872,1243,2928,1423,2956,1423,2958,1403,2928,1403,2936,1342,2899,1223,2860,943xm5241,1226l5231,1298,5270,1423,5315,1423,5319,1418,5288,1403,5297,1403,5241,1226xm5319,1418l5315,1423,5330,1423,5319,1418xm2208,526l2206,568,2239,603,2237,603,2293,983,2293,1003,2294,1003,2351,1123,2350,1123,2392,1403,2406,1316,2377,1123,2376,1103,2320,983,2321,983,2264,603,2264,583,2262,583,2208,526xm2406,1316l2392,1403,2419,1403,2406,1316xm2476,1063l2448,1063,2406,1316,2419,1403,2461,1168,2448,1083,2476,1083,2476,1063xm2936,1342l2928,1403,2956,1403,2936,1342xm2984,983l2936,1342,2956,1403,2958,1403,2994,1123,2984,983xm5124,1323l5108,1323,5062,1383,5029,1383,5028,1389,5069,1403,5078,1403,5108,1377,5101,1343,5128,1343,5124,1323xm5394,1363l5369,1363,5376,1389,5394,1363xm5029,1383l5012,1383,5028,1389,5029,1383xm5101,1343l5108,1377,5124,1363,5101,1343xm2645,1243l2618,1243,2617,1263,2632,1374,2646,1263,2645,1243xm4338,643l4331,791,4367,1043,4368,1043,4410,1163,4466,1343,4468,1363,4531,1363,4523,1343,4493,1343,4480,1323,4487,1323,4436,1163,4394,1023,4338,643xm4547,1323l4487,1323,4493,1343,4523,1343,4536,1363,4559,1363,4549,1343,4547,1323xm4487,1323l4480,1323,4493,1343,4487,1323xm3111,1185l3107,1252,3140,1323,3167,1323,3176,1303,3140,1303,3154,1275,3111,1185xm3154,1275l3140,1303,3167,1303,3154,1275xm3322,963l3295,963,3253,1143,3258,1143,3202,1183,3197,1183,3154,1275,3167,1303,3176,1303,3223,1203,3218,1203,3275,1163,3280,1143,3307,1040,3295,983,3323,983,3322,963xm5241,1224l5214,1243,5231,1298,5241,1226,5241,1224xm4916,1183l4889,1183,4902,1280,4916,1183xm3467,1183l3413,1183,3375,1223,3375,1224,3379,1243,3353,1243,3355,1263,3373,1263,3430,1223,3485,1223,3491,1203,3464,1203,3467,1183xm3111,1184l3084,1203,3107,1252,3111,1185,3111,1184xm3323,983l3307,1040,3352,1243,3356,1243,3375,1224,3323,983xm3375,1224l3356,1243,3379,1243,3375,1224xm5242,1223l5241,1224,5241,1226,5242,1223xm3534,923l3506,923,3464,1203,3478,1183,3495,1183,3516,1054,3506,943,3534,943,3534,923xm3495,1183l3478,1183,3464,1203,3492,1203,3495,1183xm3676,1085l3620,1183,3647,1183,3646,1203,3685,1133,3676,1085xm4053,1107l4043,1183,4044,1203,4069,1203,4070,1183,4053,1107xm3112,1183l3111,1184,3111,1185,3112,1183xm3915,946l3907,1023,3944,1183,3972,1183,3976,1163,3943,1163,3955,1102,3915,946xm4014,943l4002,1011,4043,1183,4053,1107,4014,943xm4099,743l4053,1107,4070,1183,4109,881,4099,743xm2476,1083l2448,1083,2461,1168,2476,1083xm3955,1102l3943,1163,3971,1163,3955,1102xm3986,943l3955,1102,3971,1163,3976,1163,4002,1011,3986,943xm3676,1084l3676,1085,3685,1133,3702,1103,3676,1084xm3012,963l2986,963,2984,983,2994,1123,3012,983,3012,963xm3676,1083l3676,1085,3676,1084,3676,1083xm3534,943l3506,943,3516,1054,3534,943xm3323,983l3295,983,3307,1040,3323,983xm3914,943l3888,943,3907,1023,3915,946,3914,943xm2857,943l2830,943,2840,1015,2857,943xm4014,943l3986,943,4002,1011,4014,943xm4704,903l4678,903,4688,948,4704,903xm3916,943l3914,943,3915,946,3916,943xm4127,743l4099,743,4109,881,4127,743xm4337,623l4310,623,4310,643,4331,791,4338,643,4337,623xm2207,524l2183,543,2206,568,2208,526,2207,524xm2208,523l2207,524,2208,526,2208,523xe" filled="true" fillcolor="#be4b48" stroked="false">
              <v:path arrowok="t"/>
              <v:fill type="solid"/>
            </v:shape>
            <w10:wrap type="none"/>
          </v:group>
        </w:pict>
      </w:r>
      <w:r>
        <w:rPr>
          <w:spacing w:val="-4"/>
          <w:sz w:val="18"/>
        </w:rPr>
        <w:t>15</w:t>
      </w:r>
    </w:p>
    <w:p>
      <w:pPr>
        <w:pStyle w:val="BodyText"/>
        <w:spacing w:before="10"/>
        <w:rPr>
          <w:sz w:val="16"/>
        </w:rPr>
      </w:pPr>
    </w:p>
    <w:p>
      <w:pPr>
        <w:spacing w:before="0"/>
        <w:ind w:left="344" w:right="0" w:firstLine="0"/>
        <w:jc w:val="left"/>
        <w:rPr>
          <w:sz w:val="18"/>
        </w:rPr>
      </w:pPr>
      <w:r>
        <w:rPr>
          <w:spacing w:val="-4"/>
          <w:sz w:val="18"/>
        </w:rPr>
        <w:t>10</w:t>
      </w:r>
    </w:p>
    <w:p>
      <w:pPr>
        <w:pStyle w:val="BodyText"/>
        <w:spacing w:before="10"/>
        <w:rPr>
          <w:sz w:val="16"/>
        </w:rPr>
      </w:pPr>
    </w:p>
    <w:p>
      <w:pPr>
        <w:spacing w:before="0"/>
        <w:ind w:left="0" w:right="1483" w:firstLine="0"/>
        <w:jc w:val="right"/>
        <w:rPr>
          <w:sz w:val="18"/>
        </w:rPr>
      </w:pPr>
      <w:r>
        <w:rPr>
          <w:w w:val="101"/>
          <w:sz w:val="18"/>
        </w:rPr>
        <w:t>5</w:t>
      </w:r>
    </w:p>
    <w:p>
      <w:pPr>
        <w:pStyle w:val="BodyText"/>
        <w:rPr>
          <w:sz w:val="17"/>
        </w:rPr>
      </w:pPr>
    </w:p>
    <w:p>
      <w:pPr>
        <w:spacing w:before="0"/>
        <w:ind w:left="0" w:right="1483" w:firstLine="0"/>
        <w:jc w:val="right"/>
        <w:rPr>
          <w:sz w:val="18"/>
        </w:rPr>
      </w:pPr>
      <w:r>
        <w:rPr>
          <w:w w:val="101"/>
          <w:sz w:val="18"/>
        </w:rPr>
        <w:t>0</w:t>
      </w:r>
    </w:p>
    <w:p>
      <w:pPr>
        <w:pStyle w:val="BodyText"/>
        <w:spacing w:before="11"/>
        <w:rPr>
          <w:sz w:val="16"/>
        </w:rPr>
      </w:pPr>
    </w:p>
    <w:p>
      <w:pPr>
        <w:spacing w:before="0"/>
        <w:ind w:left="0" w:right="1494" w:firstLine="0"/>
        <w:jc w:val="right"/>
        <w:rPr>
          <w:sz w:val="18"/>
        </w:rPr>
      </w:pPr>
      <w:r>
        <w:rPr>
          <w:spacing w:val="-5"/>
          <w:sz w:val="18"/>
        </w:rPr>
        <w:t>-5</w:t>
      </w:r>
    </w:p>
    <w:p>
      <w:pPr>
        <w:pStyle w:val="BodyText"/>
        <w:spacing w:before="10"/>
        <w:rPr>
          <w:sz w:val="16"/>
        </w:rPr>
      </w:pPr>
    </w:p>
    <w:p>
      <w:pPr>
        <w:spacing w:before="1"/>
        <w:ind w:left="0" w:right="1482" w:firstLine="0"/>
        <w:jc w:val="right"/>
        <w:rPr>
          <w:sz w:val="18"/>
        </w:rPr>
      </w:pPr>
      <w:r>
        <w:rPr>
          <w:sz w:val="18"/>
        </w:rPr>
        <w:t>-10</w:t>
      </w:r>
    </w:p>
    <w:p>
      <w:pPr>
        <w:pStyle w:val="BodyText"/>
        <w:spacing w:before="10"/>
        <w:rPr>
          <w:sz w:val="16"/>
        </w:rPr>
      </w:pPr>
    </w:p>
    <w:p>
      <w:pPr>
        <w:spacing w:before="1"/>
        <w:ind w:left="0" w:right="1482" w:firstLine="0"/>
        <w:jc w:val="right"/>
        <w:rPr>
          <w:sz w:val="18"/>
        </w:rPr>
      </w:pPr>
      <w:r>
        <w:rPr>
          <w:sz w:val="18"/>
        </w:rPr>
        <w:t>-15</w:t>
      </w:r>
    </w:p>
    <w:p>
      <w:pPr>
        <w:spacing w:line="247" w:lineRule="auto" w:before="108"/>
        <w:ind w:left="151" w:right="162" w:firstLine="0"/>
        <w:jc w:val="right"/>
        <w:rPr>
          <w:sz w:val="18"/>
        </w:rPr>
      </w:pPr>
      <w:r>
        <w:rPr/>
        <w:br w:type="column"/>
      </w:r>
      <w:r>
        <w:rPr>
          <w:sz w:val="18"/>
        </w:rPr>
        <w:t>Percentage change</w:t>
      </w:r>
      <w:r>
        <w:rPr>
          <w:w w:val="101"/>
          <w:sz w:val="18"/>
        </w:rPr>
        <w:t> </w:t>
      </w:r>
      <w:r>
        <w:rPr>
          <w:sz w:val="18"/>
        </w:rPr>
        <w:t>on previous quarter</w:t>
      </w:r>
    </w:p>
    <w:p>
      <w:pPr>
        <w:spacing w:before="78"/>
        <w:ind w:left="151" w:right="72" w:firstLine="0"/>
        <w:jc w:val="right"/>
        <w:rPr>
          <w:sz w:val="18"/>
        </w:rPr>
      </w:pPr>
      <w:r>
        <w:rPr>
          <w:spacing w:val="-5"/>
          <w:sz w:val="18"/>
        </w:rPr>
        <w:t>50</w:t>
      </w:r>
    </w:p>
    <w:p>
      <w:pPr>
        <w:spacing w:before="34"/>
        <w:ind w:left="151" w:right="72" w:firstLine="0"/>
        <w:jc w:val="right"/>
        <w:rPr>
          <w:sz w:val="18"/>
        </w:rPr>
      </w:pPr>
      <w:r>
        <w:rPr>
          <w:spacing w:val="-5"/>
          <w:sz w:val="18"/>
        </w:rPr>
        <w:t>40</w:t>
      </w:r>
    </w:p>
    <w:p>
      <w:pPr>
        <w:spacing w:before="35"/>
        <w:ind w:left="151" w:right="72" w:firstLine="0"/>
        <w:jc w:val="right"/>
        <w:rPr>
          <w:sz w:val="18"/>
        </w:rPr>
      </w:pPr>
      <w:r>
        <w:rPr>
          <w:spacing w:val="-5"/>
          <w:sz w:val="18"/>
        </w:rPr>
        <w:t>30</w:t>
      </w:r>
    </w:p>
    <w:p>
      <w:pPr>
        <w:spacing w:before="33"/>
        <w:ind w:left="151" w:right="72" w:firstLine="0"/>
        <w:jc w:val="right"/>
        <w:rPr>
          <w:sz w:val="18"/>
        </w:rPr>
      </w:pPr>
      <w:r>
        <w:rPr>
          <w:spacing w:val="-5"/>
          <w:sz w:val="18"/>
        </w:rPr>
        <w:t>20</w:t>
      </w:r>
    </w:p>
    <w:p>
      <w:pPr>
        <w:spacing w:before="34"/>
        <w:ind w:left="151" w:right="72" w:firstLine="0"/>
        <w:jc w:val="right"/>
        <w:rPr>
          <w:sz w:val="18"/>
        </w:rPr>
      </w:pPr>
      <w:r>
        <w:rPr>
          <w:spacing w:val="-5"/>
          <w:sz w:val="18"/>
        </w:rPr>
        <w:t>10</w:t>
      </w:r>
    </w:p>
    <w:p>
      <w:pPr>
        <w:spacing w:before="34"/>
        <w:ind w:left="0" w:right="167" w:firstLine="0"/>
        <w:jc w:val="right"/>
        <w:rPr>
          <w:sz w:val="18"/>
        </w:rPr>
      </w:pPr>
      <w:r>
        <w:rPr>
          <w:w w:val="101"/>
          <w:sz w:val="18"/>
        </w:rPr>
        <w:t>0</w:t>
      </w:r>
    </w:p>
    <w:p>
      <w:pPr>
        <w:spacing w:before="34"/>
        <w:ind w:left="151" w:right="0" w:firstLine="0"/>
        <w:jc w:val="right"/>
        <w:rPr>
          <w:sz w:val="18"/>
        </w:rPr>
      </w:pPr>
      <w:r>
        <w:rPr>
          <w:sz w:val="18"/>
        </w:rPr>
        <w:t>-10</w:t>
      </w:r>
    </w:p>
    <w:p>
      <w:pPr>
        <w:spacing w:before="35"/>
        <w:ind w:left="151" w:right="0" w:firstLine="0"/>
        <w:jc w:val="right"/>
        <w:rPr>
          <w:sz w:val="18"/>
        </w:rPr>
      </w:pPr>
      <w:r>
        <w:rPr>
          <w:sz w:val="18"/>
        </w:rPr>
        <w:t>-20</w:t>
      </w:r>
    </w:p>
    <w:p>
      <w:pPr>
        <w:spacing w:before="34"/>
        <w:ind w:left="151" w:right="0" w:firstLine="0"/>
        <w:jc w:val="right"/>
        <w:rPr>
          <w:sz w:val="18"/>
        </w:rPr>
      </w:pPr>
      <w:r>
        <w:rPr>
          <w:sz w:val="18"/>
        </w:rPr>
        <w:t>-30</w:t>
      </w:r>
    </w:p>
    <w:p>
      <w:pPr>
        <w:spacing w:before="34"/>
        <w:ind w:left="151" w:right="0" w:firstLine="0"/>
        <w:jc w:val="right"/>
        <w:rPr>
          <w:sz w:val="18"/>
        </w:rPr>
      </w:pPr>
      <w:r>
        <w:rPr>
          <w:sz w:val="18"/>
        </w:rPr>
        <w:t>-40</w:t>
      </w:r>
    </w:p>
    <w:p>
      <w:pPr>
        <w:spacing w:before="34"/>
        <w:ind w:left="151" w:right="0" w:firstLine="0"/>
        <w:jc w:val="right"/>
        <w:rPr>
          <w:sz w:val="18"/>
        </w:rPr>
      </w:pPr>
      <w:r>
        <w:rPr>
          <w:sz w:val="18"/>
        </w:rPr>
        <w:t>-50</w:t>
      </w:r>
    </w:p>
    <w:p>
      <w:pPr>
        <w:spacing w:line="206" w:lineRule="exact" w:before="0"/>
        <w:ind w:left="540" w:right="0" w:hanging="340"/>
        <w:jc w:val="left"/>
        <w:rPr>
          <w:b/>
          <w:sz w:val="18"/>
        </w:rPr>
      </w:pPr>
      <w:r>
        <w:rPr/>
        <w:br w:type="column"/>
      </w:r>
      <w:r>
        <w:rPr>
          <w:b/>
          <w:sz w:val="18"/>
        </w:rPr>
        <w:t>export prices (excluding oil) during 2000-2014</w:t>
      </w:r>
    </w:p>
    <w:p>
      <w:pPr>
        <w:spacing w:line="328" w:lineRule="auto" w:before="120"/>
        <w:ind w:left="540" w:right="1000" w:firstLine="0"/>
        <w:jc w:val="left"/>
        <w:rPr>
          <w:sz w:val="18"/>
        </w:rPr>
      </w:pPr>
      <w:r>
        <w:rPr/>
        <w:pict>
          <v:rect style="position:absolute;margin-left:320.160004pt;margin-top:8.981870pt;width:4.26pt;height:4.26pt;mso-position-horizontal-relative:page;mso-position-vertical-relative:paragraph;z-index:251707392" filled="true" fillcolor="#4f81bd" stroked="false">
            <v:fill type="solid"/>
            <w10:wrap type="none"/>
          </v:rect>
        </w:pict>
      </w:r>
      <w:r>
        <w:rPr/>
        <w:pict>
          <v:rect style="position:absolute;margin-left:320.160004pt;margin-top:23.081871pt;width:4.26pt;height:4.980pt;mso-position-horizontal-relative:page;mso-position-vertical-relative:paragraph;z-index:251708416" filled="true" fillcolor="#c0504d" stroked="false">
            <v:fill type="solid"/>
            <w10:wrap type="none"/>
          </v:rect>
        </w:pict>
      </w:r>
      <w:r>
        <w:rPr>
          <w:sz w:val="18"/>
        </w:rPr>
        <w:t>Global headline inflation (PPP-weighted) Brent oil ($)</w:t>
      </w:r>
    </w:p>
    <w:p>
      <w:pPr>
        <w:tabs>
          <w:tab w:pos="3623" w:val="left" w:leader="none"/>
        </w:tabs>
        <w:spacing w:before="2"/>
        <w:ind w:left="540" w:right="0" w:firstLine="0"/>
        <w:jc w:val="left"/>
        <w:rPr>
          <w:sz w:val="18"/>
        </w:rPr>
      </w:pPr>
      <w:r>
        <w:rPr/>
        <w:pict>
          <v:rect style="position:absolute;margin-left:320.160004pt;margin-top:2.901868pt;width:4.26pt;height:4.92pt;mso-position-horizontal-relative:page;mso-position-vertical-relative:paragraph;z-index:251709440" filled="true" fillcolor="#9bbb59" stroked="false">
            <v:fill type="solid"/>
            <w10:wrap type="none"/>
          </v:rect>
        </w:pict>
      </w:r>
      <w:r>
        <w:rPr>
          <w:sz w:val="18"/>
        </w:rPr>
        <w:t>World  export</w:t>
      </w:r>
      <w:r>
        <w:rPr>
          <w:spacing w:val="-9"/>
          <w:sz w:val="18"/>
        </w:rPr>
        <w:t> </w:t>
      </w:r>
      <w:r>
        <w:rPr>
          <w:sz w:val="18"/>
        </w:rPr>
        <w:t>prices</w:t>
      </w:r>
      <w:r>
        <w:rPr>
          <w:spacing w:val="29"/>
          <w:sz w:val="18"/>
        </w:rPr>
        <w:t> </w:t>
      </w:r>
      <w:r>
        <w:rPr>
          <w:sz w:val="18"/>
        </w:rPr>
        <w:t>(UK-weighted)</w:t>
        <w:tab/>
      </w:r>
      <w:r>
        <w:rPr>
          <w:position w:val="-5"/>
          <w:sz w:val="18"/>
        </w:rPr>
        <w:t>Correlation</w:t>
      </w:r>
    </w:p>
    <w:p>
      <w:pPr>
        <w:spacing w:line="191" w:lineRule="exact" w:before="1"/>
        <w:ind w:left="0" w:right="748" w:firstLine="0"/>
        <w:jc w:val="right"/>
        <w:rPr>
          <w:sz w:val="18"/>
        </w:rPr>
      </w:pPr>
      <w:r>
        <w:rPr>
          <w:sz w:val="18"/>
        </w:rPr>
        <w:t>coefficient</w:t>
      </w:r>
    </w:p>
    <w:p>
      <w:pPr>
        <w:spacing w:line="191" w:lineRule="exact" w:before="0"/>
        <w:ind w:left="0" w:right="679" w:firstLine="0"/>
        <w:jc w:val="right"/>
        <w:rPr>
          <w:sz w:val="18"/>
        </w:rPr>
      </w:pPr>
      <w:r>
        <w:rPr/>
        <w:pict>
          <v:group style="position:absolute;margin-left:317.339996pt;margin-top:3.806855pt;width:189.45pt;height:84.7pt;mso-position-horizontal-relative:page;mso-position-vertical-relative:paragraph;z-index:251706368" coordorigin="6347,76" coordsize="3789,1694">
            <v:line style="position:absolute" from="6431,331" to="6431,613" stroked="true" strokeweight="2.82pt" strokecolor="#4f81bd">
              <v:stroke dashstyle="solid"/>
            </v:line>
            <v:line style="position:absolute" from="6488,105" to="6488,331" stroked="true" strokeweight="2.82pt" strokecolor="#c0504d">
              <v:stroke dashstyle="solid"/>
            </v:line>
            <v:rect style="position:absolute;left:6516;top:274;width:57;height:57" filled="true" fillcolor="#9bbb59" stroked="false">
              <v:fill type="solid"/>
            </v:rect>
            <v:line style="position:absolute" from="6700,331" to="6700,740" stroked="true" strokeweight="2.82pt" strokecolor="#4f81bd">
              <v:stroke dashstyle="solid"/>
            </v:line>
            <v:rect style="position:absolute;left:6728;top:330;width:57;height:128" filled="true" fillcolor="#c0504d" stroked="false">
              <v:fill type="solid"/>
            </v:rect>
            <v:line style="position:absolute" from="6813,331" to="6813,980" stroked="true" strokeweight="2.82pt" strokecolor="#9bbb59">
              <v:stroke dashstyle="solid"/>
            </v:line>
            <v:line style="position:absolute" from="6961,331" to="6961,613" stroked="true" strokeweight="3.54pt" strokecolor="#4f81bd">
              <v:stroke dashstyle="solid"/>
            </v:line>
            <v:rect style="position:absolute;left:6996;top:330;width:57;height:15" filled="true" fillcolor="#c0504d" stroked="false">
              <v:fill type="solid"/>
            </v:rect>
            <v:line style="position:absolute" from="7081,331" to="7081,811" stroked="true" strokeweight="2.82pt" strokecolor="#9bbb59">
              <v:stroke dashstyle="solid"/>
            </v:line>
            <v:line style="position:absolute" from="7222,331" to="7222,880" stroked="true" strokeweight="2.88pt" strokecolor="#4f81bd">
              <v:stroke dashstyle="solid"/>
            </v:line>
            <v:line style="position:absolute" from="7285,331" to="7285,669" stroked="true" strokeweight="3.48pt" strokecolor="#c0504d">
              <v:stroke dashstyle="solid"/>
            </v:line>
            <v:line style="position:absolute" from="7348,331" to="7348,880" stroked="true" strokeweight="2.82pt" strokecolor="#9bbb59">
              <v:stroke dashstyle="solid"/>
            </v:line>
            <v:line style="position:absolute" from="7490,331" to="7490,683" stroked="true" strokeweight="2.82pt" strokecolor="#4f81bd">
              <v:stroke dashstyle="solid"/>
            </v:line>
            <v:rect style="position:absolute;left:7518;top:330;width:57;height:42" filled="true" fillcolor="#c0504d" stroked="false">
              <v:fill type="solid"/>
            </v:rect>
            <v:line style="position:absolute" from="7610,331" to="7610,698" stroked="true" strokeweight="3.54pt" strokecolor="#9bbb59">
              <v:stroke dashstyle="solid"/>
            </v:line>
            <v:line style="position:absolute" from="7757,331" to="7757,782" stroked="true" strokeweight="2.82pt" strokecolor="#4f81bd">
              <v:stroke dashstyle="solid"/>
            </v:line>
            <v:rect style="position:absolute;left:7785;top:232;width:57;height:99" filled="true" fillcolor="#c0504d" stroked="false">
              <v:fill type="solid"/>
            </v:rect>
            <v:line style="position:absolute" from="7870,331" to="7870,711" stroked="true" strokeweight="2.82pt" strokecolor="#9bbb59">
              <v:stroke dashstyle="solid"/>
            </v:line>
            <v:line style="position:absolute" from="8026,331" to="8026,782" stroked="true" strokeweight="2.82pt" strokecolor="#4f81bd">
              <v:stroke dashstyle="solid"/>
            </v:line>
            <v:rect style="position:absolute;left:8054;top:330;width:57;height:57" filled="true" fillcolor="#c0504d" stroked="false">
              <v:fill type="solid"/>
            </v:rect>
            <v:line style="position:absolute" from="8139,331" to="8139,669" stroked="true" strokeweight="2.82pt" strokecolor="#9bbb59">
              <v:stroke dashstyle="solid"/>
            </v:line>
            <v:line style="position:absolute" from="8294,331" to="8294,655" stroked="true" strokeweight="2.82pt" strokecolor="#4f81bd">
              <v:stroke dashstyle="solid"/>
            </v:line>
            <v:line style="position:absolute" from="8350,331" to="8350,725" stroked="true" strokeweight="2.82pt" strokecolor="#c0504d">
              <v:stroke dashstyle="solid"/>
            </v:line>
            <v:rect style="position:absolute;left:8378;top:330;width:57;height:15" filled="true" fillcolor="#9bbb59" stroked="false">
              <v:fill type="solid"/>
            </v:rect>
            <v:line style="position:absolute" from="8555,331" to="8555,669" stroked="true" strokeweight="3.48pt" strokecolor="#4f81bd">
              <v:stroke dashstyle="solid"/>
            </v:line>
            <v:line style="position:absolute" from="8618,331" to="8618,853" stroked="true" strokeweight="2.82pt" strokecolor="#c0504d">
              <v:stroke dashstyle="solid"/>
            </v:line>
            <v:rect style="position:absolute;left:8646;top:301;width:57;height:29" filled="true" fillcolor="#9bbb59" stroked="false">
              <v:fill type="solid"/>
            </v:rect>
            <v:line style="position:absolute" from="8816,331" to="8816,1120" stroked="true" strokeweight="2.82pt" strokecolor="#4f81bd">
              <v:stroke dashstyle="solid"/>
            </v:line>
            <v:rect style="position:absolute;left:8844;top:330;width:71;height:84" filled="true" fillcolor="#c0504d" stroked="false">
              <v:fill type="solid"/>
            </v:rect>
            <v:line style="position:absolute" from="8943,331" to="8943,796" stroked="true" strokeweight="2.82pt" strokecolor="#9bbb59">
              <v:stroke dashstyle="solid"/>
            </v:line>
            <v:line style="position:absolute" from="9083,331" to="9083,698" stroked="true" strokeweight="2.82pt" strokecolor="#4f81bd">
              <v:stroke dashstyle="solid"/>
            </v:line>
            <v:line style="position:absolute" from="9140,331" to="9140,655" stroked="true" strokeweight="2.82pt" strokecolor="#c0504d">
              <v:stroke dashstyle="solid"/>
            </v:line>
            <v:line style="position:absolute" from="9203,331" to="9203,880" stroked="true" strokeweight="3.54pt" strokecolor="#9bbb59">
              <v:stroke dashstyle="solid"/>
            </v:line>
            <v:rect style="position:absolute;left:9324;top:330;width:57;height:84" filled="true" fillcolor="#4f81bd" stroked="false">
              <v:fill type="solid"/>
            </v:rect>
            <v:line style="position:absolute" from="9409,331" to="9409,683" stroked="true" strokeweight="2.82pt" strokecolor="#c0504d">
              <v:stroke dashstyle="solid"/>
            </v:line>
            <v:line style="position:absolute" from="9465,331" to="9465,754" stroked="true" strokeweight="2.82pt" strokecolor="#9bbb59">
              <v:stroke dashstyle="solid"/>
            </v:line>
            <v:line style="position:absolute" from="9620,331" to="9620,1529" stroked="true" strokeweight="2.82pt" strokecolor="#4f81bd">
              <v:stroke dashstyle="solid"/>
            </v:line>
            <v:line style="position:absolute" from="9676,331" to="9676,1304" stroked="true" strokeweight="2.82pt" strokecolor="#c0504d">
              <v:stroke dashstyle="solid"/>
            </v:line>
            <v:line style="position:absolute" from="9733,331" to="9733,1247" stroked="true" strokeweight="2.82pt" strokecolor="#9bbb59">
              <v:stroke dashstyle="solid"/>
            </v:line>
            <v:line style="position:absolute" from="9881,331" to="9881,683" stroked="true" strokeweight="3.54pt" strokecolor="#4f81bd">
              <v:stroke dashstyle="solid"/>
            </v:line>
            <v:line style="position:absolute" from="9945,331" to="9945,529" stroked="true" strokeweight="2.82pt" strokecolor="#c0504d">
              <v:stroke dashstyle="solid"/>
            </v:line>
            <v:line style="position:absolute" from="10001,331" to="10001,782" stroked="true" strokeweight="2.82pt" strokecolor="#9bbb59">
              <v:stroke dashstyle="solid"/>
            </v:line>
            <v:line style="position:absolute" from="10079,83" to="10079,1762" stroked="true" strokeweight=".72pt" strokecolor="#868686">
              <v:stroke dashstyle="solid"/>
            </v:line>
            <v:shape style="position:absolute;left:10078;top:76;width:57;height:1694" coordorigin="10079,76" coordsize="57,1694" path="m10135,1755l10079,1755,10079,1769,10135,1769,10135,1755m10135,1516l10079,1516,10079,1529,10135,1529,10135,1516m10135,1276l10079,1276,10079,1289,10135,1289,10135,1276m10135,1036l10079,1036,10079,1051,10135,1051,10135,1036m10135,796l10079,796,10079,811,10135,811,10135,796m10135,556l10079,556,10079,571,10135,571,10135,556m10135,316l10079,316,10079,331,10135,331,10135,316m10135,76l10079,76,10079,91,10135,91,10135,76e" filled="true" fillcolor="#868686" stroked="false">
              <v:path arrowok="t"/>
              <v:fill type="solid"/>
            </v:shape>
            <v:line style="position:absolute" from="6354,323" to="10079,323" stroked="true" strokeweight=".72pt" strokecolor="#868686">
              <v:stroke dashstyle="solid"/>
            </v:line>
            <v:shape style="position:absolute;left:6346;top:323;width:3471;height:57" coordorigin="6347,323" coordsize="3471,57" path="m6361,323l6347,323,6347,380,6361,380,6361,323m6629,323l6614,323,6614,380,6629,380,6629,323m6898,323l6883,323,6883,380,6898,380,6898,323m7165,323l7151,323,7151,380,7165,380,7165,323m7420,323l7405,323,7405,380,7420,380,7420,323m7687,323l7673,323,7673,380,7687,380,7687,323m7955,323l7942,323,7942,380,7955,380,7955,323m8224,323l8209,323,8209,380,8224,380,8224,323m8491,323l8477,323,8477,380,8491,380,8491,323m8759,323l8746,323,8746,380,8759,380,8759,323m9013,323l8999,323,8999,380,9013,380,9013,323m9281,323l9268,323,9268,380,9281,380,9281,323m9550,323l9535,323,9535,380,9550,380,9550,323m9817,323l9803,323,9803,380,9817,380,9817,323e" filled="true" fillcolor="#868686" stroked="false">
              <v:path arrowok="t"/>
              <v:fill type="solid"/>
            </v:shape>
            <w10:wrap type="none"/>
          </v:group>
        </w:pict>
      </w:r>
      <w:r>
        <w:rPr>
          <w:sz w:val="18"/>
        </w:rPr>
        <w:t>0.1</w:t>
      </w:r>
    </w:p>
    <w:p>
      <w:pPr>
        <w:spacing w:before="32"/>
        <w:ind w:left="4245" w:right="0" w:firstLine="0"/>
        <w:jc w:val="left"/>
        <w:rPr>
          <w:sz w:val="18"/>
        </w:rPr>
      </w:pPr>
      <w:r>
        <w:rPr>
          <w:w w:val="101"/>
          <w:sz w:val="18"/>
        </w:rPr>
        <w:t>0</w:t>
      </w:r>
    </w:p>
    <w:p>
      <w:pPr>
        <w:spacing w:before="31"/>
        <w:ind w:left="4245" w:right="0" w:firstLine="0"/>
        <w:jc w:val="left"/>
        <w:rPr>
          <w:sz w:val="18"/>
        </w:rPr>
      </w:pPr>
      <w:r>
        <w:rPr>
          <w:spacing w:val="2"/>
          <w:sz w:val="18"/>
        </w:rPr>
        <w:t>-0.1</w:t>
      </w:r>
    </w:p>
    <w:p>
      <w:pPr>
        <w:spacing w:before="31"/>
        <w:ind w:left="4245" w:right="0" w:firstLine="0"/>
        <w:jc w:val="left"/>
        <w:rPr>
          <w:sz w:val="18"/>
        </w:rPr>
      </w:pPr>
      <w:r>
        <w:rPr>
          <w:spacing w:val="2"/>
          <w:sz w:val="18"/>
        </w:rPr>
        <w:t>-0.2</w:t>
      </w:r>
    </w:p>
    <w:p>
      <w:pPr>
        <w:spacing w:before="32"/>
        <w:ind w:left="4245" w:right="0" w:firstLine="0"/>
        <w:jc w:val="left"/>
        <w:rPr>
          <w:sz w:val="18"/>
        </w:rPr>
      </w:pPr>
      <w:r>
        <w:rPr>
          <w:spacing w:val="2"/>
          <w:sz w:val="18"/>
        </w:rPr>
        <w:t>-0.3</w:t>
      </w:r>
    </w:p>
    <w:p>
      <w:pPr>
        <w:spacing w:before="32"/>
        <w:ind w:left="4245" w:right="0" w:firstLine="0"/>
        <w:jc w:val="left"/>
        <w:rPr>
          <w:sz w:val="18"/>
        </w:rPr>
      </w:pPr>
      <w:r>
        <w:rPr>
          <w:spacing w:val="2"/>
          <w:sz w:val="18"/>
        </w:rPr>
        <w:t>-0.4</w:t>
      </w:r>
    </w:p>
    <w:p>
      <w:pPr>
        <w:spacing w:before="31"/>
        <w:ind w:left="4245" w:right="0" w:firstLine="0"/>
        <w:jc w:val="left"/>
        <w:rPr>
          <w:sz w:val="18"/>
        </w:rPr>
      </w:pPr>
      <w:r>
        <w:rPr>
          <w:spacing w:val="2"/>
          <w:sz w:val="18"/>
        </w:rPr>
        <w:t>-0.5</w:t>
      </w:r>
    </w:p>
    <w:p>
      <w:pPr>
        <w:spacing w:before="32"/>
        <w:ind w:left="4245" w:right="0" w:firstLine="0"/>
        <w:jc w:val="left"/>
        <w:rPr>
          <w:sz w:val="18"/>
        </w:rPr>
      </w:pPr>
      <w:r>
        <w:rPr/>
        <w:pict>
          <v:shape style="position:absolute;margin-left:318.718719pt;margin-top:11.290925pt;width:184.85pt;height:57.9pt;mso-position-horizontal-relative:page;mso-position-vertical-relative:paragraph;z-index:251710464" type="#_x0000_t202" filled="false" stroked="false">
            <v:textbox inset="0,0,0,0" style="layout-flow:vertical;mso-layout-flow-alt:bottom-to-top">
              <w:txbxContent>
                <w:p>
                  <w:pPr>
                    <w:spacing w:line="307" w:lineRule="auto" w:before="17"/>
                    <w:ind w:left="631" w:right="18" w:firstLine="0"/>
                    <w:jc w:val="right"/>
                    <w:rPr>
                      <w:sz w:val="18"/>
                    </w:rPr>
                  </w:pPr>
                  <w:r>
                    <w:rPr>
                      <w:spacing w:val="7"/>
                      <w:sz w:val="18"/>
                    </w:rPr>
                    <w:t>UK US</w:t>
                  </w:r>
                </w:p>
                <w:p>
                  <w:pPr>
                    <w:spacing w:line="307" w:lineRule="auto" w:before="0"/>
                    <w:ind w:left="354" w:right="30" w:firstLine="93"/>
                    <w:jc w:val="right"/>
                    <w:rPr>
                      <w:sz w:val="18"/>
                    </w:rPr>
                  </w:pPr>
                  <w:r>
                    <w:rPr>
                      <w:sz w:val="18"/>
                    </w:rPr>
                    <w:t>Belgium Canada France Germany</w:t>
                  </w:r>
                </w:p>
                <w:p>
                  <w:pPr>
                    <w:spacing w:line="307" w:lineRule="auto" w:before="3"/>
                    <w:ind w:left="114" w:right="26" w:firstLine="668"/>
                    <w:jc w:val="right"/>
                    <w:rPr>
                      <w:sz w:val="18"/>
                    </w:rPr>
                  </w:pPr>
                  <w:r>
                    <w:rPr>
                      <w:sz w:val="18"/>
                    </w:rPr>
                    <w:t>Italy Japan Netherlands</w:t>
                  </w:r>
                </w:p>
                <w:p>
                  <w:pPr>
                    <w:spacing w:line="307" w:lineRule="auto" w:before="2"/>
                    <w:ind w:left="156" w:right="27" w:firstLine="291"/>
                    <w:jc w:val="right"/>
                    <w:rPr>
                      <w:sz w:val="18"/>
                    </w:rPr>
                  </w:pPr>
                  <w:r>
                    <w:rPr>
                      <w:spacing w:val="2"/>
                      <w:sz w:val="18"/>
                    </w:rPr>
                    <w:t>Sweden </w:t>
                  </w:r>
                  <w:r>
                    <w:rPr>
                      <w:sz w:val="18"/>
                    </w:rPr>
                    <w:t>Switzerland Australia</w:t>
                  </w:r>
                </w:p>
                <w:p>
                  <w:pPr>
                    <w:spacing w:before="2"/>
                    <w:ind w:left="0" w:right="32" w:firstLine="0"/>
                    <w:jc w:val="right"/>
                    <w:rPr>
                      <w:sz w:val="18"/>
                    </w:rPr>
                  </w:pPr>
                  <w:r>
                    <w:rPr>
                      <w:sz w:val="18"/>
                    </w:rPr>
                    <w:t>New</w:t>
                  </w:r>
                  <w:r>
                    <w:rPr>
                      <w:spacing w:val="26"/>
                      <w:sz w:val="18"/>
                    </w:rPr>
                    <w:t> </w:t>
                  </w:r>
                  <w:r>
                    <w:rPr>
                      <w:spacing w:val="2"/>
                      <w:sz w:val="18"/>
                    </w:rPr>
                    <w:t>Zealand</w:t>
                  </w:r>
                </w:p>
                <w:p>
                  <w:pPr>
                    <w:spacing w:before="58"/>
                    <w:ind w:left="631" w:right="35" w:firstLine="0"/>
                    <w:jc w:val="right"/>
                    <w:rPr>
                      <w:sz w:val="18"/>
                    </w:rPr>
                  </w:pPr>
                  <w:r>
                    <w:rPr>
                      <w:sz w:val="18"/>
                    </w:rPr>
                    <w:t>China</w:t>
                  </w:r>
                </w:p>
              </w:txbxContent>
            </v:textbox>
            <w10:wrap type="none"/>
          </v:shape>
        </w:pict>
      </w:r>
      <w:r>
        <w:rPr>
          <w:spacing w:val="2"/>
          <w:sz w:val="18"/>
        </w:rPr>
        <w:t>-0.6</w:t>
      </w:r>
    </w:p>
    <w:p>
      <w:pPr>
        <w:spacing w:after="0"/>
        <w:jc w:val="left"/>
        <w:rPr>
          <w:sz w:val="18"/>
        </w:rPr>
        <w:sectPr>
          <w:type w:val="continuous"/>
          <w:pgSz w:w="12240" w:h="15840"/>
          <w:pgMar w:top="1120" w:bottom="1440" w:left="1200" w:right="1060"/>
          <w:cols w:num="3" w:equalWidth="0">
            <w:col w:w="2037" w:space="666"/>
            <w:col w:w="2055" w:space="39"/>
            <w:col w:w="5183"/>
          </w:cols>
        </w:sectPr>
      </w:pPr>
    </w:p>
    <w:p>
      <w:pPr>
        <w:tabs>
          <w:tab w:pos="1168" w:val="left" w:leader="none"/>
          <w:tab w:pos="1805" w:val="left" w:leader="none"/>
          <w:tab w:pos="2442" w:val="left" w:leader="none"/>
          <w:tab w:pos="3077" w:val="left" w:leader="none"/>
          <w:tab w:pos="3714" w:val="left" w:leader="none"/>
        </w:tabs>
        <w:spacing w:before="17"/>
        <w:ind w:left="532" w:right="0" w:firstLine="0"/>
        <w:jc w:val="left"/>
        <w:rPr>
          <w:sz w:val="18"/>
        </w:rPr>
      </w:pPr>
      <w:r>
        <w:rPr>
          <w:sz w:val="18"/>
        </w:rPr>
        <w:t>1998</w:t>
        <w:tab/>
        <w:t>2001</w:t>
        <w:tab/>
        <w:t>2004</w:t>
        <w:tab/>
        <w:t>2007</w:t>
        <w:tab/>
        <w:t>2010</w:t>
        <w:tab/>
        <w:t>2013</w:t>
      </w:r>
    </w:p>
    <w:p>
      <w:pPr>
        <w:pStyle w:val="BodyText"/>
        <w:spacing w:before="4"/>
        <w:rPr>
          <w:sz w:val="11"/>
        </w:rPr>
      </w:pPr>
    </w:p>
    <w:p>
      <w:pPr>
        <w:spacing w:line="244" w:lineRule="auto" w:before="97"/>
        <w:ind w:left="854" w:right="5114" w:firstLine="0"/>
        <w:jc w:val="left"/>
        <w:rPr>
          <w:sz w:val="18"/>
        </w:rPr>
      </w:pPr>
      <w:r>
        <w:rPr/>
        <w:pict>
          <v:line style="position:absolute;mso-position-horizontal-relative:page;mso-position-vertical-relative:paragraph;z-index:251704320" from="81.479996pt,10.051888pt" to="101.219996pt,10.051888pt" stroked="true" strokeweight="1.44pt" strokecolor="#4a7ebb">
            <v:stroke dashstyle="solid"/>
            <w10:wrap type="none"/>
          </v:line>
        </w:pict>
      </w:r>
      <w:r>
        <w:rPr>
          <w:sz w:val="18"/>
        </w:rPr>
        <w:t>First principal component of quarterly inflation rates of 48 countries (LHS)</w:t>
      </w:r>
    </w:p>
    <w:p>
      <w:pPr>
        <w:spacing w:line="205" w:lineRule="exact" w:before="0"/>
        <w:ind w:left="854" w:right="0" w:firstLine="0"/>
        <w:jc w:val="left"/>
        <w:rPr>
          <w:sz w:val="18"/>
        </w:rPr>
      </w:pPr>
      <w:r>
        <w:rPr/>
        <w:pict>
          <v:line style="position:absolute;mso-position-horizontal-relative:page;mso-position-vertical-relative:paragraph;z-index:251705344" from="81.479996pt,5.239689pt" to="101.219996pt,5.239689pt" stroked="true" strokeweight="1.38pt" strokecolor="#be4b48">
            <v:stroke dashstyle="solid"/>
            <w10:wrap type="none"/>
          </v:line>
        </w:pict>
      </w:r>
      <w:r>
        <w:rPr>
          <w:sz w:val="18"/>
        </w:rPr>
        <w:t>Quarterly changes in brent oil price ($) (RHS)</w:t>
      </w:r>
    </w:p>
    <w:p>
      <w:pPr>
        <w:pStyle w:val="BodyText"/>
        <w:spacing w:before="6"/>
        <w:rPr>
          <w:sz w:val="12"/>
        </w:rPr>
      </w:pPr>
    </w:p>
    <w:p>
      <w:pPr>
        <w:spacing w:after="0"/>
        <w:rPr>
          <w:sz w:val="12"/>
        </w:rPr>
        <w:sectPr>
          <w:type w:val="continuous"/>
          <w:pgSz w:w="12240" w:h="15840"/>
          <w:pgMar w:top="1120" w:bottom="1440" w:left="1200" w:right="1060"/>
        </w:sectPr>
      </w:pPr>
    </w:p>
    <w:p>
      <w:pPr>
        <w:spacing w:before="133"/>
        <w:ind w:left="295" w:right="0" w:firstLine="0"/>
        <w:jc w:val="left"/>
        <w:rPr>
          <w:sz w:val="15"/>
        </w:rPr>
      </w:pPr>
      <w:r>
        <w:rPr>
          <w:b/>
          <w:i/>
          <w:w w:val="105"/>
          <w:sz w:val="15"/>
        </w:rPr>
        <w:t>Source</w:t>
      </w:r>
      <w:r>
        <w:rPr>
          <w:b/>
          <w:i/>
          <w:spacing w:val="-22"/>
          <w:w w:val="105"/>
          <w:sz w:val="15"/>
        </w:rPr>
        <w:t> </w:t>
      </w:r>
      <w:r>
        <w:rPr>
          <w:b/>
          <w:w w:val="105"/>
          <w:sz w:val="15"/>
        </w:rPr>
        <w:t>:</w:t>
      </w:r>
      <w:r>
        <w:rPr>
          <w:b/>
          <w:spacing w:val="-17"/>
          <w:w w:val="105"/>
          <w:sz w:val="15"/>
        </w:rPr>
        <w:t> </w:t>
      </w:r>
      <w:r>
        <w:rPr>
          <w:spacing w:val="-7"/>
          <w:w w:val="105"/>
          <w:sz w:val="15"/>
        </w:rPr>
        <w:t>ONS,</w:t>
      </w:r>
      <w:r>
        <w:rPr>
          <w:spacing w:val="-9"/>
          <w:w w:val="105"/>
          <w:sz w:val="15"/>
        </w:rPr>
        <w:t> </w:t>
      </w:r>
      <w:r>
        <w:rPr>
          <w:spacing w:val="-11"/>
          <w:w w:val="105"/>
          <w:sz w:val="15"/>
        </w:rPr>
        <w:t>OECD,</w:t>
      </w:r>
      <w:r>
        <w:rPr>
          <w:spacing w:val="-9"/>
          <w:w w:val="105"/>
          <w:sz w:val="15"/>
        </w:rPr>
        <w:t> </w:t>
      </w:r>
      <w:r>
        <w:rPr>
          <w:w w:val="105"/>
          <w:sz w:val="15"/>
        </w:rPr>
        <w:t>Datastream</w:t>
      </w:r>
      <w:r>
        <w:rPr>
          <w:spacing w:val="-23"/>
          <w:w w:val="105"/>
          <w:sz w:val="15"/>
        </w:rPr>
        <w:t> </w:t>
      </w:r>
      <w:r>
        <w:rPr>
          <w:w w:val="105"/>
          <w:sz w:val="15"/>
        </w:rPr>
        <w:t>and</w:t>
      </w:r>
      <w:r>
        <w:rPr>
          <w:spacing w:val="-9"/>
          <w:w w:val="105"/>
          <w:sz w:val="15"/>
        </w:rPr>
        <w:t> </w:t>
      </w:r>
      <w:r>
        <w:rPr>
          <w:spacing w:val="-3"/>
          <w:w w:val="105"/>
          <w:sz w:val="15"/>
        </w:rPr>
        <w:t>Bank</w:t>
      </w:r>
      <w:r>
        <w:rPr>
          <w:spacing w:val="-15"/>
          <w:w w:val="105"/>
          <w:sz w:val="15"/>
        </w:rPr>
        <w:t> </w:t>
      </w:r>
      <w:r>
        <w:rPr>
          <w:w w:val="105"/>
          <w:sz w:val="15"/>
        </w:rPr>
        <w:t>of</w:t>
      </w:r>
      <w:r>
        <w:rPr>
          <w:spacing w:val="2"/>
          <w:w w:val="105"/>
          <w:sz w:val="15"/>
        </w:rPr>
        <w:t> </w:t>
      </w:r>
      <w:r>
        <w:rPr>
          <w:spacing w:val="-6"/>
          <w:w w:val="105"/>
          <w:sz w:val="15"/>
        </w:rPr>
        <w:t>England</w:t>
      </w:r>
    </w:p>
    <w:p>
      <w:pPr>
        <w:spacing w:before="105"/>
        <w:ind w:left="295" w:right="0" w:firstLine="0"/>
        <w:jc w:val="left"/>
        <w:rPr>
          <w:sz w:val="15"/>
        </w:rPr>
      </w:pPr>
      <w:r>
        <w:rPr/>
        <w:br w:type="column"/>
      </w:r>
      <w:r>
        <w:rPr>
          <w:b/>
          <w:i/>
          <w:w w:val="105"/>
          <w:sz w:val="15"/>
        </w:rPr>
        <w:t>Source </w:t>
      </w:r>
      <w:r>
        <w:rPr>
          <w:b/>
          <w:w w:val="105"/>
          <w:sz w:val="15"/>
        </w:rPr>
        <w:t>: </w:t>
      </w:r>
      <w:r>
        <w:rPr>
          <w:w w:val="105"/>
          <w:sz w:val="15"/>
        </w:rPr>
        <w:t>ONS, OECD, Datastream and Bank of England</w:t>
      </w:r>
    </w:p>
    <w:p>
      <w:pPr>
        <w:spacing w:after="0"/>
        <w:jc w:val="left"/>
        <w:rPr>
          <w:sz w:val="15"/>
        </w:rPr>
        <w:sectPr>
          <w:type w:val="continuous"/>
          <w:pgSz w:w="12240" w:h="15840"/>
          <w:pgMar w:top="1120" w:bottom="1440" w:left="1200" w:right="1060"/>
          <w:cols w:num="2" w:equalWidth="0">
            <w:col w:w="4075" w:space="627"/>
            <w:col w:w="5278"/>
          </w:cols>
        </w:sectPr>
      </w:pPr>
    </w:p>
    <w:p>
      <w:pPr>
        <w:pStyle w:val="BodyText"/>
        <w:rPr>
          <w:sz w:val="20"/>
        </w:rPr>
      </w:pPr>
    </w:p>
    <w:p>
      <w:pPr>
        <w:pStyle w:val="BodyText"/>
        <w:spacing w:before="4"/>
        <w:rPr>
          <w:sz w:val="17"/>
        </w:rPr>
      </w:pPr>
    </w:p>
    <w:p>
      <w:pPr>
        <w:pStyle w:val="BodyText"/>
        <w:spacing w:line="357" w:lineRule="auto" w:before="93"/>
        <w:ind w:left="386" w:right="533"/>
      </w:pPr>
      <w:r>
        <w:rPr/>
        <w:t>But, even if movements in oil prices (and to a lesser extent food prices) can help explain the high comovement in global inflation rates and low comovement in core rates, movements in oil prices could still have</w:t>
      </w:r>
      <w:r>
        <w:rPr>
          <w:spacing w:val="-8"/>
        </w:rPr>
        <w:t> </w:t>
      </w:r>
      <w:r>
        <w:rPr/>
        <w:t>second-round</w:t>
      </w:r>
      <w:r>
        <w:rPr>
          <w:spacing w:val="-8"/>
        </w:rPr>
        <w:t> </w:t>
      </w:r>
      <w:r>
        <w:rPr/>
        <w:t>and</w:t>
      </w:r>
      <w:r>
        <w:rPr>
          <w:spacing w:val="-8"/>
        </w:rPr>
        <w:t> </w:t>
      </w:r>
      <w:r>
        <w:rPr/>
        <w:t>more</w:t>
      </w:r>
      <w:r>
        <w:rPr>
          <w:spacing w:val="-8"/>
        </w:rPr>
        <w:t> </w:t>
      </w:r>
      <w:r>
        <w:rPr/>
        <w:t>persistent</w:t>
      </w:r>
      <w:r>
        <w:rPr>
          <w:spacing w:val="-7"/>
        </w:rPr>
        <w:t> </w:t>
      </w:r>
      <w:r>
        <w:rPr/>
        <w:t>effects</w:t>
      </w:r>
      <w:r>
        <w:rPr>
          <w:spacing w:val="-7"/>
        </w:rPr>
        <w:t> </w:t>
      </w:r>
      <w:r>
        <w:rPr/>
        <w:t>on</w:t>
      </w:r>
      <w:r>
        <w:rPr>
          <w:spacing w:val="-9"/>
        </w:rPr>
        <w:t> </w:t>
      </w:r>
      <w:r>
        <w:rPr/>
        <w:t>inflation,</w:t>
      </w:r>
      <w:r>
        <w:rPr>
          <w:spacing w:val="-7"/>
        </w:rPr>
        <w:t> </w:t>
      </w:r>
      <w:r>
        <w:rPr/>
        <w:t>even</w:t>
      </w:r>
      <w:r>
        <w:rPr>
          <w:spacing w:val="-7"/>
        </w:rPr>
        <w:t> </w:t>
      </w:r>
      <w:r>
        <w:rPr/>
        <w:t>after</w:t>
      </w:r>
      <w:r>
        <w:rPr>
          <w:spacing w:val="-9"/>
        </w:rPr>
        <w:t> </w:t>
      </w:r>
      <w:r>
        <w:rPr/>
        <w:t>the</w:t>
      </w:r>
      <w:r>
        <w:rPr>
          <w:spacing w:val="-7"/>
        </w:rPr>
        <w:t> </w:t>
      </w:r>
      <w:r>
        <w:rPr/>
        <w:t>initial,</w:t>
      </w:r>
      <w:r>
        <w:rPr>
          <w:spacing w:val="-7"/>
        </w:rPr>
        <w:t> </w:t>
      </w:r>
      <w:r>
        <w:rPr/>
        <w:t>direct</w:t>
      </w:r>
      <w:r>
        <w:rPr>
          <w:spacing w:val="-7"/>
        </w:rPr>
        <w:t> </w:t>
      </w:r>
      <w:r>
        <w:rPr/>
        <w:t>effects</w:t>
      </w:r>
      <w:r>
        <w:rPr>
          <w:spacing w:val="-7"/>
        </w:rPr>
        <w:t> </w:t>
      </w:r>
      <w:r>
        <w:rPr/>
        <w:t>of</w:t>
      </w:r>
      <w:r>
        <w:rPr>
          <w:spacing w:val="-8"/>
        </w:rPr>
        <w:t> </w:t>
      </w:r>
      <w:r>
        <w:rPr/>
        <w:t>the</w:t>
      </w:r>
      <w:r>
        <w:rPr>
          <w:spacing w:val="-8"/>
        </w:rPr>
        <w:t> </w:t>
      </w:r>
      <w:r>
        <w:rPr/>
        <w:t>oil</w:t>
      </w:r>
      <w:r>
        <w:rPr>
          <w:spacing w:val="-8"/>
        </w:rPr>
        <w:t> </w:t>
      </w:r>
      <w:r>
        <w:rPr/>
        <w:t>price movements have faded. To assess this persistence, Figure 13 shows correlations between the same group of selected economies’ headline inflation rates with measures of global inflation, world export prices, and oil prices that are all lagged by two years. These correlations are not only no longer positive, but usually negative. This is far from a definitive analysis—but suggests that movements in global inflation, oil prices, and other world export prices have not traditionally had a persistent impact on headline inflation rates after their transitory effects have</w:t>
      </w:r>
      <w:r>
        <w:rPr>
          <w:spacing w:val="-4"/>
        </w:rPr>
        <w:t> </w:t>
      </w:r>
      <w:r>
        <w:rPr/>
        <w:t>faded.</w:t>
      </w:r>
    </w:p>
    <w:p>
      <w:pPr>
        <w:pStyle w:val="BodyText"/>
        <w:spacing w:before="5"/>
        <w:rPr>
          <w:sz w:val="27"/>
        </w:rPr>
      </w:pPr>
    </w:p>
    <w:p>
      <w:pPr>
        <w:pStyle w:val="BodyText"/>
        <w:spacing w:line="357" w:lineRule="auto"/>
        <w:ind w:left="386" w:right="628"/>
      </w:pPr>
      <w:r>
        <w:rPr/>
        <w:pict>
          <v:shape style="position:absolute;margin-left:79.320pt;margin-top:35.359123pt;width:135.5pt;height:.1pt;mso-position-horizontal-relative:page;mso-position-vertical-relative:paragraph;z-index:-251614208;mso-wrap-distance-left:0;mso-wrap-distance-right:0" coordorigin="1586,707" coordsize="2710,0" path="m1586,707l4296,707e" filled="false" stroked="true" strokeweight=".42pt" strokecolor="#000000">
            <v:path arrowok="t"/>
            <v:stroke dashstyle="solid"/>
            <w10:wrap type="topAndBottom"/>
          </v:shape>
        </w:pict>
      </w:r>
      <w:r>
        <w:rPr/>
        <w:t>This type of analysis of raw correlations, however, can only take one so far. They are useful to consider patterns</w:t>
      </w:r>
      <w:r>
        <w:rPr>
          <w:spacing w:val="-8"/>
        </w:rPr>
        <w:t> </w:t>
      </w:r>
      <w:r>
        <w:rPr/>
        <w:t>in</w:t>
      </w:r>
      <w:r>
        <w:rPr>
          <w:spacing w:val="-11"/>
        </w:rPr>
        <w:t> </w:t>
      </w:r>
      <w:r>
        <w:rPr/>
        <w:t>the</w:t>
      </w:r>
      <w:r>
        <w:rPr>
          <w:spacing w:val="-9"/>
        </w:rPr>
        <w:t> </w:t>
      </w:r>
      <w:r>
        <w:rPr/>
        <w:t>data,</w:t>
      </w:r>
      <w:r>
        <w:rPr>
          <w:spacing w:val="-10"/>
        </w:rPr>
        <w:t> </w:t>
      </w:r>
      <w:r>
        <w:rPr/>
        <w:t>but</w:t>
      </w:r>
      <w:r>
        <w:rPr>
          <w:spacing w:val="-8"/>
        </w:rPr>
        <w:t> </w:t>
      </w:r>
      <w:r>
        <w:rPr/>
        <w:t>correlations</w:t>
      </w:r>
      <w:r>
        <w:rPr>
          <w:spacing w:val="-8"/>
        </w:rPr>
        <w:t> </w:t>
      </w:r>
      <w:r>
        <w:rPr/>
        <w:t>cannot</w:t>
      </w:r>
      <w:r>
        <w:rPr>
          <w:spacing w:val="-8"/>
        </w:rPr>
        <w:t> </w:t>
      </w:r>
      <w:r>
        <w:rPr/>
        <w:t>control</w:t>
      </w:r>
      <w:r>
        <w:rPr>
          <w:spacing w:val="-10"/>
        </w:rPr>
        <w:t> </w:t>
      </w:r>
      <w:r>
        <w:rPr/>
        <w:t>for</w:t>
      </w:r>
      <w:r>
        <w:rPr>
          <w:spacing w:val="-8"/>
        </w:rPr>
        <w:t> </w:t>
      </w:r>
      <w:r>
        <w:rPr/>
        <w:t>different</w:t>
      </w:r>
      <w:r>
        <w:rPr>
          <w:spacing w:val="-8"/>
        </w:rPr>
        <w:t> </w:t>
      </w:r>
      <w:r>
        <w:rPr/>
        <w:t>events</w:t>
      </w:r>
      <w:r>
        <w:rPr>
          <w:spacing w:val="-10"/>
        </w:rPr>
        <w:t> </w:t>
      </w:r>
      <w:r>
        <w:rPr/>
        <w:t>that</w:t>
      </w:r>
      <w:r>
        <w:rPr>
          <w:spacing w:val="-8"/>
        </w:rPr>
        <w:t> </w:t>
      </w:r>
      <w:r>
        <w:rPr/>
        <w:t>happen</w:t>
      </w:r>
      <w:r>
        <w:rPr>
          <w:spacing w:val="-9"/>
        </w:rPr>
        <w:t> </w:t>
      </w:r>
      <w:r>
        <w:rPr/>
        <w:t>simultaneously</w:t>
      </w:r>
      <w:r>
        <w:rPr>
          <w:spacing w:val="-10"/>
        </w:rPr>
        <w:t> </w:t>
      </w:r>
      <w:r>
        <w:rPr/>
        <w:t>and</w:t>
      </w:r>
      <w:r>
        <w:rPr>
          <w:spacing w:val="-9"/>
        </w:rPr>
        <w:t> </w:t>
      </w:r>
      <w:r>
        <w:rPr/>
        <w:t>may</w:t>
      </w:r>
    </w:p>
    <w:p>
      <w:pPr>
        <w:spacing w:before="27"/>
        <w:ind w:left="386" w:right="1078" w:hanging="1"/>
        <w:jc w:val="left"/>
        <w:rPr>
          <w:sz w:val="15"/>
        </w:rPr>
      </w:pPr>
      <w:r>
        <w:rPr>
          <w:position w:val="8"/>
          <w:sz w:val="9"/>
        </w:rPr>
        <w:t>13 </w:t>
      </w:r>
      <w:r>
        <w:rPr>
          <w:sz w:val="15"/>
        </w:rPr>
        <w:t>This ability of movements in oil prices to explain a high degree of the comovement in headline inflation rates is similar if the calculations are done just for advanced economies, or just for countries with floating exchange rates.</w:t>
      </w:r>
    </w:p>
    <w:p>
      <w:pPr>
        <w:spacing w:line="174" w:lineRule="exact" w:before="0"/>
        <w:ind w:left="386" w:right="0" w:firstLine="0"/>
        <w:jc w:val="left"/>
        <w:rPr>
          <w:sz w:val="15"/>
        </w:rPr>
      </w:pPr>
      <w:r>
        <w:rPr>
          <w:position w:val="8"/>
          <w:sz w:val="9"/>
        </w:rPr>
        <w:t>14 </w:t>
      </w:r>
      <w:r>
        <w:rPr>
          <w:sz w:val="15"/>
        </w:rPr>
        <w:t>Global food prices are measure by the S&amp;P Goldman Sachs Agricultural Commodities Index.</w:t>
      </w:r>
    </w:p>
    <w:p>
      <w:pPr>
        <w:spacing w:after="0" w:line="174" w:lineRule="exact"/>
        <w:jc w:val="left"/>
        <w:rPr>
          <w:sz w:val="15"/>
        </w:rPr>
        <w:sectPr>
          <w:type w:val="continuous"/>
          <w:pgSz w:w="12240" w:h="15840"/>
          <w:pgMar w:top="1120" w:bottom="1440" w:left="1200" w:right="1060"/>
        </w:sectPr>
      </w:pPr>
    </w:p>
    <w:p>
      <w:pPr>
        <w:pStyle w:val="BodyText"/>
        <w:spacing w:line="357" w:lineRule="auto" w:before="79"/>
        <w:ind w:left="386" w:right="628"/>
      </w:pPr>
      <w:r>
        <w:rPr/>
        <w:t>drive any comovement (i.e., omitted variables). Raw correlations also cannot explain which variable is causing</w:t>
      </w:r>
      <w:r>
        <w:rPr>
          <w:spacing w:val="-10"/>
        </w:rPr>
        <w:t> </w:t>
      </w:r>
      <w:r>
        <w:rPr/>
        <w:t>which</w:t>
      </w:r>
      <w:r>
        <w:rPr>
          <w:spacing w:val="-10"/>
        </w:rPr>
        <w:t> </w:t>
      </w:r>
      <w:r>
        <w:rPr/>
        <w:t>(i.e.,</w:t>
      </w:r>
      <w:r>
        <w:rPr>
          <w:spacing w:val="-9"/>
        </w:rPr>
        <w:t> </w:t>
      </w:r>
      <w:r>
        <w:rPr/>
        <w:t>endogeneity),</w:t>
      </w:r>
      <w:r>
        <w:rPr>
          <w:spacing w:val="-9"/>
        </w:rPr>
        <w:t> </w:t>
      </w:r>
      <w:r>
        <w:rPr/>
        <w:t>or</w:t>
      </w:r>
      <w:r>
        <w:rPr>
          <w:spacing w:val="-10"/>
        </w:rPr>
        <w:t> </w:t>
      </w:r>
      <w:r>
        <w:rPr/>
        <w:t>effectively</w:t>
      </w:r>
      <w:r>
        <w:rPr>
          <w:spacing w:val="-10"/>
        </w:rPr>
        <w:t> </w:t>
      </w:r>
      <w:r>
        <w:rPr/>
        <w:t>test</w:t>
      </w:r>
      <w:r>
        <w:rPr>
          <w:spacing w:val="-10"/>
        </w:rPr>
        <w:t> </w:t>
      </w:r>
      <w:r>
        <w:rPr/>
        <w:t>the</w:t>
      </w:r>
      <w:r>
        <w:rPr>
          <w:spacing w:val="-9"/>
        </w:rPr>
        <w:t> </w:t>
      </w:r>
      <w:r>
        <w:rPr/>
        <w:t>different</w:t>
      </w:r>
      <w:r>
        <w:rPr>
          <w:spacing w:val="-10"/>
        </w:rPr>
        <w:t> </w:t>
      </w:r>
      <w:r>
        <w:rPr/>
        <w:t>timing</w:t>
      </w:r>
      <w:r>
        <w:rPr>
          <w:spacing w:val="-10"/>
        </w:rPr>
        <w:t> </w:t>
      </w:r>
      <w:r>
        <w:rPr/>
        <w:t>by</w:t>
      </w:r>
      <w:r>
        <w:rPr>
          <w:spacing w:val="-9"/>
        </w:rPr>
        <w:t> </w:t>
      </w:r>
      <w:r>
        <w:rPr/>
        <w:t>which</w:t>
      </w:r>
      <w:r>
        <w:rPr>
          <w:spacing w:val="-10"/>
        </w:rPr>
        <w:t> </w:t>
      </w:r>
      <w:r>
        <w:rPr/>
        <w:t>different</w:t>
      </w:r>
      <w:r>
        <w:rPr>
          <w:spacing w:val="-8"/>
        </w:rPr>
        <w:t> </w:t>
      </w:r>
      <w:r>
        <w:rPr/>
        <w:t>effects</w:t>
      </w:r>
      <w:r>
        <w:rPr>
          <w:spacing w:val="-9"/>
        </w:rPr>
        <w:t> </w:t>
      </w:r>
      <w:r>
        <w:rPr/>
        <w:t>may</w:t>
      </w:r>
      <w:r>
        <w:rPr>
          <w:spacing w:val="-8"/>
        </w:rPr>
        <w:t> </w:t>
      </w:r>
      <w:r>
        <w:rPr/>
        <w:t>occur. Therefore, it is useful to move to a more formal empirical</w:t>
      </w:r>
      <w:r>
        <w:rPr>
          <w:spacing w:val="-18"/>
        </w:rPr>
        <w:t> </w:t>
      </w:r>
      <w:r>
        <w:rPr/>
        <w:t>analysis.</w:t>
      </w:r>
    </w:p>
    <w:p>
      <w:pPr>
        <w:pStyle w:val="BodyText"/>
        <w:rPr>
          <w:sz w:val="28"/>
        </w:rPr>
      </w:pPr>
    </w:p>
    <w:p>
      <w:pPr>
        <w:pStyle w:val="BodyText"/>
        <w:spacing w:line="352" w:lineRule="auto"/>
        <w:ind w:left="386" w:right="574"/>
      </w:pPr>
      <w:r>
        <w:rPr/>
        <w:t>In an effort to better understand why inflation is so low today, and to better understand any potential effects of low inflation around the world, I build on a standard New Keynesian Open-Economy Phillips curve formulation—the workhorse model of central bankers. Inflation is estimated as a function of the standard variables in this model: expected inflation (</w:t>
      </w:r>
      <w:r>
        <w:rPr>
          <w:rFonts w:ascii="Symbol" w:hAnsi="Symbol"/>
          <w:i/>
          <w:sz w:val="20"/>
        </w:rPr>
        <w:t></w:t>
      </w:r>
      <w:r>
        <w:rPr>
          <w:i/>
          <w:sz w:val="20"/>
          <w:vertAlign w:val="subscript"/>
        </w:rPr>
        <w:t>t+1</w:t>
      </w:r>
      <w:r>
        <w:rPr>
          <w:vertAlign w:val="baseline"/>
        </w:rPr>
        <w:t>), past inflation (</w:t>
      </w:r>
      <w:r>
        <w:rPr>
          <w:rFonts w:ascii="Symbol" w:hAnsi="Symbol"/>
          <w:i/>
          <w:sz w:val="20"/>
          <w:vertAlign w:val="baseline"/>
        </w:rPr>
        <w:t></w:t>
      </w:r>
      <w:r>
        <w:rPr>
          <w:i/>
          <w:sz w:val="20"/>
          <w:vertAlign w:val="subscript"/>
        </w:rPr>
        <w:t>t-1</w:t>
      </w:r>
      <w:r>
        <w:rPr>
          <w:vertAlign w:val="baseline"/>
        </w:rPr>
        <w:t>), the output gap (</w:t>
      </w:r>
      <w:r>
        <w:rPr>
          <w:i/>
          <w:vertAlign w:val="baseline"/>
        </w:rPr>
        <w:t>OutputGap</w:t>
      </w:r>
      <w:r>
        <w:rPr>
          <w:i/>
          <w:vertAlign w:val="subscript"/>
        </w:rPr>
        <w:t>t</w:t>
      </w:r>
      <w:r>
        <w:rPr>
          <w:vertAlign w:val="baseline"/>
        </w:rPr>
        <w:t>), and </w:t>
      </w:r>
      <w:r>
        <w:rPr>
          <w:spacing w:val="-8"/>
          <w:vertAlign w:val="baseline"/>
        </w:rPr>
        <w:t>supply </w:t>
      </w:r>
      <w:r>
        <w:rPr>
          <w:vertAlign w:val="baseline"/>
        </w:rPr>
        <w:t>shocks. To better understand the role of international influences, however, I use more detailed controls for supply shocks and simultaneously control for changes in: the exchange rate (</w:t>
      </w:r>
      <w:r>
        <w:rPr>
          <w:rFonts w:ascii="Symbol" w:hAnsi="Symbol"/>
          <w:vertAlign w:val="baseline"/>
        </w:rPr>
        <w:t></w:t>
      </w:r>
      <w:r>
        <w:rPr>
          <w:i/>
          <w:vertAlign w:val="baseline"/>
        </w:rPr>
        <w:t>ER</w:t>
      </w:r>
      <w:r>
        <w:rPr>
          <w:i/>
          <w:vertAlign w:val="subscript"/>
        </w:rPr>
        <w:t>t</w:t>
      </w:r>
      <w:r>
        <w:rPr>
          <w:vertAlign w:val="baseline"/>
        </w:rPr>
        <w:t>), oil prices (</w:t>
      </w:r>
      <w:r>
        <w:rPr>
          <w:rFonts w:ascii="Symbol" w:hAnsi="Symbol"/>
          <w:vertAlign w:val="baseline"/>
        </w:rPr>
        <w:t></w:t>
      </w:r>
      <w:r>
        <w:rPr>
          <w:i/>
          <w:vertAlign w:val="baseline"/>
        </w:rPr>
        <w:t>Oil</w:t>
      </w:r>
      <w:r>
        <w:rPr>
          <w:i/>
          <w:vertAlign w:val="subscript"/>
        </w:rPr>
        <w:t>t</w:t>
      </w:r>
      <w:r>
        <w:rPr>
          <w:vertAlign w:val="baseline"/>
        </w:rPr>
        <w:t>), and other world export prices excluding oil (</w:t>
      </w:r>
      <w:r>
        <w:rPr>
          <w:rFonts w:ascii="Symbol" w:hAnsi="Symbol"/>
          <w:vertAlign w:val="baseline"/>
        </w:rPr>
        <w:t></w:t>
      </w:r>
      <w:r>
        <w:rPr>
          <w:i/>
          <w:vertAlign w:val="baseline"/>
        </w:rPr>
        <w:t>WorldExpPrices</w:t>
      </w:r>
      <w:r>
        <w:rPr>
          <w:i/>
          <w:vertAlign w:val="subscript"/>
        </w:rPr>
        <w:t>t</w:t>
      </w:r>
      <w:r>
        <w:rPr>
          <w:vertAlign w:val="baseline"/>
        </w:rPr>
        <w:t>).</w:t>
      </w:r>
      <w:r>
        <w:rPr>
          <w:vertAlign w:val="superscript"/>
        </w:rPr>
        <w:t>15</w:t>
      </w:r>
      <w:r>
        <w:rPr>
          <w:vertAlign w:val="baseline"/>
        </w:rPr>
        <w:t> In standard formulations of this model, these three international influences are usually not broken out explicitly.</w:t>
      </w:r>
      <w:r>
        <w:rPr>
          <w:vertAlign w:val="superscript"/>
        </w:rPr>
        <w:t>16</w:t>
      </w:r>
      <w:r>
        <w:rPr>
          <w:vertAlign w:val="baseline"/>
        </w:rPr>
        <w:t> I focus on the period since the</w:t>
      </w:r>
    </w:p>
    <w:p>
      <w:pPr>
        <w:pStyle w:val="BodyText"/>
        <w:spacing w:line="357" w:lineRule="auto" w:before="10"/>
        <w:ind w:left="386" w:right="533"/>
      </w:pPr>
      <w:r>
        <w:rPr/>
        <w:t>Bank of England’s independence (from 1998), and use quarterly changes in each of these variables. The final</w:t>
      </w:r>
      <w:r>
        <w:rPr>
          <w:spacing w:val="-8"/>
        </w:rPr>
        <w:t> </w:t>
      </w:r>
      <w:r>
        <w:rPr/>
        <w:t>term</w:t>
      </w:r>
      <w:r>
        <w:rPr>
          <w:spacing w:val="-8"/>
        </w:rPr>
        <w:t> </w:t>
      </w:r>
      <w:r>
        <w:rPr/>
        <w:t>for</w:t>
      </w:r>
      <w:r>
        <w:rPr>
          <w:spacing w:val="-8"/>
        </w:rPr>
        <w:t> </w:t>
      </w:r>
      <w:r>
        <w:rPr/>
        <w:t>the</w:t>
      </w:r>
      <w:r>
        <w:rPr>
          <w:spacing w:val="-8"/>
        </w:rPr>
        <w:t> </w:t>
      </w:r>
      <w:r>
        <w:rPr/>
        <w:t>change</w:t>
      </w:r>
      <w:r>
        <w:rPr>
          <w:spacing w:val="-7"/>
        </w:rPr>
        <w:t> </w:t>
      </w:r>
      <w:r>
        <w:rPr/>
        <w:t>in</w:t>
      </w:r>
      <w:r>
        <w:rPr>
          <w:spacing w:val="-7"/>
        </w:rPr>
        <w:t> </w:t>
      </w:r>
      <w:r>
        <w:rPr/>
        <w:t>world</w:t>
      </w:r>
      <w:r>
        <w:rPr>
          <w:spacing w:val="-9"/>
        </w:rPr>
        <w:t> </w:t>
      </w:r>
      <w:r>
        <w:rPr/>
        <w:t>export</w:t>
      </w:r>
      <w:r>
        <w:rPr>
          <w:spacing w:val="-8"/>
        </w:rPr>
        <w:t> </w:t>
      </w:r>
      <w:r>
        <w:rPr/>
        <w:t>prices</w:t>
      </w:r>
      <w:r>
        <w:rPr>
          <w:spacing w:val="-7"/>
        </w:rPr>
        <w:t> </w:t>
      </w:r>
      <w:r>
        <w:rPr/>
        <w:t>should</w:t>
      </w:r>
      <w:r>
        <w:rPr>
          <w:spacing w:val="-8"/>
        </w:rPr>
        <w:t> </w:t>
      </w:r>
      <w:r>
        <w:rPr/>
        <w:t>explicitly</w:t>
      </w:r>
      <w:r>
        <w:rPr>
          <w:spacing w:val="-7"/>
        </w:rPr>
        <w:t> </w:t>
      </w:r>
      <w:r>
        <w:rPr/>
        <w:t>capture</w:t>
      </w:r>
      <w:r>
        <w:rPr>
          <w:spacing w:val="-8"/>
        </w:rPr>
        <w:t> </w:t>
      </w:r>
      <w:r>
        <w:rPr/>
        <w:t>any</w:t>
      </w:r>
      <w:r>
        <w:rPr>
          <w:spacing w:val="-8"/>
        </w:rPr>
        <w:t> </w:t>
      </w:r>
      <w:r>
        <w:rPr/>
        <w:t>effects</w:t>
      </w:r>
      <w:r>
        <w:rPr>
          <w:spacing w:val="-8"/>
        </w:rPr>
        <w:t> </w:t>
      </w:r>
      <w:r>
        <w:rPr/>
        <w:t>from</w:t>
      </w:r>
      <w:r>
        <w:rPr>
          <w:spacing w:val="-7"/>
        </w:rPr>
        <w:t> </w:t>
      </w:r>
      <w:r>
        <w:rPr/>
        <w:t>low</w:t>
      </w:r>
      <w:r>
        <w:rPr>
          <w:spacing w:val="-10"/>
        </w:rPr>
        <w:t> </w:t>
      </w:r>
      <w:r>
        <w:rPr/>
        <w:t>inflation</w:t>
      </w:r>
      <w:r>
        <w:rPr>
          <w:spacing w:val="-9"/>
        </w:rPr>
        <w:t> </w:t>
      </w:r>
      <w:r>
        <w:rPr/>
        <w:t>in</w:t>
      </w:r>
      <w:r>
        <w:rPr>
          <w:spacing w:val="-7"/>
        </w:rPr>
        <w:t> </w:t>
      </w:r>
      <w:r>
        <w:rPr/>
        <w:t>other countries—excluding</w:t>
      </w:r>
      <w:r>
        <w:rPr>
          <w:spacing w:val="-10"/>
        </w:rPr>
        <w:t> </w:t>
      </w:r>
      <w:r>
        <w:rPr/>
        <w:t>the</w:t>
      </w:r>
      <w:r>
        <w:rPr>
          <w:spacing w:val="-10"/>
        </w:rPr>
        <w:t> </w:t>
      </w:r>
      <w:r>
        <w:rPr/>
        <w:t>effects</w:t>
      </w:r>
      <w:r>
        <w:rPr>
          <w:spacing w:val="-7"/>
        </w:rPr>
        <w:t> </w:t>
      </w:r>
      <w:r>
        <w:rPr/>
        <w:t>of</w:t>
      </w:r>
      <w:r>
        <w:rPr>
          <w:spacing w:val="-8"/>
        </w:rPr>
        <w:t> </w:t>
      </w:r>
      <w:r>
        <w:rPr/>
        <w:t>low</w:t>
      </w:r>
      <w:r>
        <w:rPr>
          <w:spacing w:val="-11"/>
        </w:rPr>
        <w:t> </w:t>
      </w:r>
      <w:r>
        <w:rPr/>
        <w:t>oil</w:t>
      </w:r>
      <w:r>
        <w:rPr>
          <w:spacing w:val="-9"/>
        </w:rPr>
        <w:t> </w:t>
      </w:r>
      <w:r>
        <w:rPr/>
        <w:t>prices</w:t>
      </w:r>
      <w:r>
        <w:rPr>
          <w:spacing w:val="-9"/>
        </w:rPr>
        <w:t> </w:t>
      </w:r>
      <w:r>
        <w:rPr/>
        <w:t>and</w:t>
      </w:r>
      <w:r>
        <w:rPr>
          <w:spacing w:val="-9"/>
        </w:rPr>
        <w:t> </w:t>
      </w:r>
      <w:r>
        <w:rPr/>
        <w:t>movements</w:t>
      </w:r>
      <w:r>
        <w:rPr>
          <w:spacing w:val="-8"/>
        </w:rPr>
        <w:t> </w:t>
      </w:r>
      <w:r>
        <w:rPr/>
        <w:t>in</w:t>
      </w:r>
      <w:r>
        <w:rPr>
          <w:spacing w:val="-10"/>
        </w:rPr>
        <w:t> </w:t>
      </w:r>
      <w:r>
        <w:rPr/>
        <w:t>sterling.</w:t>
      </w:r>
      <w:r>
        <w:rPr>
          <w:spacing w:val="-7"/>
        </w:rPr>
        <w:t> </w:t>
      </w:r>
      <w:r>
        <w:rPr/>
        <w:t>More</w:t>
      </w:r>
      <w:r>
        <w:rPr>
          <w:spacing w:val="-10"/>
        </w:rPr>
        <w:t> </w:t>
      </w:r>
      <w:r>
        <w:rPr/>
        <w:t>specifically,</w:t>
      </w:r>
      <w:r>
        <w:rPr>
          <w:spacing w:val="-9"/>
        </w:rPr>
        <w:t> </w:t>
      </w:r>
      <w:r>
        <w:rPr/>
        <w:t>the</w:t>
      </w:r>
      <w:r>
        <w:rPr>
          <w:spacing w:val="-9"/>
        </w:rPr>
        <w:t> </w:t>
      </w:r>
      <w:r>
        <w:rPr/>
        <w:t>equation</w:t>
      </w:r>
      <w:r>
        <w:rPr>
          <w:spacing w:val="-10"/>
        </w:rPr>
        <w:t> </w:t>
      </w:r>
      <w:r>
        <w:rPr/>
        <w:t>I estimate</w:t>
      </w:r>
      <w:r>
        <w:rPr>
          <w:spacing w:val="-1"/>
        </w:rPr>
        <w:t> </w:t>
      </w:r>
      <w:r>
        <w:rPr/>
        <w:t>is:</w:t>
      </w:r>
      <w:r>
        <w:rPr>
          <w:vertAlign w:val="superscript"/>
        </w:rPr>
        <w:t>17</w:t>
      </w:r>
    </w:p>
    <w:p>
      <w:pPr>
        <w:pStyle w:val="BodyText"/>
        <w:spacing w:line="219" w:lineRule="exact"/>
        <w:ind w:left="1064"/>
      </w:pPr>
      <w:r>
        <w:rPr>
          <w:rFonts w:ascii="Cambria" w:hAnsi="Cambria"/>
          <w:w w:val="267"/>
        </w:rPr>
        <w:t> </w:t>
      </w:r>
      <w:r>
        <w:rPr>
          <w:rFonts w:ascii="Cambria" w:hAnsi="Cambria"/>
          <w:spacing w:val="-1"/>
          <w:w w:val="189"/>
          <w:vertAlign w:val="subscript"/>
        </w:rPr>
        <w:t> </w:t>
      </w:r>
      <w:r>
        <w:rPr>
          <w:rFonts w:ascii="Cambria" w:hAnsi="Cambria"/>
          <w:vertAlign w:val="baseline"/>
        </w:rPr>
        <w:t>  </w:t>
      </w:r>
      <w:r>
        <w:rPr>
          <w:rFonts w:ascii="Cambria" w:hAnsi="Cambria"/>
          <w:spacing w:val="-21"/>
          <w:w w:val="336"/>
          <w:vertAlign w:val="baseline"/>
        </w:rPr>
        <w:t> </w:t>
      </w:r>
      <w:r>
        <w:rPr>
          <w:rFonts w:ascii="Cambria" w:hAnsi="Cambria"/>
          <w:vertAlign w:val="baseline"/>
        </w:rPr>
        <w:t> </w:t>
      </w:r>
      <w:r>
        <w:rPr>
          <w:rFonts w:ascii="Cambria" w:hAnsi="Cambria"/>
          <w:spacing w:val="9"/>
          <w:w w:val="273"/>
          <w:vertAlign w:val="baseline"/>
        </w:rPr>
        <w:t> </w:t>
      </w:r>
      <w:r>
        <w:rPr>
          <w:rFonts w:ascii="Cambria" w:hAnsi="Cambria"/>
          <w:spacing w:val="-13"/>
          <w:w w:val="249"/>
          <w:vertAlign w:val="subscript"/>
        </w:rPr>
        <w:t> </w:t>
      </w:r>
      <w:r>
        <w:rPr>
          <w:rFonts w:ascii="Cambria" w:hAnsi="Cambria"/>
          <w:vertAlign w:val="baseline"/>
        </w:rPr>
        <w:t> </w:t>
      </w:r>
      <w:r>
        <w:rPr>
          <w:rFonts w:ascii="Cambria" w:hAnsi="Cambria"/>
          <w:spacing w:val="7"/>
          <w:w w:val="336"/>
          <w:vertAlign w:val="baseline"/>
        </w:rPr>
        <w:t> </w:t>
      </w:r>
      <w:r>
        <w:rPr>
          <w:rFonts w:ascii="Cambria" w:hAnsi="Cambria"/>
          <w:vertAlign w:val="baseline"/>
        </w:rPr>
        <w:t> </w:t>
      </w:r>
      <w:r>
        <w:rPr>
          <w:rFonts w:ascii="Cambria" w:hAnsi="Cambria"/>
          <w:w w:val="273"/>
          <w:vertAlign w:val="baseline"/>
        </w:rPr>
        <w:t> </w:t>
      </w:r>
      <w:r>
        <w:rPr>
          <w:rFonts w:ascii="Cambria" w:hAnsi="Cambria"/>
          <w:spacing w:val="-18"/>
          <w:w w:val="249"/>
          <w:vertAlign w:val="subscript"/>
        </w:rPr>
        <w:t> </w:t>
      </w:r>
      <w:r>
        <w:rPr>
          <w:rFonts w:ascii="Cambria" w:hAnsi="Cambria"/>
          <w:spacing w:val="7"/>
          <w:w w:val="267"/>
          <w:vertAlign w:val="baseline"/>
        </w:rPr>
        <w:t> </w:t>
      </w:r>
      <w:r>
        <w:rPr>
          <w:rFonts w:ascii="Cambria" w:hAnsi="Cambria"/>
          <w:spacing w:val="-1"/>
          <w:w w:val="251"/>
          <w:vertAlign w:val="subscript"/>
        </w:rPr>
        <w:t> </w:t>
      </w:r>
      <w:r>
        <w:rPr>
          <w:rFonts w:ascii="Cambria" w:hAnsi="Cambria"/>
          <w:spacing w:val="2"/>
          <w:w w:val="251"/>
          <w:vertAlign w:val="subscript"/>
        </w:rPr>
        <w:t> </w:t>
      </w:r>
      <w:r>
        <w:rPr>
          <w:rFonts w:ascii="Cambria" w:hAnsi="Cambria"/>
          <w:spacing w:val="-1"/>
          <w:w w:val="249"/>
          <w:vertAlign w:val="subscript"/>
        </w:rPr>
        <w:t> </w:t>
      </w:r>
      <w:r>
        <w:rPr>
          <w:rFonts w:ascii="Cambria" w:hAnsi="Cambria"/>
          <w:vertAlign w:val="baseline"/>
        </w:rPr>
        <w:t> </w:t>
      </w:r>
      <w:r>
        <w:rPr>
          <w:rFonts w:ascii="Cambria" w:hAnsi="Cambria"/>
          <w:spacing w:val="9"/>
          <w:w w:val="336"/>
          <w:vertAlign w:val="baseline"/>
        </w:rPr>
        <w:t> </w:t>
      </w:r>
      <w:r>
        <w:rPr>
          <w:rFonts w:ascii="Cambria" w:hAnsi="Cambria"/>
          <w:vertAlign w:val="baseline"/>
        </w:rPr>
        <w:t> </w:t>
      </w:r>
      <w:r>
        <w:rPr>
          <w:rFonts w:ascii="Cambria" w:hAnsi="Cambria"/>
          <w:spacing w:val="-2"/>
          <w:w w:val="273"/>
          <w:vertAlign w:val="baseline"/>
        </w:rPr>
        <w:t> </w:t>
      </w:r>
      <w:r>
        <w:rPr>
          <w:rFonts w:ascii="Cambria" w:hAnsi="Cambria"/>
          <w:spacing w:val="-13"/>
          <w:w w:val="249"/>
          <w:vertAlign w:val="subscript"/>
        </w:rPr>
        <w:t> </w:t>
      </w:r>
      <w:r>
        <w:rPr>
          <w:rFonts w:ascii="Cambria" w:hAnsi="Cambria"/>
          <w:spacing w:val="7"/>
          <w:w w:val="267"/>
          <w:vertAlign w:val="baseline"/>
        </w:rPr>
        <w:t> </w:t>
      </w:r>
      <w:r>
        <w:rPr>
          <w:rFonts w:ascii="Cambria" w:hAnsi="Cambria"/>
          <w:spacing w:val="-1"/>
          <w:w w:val="251"/>
          <w:vertAlign w:val="subscript"/>
        </w:rPr>
        <w:t> </w:t>
      </w:r>
      <w:r>
        <w:rPr>
          <w:rFonts w:ascii="Cambria" w:hAnsi="Cambria"/>
          <w:spacing w:val="2"/>
          <w:w w:val="251"/>
          <w:vertAlign w:val="subscript"/>
        </w:rPr>
        <w:t> </w:t>
      </w:r>
      <w:r>
        <w:rPr>
          <w:rFonts w:ascii="Cambria" w:hAnsi="Cambria"/>
          <w:spacing w:val="-1"/>
          <w:w w:val="249"/>
          <w:vertAlign w:val="subscript"/>
        </w:rPr>
        <w:t> </w:t>
      </w:r>
      <w:r>
        <w:rPr>
          <w:rFonts w:ascii="Cambria" w:hAnsi="Cambria"/>
          <w:vertAlign w:val="baseline"/>
        </w:rPr>
        <w:t> </w:t>
      </w:r>
      <w:r>
        <w:rPr>
          <w:rFonts w:ascii="Cambria" w:hAnsi="Cambria"/>
          <w:spacing w:val="9"/>
          <w:w w:val="336"/>
          <w:vertAlign w:val="baseline"/>
        </w:rPr>
        <w:t> </w:t>
      </w:r>
      <w:r>
        <w:rPr>
          <w:rFonts w:ascii="Cambria" w:hAnsi="Cambria"/>
          <w:vertAlign w:val="baseline"/>
        </w:rPr>
        <w:t> </w:t>
      </w:r>
      <w:r>
        <w:rPr>
          <w:rFonts w:ascii="Cambria" w:hAnsi="Cambria"/>
          <w:spacing w:val="-2"/>
          <w:w w:val="273"/>
          <w:vertAlign w:val="baseline"/>
        </w:rPr>
        <w:t> </w:t>
      </w:r>
      <w:r>
        <w:rPr>
          <w:rFonts w:ascii="Cambria" w:hAnsi="Cambria"/>
          <w:spacing w:val="-13"/>
          <w:w w:val="249"/>
          <w:vertAlign w:val="subscript"/>
        </w:rPr>
        <w:t> </w:t>
      </w:r>
      <w:r>
        <w:rPr>
          <w:rFonts w:ascii="Cambria" w:hAnsi="Cambria"/>
          <w:spacing w:val="7"/>
          <w:w w:val="281"/>
          <w:vertAlign w:val="baseline"/>
        </w:rPr>
        <w:t> </w:t>
      </w:r>
      <w:r>
        <w:rPr>
          <w:rFonts w:ascii="Cambria" w:hAnsi="Cambria"/>
          <w:w w:val="281"/>
          <w:vertAlign w:val="baseline"/>
        </w:rPr>
        <w:t> </w:t>
      </w:r>
      <w:r>
        <w:rPr>
          <w:rFonts w:ascii="Cambria" w:hAnsi="Cambria"/>
          <w:w w:val="229"/>
          <w:vertAlign w:val="baseline"/>
        </w:rPr>
        <w:t>   </w:t>
      </w:r>
      <w:r>
        <w:rPr>
          <w:rFonts w:ascii="Cambria" w:hAnsi="Cambria"/>
          <w:spacing w:val="-2"/>
          <w:w w:val="177"/>
          <w:vertAlign w:val="baseline"/>
        </w:rPr>
        <w:t> </w:t>
      </w:r>
      <w:r>
        <w:rPr>
          <w:rFonts w:ascii="Cambria" w:hAnsi="Cambria"/>
          <w:w w:val="267"/>
          <w:vertAlign w:val="baseline"/>
        </w:rPr>
        <w:t>  </w:t>
      </w:r>
      <w:r>
        <w:rPr>
          <w:rFonts w:ascii="Cambria" w:hAnsi="Cambria"/>
          <w:spacing w:val="-2"/>
          <w:w w:val="251"/>
          <w:vertAlign w:val="baseline"/>
        </w:rPr>
        <w:t> </w:t>
      </w:r>
      <w:r>
        <w:rPr>
          <w:rFonts w:ascii="Cambria" w:hAnsi="Cambria"/>
          <w:spacing w:val="-5"/>
          <w:w w:val="189"/>
          <w:vertAlign w:val="subscript"/>
        </w:rPr>
        <w:t> </w:t>
      </w:r>
      <w:r>
        <w:rPr>
          <w:rFonts w:ascii="Cambria" w:hAnsi="Cambria"/>
          <w:vertAlign w:val="baseline"/>
        </w:rPr>
        <w:t> </w:t>
      </w:r>
      <w:r>
        <w:rPr>
          <w:rFonts w:ascii="Cambria" w:hAnsi="Cambria"/>
          <w:spacing w:val="9"/>
          <w:w w:val="336"/>
          <w:vertAlign w:val="baseline"/>
        </w:rPr>
        <w:t> </w:t>
      </w:r>
      <w:r>
        <w:rPr>
          <w:rFonts w:ascii="Cambria" w:hAnsi="Cambria"/>
          <w:vertAlign w:val="baseline"/>
        </w:rPr>
        <w:t> </w:t>
      </w:r>
      <w:r>
        <w:rPr>
          <w:rFonts w:ascii="Cambria" w:hAnsi="Cambria"/>
          <w:w w:val="273"/>
          <w:vertAlign w:val="baseline"/>
        </w:rPr>
        <w:t> </w:t>
      </w:r>
      <w:r>
        <w:rPr>
          <w:rFonts w:ascii="Cambria" w:hAnsi="Cambria"/>
          <w:spacing w:val="-19"/>
          <w:w w:val="249"/>
          <w:vertAlign w:val="subscript"/>
        </w:rPr>
        <w:t> </w:t>
      </w:r>
      <w:r>
        <w:rPr>
          <w:rFonts w:ascii="Cambria" w:hAnsi="Cambria"/>
          <w:w w:val="165"/>
          <w:vertAlign w:val="baseline"/>
        </w:rPr>
        <w:t>∆</w:t>
      </w:r>
      <w:r>
        <w:rPr>
          <w:rFonts w:ascii="Cambria" w:hAnsi="Cambria"/>
          <w:w w:val="165"/>
          <w:vertAlign w:val="subscript"/>
        </w:rPr>
        <w:t> </w:t>
      </w:r>
      <w:r>
        <w:rPr>
          <w:rFonts w:ascii="Cambria" w:hAnsi="Cambria"/>
          <w:w w:val="165"/>
          <w:vertAlign w:val="baseline"/>
        </w:rPr>
        <w:t>∆</w:t>
      </w:r>
      <w:r>
        <w:rPr>
          <w:rFonts w:ascii="Cambria" w:hAnsi="Cambria"/>
          <w:w w:val="165"/>
          <w:vertAlign w:val="subscript"/>
        </w:rPr>
        <w:t> </w:t>
      </w:r>
      <w:r>
        <w:rPr>
          <w:rFonts w:ascii="Cambria" w:hAnsi="Cambria"/>
          <w:w w:val="180"/>
          <w:vertAlign w:val="baseline"/>
        </w:rPr>
        <w:t>∆</w:t>
      </w:r>
      <w:r>
        <w:rPr>
          <w:rFonts w:ascii="Cambria" w:hAnsi="Cambria"/>
          <w:spacing w:val="66"/>
          <w:w w:val="180"/>
          <w:vertAlign w:val="subscript"/>
        </w:rPr>
        <w:t> </w:t>
      </w:r>
      <w:r>
        <w:rPr>
          <w:w w:val="120"/>
          <w:vertAlign w:val="baseline"/>
        </w:rPr>
        <w:t>.</w:t>
      </w:r>
    </w:p>
    <w:p>
      <w:pPr>
        <w:pStyle w:val="BodyText"/>
        <w:rPr>
          <w:sz w:val="24"/>
        </w:rPr>
      </w:pPr>
    </w:p>
    <w:p>
      <w:pPr>
        <w:pStyle w:val="BodyText"/>
        <w:spacing w:line="357" w:lineRule="auto" w:before="157"/>
        <w:ind w:left="386" w:right="628"/>
      </w:pPr>
      <w:r>
        <w:rPr/>
        <w:t>The</w:t>
      </w:r>
      <w:r>
        <w:rPr>
          <w:spacing w:val="-9"/>
        </w:rPr>
        <w:t> </w:t>
      </w:r>
      <w:r>
        <w:rPr/>
        <w:t>results</w:t>
      </w:r>
      <w:r>
        <w:rPr>
          <w:spacing w:val="-6"/>
        </w:rPr>
        <w:t> </w:t>
      </w:r>
      <w:r>
        <w:rPr/>
        <w:t>of</w:t>
      </w:r>
      <w:r>
        <w:rPr>
          <w:spacing w:val="-7"/>
        </w:rPr>
        <w:t> </w:t>
      </w:r>
      <w:r>
        <w:rPr/>
        <w:t>this</w:t>
      </w:r>
      <w:r>
        <w:rPr>
          <w:spacing w:val="-8"/>
        </w:rPr>
        <w:t> </w:t>
      </w:r>
      <w:r>
        <w:rPr/>
        <w:t>model</w:t>
      </w:r>
      <w:r>
        <w:rPr>
          <w:spacing w:val="-8"/>
        </w:rPr>
        <w:t> </w:t>
      </w:r>
      <w:r>
        <w:rPr/>
        <w:t>predicting</w:t>
      </w:r>
      <w:r>
        <w:rPr>
          <w:spacing w:val="-7"/>
        </w:rPr>
        <w:t> </w:t>
      </w:r>
      <w:r>
        <w:rPr/>
        <w:t>headline</w:t>
      </w:r>
      <w:r>
        <w:rPr>
          <w:spacing w:val="-8"/>
        </w:rPr>
        <w:t> </w:t>
      </w:r>
      <w:r>
        <w:rPr/>
        <w:t>inflation</w:t>
      </w:r>
      <w:r>
        <w:rPr>
          <w:spacing w:val="-7"/>
        </w:rPr>
        <w:t> </w:t>
      </w:r>
      <w:r>
        <w:rPr/>
        <w:t>are</w:t>
      </w:r>
      <w:r>
        <w:rPr>
          <w:spacing w:val="-8"/>
        </w:rPr>
        <w:t> </w:t>
      </w:r>
      <w:r>
        <w:rPr/>
        <w:t>shown</w:t>
      </w:r>
      <w:r>
        <w:rPr>
          <w:spacing w:val="-8"/>
        </w:rPr>
        <w:t> </w:t>
      </w:r>
      <w:r>
        <w:rPr/>
        <w:t>in</w:t>
      </w:r>
      <w:r>
        <w:rPr>
          <w:spacing w:val="-7"/>
        </w:rPr>
        <w:t> </w:t>
      </w:r>
      <w:r>
        <w:rPr/>
        <w:t>column</w:t>
      </w:r>
      <w:r>
        <w:rPr>
          <w:spacing w:val="-8"/>
        </w:rPr>
        <w:t> </w:t>
      </w:r>
      <w:r>
        <w:rPr/>
        <w:t>1</w:t>
      </w:r>
      <w:r>
        <w:rPr>
          <w:spacing w:val="-9"/>
        </w:rPr>
        <w:t> </w:t>
      </w:r>
      <w:r>
        <w:rPr/>
        <w:t>of</w:t>
      </w:r>
      <w:r>
        <w:rPr>
          <w:spacing w:val="-8"/>
        </w:rPr>
        <w:t> </w:t>
      </w:r>
      <w:r>
        <w:rPr/>
        <w:t>Table</w:t>
      </w:r>
      <w:r>
        <w:rPr>
          <w:spacing w:val="-7"/>
        </w:rPr>
        <w:t> </w:t>
      </w:r>
      <w:r>
        <w:rPr/>
        <w:t>2.</w:t>
      </w:r>
      <w:r>
        <w:rPr>
          <w:spacing w:val="-8"/>
        </w:rPr>
        <w:t> </w:t>
      </w:r>
      <w:r>
        <w:rPr/>
        <w:t>Headline</w:t>
      </w:r>
      <w:r>
        <w:rPr>
          <w:spacing w:val="-9"/>
        </w:rPr>
        <w:t> </w:t>
      </w:r>
      <w:r>
        <w:rPr/>
        <w:t>inflation</w:t>
      </w:r>
      <w:r>
        <w:rPr>
          <w:spacing w:val="-7"/>
        </w:rPr>
        <w:t> </w:t>
      </w:r>
      <w:r>
        <w:rPr/>
        <w:t>is significantly lower if: inflation expectations are lower,</w:t>
      </w:r>
      <w:r>
        <w:rPr>
          <w:vertAlign w:val="superscript"/>
        </w:rPr>
        <w:t>18</w:t>
      </w:r>
      <w:r>
        <w:rPr>
          <w:vertAlign w:val="baseline"/>
        </w:rPr>
        <w:t> sterling has appreciated, or oil prices have decreased. After controlling for these variables, the level or changes in the output gap do not significantly affect</w:t>
      </w:r>
      <w:r>
        <w:rPr>
          <w:spacing w:val="-8"/>
          <w:vertAlign w:val="baseline"/>
        </w:rPr>
        <w:t> </w:t>
      </w:r>
      <w:r>
        <w:rPr>
          <w:vertAlign w:val="baseline"/>
        </w:rPr>
        <w:t>inflation.</w:t>
      </w:r>
      <w:r>
        <w:rPr>
          <w:spacing w:val="-6"/>
          <w:vertAlign w:val="baseline"/>
        </w:rPr>
        <w:t> </w:t>
      </w:r>
      <w:r>
        <w:rPr>
          <w:vertAlign w:val="baseline"/>
        </w:rPr>
        <w:t>This</w:t>
      </w:r>
      <w:r>
        <w:rPr>
          <w:spacing w:val="-8"/>
          <w:vertAlign w:val="baseline"/>
        </w:rPr>
        <w:t> </w:t>
      </w:r>
      <w:r>
        <w:rPr>
          <w:vertAlign w:val="baseline"/>
        </w:rPr>
        <w:t>is</w:t>
      </w:r>
      <w:r>
        <w:rPr>
          <w:spacing w:val="-7"/>
          <w:vertAlign w:val="baseline"/>
        </w:rPr>
        <w:t> </w:t>
      </w:r>
      <w:r>
        <w:rPr>
          <w:vertAlign w:val="baseline"/>
        </w:rPr>
        <w:t>consistent</w:t>
      </w:r>
      <w:r>
        <w:rPr>
          <w:spacing w:val="-8"/>
          <w:vertAlign w:val="baseline"/>
        </w:rPr>
        <w:t> </w:t>
      </w:r>
      <w:r>
        <w:rPr>
          <w:vertAlign w:val="baseline"/>
        </w:rPr>
        <w:t>with</w:t>
      </w:r>
      <w:r>
        <w:rPr>
          <w:spacing w:val="-8"/>
          <w:vertAlign w:val="baseline"/>
        </w:rPr>
        <w:t> </w:t>
      </w:r>
      <w:r>
        <w:rPr>
          <w:vertAlign w:val="baseline"/>
        </w:rPr>
        <w:t>most</w:t>
      </w:r>
      <w:r>
        <w:rPr>
          <w:spacing w:val="-6"/>
          <w:vertAlign w:val="baseline"/>
        </w:rPr>
        <w:t> </w:t>
      </w:r>
      <w:r>
        <w:rPr>
          <w:vertAlign w:val="baseline"/>
        </w:rPr>
        <w:t>recent</w:t>
      </w:r>
      <w:r>
        <w:rPr>
          <w:spacing w:val="-5"/>
          <w:vertAlign w:val="baseline"/>
        </w:rPr>
        <w:t> </w:t>
      </w:r>
      <w:r>
        <w:rPr>
          <w:vertAlign w:val="baseline"/>
        </w:rPr>
        <w:t>work</w:t>
      </w:r>
      <w:r>
        <w:rPr>
          <w:spacing w:val="-8"/>
          <w:vertAlign w:val="baseline"/>
        </w:rPr>
        <w:t> </w:t>
      </w:r>
      <w:r>
        <w:rPr>
          <w:vertAlign w:val="baseline"/>
        </w:rPr>
        <w:t>finding</w:t>
      </w:r>
      <w:r>
        <w:rPr>
          <w:spacing w:val="-8"/>
          <w:vertAlign w:val="baseline"/>
        </w:rPr>
        <w:t> </w:t>
      </w:r>
      <w:r>
        <w:rPr>
          <w:vertAlign w:val="baseline"/>
        </w:rPr>
        <w:t>a</w:t>
      </w:r>
      <w:r>
        <w:rPr>
          <w:spacing w:val="-8"/>
          <w:vertAlign w:val="baseline"/>
        </w:rPr>
        <w:t> </w:t>
      </w:r>
      <w:r>
        <w:rPr>
          <w:vertAlign w:val="baseline"/>
        </w:rPr>
        <w:t>“flattening”</w:t>
      </w:r>
      <w:r>
        <w:rPr>
          <w:spacing w:val="-8"/>
          <w:vertAlign w:val="baseline"/>
        </w:rPr>
        <w:t> </w:t>
      </w:r>
      <w:r>
        <w:rPr>
          <w:vertAlign w:val="baseline"/>
        </w:rPr>
        <w:t>of</w:t>
      </w:r>
      <w:r>
        <w:rPr>
          <w:spacing w:val="-8"/>
          <w:vertAlign w:val="baseline"/>
        </w:rPr>
        <w:t> </w:t>
      </w:r>
      <w:r>
        <w:rPr>
          <w:vertAlign w:val="baseline"/>
        </w:rPr>
        <w:t>the</w:t>
      </w:r>
      <w:r>
        <w:rPr>
          <w:spacing w:val="-8"/>
          <w:vertAlign w:val="baseline"/>
        </w:rPr>
        <w:t> </w:t>
      </w:r>
      <w:r>
        <w:rPr>
          <w:vertAlign w:val="baseline"/>
        </w:rPr>
        <w:t>Philips</w:t>
      </w:r>
      <w:r>
        <w:rPr>
          <w:spacing w:val="-7"/>
          <w:vertAlign w:val="baseline"/>
        </w:rPr>
        <w:t> </w:t>
      </w:r>
      <w:r>
        <w:rPr>
          <w:vertAlign w:val="baseline"/>
        </w:rPr>
        <w:t>curve,</w:t>
      </w:r>
      <w:r>
        <w:rPr>
          <w:spacing w:val="-7"/>
          <w:vertAlign w:val="baseline"/>
        </w:rPr>
        <w:t> </w:t>
      </w:r>
      <w:r>
        <w:rPr>
          <w:vertAlign w:val="baseline"/>
        </w:rPr>
        <w:t>and</w:t>
      </w:r>
      <w:r>
        <w:rPr>
          <w:spacing w:val="-7"/>
          <w:vertAlign w:val="baseline"/>
        </w:rPr>
        <w:t> </w:t>
      </w:r>
      <w:r>
        <w:rPr>
          <w:vertAlign w:val="baseline"/>
        </w:rPr>
        <w:t>which has been discussed at length elsewhere.</w:t>
      </w:r>
      <w:r>
        <w:rPr>
          <w:vertAlign w:val="superscript"/>
        </w:rPr>
        <w:t>19</w:t>
      </w:r>
      <w:r>
        <w:rPr>
          <w:vertAlign w:val="baseline"/>
        </w:rPr>
        <w:t> The estimates also suggest that after controlling for oil prices, sterling’s movements, and the other variables, changes in world export prices—a proxy for global disinflationary</w:t>
      </w:r>
      <w:r>
        <w:rPr>
          <w:spacing w:val="-3"/>
          <w:vertAlign w:val="baseline"/>
        </w:rPr>
        <w:t> </w:t>
      </w:r>
      <w:r>
        <w:rPr>
          <w:vertAlign w:val="baseline"/>
        </w:rPr>
        <w:t>pressures—do</w:t>
      </w:r>
      <w:r>
        <w:rPr>
          <w:spacing w:val="-4"/>
          <w:vertAlign w:val="baseline"/>
        </w:rPr>
        <w:t> </w:t>
      </w:r>
      <w:r>
        <w:rPr>
          <w:vertAlign w:val="baseline"/>
        </w:rPr>
        <w:t>not</w:t>
      </w:r>
      <w:r>
        <w:rPr>
          <w:spacing w:val="-2"/>
          <w:vertAlign w:val="baseline"/>
        </w:rPr>
        <w:t> </w:t>
      </w:r>
      <w:r>
        <w:rPr>
          <w:vertAlign w:val="baseline"/>
        </w:rPr>
        <w:t>exert</w:t>
      </w:r>
      <w:r>
        <w:rPr>
          <w:spacing w:val="-3"/>
          <w:vertAlign w:val="baseline"/>
        </w:rPr>
        <w:t> </w:t>
      </w:r>
      <w:r>
        <w:rPr>
          <w:vertAlign w:val="baseline"/>
        </w:rPr>
        <w:t>a</w:t>
      </w:r>
      <w:r>
        <w:rPr>
          <w:spacing w:val="-4"/>
          <w:vertAlign w:val="baseline"/>
        </w:rPr>
        <w:t> </w:t>
      </w:r>
      <w:r>
        <w:rPr>
          <w:vertAlign w:val="baseline"/>
        </w:rPr>
        <w:t>significant,</w:t>
      </w:r>
      <w:r>
        <w:rPr>
          <w:spacing w:val="-4"/>
          <w:vertAlign w:val="baseline"/>
        </w:rPr>
        <w:t> </w:t>
      </w:r>
      <w:r>
        <w:rPr>
          <w:vertAlign w:val="baseline"/>
        </w:rPr>
        <w:t>independent</w:t>
      </w:r>
      <w:r>
        <w:rPr>
          <w:spacing w:val="-3"/>
          <w:vertAlign w:val="baseline"/>
        </w:rPr>
        <w:t> </w:t>
      </w:r>
      <w:r>
        <w:rPr>
          <w:vertAlign w:val="baseline"/>
        </w:rPr>
        <w:t>effect</w:t>
      </w:r>
      <w:r>
        <w:rPr>
          <w:spacing w:val="-2"/>
          <w:vertAlign w:val="baseline"/>
        </w:rPr>
        <w:t> </w:t>
      </w:r>
      <w:r>
        <w:rPr>
          <w:vertAlign w:val="baseline"/>
        </w:rPr>
        <w:t>on</w:t>
      </w:r>
      <w:r>
        <w:rPr>
          <w:spacing w:val="-4"/>
          <w:vertAlign w:val="baseline"/>
        </w:rPr>
        <w:t> </w:t>
      </w:r>
      <w:r>
        <w:rPr>
          <w:vertAlign w:val="baseline"/>
        </w:rPr>
        <w:t>UK</w:t>
      </w:r>
      <w:r>
        <w:rPr>
          <w:spacing w:val="-4"/>
          <w:vertAlign w:val="baseline"/>
        </w:rPr>
        <w:t> </w:t>
      </w:r>
      <w:r>
        <w:rPr>
          <w:vertAlign w:val="baseline"/>
        </w:rPr>
        <w:t>inflation.</w:t>
      </w:r>
      <w:r>
        <w:rPr>
          <w:spacing w:val="-20"/>
          <w:vertAlign w:val="baseline"/>
        </w:rPr>
        <w:t> </w:t>
      </w:r>
      <w:r>
        <w:rPr>
          <w:vertAlign w:val="superscript"/>
        </w:rPr>
        <w:t>20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6"/>
        </w:rPr>
      </w:pPr>
      <w:r>
        <w:rPr/>
        <w:pict>
          <v:shape style="position:absolute;margin-left:79.320pt;margin-top:11.938798pt;width:135.5pt;height:.1pt;mso-position-horizontal-relative:page;mso-position-vertical-relative:paragraph;z-index:-251604992;mso-wrap-distance-left:0;mso-wrap-distance-right:0" coordorigin="1586,239" coordsize="2710,0" path="m1586,239l4296,239e" filled="false" stroked="true" strokeweight=".48pt" strokecolor="#000000">
            <v:path arrowok="t"/>
            <v:stroke dashstyle="solid"/>
            <w10:wrap type="topAndBottom"/>
          </v:shape>
        </w:pict>
      </w:r>
    </w:p>
    <w:p>
      <w:pPr>
        <w:spacing w:line="237" w:lineRule="auto" w:before="39"/>
        <w:ind w:left="386" w:right="563" w:firstLine="0"/>
        <w:jc w:val="left"/>
        <w:rPr>
          <w:sz w:val="15"/>
        </w:rPr>
      </w:pPr>
      <w:r>
        <w:rPr>
          <w:position w:val="8"/>
          <w:sz w:val="9"/>
        </w:rPr>
        <w:t>15 </w:t>
      </w:r>
      <w:r>
        <w:rPr>
          <w:sz w:val="15"/>
        </w:rPr>
        <w:t>In this specification, each lag of </w:t>
      </w:r>
      <w:r>
        <w:rPr>
          <w:rFonts w:ascii="Symbol" w:hAnsi="Symbol"/>
          <w:i/>
          <w:sz w:val="16"/>
        </w:rPr>
        <w:t></w:t>
      </w:r>
      <w:r>
        <w:rPr>
          <w:rFonts w:ascii="Times New Roman" w:hAnsi="Times New Roman"/>
          <w:i/>
          <w:sz w:val="16"/>
        </w:rPr>
        <w:t> </w:t>
      </w:r>
      <w:r>
        <w:rPr>
          <w:sz w:val="15"/>
        </w:rPr>
        <w:t>is measured using quarterly log changes in the Consumer Price Index (CPI). In the base case, </w:t>
      </w:r>
      <w:r>
        <w:rPr>
          <w:i/>
          <w:sz w:val="15"/>
        </w:rPr>
        <w:t>OutputGap </w:t>
      </w:r>
      <w:r>
        <w:rPr>
          <w:sz w:val="15"/>
        </w:rPr>
        <w:t>is measured by the change in the output gap measure produced by BoE staff. Key results are unchanged if we instead </w:t>
      </w:r>
      <w:r>
        <w:rPr>
          <w:position w:val="2"/>
          <w:sz w:val="15"/>
        </w:rPr>
        <w:t>measure </w:t>
      </w:r>
      <w:r>
        <w:rPr>
          <w:i/>
          <w:position w:val="2"/>
          <w:sz w:val="15"/>
        </w:rPr>
        <w:t>OutputGap </w:t>
      </w:r>
      <w:r>
        <w:rPr>
          <w:position w:val="2"/>
          <w:sz w:val="15"/>
        </w:rPr>
        <w:t>by the level of the output gap based on an HP filter or internal BOE estimates. </w:t>
      </w:r>
      <w:r>
        <w:rPr>
          <w:rFonts w:ascii="Symbol" w:hAnsi="Symbol"/>
          <w:position w:val="2"/>
          <w:sz w:val="15"/>
        </w:rPr>
        <w:t></w:t>
      </w:r>
      <w:r>
        <w:rPr>
          <w:i/>
          <w:position w:val="2"/>
          <w:sz w:val="15"/>
        </w:rPr>
        <w:t>ER</w:t>
      </w:r>
      <w:r>
        <w:rPr>
          <w:i/>
          <w:sz w:val="9"/>
        </w:rPr>
        <w:t>t </w:t>
      </w:r>
      <w:r>
        <w:rPr>
          <w:position w:val="2"/>
          <w:sz w:val="15"/>
        </w:rPr>
        <w:t>is the log change in the</w:t>
      </w:r>
      <w:r>
        <w:rPr>
          <w:sz w:val="15"/>
        </w:rPr>
        <w:t> nominal sterling exchange rate index. </w:t>
      </w:r>
      <w:r>
        <w:rPr>
          <w:rFonts w:ascii="Symbol" w:hAnsi="Symbol"/>
          <w:sz w:val="15"/>
        </w:rPr>
        <w:t></w:t>
      </w:r>
      <w:r>
        <w:rPr>
          <w:i/>
          <w:sz w:val="15"/>
        </w:rPr>
        <w:t>Oil </w:t>
      </w:r>
      <w:r>
        <w:rPr>
          <w:sz w:val="15"/>
        </w:rPr>
        <w:t>is the log change in the Brent oil price in US dollar terms. </w:t>
      </w:r>
      <w:r>
        <w:rPr>
          <w:rFonts w:ascii="Symbol" w:hAnsi="Symbol"/>
          <w:sz w:val="15"/>
        </w:rPr>
        <w:t></w:t>
      </w:r>
      <w:r>
        <w:rPr>
          <w:i/>
          <w:sz w:val="15"/>
        </w:rPr>
        <w:t>WorldExpPrices </w:t>
      </w:r>
      <w:r>
        <w:rPr>
          <w:sz w:val="15"/>
        </w:rPr>
        <w:t>is the log change in foreign currency export prices excluding oil of all UK trading partners, weighted by each country’s weight in UK</w:t>
      </w:r>
      <w:r>
        <w:rPr>
          <w:spacing w:val="-15"/>
          <w:sz w:val="15"/>
        </w:rPr>
        <w:t> </w:t>
      </w:r>
      <w:r>
        <w:rPr>
          <w:sz w:val="15"/>
        </w:rPr>
        <w:t>imports.</w:t>
      </w:r>
    </w:p>
    <w:p>
      <w:pPr>
        <w:spacing w:line="172" w:lineRule="exact" w:before="4"/>
        <w:ind w:left="386" w:right="533" w:hanging="1"/>
        <w:jc w:val="left"/>
        <w:rPr>
          <w:sz w:val="15"/>
        </w:rPr>
      </w:pPr>
      <w:r>
        <w:rPr>
          <w:position w:val="8"/>
          <w:sz w:val="9"/>
        </w:rPr>
        <w:t>16 </w:t>
      </w:r>
      <w:r>
        <w:rPr>
          <w:sz w:val="15"/>
        </w:rPr>
        <w:t>See Blanchard, Cerutti and Summers (2014) for a recent application of this model. They use a standard specification and only include one control for supply shocks—import prices—which simultaneously controls for oil prices, exchange rate movements, and import</w:t>
      </w:r>
    </w:p>
    <w:p>
      <w:pPr>
        <w:spacing w:line="161" w:lineRule="exact" w:before="0"/>
        <w:ind w:left="386" w:right="0" w:firstLine="0"/>
        <w:jc w:val="left"/>
        <w:rPr>
          <w:sz w:val="15"/>
        </w:rPr>
      </w:pPr>
      <w:r>
        <w:rPr>
          <w:sz w:val="15"/>
        </w:rPr>
        <w:t>prices, but does not isolate their different roles.</w:t>
      </w:r>
    </w:p>
    <w:p>
      <w:pPr>
        <w:spacing w:line="172" w:lineRule="exact" w:before="15"/>
        <w:ind w:left="386" w:right="628" w:firstLine="0"/>
        <w:jc w:val="left"/>
        <w:rPr>
          <w:sz w:val="15"/>
        </w:rPr>
      </w:pPr>
      <w:r>
        <w:rPr>
          <w:position w:val="8"/>
          <w:sz w:val="9"/>
        </w:rPr>
        <w:t>17 </w:t>
      </w:r>
      <w:r>
        <w:rPr>
          <w:sz w:val="15"/>
        </w:rPr>
        <w:t>The model is estimated using GMM in order to address the endogeneity arising from including inflation one period ahead as a proxy for inflation expectations. We use lags 2-8 of inflation and lags 1-8 of the other explanatory variables.</w:t>
      </w:r>
    </w:p>
    <w:p>
      <w:pPr>
        <w:spacing w:line="160" w:lineRule="exact" w:before="0"/>
        <w:ind w:left="386" w:right="0" w:firstLine="0"/>
        <w:jc w:val="left"/>
        <w:rPr>
          <w:sz w:val="15"/>
        </w:rPr>
      </w:pPr>
      <w:r>
        <w:rPr>
          <w:position w:val="8"/>
          <w:sz w:val="9"/>
        </w:rPr>
        <w:t>18 </w:t>
      </w:r>
      <w:r>
        <w:rPr>
          <w:sz w:val="15"/>
        </w:rPr>
        <w:t>Research by Cloyne et al. (2015) shows that firms’ inflation expectations play a key role in their price setting.</w:t>
      </w:r>
    </w:p>
    <w:p>
      <w:pPr>
        <w:spacing w:line="173" w:lineRule="exact" w:before="0"/>
        <w:ind w:left="386" w:right="0" w:firstLine="0"/>
        <w:jc w:val="left"/>
        <w:rPr>
          <w:sz w:val="15"/>
        </w:rPr>
      </w:pPr>
      <w:r>
        <w:rPr>
          <w:position w:val="8"/>
          <w:sz w:val="9"/>
        </w:rPr>
        <w:t>19 </w:t>
      </w:r>
      <w:r>
        <w:rPr>
          <w:sz w:val="15"/>
        </w:rPr>
        <w:t>See International Monetary Fund (2013).</w:t>
      </w:r>
    </w:p>
    <w:p>
      <w:pPr>
        <w:spacing w:line="174" w:lineRule="exact" w:before="14"/>
        <w:ind w:left="386" w:right="1078" w:hanging="1"/>
        <w:jc w:val="left"/>
        <w:rPr>
          <w:sz w:val="15"/>
        </w:rPr>
      </w:pPr>
      <w:r>
        <w:rPr>
          <w:position w:val="8"/>
          <w:sz w:val="9"/>
        </w:rPr>
        <w:t>20 </w:t>
      </w:r>
      <w:r>
        <w:rPr>
          <w:sz w:val="15"/>
        </w:rPr>
        <w:t>The impact of world export prices on UK inflation is particularly sensitive to the estimation method, however, with some GMM weighting matrices producing a significant and positive coefficient.</w:t>
      </w:r>
    </w:p>
    <w:p>
      <w:pPr>
        <w:spacing w:after="0" w:line="174" w:lineRule="exact"/>
        <w:jc w:val="left"/>
        <w:rPr>
          <w:sz w:val="15"/>
        </w:rPr>
        <w:sectPr>
          <w:pgSz w:w="12240" w:h="15840"/>
          <w:pgMar w:header="0" w:footer="1240" w:top="1440" w:bottom="1440" w:left="1200" w:right="1060"/>
        </w:sectPr>
      </w:pPr>
    </w:p>
    <w:p>
      <w:pPr>
        <w:pStyle w:val="Heading1"/>
        <w:spacing w:before="78"/>
        <w:ind w:left="1396" w:right="861"/>
        <w:jc w:val="center"/>
      </w:pPr>
      <w:r>
        <w:rPr/>
        <w:t>Table 2: New Keynesian Open-Economy Phillips curve estimates for the UK</w:t>
      </w:r>
    </w:p>
    <w:p>
      <w:pPr>
        <w:spacing w:before="108"/>
        <w:ind w:left="1396" w:right="856" w:firstLine="0"/>
        <w:jc w:val="center"/>
        <w:rPr>
          <w:b/>
          <w:i/>
          <w:sz w:val="19"/>
        </w:rPr>
      </w:pPr>
      <w:r>
        <w:rPr>
          <w:b/>
          <w:i/>
          <w:sz w:val="19"/>
        </w:rPr>
        <w:t>(1998q1-2015q1)</w:t>
      </w:r>
    </w:p>
    <w:p>
      <w:pPr>
        <w:pStyle w:val="BodyText"/>
        <w:spacing w:before="8"/>
        <w:rPr>
          <w:b/>
          <w:i/>
          <w:sz w:val="12"/>
        </w:rPr>
      </w:pPr>
    </w:p>
    <w:tbl>
      <w:tblPr>
        <w:tblW w:w="0" w:type="auto"/>
        <w:jc w:val="left"/>
        <w:tblInd w:w="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06"/>
        <w:gridCol w:w="2077"/>
        <w:gridCol w:w="2025"/>
        <w:gridCol w:w="1971"/>
      </w:tblGrid>
      <w:tr>
        <w:trPr>
          <w:trHeight w:val="595" w:hRule="atLeast"/>
        </w:trPr>
        <w:tc>
          <w:tcPr>
            <w:tcW w:w="2806" w:type="dxa"/>
            <w:vMerge w:val="restart"/>
            <w:tcBorders>
              <w:top w:val="single" w:sz="4" w:space="0" w:color="000000"/>
            </w:tcBorders>
          </w:tcPr>
          <w:p>
            <w:pPr>
              <w:pStyle w:val="TableParagraph"/>
              <w:rPr>
                <w:rFonts w:ascii="Times New Roman"/>
                <w:sz w:val="18"/>
              </w:rPr>
            </w:pPr>
          </w:p>
        </w:tc>
        <w:tc>
          <w:tcPr>
            <w:tcW w:w="2077" w:type="dxa"/>
            <w:tcBorders>
              <w:top w:val="single" w:sz="4" w:space="0" w:color="000000"/>
            </w:tcBorders>
          </w:tcPr>
          <w:p>
            <w:pPr>
              <w:pStyle w:val="TableParagraph"/>
              <w:spacing w:line="214" w:lineRule="exact"/>
              <w:ind w:left="346" w:right="332"/>
              <w:jc w:val="center"/>
              <w:rPr>
                <w:b/>
                <w:sz w:val="19"/>
              </w:rPr>
            </w:pPr>
            <w:r>
              <w:rPr>
                <w:b/>
                <w:sz w:val="19"/>
              </w:rPr>
              <w:t>Headline CPI</w:t>
            </w:r>
          </w:p>
          <w:p>
            <w:pPr>
              <w:pStyle w:val="TableParagraph"/>
              <w:spacing w:before="106"/>
              <w:ind w:left="346" w:right="329"/>
              <w:jc w:val="center"/>
              <w:rPr>
                <w:b/>
                <w:sz w:val="19"/>
              </w:rPr>
            </w:pPr>
            <w:r>
              <w:rPr>
                <w:b/>
                <w:sz w:val="19"/>
              </w:rPr>
              <w:t>inflation</w:t>
            </w:r>
          </w:p>
        </w:tc>
        <w:tc>
          <w:tcPr>
            <w:tcW w:w="2025" w:type="dxa"/>
            <w:tcBorders>
              <w:top w:val="single" w:sz="4" w:space="0" w:color="000000"/>
            </w:tcBorders>
          </w:tcPr>
          <w:p>
            <w:pPr>
              <w:pStyle w:val="TableParagraph"/>
              <w:spacing w:line="214" w:lineRule="exact"/>
              <w:ind w:left="331" w:right="291"/>
              <w:jc w:val="center"/>
              <w:rPr>
                <w:b/>
                <w:sz w:val="19"/>
              </w:rPr>
            </w:pPr>
            <w:r>
              <w:rPr>
                <w:b/>
                <w:sz w:val="19"/>
              </w:rPr>
              <w:t>Core</w:t>
            </w:r>
          </w:p>
          <w:p>
            <w:pPr>
              <w:pStyle w:val="TableParagraph"/>
              <w:spacing w:before="106"/>
              <w:ind w:left="331" w:right="290"/>
              <w:jc w:val="center"/>
              <w:rPr>
                <w:b/>
                <w:sz w:val="19"/>
              </w:rPr>
            </w:pPr>
            <w:r>
              <w:rPr>
                <w:b/>
                <w:sz w:val="19"/>
              </w:rPr>
              <w:t>CPI inflation</w:t>
            </w:r>
          </w:p>
        </w:tc>
        <w:tc>
          <w:tcPr>
            <w:tcW w:w="1971" w:type="dxa"/>
            <w:tcBorders>
              <w:top w:val="single" w:sz="4" w:space="0" w:color="000000"/>
            </w:tcBorders>
          </w:tcPr>
          <w:p>
            <w:pPr>
              <w:pStyle w:val="TableParagraph"/>
              <w:spacing w:line="214" w:lineRule="exact"/>
              <w:ind w:left="295" w:right="271"/>
              <w:jc w:val="center"/>
              <w:rPr>
                <w:b/>
                <w:sz w:val="19"/>
              </w:rPr>
            </w:pPr>
            <w:r>
              <w:rPr>
                <w:b/>
                <w:sz w:val="19"/>
              </w:rPr>
              <w:t>DGI Index of</w:t>
            </w:r>
          </w:p>
          <w:p>
            <w:pPr>
              <w:pStyle w:val="TableParagraph"/>
              <w:spacing w:before="106"/>
              <w:ind w:left="295" w:right="272"/>
              <w:jc w:val="center"/>
              <w:rPr>
                <w:b/>
                <w:sz w:val="19"/>
              </w:rPr>
            </w:pPr>
            <w:r>
              <w:rPr>
                <w:b/>
                <w:sz w:val="19"/>
              </w:rPr>
              <w:t>Inflation</w:t>
            </w:r>
          </w:p>
        </w:tc>
      </w:tr>
      <w:tr>
        <w:trPr>
          <w:trHeight w:val="377" w:hRule="atLeast"/>
        </w:trPr>
        <w:tc>
          <w:tcPr>
            <w:tcW w:w="2806" w:type="dxa"/>
            <w:vMerge/>
            <w:tcBorders>
              <w:top w:val="nil"/>
            </w:tcBorders>
          </w:tcPr>
          <w:p>
            <w:pPr>
              <w:rPr>
                <w:sz w:val="2"/>
                <w:szCs w:val="2"/>
              </w:rPr>
            </w:pPr>
          </w:p>
        </w:tc>
        <w:tc>
          <w:tcPr>
            <w:tcW w:w="2077" w:type="dxa"/>
            <w:tcBorders>
              <w:bottom w:val="single" w:sz="4" w:space="0" w:color="000000"/>
            </w:tcBorders>
          </w:tcPr>
          <w:p>
            <w:pPr>
              <w:pStyle w:val="TableParagraph"/>
              <w:spacing w:before="49"/>
              <w:ind w:left="346" w:right="330"/>
              <w:jc w:val="center"/>
              <w:rPr>
                <w:b/>
                <w:sz w:val="19"/>
              </w:rPr>
            </w:pPr>
            <w:r>
              <w:rPr>
                <w:b/>
                <w:sz w:val="19"/>
              </w:rPr>
              <w:t>(1)</w:t>
            </w:r>
          </w:p>
        </w:tc>
        <w:tc>
          <w:tcPr>
            <w:tcW w:w="2025" w:type="dxa"/>
            <w:tcBorders>
              <w:bottom w:val="single" w:sz="4" w:space="0" w:color="000000"/>
            </w:tcBorders>
          </w:tcPr>
          <w:p>
            <w:pPr>
              <w:pStyle w:val="TableParagraph"/>
              <w:spacing w:before="49"/>
              <w:ind w:left="331" w:right="293"/>
              <w:jc w:val="center"/>
              <w:rPr>
                <w:b/>
                <w:sz w:val="19"/>
              </w:rPr>
            </w:pPr>
            <w:r>
              <w:rPr>
                <w:b/>
                <w:sz w:val="19"/>
              </w:rPr>
              <w:t>(2)</w:t>
            </w:r>
          </w:p>
        </w:tc>
        <w:tc>
          <w:tcPr>
            <w:tcW w:w="1971" w:type="dxa"/>
            <w:tcBorders>
              <w:bottom w:val="single" w:sz="4" w:space="0" w:color="000000"/>
            </w:tcBorders>
          </w:tcPr>
          <w:p>
            <w:pPr>
              <w:pStyle w:val="TableParagraph"/>
              <w:spacing w:before="49"/>
              <w:ind w:left="295" w:right="275"/>
              <w:jc w:val="center"/>
              <w:rPr>
                <w:b/>
                <w:sz w:val="19"/>
              </w:rPr>
            </w:pPr>
            <w:r>
              <w:rPr>
                <w:b/>
                <w:sz w:val="19"/>
              </w:rPr>
              <w:t>(3)</w:t>
            </w:r>
          </w:p>
        </w:tc>
      </w:tr>
      <w:tr>
        <w:trPr>
          <w:trHeight w:val="271" w:hRule="atLeast"/>
        </w:trPr>
        <w:tc>
          <w:tcPr>
            <w:tcW w:w="2806" w:type="dxa"/>
          </w:tcPr>
          <w:p>
            <w:pPr>
              <w:pStyle w:val="TableParagraph"/>
              <w:spacing w:line="216" w:lineRule="exact"/>
              <w:ind w:left="106"/>
              <w:rPr>
                <w:i/>
                <w:sz w:val="19"/>
              </w:rPr>
            </w:pPr>
            <w:r>
              <w:rPr>
                <w:i/>
                <w:sz w:val="19"/>
              </w:rPr>
              <w:t>π(t+1)</w:t>
            </w:r>
          </w:p>
        </w:tc>
        <w:tc>
          <w:tcPr>
            <w:tcW w:w="2077" w:type="dxa"/>
            <w:tcBorders>
              <w:top w:val="single" w:sz="4" w:space="0" w:color="000000"/>
            </w:tcBorders>
          </w:tcPr>
          <w:p>
            <w:pPr>
              <w:pStyle w:val="TableParagraph"/>
              <w:spacing w:line="215" w:lineRule="exact"/>
              <w:ind w:left="346" w:right="331"/>
              <w:jc w:val="center"/>
              <w:rPr>
                <w:sz w:val="19"/>
              </w:rPr>
            </w:pPr>
            <w:r>
              <w:rPr>
                <w:sz w:val="19"/>
              </w:rPr>
              <w:t>0.236***</w:t>
            </w:r>
          </w:p>
        </w:tc>
        <w:tc>
          <w:tcPr>
            <w:tcW w:w="2025" w:type="dxa"/>
            <w:tcBorders>
              <w:top w:val="single" w:sz="4" w:space="0" w:color="000000"/>
            </w:tcBorders>
          </w:tcPr>
          <w:p>
            <w:pPr>
              <w:pStyle w:val="TableParagraph"/>
              <w:spacing w:line="215" w:lineRule="exact"/>
              <w:ind w:left="331" w:right="294"/>
              <w:jc w:val="center"/>
              <w:rPr>
                <w:sz w:val="19"/>
              </w:rPr>
            </w:pPr>
            <w:r>
              <w:rPr>
                <w:sz w:val="19"/>
              </w:rPr>
              <w:t>0.275***</w:t>
            </w:r>
          </w:p>
        </w:tc>
        <w:tc>
          <w:tcPr>
            <w:tcW w:w="1971" w:type="dxa"/>
            <w:tcBorders>
              <w:top w:val="single" w:sz="4" w:space="0" w:color="000000"/>
            </w:tcBorders>
          </w:tcPr>
          <w:p>
            <w:pPr>
              <w:pStyle w:val="TableParagraph"/>
              <w:spacing w:line="215" w:lineRule="exact"/>
              <w:ind w:left="295" w:right="272"/>
              <w:jc w:val="center"/>
              <w:rPr>
                <w:sz w:val="19"/>
              </w:rPr>
            </w:pPr>
            <w:r>
              <w:rPr>
                <w:sz w:val="19"/>
              </w:rPr>
              <w:t>-0.053</w:t>
            </w:r>
          </w:p>
        </w:tc>
      </w:tr>
      <w:tr>
        <w:trPr>
          <w:trHeight w:val="324" w:hRule="atLeast"/>
        </w:trPr>
        <w:tc>
          <w:tcPr>
            <w:tcW w:w="2806" w:type="dxa"/>
          </w:tcPr>
          <w:p>
            <w:pPr>
              <w:pStyle w:val="TableParagraph"/>
              <w:spacing w:before="49"/>
              <w:ind w:left="106"/>
              <w:rPr>
                <w:i/>
                <w:sz w:val="19"/>
              </w:rPr>
            </w:pPr>
            <w:r>
              <w:rPr>
                <w:i/>
                <w:sz w:val="19"/>
              </w:rPr>
              <w:t>π(t-1)</w:t>
            </w:r>
          </w:p>
        </w:tc>
        <w:tc>
          <w:tcPr>
            <w:tcW w:w="2077" w:type="dxa"/>
          </w:tcPr>
          <w:p>
            <w:pPr>
              <w:pStyle w:val="TableParagraph"/>
              <w:spacing w:before="48"/>
              <w:ind w:left="346" w:right="331"/>
              <w:jc w:val="center"/>
              <w:rPr>
                <w:sz w:val="19"/>
              </w:rPr>
            </w:pPr>
            <w:r>
              <w:rPr>
                <w:sz w:val="19"/>
              </w:rPr>
              <w:t>0.152</w:t>
            </w:r>
          </w:p>
        </w:tc>
        <w:tc>
          <w:tcPr>
            <w:tcW w:w="2025" w:type="dxa"/>
          </w:tcPr>
          <w:p>
            <w:pPr>
              <w:pStyle w:val="TableParagraph"/>
              <w:spacing w:before="48"/>
              <w:ind w:left="331" w:right="294"/>
              <w:jc w:val="center"/>
              <w:rPr>
                <w:sz w:val="19"/>
              </w:rPr>
            </w:pPr>
            <w:r>
              <w:rPr>
                <w:sz w:val="19"/>
              </w:rPr>
              <w:t>0.133**</w:t>
            </w:r>
          </w:p>
        </w:tc>
        <w:tc>
          <w:tcPr>
            <w:tcW w:w="1971" w:type="dxa"/>
          </w:tcPr>
          <w:p>
            <w:pPr>
              <w:pStyle w:val="TableParagraph"/>
              <w:spacing w:before="48"/>
              <w:ind w:left="295" w:right="275"/>
              <w:jc w:val="center"/>
              <w:rPr>
                <w:sz w:val="19"/>
              </w:rPr>
            </w:pPr>
            <w:r>
              <w:rPr>
                <w:sz w:val="19"/>
              </w:rPr>
              <w:t>0.313***</w:t>
            </w:r>
          </w:p>
        </w:tc>
      </w:tr>
      <w:tr>
        <w:trPr>
          <w:trHeight w:val="324" w:hRule="atLeast"/>
        </w:trPr>
        <w:tc>
          <w:tcPr>
            <w:tcW w:w="2806" w:type="dxa"/>
          </w:tcPr>
          <w:p>
            <w:pPr>
              <w:pStyle w:val="TableParagraph"/>
              <w:spacing w:before="50"/>
              <w:ind w:left="106"/>
              <w:rPr>
                <w:i/>
                <w:sz w:val="19"/>
              </w:rPr>
            </w:pPr>
            <w:r>
              <w:rPr>
                <w:i/>
                <w:sz w:val="19"/>
              </w:rPr>
              <w:t>Output gap</w:t>
            </w:r>
          </w:p>
        </w:tc>
        <w:tc>
          <w:tcPr>
            <w:tcW w:w="2077" w:type="dxa"/>
          </w:tcPr>
          <w:p>
            <w:pPr>
              <w:pStyle w:val="TableParagraph"/>
              <w:spacing w:before="49"/>
              <w:ind w:left="346" w:right="331"/>
              <w:jc w:val="center"/>
              <w:rPr>
                <w:sz w:val="19"/>
              </w:rPr>
            </w:pPr>
            <w:r>
              <w:rPr>
                <w:sz w:val="19"/>
              </w:rPr>
              <w:t>0.001</w:t>
            </w:r>
          </w:p>
        </w:tc>
        <w:tc>
          <w:tcPr>
            <w:tcW w:w="2025" w:type="dxa"/>
          </w:tcPr>
          <w:p>
            <w:pPr>
              <w:pStyle w:val="TableParagraph"/>
              <w:spacing w:before="49"/>
              <w:ind w:left="331" w:right="294"/>
              <w:jc w:val="center"/>
              <w:rPr>
                <w:sz w:val="19"/>
              </w:rPr>
            </w:pPr>
            <w:r>
              <w:rPr>
                <w:sz w:val="19"/>
              </w:rPr>
              <w:t>0.002*</w:t>
            </w:r>
          </w:p>
        </w:tc>
        <w:tc>
          <w:tcPr>
            <w:tcW w:w="1971" w:type="dxa"/>
          </w:tcPr>
          <w:p>
            <w:pPr>
              <w:pStyle w:val="TableParagraph"/>
              <w:spacing w:before="49"/>
              <w:ind w:left="295" w:right="273"/>
              <w:jc w:val="center"/>
              <w:rPr>
                <w:sz w:val="19"/>
              </w:rPr>
            </w:pPr>
            <w:r>
              <w:rPr>
                <w:sz w:val="19"/>
              </w:rPr>
              <w:t>-0.001</w:t>
            </w:r>
          </w:p>
        </w:tc>
      </w:tr>
      <w:tr>
        <w:trPr>
          <w:trHeight w:val="324" w:hRule="atLeast"/>
        </w:trPr>
        <w:tc>
          <w:tcPr>
            <w:tcW w:w="2806" w:type="dxa"/>
          </w:tcPr>
          <w:p>
            <w:pPr>
              <w:pStyle w:val="TableParagraph"/>
              <w:spacing w:before="49"/>
              <w:ind w:left="106"/>
              <w:rPr>
                <w:i/>
                <w:sz w:val="19"/>
              </w:rPr>
            </w:pPr>
            <w:r>
              <w:rPr>
                <w:i/>
                <w:sz w:val="19"/>
              </w:rPr>
              <w:t>∆sterling ERI</w:t>
            </w:r>
          </w:p>
        </w:tc>
        <w:tc>
          <w:tcPr>
            <w:tcW w:w="2077" w:type="dxa"/>
          </w:tcPr>
          <w:p>
            <w:pPr>
              <w:pStyle w:val="TableParagraph"/>
              <w:spacing w:before="48"/>
              <w:ind w:left="346" w:right="332"/>
              <w:jc w:val="center"/>
              <w:rPr>
                <w:sz w:val="19"/>
              </w:rPr>
            </w:pPr>
            <w:r>
              <w:rPr>
                <w:sz w:val="19"/>
              </w:rPr>
              <w:t>-0.080***</w:t>
            </w:r>
          </w:p>
        </w:tc>
        <w:tc>
          <w:tcPr>
            <w:tcW w:w="2025" w:type="dxa"/>
          </w:tcPr>
          <w:p>
            <w:pPr>
              <w:pStyle w:val="TableParagraph"/>
              <w:spacing w:before="48"/>
              <w:ind w:left="331" w:right="293"/>
              <w:jc w:val="center"/>
              <w:rPr>
                <w:sz w:val="19"/>
              </w:rPr>
            </w:pPr>
            <w:r>
              <w:rPr>
                <w:sz w:val="19"/>
              </w:rPr>
              <w:t>-0.034***</w:t>
            </w:r>
          </w:p>
        </w:tc>
        <w:tc>
          <w:tcPr>
            <w:tcW w:w="1971" w:type="dxa"/>
          </w:tcPr>
          <w:p>
            <w:pPr>
              <w:pStyle w:val="TableParagraph"/>
              <w:spacing w:before="48"/>
              <w:ind w:left="295" w:right="273"/>
              <w:jc w:val="center"/>
              <w:rPr>
                <w:sz w:val="19"/>
              </w:rPr>
            </w:pPr>
            <w:r>
              <w:rPr>
                <w:sz w:val="19"/>
              </w:rPr>
              <w:t>-0.007</w:t>
            </w:r>
          </w:p>
        </w:tc>
      </w:tr>
      <w:tr>
        <w:trPr>
          <w:trHeight w:val="324" w:hRule="atLeast"/>
        </w:trPr>
        <w:tc>
          <w:tcPr>
            <w:tcW w:w="2806" w:type="dxa"/>
          </w:tcPr>
          <w:p>
            <w:pPr>
              <w:pStyle w:val="TableParagraph"/>
              <w:spacing w:before="50"/>
              <w:ind w:left="106"/>
              <w:rPr>
                <w:i/>
                <w:sz w:val="19"/>
              </w:rPr>
            </w:pPr>
            <w:r>
              <w:rPr>
                <w:i/>
                <w:sz w:val="19"/>
              </w:rPr>
              <w:t>∆world export prices (excl. oil)</w:t>
            </w:r>
          </w:p>
        </w:tc>
        <w:tc>
          <w:tcPr>
            <w:tcW w:w="2077" w:type="dxa"/>
          </w:tcPr>
          <w:p>
            <w:pPr>
              <w:pStyle w:val="TableParagraph"/>
              <w:spacing w:before="49"/>
              <w:ind w:left="346" w:right="332"/>
              <w:jc w:val="center"/>
              <w:rPr>
                <w:sz w:val="19"/>
              </w:rPr>
            </w:pPr>
            <w:r>
              <w:rPr>
                <w:sz w:val="19"/>
              </w:rPr>
              <w:t>0.027</w:t>
            </w:r>
          </w:p>
        </w:tc>
        <w:tc>
          <w:tcPr>
            <w:tcW w:w="2025" w:type="dxa"/>
          </w:tcPr>
          <w:p>
            <w:pPr>
              <w:pStyle w:val="TableParagraph"/>
              <w:spacing w:before="49"/>
              <w:ind w:left="331" w:right="294"/>
              <w:jc w:val="center"/>
              <w:rPr>
                <w:sz w:val="19"/>
              </w:rPr>
            </w:pPr>
            <w:r>
              <w:rPr>
                <w:sz w:val="19"/>
              </w:rPr>
              <w:t>-0.071***</w:t>
            </w:r>
          </w:p>
        </w:tc>
        <w:tc>
          <w:tcPr>
            <w:tcW w:w="1971" w:type="dxa"/>
          </w:tcPr>
          <w:p>
            <w:pPr>
              <w:pStyle w:val="TableParagraph"/>
              <w:spacing w:before="49"/>
              <w:ind w:left="295" w:right="274"/>
              <w:jc w:val="center"/>
              <w:rPr>
                <w:sz w:val="19"/>
              </w:rPr>
            </w:pPr>
            <w:r>
              <w:rPr>
                <w:sz w:val="19"/>
              </w:rPr>
              <w:t>-0.054</w:t>
            </w:r>
          </w:p>
        </w:tc>
      </w:tr>
      <w:tr>
        <w:trPr>
          <w:trHeight w:val="324" w:hRule="atLeast"/>
        </w:trPr>
        <w:tc>
          <w:tcPr>
            <w:tcW w:w="2806" w:type="dxa"/>
          </w:tcPr>
          <w:p>
            <w:pPr>
              <w:pStyle w:val="TableParagraph"/>
              <w:spacing w:before="49"/>
              <w:ind w:left="106"/>
              <w:rPr>
                <w:i/>
                <w:sz w:val="19"/>
              </w:rPr>
            </w:pPr>
            <w:r>
              <w:rPr>
                <w:i/>
                <w:sz w:val="19"/>
              </w:rPr>
              <w:t>∆oil price ($)</w:t>
            </w:r>
          </w:p>
        </w:tc>
        <w:tc>
          <w:tcPr>
            <w:tcW w:w="2077" w:type="dxa"/>
          </w:tcPr>
          <w:p>
            <w:pPr>
              <w:pStyle w:val="TableParagraph"/>
              <w:spacing w:before="48"/>
              <w:ind w:left="346" w:right="333"/>
              <w:jc w:val="center"/>
              <w:rPr>
                <w:sz w:val="19"/>
              </w:rPr>
            </w:pPr>
            <w:r>
              <w:rPr>
                <w:sz w:val="19"/>
              </w:rPr>
              <w:t>0.014***</w:t>
            </w:r>
          </w:p>
        </w:tc>
        <w:tc>
          <w:tcPr>
            <w:tcW w:w="2025" w:type="dxa"/>
          </w:tcPr>
          <w:p>
            <w:pPr>
              <w:pStyle w:val="TableParagraph"/>
              <w:spacing w:before="48"/>
              <w:ind w:left="330" w:right="295"/>
              <w:jc w:val="center"/>
              <w:rPr>
                <w:sz w:val="19"/>
              </w:rPr>
            </w:pPr>
            <w:r>
              <w:rPr>
                <w:sz w:val="19"/>
              </w:rPr>
              <w:t>0.005**</w:t>
            </w:r>
          </w:p>
        </w:tc>
        <w:tc>
          <w:tcPr>
            <w:tcW w:w="1971" w:type="dxa"/>
          </w:tcPr>
          <w:p>
            <w:pPr>
              <w:pStyle w:val="TableParagraph"/>
              <w:spacing w:before="48"/>
              <w:ind w:left="295" w:right="273"/>
              <w:jc w:val="center"/>
              <w:rPr>
                <w:sz w:val="19"/>
              </w:rPr>
            </w:pPr>
            <w:r>
              <w:rPr>
                <w:sz w:val="19"/>
              </w:rPr>
              <w:t>-0.001</w:t>
            </w:r>
          </w:p>
        </w:tc>
      </w:tr>
      <w:tr>
        <w:trPr>
          <w:trHeight w:val="465" w:hRule="atLeast"/>
        </w:trPr>
        <w:tc>
          <w:tcPr>
            <w:tcW w:w="2806" w:type="dxa"/>
          </w:tcPr>
          <w:p>
            <w:pPr>
              <w:pStyle w:val="TableParagraph"/>
              <w:spacing w:before="50"/>
              <w:ind w:left="106"/>
              <w:rPr>
                <w:i/>
                <w:sz w:val="19"/>
              </w:rPr>
            </w:pPr>
            <w:r>
              <w:rPr>
                <w:i/>
                <w:sz w:val="19"/>
              </w:rPr>
              <w:t>Constant</w:t>
            </w:r>
          </w:p>
        </w:tc>
        <w:tc>
          <w:tcPr>
            <w:tcW w:w="2077" w:type="dxa"/>
          </w:tcPr>
          <w:p>
            <w:pPr>
              <w:pStyle w:val="TableParagraph"/>
              <w:spacing w:before="49"/>
              <w:ind w:left="346" w:right="332"/>
              <w:jc w:val="center"/>
              <w:rPr>
                <w:sz w:val="19"/>
              </w:rPr>
            </w:pPr>
            <w:r>
              <w:rPr>
                <w:sz w:val="19"/>
              </w:rPr>
              <w:t>0.003***</w:t>
            </w:r>
          </w:p>
        </w:tc>
        <w:tc>
          <w:tcPr>
            <w:tcW w:w="2025" w:type="dxa"/>
          </w:tcPr>
          <w:p>
            <w:pPr>
              <w:pStyle w:val="TableParagraph"/>
              <w:spacing w:before="49"/>
              <w:ind w:left="331" w:right="295"/>
              <w:jc w:val="center"/>
              <w:rPr>
                <w:sz w:val="19"/>
              </w:rPr>
            </w:pPr>
            <w:r>
              <w:rPr>
                <w:sz w:val="19"/>
              </w:rPr>
              <w:t>0.003***</w:t>
            </w:r>
          </w:p>
        </w:tc>
        <w:tc>
          <w:tcPr>
            <w:tcW w:w="1971" w:type="dxa"/>
          </w:tcPr>
          <w:p>
            <w:pPr>
              <w:pStyle w:val="TableParagraph"/>
              <w:spacing w:before="49"/>
              <w:ind w:left="295" w:right="276"/>
              <w:jc w:val="center"/>
              <w:rPr>
                <w:sz w:val="19"/>
              </w:rPr>
            </w:pPr>
            <w:r>
              <w:rPr>
                <w:sz w:val="19"/>
              </w:rPr>
              <w:t>0.004***</w:t>
            </w:r>
          </w:p>
        </w:tc>
      </w:tr>
      <w:tr>
        <w:trPr>
          <w:trHeight w:val="465" w:hRule="atLeast"/>
        </w:trPr>
        <w:tc>
          <w:tcPr>
            <w:tcW w:w="2806" w:type="dxa"/>
          </w:tcPr>
          <w:p>
            <w:pPr>
              <w:pStyle w:val="TableParagraph"/>
              <w:spacing w:before="5"/>
              <w:rPr>
                <w:b/>
                <w:i/>
                <w:sz w:val="16"/>
              </w:rPr>
            </w:pPr>
          </w:p>
          <w:p>
            <w:pPr>
              <w:pStyle w:val="TableParagraph"/>
              <w:ind w:left="106"/>
              <w:rPr>
                <w:b/>
                <w:i/>
                <w:sz w:val="19"/>
              </w:rPr>
            </w:pPr>
            <w:r>
              <w:rPr>
                <w:b/>
                <w:i/>
                <w:sz w:val="19"/>
              </w:rPr>
              <w:t>Adj. R-squared</w:t>
            </w:r>
          </w:p>
        </w:tc>
        <w:tc>
          <w:tcPr>
            <w:tcW w:w="2077" w:type="dxa"/>
          </w:tcPr>
          <w:p>
            <w:pPr>
              <w:pStyle w:val="TableParagraph"/>
              <w:spacing w:before="5"/>
              <w:rPr>
                <w:b/>
                <w:i/>
                <w:sz w:val="16"/>
              </w:rPr>
            </w:pPr>
          </w:p>
          <w:p>
            <w:pPr>
              <w:pStyle w:val="TableParagraph"/>
              <w:ind w:left="346" w:right="332"/>
              <w:jc w:val="center"/>
              <w:rPr>
                <w:b/>
                <w:i/>
                <w:sz w:val="19"/>
              </w:rPr>
            </w:pPr>
            <w:r>
              <w:rPr>
                <w:b/>
                <w:i/>
                <w:sz w:val="19"/>
              </w:rPr>
              <w:t>0.19</w:t>
            </w:r>
          </w:p>
        </w:tc>
        <w:tc>
          <w:tcPr>
            <w:tcW w:w="2025" w:type="dxa"/>
          </w:tcPr>
          <w:p>
            <w:pPr>
              <w:pStyle w:val="TableParagraph"/>
              <w:spacing w:before="5"/>
              <w:rPr>
                <w:b/>
                <w:i/>
                <w:sz w:val="16"/>
              </w:rPr>
            </w:pPr>
          </w:p>
          <w:p>
            <w:pPr>
              <w:pStyle w:val="TableParagraph"/>
              <w:ind w:left="331" w:right="293"/>
              <w:jc w:val="center"/>
              <w:rPr>
                <w:b/>
                <w:i/>
                <w:sz w:val="19"/>
              </w:rPr>
            </w:pPr>
            <w:r>
              <w:rPr>
                <w:b/>
                <w:i/>
                <w:sz w:val="19"/>
              </w:rPr>
              <w:t>-0.16</w:t>
            </w:r>
          </w:p>
        </w:tc>
        <w:tc>
          <w:tcPr>
            <w:tcW w:w="1971" w:type="dxa"/>
          </w:tcPr>
          <w:p>
            <w:pPr>
              <w:pStyle w:val="TableParagraph"/>
              <w:spacing w:before="5"/>
              <w:rPr>
                <w:b/>
                <w:i/>
                <w:sz w:val="16"/>
              </w:rPr>
            </w:pPr>
          </w:p>
          <w:p>
            <w:pPr>
              <w:pStyle w:val="TableParagraph"/>
              <w:ind w:left="295" w:right="275"/>
              <w:jc w:val="center"/>
              <w:rPr>
                <w:b/>
                <w:i/>
                <w:sz w:val="19"/>
              </w:rPr>
            </w:pPr>
            <w:r>
              <w:rPr>
                <w:b/>
                <w:i/>
                <w:sz w:val="19"/>
              </w:rPr>
              <w:t>-0.06</w:t>
            </w:r>
          </w:p>
        </w:tc>
      </w:tr>
      <w:tr>
        <w:trPr>
          <w:trHeight w:val="702" w:hRule="atLeast"/>
        </w:trPr>
        <w:tc>
          <w:tcPr>
            <w:tcW w:w="2806" w:type="dxa"/>
            <w:tcBorders>
              <w:bottom w:val="single" w:sz="4" w:space="0" w:color="000000"/>
            </w:tcBorders>
          </w:tcPr>
          <w:p>
            <w:pPr>
              <w:pStyle w:val="TableParagraph"/>
              <w:spacing w:before="49"/>
              <w:ind w:left="106"/>
              <w:rPr>
                <w:b/>
                <w:i/>
                <w:sz w:val="19"/>
              </w:rPr>
            </w:pPr>
            <w:r>
              <w:rPr>
                <w:b/>
                <w:i/>
                <w:sz w:val="19"/>
              </w:rPr>
              <w:t>Hansen test of overid. restr.</w:t>
            </w:r>
          </w:p>
          <w:p>
            <w:pPr>
              <w:pStyle w:val="TableParagraph"/>
              <w:spacing w:before="106"/>
              <w:ind w:left="106"/>
              <w:rPr>
                <w:b/>
                <w:i/>
                <w:sz w:val="19"/>
              </w:rPr>
            </w:pPr>
            <w:r>
              <w:rPr>
                <w:b/>
                <w:i/>
                <w:sz w:val="19"/>
              </w:rPr>
              <w:t>(p-value in brackets)</w:t>
            </w:r>
          </w:p>
        </w:tc>
        <w:tc>
          <w:tcPr>
            <w:tcW w:w="2077" w:type="dxa"/>
            <w:tcBorders>
              <w:bottom w:val="single" w:sz="4" w:space="0" w:color="000000"/>
            </w:tcBorders>
          </w:tcPr>
          <w:p>
            <w:pPr>
              <w:pStyle w:val="TableParagraph"/>
              <w:rPr>
                <w:b/>
                <w:i/>
                <w:sz w:val="20"/>
              </w:rPr>
            </w:pPr>
          </w:p>
          <w:p>
            <w:pPr>
              <w:pStyle w:val="TableParagraph"/>
              <w:spacing w:before="143"/>
              <w:ind w:left="346" w:right="333"/>
              <w:jc w:val="center"/>
              <w:rPr>
                <w:b/>
                <w:i/>
                <w:sz w:val="19"/>
              </w:rPr>
            </w:pPr>
            <w:r>
              <w:rPr>
                <w:b/>
                <w:i/>
                <w:sz w:val="19"/>
              </w:rPr>
              <w:t>31.63 (p = 0.54)</w:t>
            </w:r>
          </w:p>
        </w:tc>
        <w:tc>
          <w:tcPr>
            <w:tcW w:w="2025" w:type="dxa"/>
            <w:tcBorders>
              <w:bottom w:val="single" w:sz="4" w:space="0" w:color="000000"/>
            </w:tcBorders>
          </w:tcPr>
          <w:p>
            <w:pPr>
              <w:pStyle w:val="TableParagraph"/>
              <w:rPr>
                <w:b/>
                <w:i/>
                <w:sz w:val="20"/>
              </w:rPr>
            </w:pPr>
          </w:p>
          <w:p>
            <w:pPr>
              <w:pStyle w:val="TableParagraph"/>
              <w:spacing w:before="143"/>
              <w:ind w:left="331" w:right="295"/>
              <w:jc w:val="center"/>
              <w:rPr>
                <w:b/>
                <w:i/>
                <w:sz w:val="19"/>
              </w:rPr>
            </w:pPr>
            <w:r>
              <w:rPr>
                <w:b/>
                <w:i/>
                <w:sz w:val="19"/>
              </w:rPr>
              <w:t>36.93 (p = 0.29)</w:t>
            </w:r>
          </w:p>
        </w:tc>
        <w:tc>
          <w:tcPr>
            <w:tcW w:w="1971" w:type="dxa"/>
            <w:tcBorders>
              <w:bottom w:val="single" w:sz="4" w:space="0" w:color="000000"/>
            </w:tcBorders>
          </w:tcPr>
          <w:p>
            <w:pPr>
              <w:pStyle w:val="TableParagraph"/>
              <w:rPr>
                <w:b/>
                <w:i/>
                <w:sz w:val="20"/>
              </w:rPr>
            </w:pPr>
          </w:p>
          <w:p>
            <w:pPr>
              <w:pStyle w:val="TableParagraph"/>
              <w:spacing w:before="143"/>
              <w:ind w:left="295" w:right="277"/>
              <w:jc w:val="center"/>
              <w:rPr>
                <w:b/>
                <w:i/>
                <w:sz w:val="19"/>
              </w:rPr>
            </w:pPr>
            <w:r>
              <w:rPr>
                <w:b/>
                <w:i/>
                <w:sz w:val="19"/>
              </w:rPr>
              <w:t>37.46 (p = 0.27)</w:t>
            </w:r>
          </w:p>
        </w:tc>
      </w:tr>
    </w:tbl>
    <w:p>
      <w:pPr>
        <w:pStyle w:val="BodyText"/>
        <w:spacing w:before="4"/>
        <w:rPr>
          <w:b/>
          <w:i/>
          <w:sz w:val="9"/>
        </w:rPr>
      </w:pPr>
    </w:p>
    <w:p>
      <w:pPr>
        <w:spacing w:after="0"/>
        <w:rPr>
          <w:sz w:val="9"/>
        </w:rPr>
        <w:sectPr>
          <w:pgSz w:w="12240" w:h="15840"/>
          <w:pgMar w:header="0" w:footer="1240" w:top="1440" w:bottom="1440" w:left="1200" w:right="1060"/>
        </w:sectPr>
      </w:pPr>
    </w:p>
    <w:p>
      <w:pPr>
        <w:spacing w:line="278" w:lineRule="auto" w:before="97"/>
        <w:ind w:left="429" w:right="47" w:firstLine="0"/>
        <w:jc w:val="left"/>
        <w:rPr>
          <w:b/>
          <w:sz w:val="18"/>
        </w:rPr>
      </w:pPr>
      <w:r>
        <w:rPr/>
        <w:pict>
          <v:group style="position:absolute;margin-left:87.479996pt;margin-top:43.270634pt;width:202.8pt;height:153.050pt;mso-position-horizontal-relative:page;mso-position-vertical-relative:paragraph;z-index:251713536" coordorigin="1750,865" coordsize="4056,3061">
            <v:shape style="position:absolute;left:1749;top:1259;width:4056;height:2667" type="#_x0000_t75" stroked="false">
              <v:imagedata r:id="rId15" o:title=""/>
            </v:shape>
            <v:shape style="position:absolute;left:1749;top:865;width:4056;height:3061" type="#_x0000_t202" filled="false" stroked="false">
              <v:textbox inset="0,0,0,0">
                <w:txbxContent>
                  <w:p>
                    <w:pPr>
                      <w:spacing w:line="247" w:lineRule="auto" w:before="74"/>
                      <w:ind w:left="2442" w:right="0" w:firstLine="0"/>
                      <w:jc w:val="left"/>
                      <w:rPr>
                        <w:sz w:val="18"/>
                      </w:rPr>
                    </w:pPr>
                    <w:r>
                      <w:rPr>
                        <w:sz w:val="18"/>
                      </w:rPr>
                      <w:t>Percentage change on a year earlier</w:t>
                    </w:r>
                  </w:p>
                </w:txbxContent>
              </v:textbox>
              <w10:wrap type="none"/>
            </v:shape>
            <w10:wrap type="none"/>
          </v:group>
        </w:pict>
      </w:r>
      <w:r>
        <w:rPr>
          <w:b/>
          <w:sz w:val="18"/>
        </w:rPr>
        <w:t>Figure 14: Actual and decomposition of fitted UK headline CPI inflation from Phillips curve regression</w:t>
      </w:r>
    </w:p>
    <w:p>
      <w:pPr>
        <w:pStyle w:val="BodyText"/>
        <w:rPr>
          <w:b/>
          <w:sz w:val="20"/>
        </w:rPr>
      </w:pPr>
    </w:p>
    <w:p>
      <w:pPr>
        <w:spacing w:before="117"/>
        <w:ind w:left="0" w:right="49" w:firstLine="0"/>
        <w:jc w:val="right"/>
        <w:rPr>
          <w:sz w:val="18"/>
        </w:rPr>
      </w:pPr>
      <w:r>
        <w:rPr>
          <w:w w:val="101"/>
          <w:sz w:val="18"/>
        </w:rPr>
        <w:t>6</w:t>
      </w:r>
    </w:p>
    <w:p>
      <w:pPr>
        <w:spacing w:before="124"/>
        <w:ind w:left="0" w:right="49" w:firstLine="0"/>
        <w:jc w:val="right"/>
        <w:rPr>
          <w:sz w:val="18"/>
        </w:rPr>
      </w:pPr>
      <w:r>
        <w:rPr>
          <w:w w:val="101"/>
          <w:sz w:val="18"/>
        </w:rPr>
        <w:t>5</w:t>
      </w:r>
    </w:p>
    <w:p>
      <w:pPr>
        <w:spacing w:before="124"/>
        <w:ind w:left="0" w:right="49" w:firstLine="0"/>
        <w:jc w:val="right"/>
        <w:rPr>
          <w:sz w:val="18"/>
        </w:rPr>
      </w:pPr>
      <w:r>
        <w:rPr>
          <w:w w:val="101"/>
          <w:sz w:val="18"/>
        </w:rPr>
        <w:t>4</w:t>
      </w:r>
    </w:p>
    <w:p>
      <w:pPr>
        <w:spacing w:before="124"/>
        <w:ind w:left="0" w:right="49" w:firstLine="0"/>
        <w:jc w:val="right"/>
        <w:rPr>
          <w:sz w:val="18"/>
        </w:rPr>
      </w:pPr>
      <w:r>
        <w:rPr>
          <w:w w:val="101"/>
          <w:sz w:val="18"/>
        </w:rPr>
        <w:t>3</w:t>
      </w:r>
    </w:p>
    <w:p>
      <w:pPr>
        <w:spacing w:before="125"/>
        <w:ind w:left="0" w:right="49" w:firstLine="0"/>
        <w:jc w:val="right"/>
        <w:rPr>
          <w:sz w:val="18"/>
        </w:rPr>
      </w:pPr>
      <w:r>
        <w:rPr>
          <w:w w:val="101"/>
          <w:sz w:val="18"/>
        </w:rPr>
        <w:t>2</w:t>
      </w:r>
    </w:p>
    <w:p>
      <w:pPr>
        <w:spacing w:before="125"/>
        <w:ind w:left="0" w:right="49" w:firstLine="0"/>
        <w:jc w:val="right"/>
        <w:rPr>
          <w:sz w:val="18"/>
        </w:rPr>
      </w:pPr>
      <w:r>
        <w:rPr>
          <w:w w:val="101"/>
          <w:sz w:val="18"/>
        </w:rPr>
        <w:t>1</w:t>
      </w:r>
    </w:p>
    <w:p>
      <w:pPr>
        <w:spacing w:before="124"/>
        <w:ind w:left="0" w:right="49" w:firstLine="0"/>
        <w:jc w:val="right"/>
        <w:rPr>
          <w:sz w:val="18"/>
        </w:rPr>
      </w:pPr>
      <w:r>
        <w:rPr>
          <w:w w:val="101"/>
          <w:sz w:val="18"/>
        </w:rPr>
        <w:t>0</w:t>
      </w:r>
    </w:p>
    <w:p>
      <w:pPr>
        <w:spacing w:before="124"/>
        <w:ind w:left="0" w:right="0" w:firstLine="0"/>
        <w:jc w:val="right"/>
        <w:rPr>
          <w:sz w:val="18"/>
        </w:rPr>
      </w:pPr>
      <w:r>
        <w:rPr>
          <w:spacing w:val="-5"/>
          <w:sz w:val="18"/>
        </w:rPr>
        <w:t>-1</w:t>
      </w:r>
    </w:p>
    <w:p>
      <w:pPr>
        <w:spacing w:before="125"/>
        <w:ind w:left="0" w:right="0" w:firstLine="0"/>
        <w:jc w:val="right"/>
        <w:rPr>
          <w:sz w:val="18"/>
        </w:rPr>
      </w:pPr>
      <w:r>
        <w:rPr/>
        <w:pict>
          <v:shape style="position:absolute;margin-left:82.500816pt;margin-top:16.462410pt;width:12.25pt;height:31.85pt;mso-position-horizontal-relative:page;mso-position-vertical-relative:paragraph;z-index:251722752" type="#_x0000_t202" filled="false" stroked="false">
            <v:textbox inset="0,0,0,0" style="layout-flow:vertical;mso-layout-flow-alt:bottom-to-top">
              <w:txbxContent>
                <w:p>
                  <w:pPr>
                    <w:spacing w:before="17"/>
                    <w:ind w:left="20" w:right="0" w:firstLine="0"/>
                    <w:jc w:val="left"/>
                    <w:rPr>
                      <w:sz w:val="18"/>
                    </w:rPr>
                  </w:pPr>
                  <w:r>
                    <w:rPr>
                      <w:sz w:val="18"/>
                    </w:rPr>
                    <w:t>Mar-98</w:t>
                  </w:r>
                </w:p>
              </w:txbxContent>
            </v:textbox>
            <w10:wrap type="none"/>
          </v:shape>
        </w:pict>
      </w:r>
      <w:r>
        <w:rPr/>
        <w:pict>
          <v:shape style="position:absolute;margin-left:105.960701pt;margin-top:16.462410pt;width:12.25pt;height:31.85pt;mso-position-horizontal-relative:page;mso-position-vertical-relative:paragraph;z-index:251723776" type="#_x0000_t202" filled="false" stroked="false">
            <v:textbox inset="0,0,0,0" style="layout-flow:vertical;mso-layout-flow-alt:bottom-to-top">
              <w:txbxContent>
                <w:p>
                  <w:pPr>
                    <w:spacing w:before="17"/>
                    <w:ind w:left="20" w:right="0" w:firstLine="0"/>
                    <w:jc w:val="left"/>
                    <w:rPr>
                      <w:sz w:val="18"/>
                    </w:rPr>
                  </w:pPr>
                  <w:r>
                    <w:rPr>
                      <w:sz w:val="18"/>
                    </w:rPr>
                    <w:t>Mar-00</w:t>
                  </w:r>
                </w:p>
              </w:txbxContent>
            </v:textbox>
            <w10:wrap type="none"/>
          </v:shape>
        </w:pict>
      </w:r>
      <w:r>
        <w:rPr/>
        <w:pict>
          <v:shape style="position:absolute;margin-left:129.365585pt;margin-top:16.462410pt;width:12.25pt;height:31.85pt;mso-position-horizontal-relative:page;mso-position-vertical-relative:paragraph;z-index:251724800" type="#_x0000_t202" filled="false" stroked="false">
            <v:textbox inset="0,0,0,0" style="layout-flow:vertical;mso-layout-flow-alt:bottom-to-top">
              <w:txbxContent>
                <w:p>
                  <w:pPr>
                    <w:spacing w:before="17"/>
                    <w:ind w:left="20" w:right="0" w:firstLine="0"/>
                    <w:jc w:val="left"/>
                    <w:rPr>
                      <w:sz w:val="18"/>
                    </w:rPr>
                  </w:pPr>
                  <w:r>
                    <w:rPr>
                      <w:sz w:val="18"/>
                    </w:rPr>
                    <w:t>Mar-02</w:t>
                  </w:r>
                </w:p>
              </w:txbxContent>
            </v:textbox>
            <w10:wrap type="none"/>
          </v:shape>
        </w:pict>
      </w:r>
      <w:r>
        <w:rPr/>
        <w:pict>
          <v:shape style="position:absolute;margin-left:152.770462pt;margin-top:16.462410pt;width:12.25pt;height:31.85pt;mso-position-horizontal-relative:page;mso-position-vertical-relative:paragraph;z-index:251725824" type="#_x0000_t202" filled="false" stroked="false">
            <v:textbox inset="0,0,0,0" style="layout-flow:vertical;mso-layout-flow-alt:bottom-to-top">
              <w:txbxContent>
                <w:p>
                  <w:pPr>
                    <w:spacing w:before="17"/>
                    <w:ind w:left="20" w:right="0" w:firstLine="0"/>
                    <w:jc w:val="left"/>
                    <w:rPr>
                      <w:sz w:val="18"/>
                    </w:rPr>
                  </w:pPr>
                  <w:r>
                    <w:rPr>
                      <w:sz w:val="18"/>
                    </w:rPr>
                    <w:t>Mar-04</w:t>
                  </w:r>
                </w:p>
              </w:txbxContent>
            </v:textbox>
            <w10:wrap type="none"/>
          </v:shape>
        </w:pict>
      </w:r>
      <w:r>
        <w:rPr/>
        <w:pict>
          <v:shape style="position:absolute;margin-left:176.175354pt;margin-top:16.462410pt;width:12.25pt;height:31.85pt;mso-position-horizontal-relative:page;mso-position-vertical-relative:paragraph;z-index:251726848" type="#_x0000_t202" filled="false" stroked="false">
            <v:textbox inset="0,0,0,0" style="layout-flow:vertical;mso-layout-flow-alt:bottom-to-top">
              <w:txbxContent>
                <w:p>
                  <w:pPr>
                    <w:spacing w:before="17"/>
                    <w:ind w:left="20" w:right="0" w:firstLine="0"/>
                    <w:jc w:val="left"/>
                    <w:rPr>
                      <w:sz w:val="18"/>
                    </w:rPr>
                  </w:pPr>
                  <w:r>
                    <w:rPr>
                      <w:sz w:val="18"/>
                    </w:rPr>
                    <w:t>Mar-06</w:t>
                  </w:r>
                </w:p>
              </w:txbxContent>
            </v:textbox>
            <w10:wrap type="none"/>
          </v:shape>
        </w:pict>
      </w:r>
      <w:r>
        <w:rPr/>
        <w:pict>
          <v:shape style="position:absolute;margin-left:199.580231pt;margin-top:16.462410pt;width:12.25pt;height:31.85pt;mso-position-horizontal-relative:page;mso-position-vertical-relative:paragraph;z-index:251727872" type="#_x0000_t202" filled="false" stroked="false">
            <v:textbox inset="0,0,0,0" style="layout-flow:vertical;mso-layout-flow-alt:bottom-to-top">
              <w:txbxContent>
                <w:p>
                  <w:pPr>
                    <w:spacing w:before="17"/>
                    <w:ind w:left="20" w:right="0" w:firstLine="0"/>
                    <w:jc w:val="left"/>
                    <w:rPr>
                      <w:sz w:val="18"/>
                    </w:rPr>
                  </w:pPr>
                  <w:r>
                    <w:rPr>
                      <w:sz w:val="18"/>
                    </w:rPr>
                    <w:t>Mar-08</w:t>
                  </w:r>
                </w:p>
              </w:txbxContent>
            </v:textbox>
            <w10:wrap type="none"/>
          </v:shape>
        </w:pict>
      </w:r>
      <w:r>
        <w:rPr/>
        <w:pict>
          <v:shape style="position:absolute;margin-left:222.985123pt;margin-top:16.462410pt;width:12.25pt;height:31.85pt;mso-position-horizontal-relative:page;mso-position-vertical-relative:paragraph;z-index:251728896" type="#_x0000_t202" filled="false" stroked="false">
            <v:textbox inset="0,0,0,0" style="layout-flow:vertical;mso-layout-flow-alt:bottom-to-top">
              <w:txbxContent>
                <w:p>
                  <w:pPr>
                    <w:spacing w:before="17"/>
                    <w:ind w:left="20" w:right="0" w:firstLine="0"/>
                    <w:jc w:val="left"/>
                    <w:rPr>
                      <w:sz w:val="18"/>
                    </w:rPr>
                  </w:pPr>
                  <w:r>
                    <w:rPr>
                      <w:sz w:val="18"/>
                    </w:rPr>
                    <w:t>Mar-10</w:t>
                  </w:r>
                </w:p>
              </w:txbxContent>
            </v:textbox>
            <w10:wrap type="none"/>
          </v:shape>
        </w:pict>
      </w:r>
      <w:r>
        <w:rPr/>
        <w:pict>
          <v:shape style="position:absolute;margin-left:246.389999pt;margin-top:16.462410pt;width:12.25pt;height:31.85pt;mso-position-horizontal-relative:page;mso-position-vertical-relative:paragraph;z-index:251729920" type="#_x0000_t202" filled="false" stroked="false">
            <v:textbox inset="0,0,0,0" style="layout-flow:vertical;mso-layout-flow-alt:bottom-to-top">
              <w:txbxContent>
                <w:p>
                  <w:pPr>
                    <w:spacing w:before="17"/>
                    <w:ind w:left="20" w:right="0" w:firstLine="0"/>
                    <w:jc w:val="left"/>
                    <w:rPr>
                      <w:sz w:val="18"/>
                    </w:rPr>
                  </w:pPr>
                  <w:r>
                    <w:rPr>
                      <w:sz w:val="18"/>
                    </w:rPr>
                    <w:t>Mar-12</w:t>
                  </w:r>
                </w:p>
              </w:txbxContent>
            </v:textbox>
            <w10:wrap type="none"/>
          </v:shape>
        </w:pict>
      </w:r>
      <w:r>
        <w:rPr/>
        <w:pict>
          <v:shape style="position:absolute;margin-left:269.849884pt;margin-top:16.462410pt;width:12.25pt;height:31.85pt;mso-position-horizontal-relative:page;mso-position-vertical-relative:paragraph;z-index:251730944" type="#_x0000_t202" filled="false" stroked="false">
            <v:textbox inset="0,0,0,0" style="layout-flow:vertical;mso-layout-flow-alt:bottom-to-top">
              <w:txbxContent>
                <w:p>
                  <w:pPr>
                    <w:spacing w:before="17"/>
                    <w:ind w:left="20" w:right="0" w:firstLine="0"/>
                    <w:jc w:val="left"/>
                    <w:rPr>
                      <w:sz w:val="18"/>
                    </w:rPr>
                  </w:pPr>
                  <w:r>
                    <w:rPr>
                      <w:sz w:val="18"/>
                    </w:rPr>
                    <w:t>Mar-14</w:t>
                  </w:r>
                </w:p>
              </w:txbxContent>
            </v:textbox>
            <w10:wrap type="none"/>
          </v:shape>
        </w:pict>
      </w:r>
      <w:r>
        <w:rPr>
          <w:spacing w:val="-5"/>
          <w:sz w:val="18"/>
        </w:rPr>
        <w:t>-2</w:t>
      </w:r>
    </w:p>
    <w:p>
      <w:pPr>
        <w:pStyle w:val="BodyText"/>
        <w:rPr>
          <w:sz w:val="20"/>
        </w:rPr>
      </w:pPr>
    </w:p>
    <w:p>
      <w:pPr>
        <w:pStyle w:val="BodyText"/>
        <w:rPr>
          <w:sz w:val="20"/>
        </w:rPr>
      </w:pPr>
    </w:p>
    <w:p>
      <w:pPr>
        <w:pStyle w:val="BodyText"/>
        <w:spacing w:before="6"/>
        <w:rPr>
          <w:sz w:val="22"/>
        </w:rPr>
      </w:pPr>
    </w:p>
    <w:p>
      <w:pPr>
        <w:spacing w:line="247" w:lineRule="auto" w:before="0"/>
        <w:ind w:left="1290" w:right="1836" w:firstLine="0"/>
        <w:jc w:val="left"/>
        <w:rPr>
          <w:sz w:val="18"/>
        </w:rPr>
      </w:pPr>
      <w:r>
        <w:rPr/>
        <w:drawing>
          <wp:anchor distT="0" distB="0" distL="0" distR="0" allowOverlap="1" layoutInCell="1" locked="0" behindDoc="0" simplePos="0" relativeHeight="251714560">
            <wp:simplePos x="0" y="0"/>
            <wp:positionH relativeFrom="page">
              <wp:posOffset>1235964</wp:posOffset>
            </wp:positionH>
            <wp:positionV relativeFrom="paragraph">
              <wp:posOffset>28727</wp:posOffset>
            </wp:positionV>
            <wp:extent cx="313944" cy="71628"/>
            <wp:effectExtent l="0" t="0" r="0" b="0"/>
            <wp:wrapNone/>
            <wp:docPr id="7" name="image7.png"/>
            <wp:cNvGraphicFramePr>
              <a:graphicFrameLocks noChangeAspect="1"/>
            </wp:cNvGraphicFramePr>
            <a:graphic>
              <a:graphicData uri="http://schemas.openxmlformats.org/drawingml/2006/picture">
                <pic:pic>
                  <pic:nvPicPr>
                    <pic:cNvPr id="8" name="image7.png"/>
                    <pic:cNvPicPr/>
                  </pic:nvPicPr>
                  <pic:blipFill>
                    <a:blip r:embed="rId16" cstate="print"/>
                    <a:stretch>
                      <a:fillRect/>
                    </a:stretch>
                  </pic:blipFill>
                  <pic:spPr>
                    <a:xfrm>
                      <a:off x="0" y="0"/>
                      <a:ext cx="313944" cy="71628"/>
                    </a:xfrm>
                    <a:prstGeom prst="rect">
                      <a:avLst/>
                    </a:prstGeom>
                  </pic:spPr>
                </pic:pic>
              </a:graphicData>
            </a:graphic>
          </wp:anchor>
        </w:drawing>
      </w:r>
      <w:r>
        <w:rPr/>
        <w:drawing>
          <wp:anchor distT="0" distB="0" distL="0" distR="0" allowOverlap="1" layoutInCell="1" locked="0" behindDoc="0" simplePos="0" relativeHeight="251715584">
            <wp:simplePos x="0" y="0"/>
            <wp:positionH relativeFrom="page">
              <wp:posOffset>1235964</wp:posOffset>
            </wp:positionH>
            <wp:positionV relativeFrom="paragraph">
              <wp:posOffset>163601</wp:posOffset>
            </wp:positionV>
            <wp:extent cx="313944" cy="80771"/>
            <wp:effectExtent l="0" t="0" r="0" b="0"/>
            <wp:wrapNone/>
            <wp:docPr id="9" name="image8.png"/>
            <wp:cNvGraphicFramePr>
              <a:graphicFrameLocks noChangeAspect="1"/>
            </wp:cNvGraphicFramePr>
            <a:graphic>
              <a:graphicData uri="http://schemas.openxmlformats.org/drawingml/2006/picture">
                <pic:pic>
                  <pic:nvPicPr>
                    <pic:cNvPr id="10" name="image8.png"/>
                    <pic:cNvPicPr/>
                  </pic:nvPicPr>
                  <pic:blipFill>
                    <a:blip r:embed="rId17" cstate="print"/>
                    <a:stretch>
                      <a:fillRect/>
                    </a:stretch>
                  </pic:blipFill>
                  <pic:spPr>
                    <a:xfrm>
                      <a:off x="0" y="0"/>
                      <a:ext cx="313944" cy="80771"/>
                    </a:xfrm>
                    <a:prstGeom prst="rect">
                      <a:avLst/>
                    </a:prstGeom>
                  </pic:spPr>
                </pic:pic>
              </a:graphicData>
            </a:graphic>
          </wp:anchor>
        </w:drawing>
      </w:r>
      <w:r>
        <w:rPr>
          <w:sz w:val="18"/>
        </w:rPr>
        <w:t>World export prices Oil price</w:t>
      </w:r>
    </w:p>
    <w:p>
      <w:pPr>
        <w:spacing w:line="247" w:lineRule="auto" w:before="2"/>
        <w:ind w:left="1290" w:right="2456" w:firstLine="0"/>
        <w:jc w:val="left"/>
        <w:rPr>
          <w:sz w:val="18"/>
        </w:rPr>
      </w:pPr>
      <w:r>
        <w:rPr/>
        <w:drawing>
          <wp:anchor distT="0" distB="0" distL="0" distR="0" allowOverlap="1" layoutInCell="1" locked="0" behindDoc="0" simplePos="0" relativeHeight="251716608">
            <wp:simplePos x="0" y="0"/>
            <wp:positionH relativeFrom="page">
              <wp:posOffset>1235964</wp:posOffset>
            </wp:positionH>
            <wp:positionV relativeFrom="paragraph">
              <wp:posOffset>26949</wp:posOffset>
            </wp:positionV>
            <wp:extent cx="313944" cy="80771"/>
            <wp:effectExtent l="0" t="0" r="0" b="0"/>
            <wp:wrapNone/>
            <wp:docPr id="11" name="image9.png"/>
            <wp:cNvGraphicFramePr>
              <a:graphicFrameLocks noChangeAspect="1"/>
            </wp:cNvGraphicFramePr>
            <a:graphic>
              <a:graphicData uri="http://schemas.openxmlformats.org/drawingml/2006/picture">
                <pic:pic>
                  <pic:nvPicPr>
                    <pic:cNvPr id="12" name="image9.png"/>
                    <pic:cNvPicPr/>
                  </pic:nvPicPr>
                  <pic:blipFill>
                    <a:blip r:embed="rId18" cstate="print"/>
                    <a:stretch>
                      <a:fillRect/>
                    </a:stretch>
                  </pic:blipFill>
                  <pic:spPr>
                    <a:xfrm>
                      <a:off x="0" y="0"/>
                      <a:ext cx="313944" cy="80771"/>
                    </a:xfrm>
                    <a:prstGeom prst="rect">
                      <a:avLst/>
                    </a:prstGeom>
                  </pic:spPr>
                </pic:pic>
              </a:graphicData>
            </a:graphic>
          </wp:anchor>
        </w:drawing>
      </w:r>
      <w:r>
        <w:rPr/>
        <w:drawing>
          <wp:anchor distT="0" distB="0" distL="0" distR="0" allowOverlap="1" layoutInCell="1" locked="0" behindDoc="0" simplePos="0" relativeHeight="251717632">
            <wp:simplePos x="0" y="0"/>
            <wp:positionH relativeFrom="page">
              <wp:posOffset>1235964</wp:posOffset>
            </wp:positionH>
            <wp:positionV relativeFrom="paragraph">
              <wp:posOffset>161061</wp:posOffset>
            </wp:positionV>
            <wp:extent cx="313944" cy="80771"/>
            <wp:effectExtent l="0" t="0" r="0" b="0"/>
            <wp:wrapNone/>
            <wp:docPr id="13" name="image10.png"/>
            <wp:cNvGraphicFramePr>
              <a:graphicFrameLocks noChangeAspect="1"/>
            </wp:cNvGraphicFramePr>
            <a:graphic>
              <a:graphicData uri="http://schemas.openxmlformats.org/drawingml/2006/picture">
                <pic:pic>
                  <pic:nvPicPr>
                    <pic:cNvPr id="14" name="image10.png"/>
                    <pic:cNvPicPr/>
                  </pic:nvPicPr>
                  <pic:blipFill>
                    <a:blip r:embed="rId19" cstate="print"/>
                    <a:stretch>
                      <a:fillRect/>
                    </a:stretch>
                  </pic:blipFill>
                  <pic:spPr>
                    <a:xfrm>
                      <a:off x="0" y="0"/>
                      <a:ext cx="313944" cy="80771"/>
                    </a:xfrm>
                    <a:prstGeom prst="rect">
                      <a:avLst/>
                    </a:prstGeom>
                  </pic:spPr>
                </pic:pic>
              </a:graphicData>
            </a:graphic>
          </wp:anchor>
        </w:drawing>
      </w:r>
      <w:r>
        <w:rPr>
          <w:sz w:val="18"/>
        </w:rPr>
        <w:t>Sterling Output gap</w:t>
      </w:r>
    </w:p>
    <w:p>
      <w:pPr>
        <w:spacing w:line="249" w:lineRule="auto" w:before="2"/>
        <w:ind w:left="1290" w:right="1836" w:firstLine="0"/>
        <w:jc w:val="left"/>
        <w:rPr>
          <w:sz w:val="18"/>
        </w:rPr>
      </w:pPr>
      <w:r>
        <w:rPr/>
        <w:drawing>
          <wp:anchor distT="0" distB="0" distL="0" distR="0" allowOverlap="1" layoutInCell="1" locked="0" behindDoc="0" simplePos="0" relativeHeight="251718656">
            <wp:simplePos x="0" y="0"/>
            <wp:positionH relativeFrom="page">
              <wp:posOffset>1235964</wp:posOffset>
            </wp:positionH>
            <wp:positionV relativeFrom="paragraph">
              <wp:posOffset>23900</wp:posOffset>
            </wp:positionV>
            <wp:extent cx="313944" cy="80771"/>
            <wp:effectExtent l="0" t="0" r="0" b="0"/>
            <wp:wrapNone/>
            <wp:docPr id="15" name="image11.png"/>
            <wp:cNvGraphicFramePr>
              <a:graphicFrameLocks noChangeAspect="1"/>
            </wp:cNvGraphicFramePr>
            <a:graphic>
              <a:graphicData uri="http://schemas.openxmlformats.org/drawingml/2006/picture">
                <pic:pic>
                  <pic:nvPicPr>
                    <pic:cNvPr id="16" name="image11.png"/>
                    <pic:cNvPicPr/>
                  </pic:nvPicPr>
                  <pic:blipFill>
                    <a:blip r:embed="rId20" cstate="print"/>
                    <a:stretch>
                      <a:fillRect/>
                    </a:stretch>
                  </pic:blipFill>
                  <pic:spPr>
                    <a:xfrm>
                      <a:off x="0" y="0"/>
                      <a:ext cx="313944" cy="80771"/>
                    </a:xfrm>
                    <a:prstGeom prst="rect">
                      <a:avLst/>
                    </a:prstGeom>
                  </pic:spPr>
                </pic:pic>
              </a:graphicData>
            </a:graphic>
          </wp:anchor>
        </w:drawing>
      </w:r>
      <w:r>
        <w:rPr/>
        <w:drawing>
          <wp:anchor distT="0" distB="0" distL="0" distR="0" allowOverlap="1" layoutInCell="1" locked="0" behindDoc="0" simplePos="0" relativeHeight="251719680">
            <wp:simplePos x="0" y="0"/>
            <wp:positionH relativeFrom="page">
              <wp:posOffset>1235964</wp:posOffset>
            </wp:positionH>
            <wp:positionV relativeFrom="paragraph">
              <wp:posOffset>167156</wp:posOffset>
            </wp:positionV>
            <wp:extent cx="313944" cy="71627"/>
            <wp:effectExtent l="0" t="0" r="0" b="0"/>
            <wp:wrapNone/>
            <wp:docPr id="17" name="image12.png"/>
            <wp:cNvGraphicFramePr>
              <a:graphicFrameLocks noChangeAspect="1"/>
            </wp:cNvGraphicFramePr>
            <a:graphic>
              <a:graphicData uri="http://schemas.openxmlformats.org/drawingml/2006/picture">
                <pic:pic>
                  <pic:nvPicPr>
                    <pic:cNvPr id="18" name="image12.png"/>
                    <pic:cNvPicPr/>
                  </pic:nvPicPr>
                  <pic:blipFill>
                    <a:blip r:embed="rId21" cstate="print"/>
                    <a:stretch>
                      <a:fillRect/>
                    </a:stretch>
                  </pic:blipFill>
                  <pic:spPr>
                    <a:xfrm>
                      <a:off x="0" y="0"/>
                      <a:ext cx="313944" cy="71627"/>
                    </a:xfrm>
                    <a:prstGeom prst="rect">
                      <a:avLst/>
                    </a:prstGeom>
                  </pic:spPr>
                </pic:pic>
              </a:graphicData>
            </a:graphic>
          </wp:anchor>
        </w:drawing>
      </w:r>
      <w:r>
        <w:rPr>
          <w:sz w:val="18"/>
        </w:rPr>
        <w:t>Inflation leads &amp; lags Constant</w:t>
      </w:r>
    </w:p>
    <w:p>
      <w:pPr>
        <w:spacing w:line="249" w:lineRule="auto" w:before="0"/>
        <w:ind w:left="1290" w:right="47" w:firstLine="0"/>
        <w:jc w:val="left"/>
        <w:rPr>
          <w:sz w:val="18"/>
        </w:rPr>
      </w:pPr>
      <w:r>
        <w:rPr/>
        <w:pict>
          <v:line style="position:absolute;mso-position-horizontal-relative:page;mso-position-vertical-relative:paragraph;z-index:251720704" from="97.319992pt,5.051893pt" to="122.039992pt,5.051893pt" stroked="true" strokeweight="1.38pt" strokecolor="#000000">
            <v:stroke dashstyle="solid"/>
            <w10:wrap type="none"/>
          </v:line>
        </w:pict>
      </w:r>
      <w:r>
        <w:rPr/>
        <w:drawing>
          <wp:anchor distT="0" distB="0" distL="0" distR="0" allowOverlap="1" layoutInCell="1" locked="0" behindDoc="0" simplePos="0" relativeHeight="251721728">
            <wp:simplePos x="0" y="0"/>
            <wp:positionH relativeFrom="page">
              <wp:posOffset>1235963</wp:posOffset>
            </wp:positionH>
            <wp:positionV relativeFrom="paragraph">
              <wp:posOffset>189508</wp:posOffset>
            </wp:positionV>
            <wp:extent cx="313944" cy="17525"/>
            <wp:effectExtent l="0" t="0" r="0" b="0"/>
            <wp:wrapNone/>
            <wp:docPr id="19" name="image13.png"/>
            <wp:cNvGraphicFramePr>
              <a:graphicFrameLocks noChangeAspect="1"/>
            </wp:cNvGraphicFramePr>
            <a:graphic>
              <a:graphicData uri="http://schemas.openxmlformats.org/drawingml/2006/picture">
                <pic:pic>
                  <pic:nvPicPr>
                    <pic:cNvPr id="20" name="image13.png"/>
                    <pic:cNvPicPr/>
                  </pic:nvPicPr>
                  <pic:blipFill>
                    <a:blip r:embed="rId22" cstate="print"/>
                    <a:stretch>
                      <a:fillRect/>
                    </a:stretch>
                  </pic:blipFill>
                  <pic:spPr>
                    <a:xfrm>
                      <a:off x="0" y="0"/>
                      <a:ext cx="313944" cy="17525"/>
                    </a:xfrm>
                    <a:prstGeom prst="rect">
                      <a:avLst/>
                    </a:prstGeom>
                  </pic:spPr>
                </pic:pic>
              </a:graphicData>
            </a:graphic>
          </wp:anchor>
        </w:drawing>
      </w:r>
      <w:r>
        <w:rPr>
          <w:sz w:val="18"/>
        </w:rPr>
        <w:t>Actual CPI inflation (excl. VAT changes) Fitted CPI inflation (excl. VAT changes)</w:t>
      </w:r>
    </w:p>
    <w:p>
      <w:pPr>
        <w:spacing w:line="288" w:lineRule="auto" w:before="73"/>
        <w:ind w:left="429" w:right="47" w:hanging="1"/>
        <w:jc w:val="left"/>
        <w:rPr>
          <w:sz w:val="15"/>
        </w:rPr>
      </w:pPr>
      <w:r>
        <w:rPr>
          <w:b/>
          <w:i/>
          <w:w w:val="105"/>
          <w:sz w:val="15"/>
        </w:rPr>
        <w:t>Source </w:t>
      </w:r>
      <w:r>
        <w:rPr>
          <w:b/>
          <w:w w:val="105"/>
          <w:sz w:val="15"/>
        </w:rPr>
        <w:t>: </w:t>
      </w:r>
      <w:r>
        <w:rPr>
          <w:spacing w:val="-3"/>
          <w:w w:val="105"/>
          <w:sz w:val="15"/>
        </w:rPr>
        <w:t>Bank </w:t>
      </w:r>
      <w:r>
        <w:rPr>
          <w:w w:val="105"/>
          <w:sz w:val="15"/>
        </w:rPr>
        <w:t>of </w:t>
      </w:r>
      <w:r>
        <w:rPr>
          <w:spacing w:val="-5"/>
          <w:w w:val="105"/>
          <w:sz w:val="15"/>
        </w:rPr>
        <w:t>England, </w:t>
      </w:r>
      <w:r>
        <w:rPr>
          <w:spacing w:val="-7"/>
          <w:w w:val="105"/>
          <w:sz w:val="15"/>
        </w:rPr>
        <w:t>ONS, </w:t>
      </w:r>
      <w:r>
        <w:rPr>
          <w:spacing w:val="-11"/>
          <w:w w:val="105"/>
          <w:sz w:val="15"/>
        </w:rPr>
        <w:t>IMF </w:t>
      </w:r>
      <w:r>
        <w:rPr>
          <w:spacing w:val="-3"/>
          <w:w w:val="105"/>
          <w:sz w:val="15"/>
        </w:rPr>
        <w:t>International </w:t>
      </w:r>
      <w:r>
        <w:rPr>
          <w:spacing w:val="-4"/>
          <w:w w:val="105"/>
          <w:sz w:val="15"/>
        </w:rPr>
        <w:t>Financial </w:t>
      </w:r>
      <w:r>
        <w:rPr>
          <w:w w:val="105"/>
          <w:sz w:val="15"/>
        </w:rPr>
        <w:t>Statistics, </w:t>
      </w:r>
      <w:r>
        <w:rPr>
          <w:spacing w:val="-4"/>
          <w:w w:val="105"/>
          <w:sz w:val="15"/>
        </w:rPr>
        <w:t>Bloomberg</w:t>
      </w:r>
    </w:p>
    <w:p>
      <w:pPr>
        <w:pStyle w:val="BodyText"/>
        <w:spacing w:before="3"/>
        <w:rPr>
          <w:sz w:val="18"/>
        </w:rPr>
      </w:pPr>
      <w:r>
        <w:rPr/>
        <w:br w:type="column"/>
      </w:r>
      <w:r>
        <w:rPr>
          <w:sz w:val="18"/>
        </w:rPr>
      </w:r>
    </w:p>
    <w:p>
      <w:pPr>
        <w:pStyle w:val="BodyText"/>
        <w:spacing w:line="357" w:lineRule="auto"/>
        <w:ind w:left="216" w:right="495"/>
      </w:pPr>
      <w:r>
        <w:rPr/>
        <w:t>Figure 14 uses the estimates from this model to better understand recent trends in inflation. The dashed line shows predicted inflation using this model, and the solid line shows actual inflation. The two lines move fairly closely, including during the recent period of disinflation, suggesting that the model fits fairly well. The coloured shading decomposes how much of recent movements in inflation can be explained by the different variables in the equation above. Focusing on the recent period of disinflation, the estimates suggest that sterling’s appreciation was a major factor driving down inflation in 2014, reducing inflation by almost 1 percentage point. Over the last two quarters (2014q4 and 2015q1), however, the drag from sterling’s appreciation has faded and lower oil prices have played a greater role, reducing inflation by around 1 percentage point. Global export prices are also bringing down inflation—but the effect is estimated to be very small at 0.15 percentage points in the first quarter of 2015.</w:t>
      </w:r>
    </w:p>
    <w:p>
      <w:pPr>
        <w:spacing w:after="0" w:line="357" w:lineRule="auto"/>
        <w:sectPr>
          <w:type w:val="continuous"/>
          <w:pgSz w:w="12240" w:h="15840"/>
          <w:pgMar w:top="1120" w:bottom="1440" w:left="1200" w:right="1060"/>
          <w:cols w:num="2" w:equalWidth="0">
            <w:col w:w="4877" w:space="40"/>
            <w:col w:w="5063"/>
          </w:cols>
        </w:sectPr>
      </w:pPr>
    </w:p>
    <w:p>
      <w:pPr>
        <w:pStyle w:val="BodyText"/>
        <w:spacing w:line="357" w:lineRule="auto" w:before="79"/>
        <w:ind w:left="386" w:right="628"/>
      </w:pPr>
      <w:r>
        <w:rPr/>
        <w:t>While this analysis is useful to understand why headline inflation has fallen recently, the key question for monetary</w:t>
      </w:r>
      <w:r>
        <w:rPr>
          <w:spacing w:val="-9"/>
        </w:rPr>
        <w:t> </w:t>
      </w:r>
      <w:r>
        <w:rPr/>
        <w:t>policy</w:t>
      </w:r>
      <w:r>
        <w:rPr>
          <w:spacing w:val="-8"/>
        </w:rPr>
        <w:t> </w:t>
      </w:r>
      <w:r>
        <w:rPr/>
        <w:t>is</w:t>
      </w:r>
      <w:r>
        <w:rPr>
          <w:spacing w:val="-8"/>
        </w:rPr>
        <w:t> </w:t>
      </w:r>
      <w:r>
        <w:rPr/>
        <w:t>where</w:t>
      </w:r>
      <w:r>
        <w:rPr>
          <w:spacing w:val="-8"/>
        </w:rPr>
        <w:t> </w:t>
      </w:r>
      <w:r>
        <w:rPr/>
        <w:t>inflation</w:t>
      </w:r>
      <w:r>
        <w:rPr>
          <w:spacing w:val="-8"/>
        </w:rPr>
        <w:t> </w:t>
      </w:r>
      <w:r>
        <w:rPr/>
        <w:t>is</w:t>
      </w:r>
      <w:r>
        <w:rPr>
          <w:spacing w:val="-8"/>
        </w:rPr>
        <w:t> </w:t>
      </w:r>
      <w:r>
        <w:rPr/>
        <w:t>going</w:t>
      </w:r>
      <w:r>
        <w:rPr>
          <w:spacing w:val="-9"/>
        </w:rPr>
        <w:t> </w:t>
      </w:r>
      <w:r>
        <w:rPr/>
        <w:t>next.</w:t>
      </w:r>
      <w:r>
        <w:rPr>
          <w:spacing w:val="-9"/>
        </w:rPr>
        <w:t> </w:t>
      </w:r>
      <w:r>
        <w:rPr/>
        <w:t>If</w:t>
      </w:r>
      <w:r>
        <w:rPr>
          <w:spacing w:val="-10"/>
        </w:rPr>
        <w:t> </w:t>
      </w:r>
      <w:r>
        <w:rPr/>
        <w:t>sterling’s</w:t>
      </w:r>
      <w:r>
        <w:rPr>
          <w:spacing w:val="-7"/>
        </w:rPr>
        <w:t> </w:t>
      </w:r>
      <w:r>
        <w:rPr/>
        <w:t>appreciation</w:t>
      </w:r>
      <w:r>
        <w:rPr>
          <w:spacing w:val="-8"/>
        </w:rPr>
        <w:t> </w:t>
      </w:r>
      <w:r>
        <w:rPr/>
        <w:t>and</w:t>
      </w:r>
      <w:r>
        <w:rPr>
          <w:spacing w:val="-9"/>
        </w:rPr>
        <w:t> </w:t>
      </w:r>
      <w:r>
        <w:rPr/>
        <w:t>then</w:t>
      </w:r>
      <w:r>
        <w:rPr>
          <w:spacing w:val="-8"/>
        </w:rPr>
        <w:t> </w:t>
      </w:r>
      <w:r>
        <w:rPr/>
        <w:t>lower</w:t>
      </w:r>
      <w:r>
        <w:rPr>
          <w:spacing w:val="-9"/>
        </w:rPr>
        <w:t> </w:t>
      </w:r>
      <w:r>
        <w:rPr/>
        <w:t>oil</w:t>
      </w:r>
      <w:r>
        <w:rPr>
          <w:spacing w:val="-8"/>
        </w:rPr>
        <w:t> </w:t>
      </w:r>
      <w:r>
        <w:rPr/>
        <w:t>prices</w:t>
      </w:r>
      <w:r>
        <w:rPr>
          <w:spacing w:val="-7"/>
        </w:rPr>
        <w:t> </w:t>
      </w:r>
      <w:r>
        <w:rPr/>
        <w:t>have</w:t>
      </w:r>
      <w:r>
        <w:rPr>
          <w:spacing w:val="-9"/>
        </w:rPr>
        <w:t> </w:t>
      </w:r>
      <w:r>
        <w:rPr/>
        <w:t>been the main drivers behind low inflation—for how long will these effects persist? To better understand if these factors appear to be affecting underlying inflation, I use the same model to explain core inflation (which excludes food and energy prices) and domestically-generated inflation (using the index of nine measures discussed</w:t>
      </w:r>
      <w:r>
        <w:rPr>
          <w:spacing w:val="-3"/>
        </w:rPr>
        <w:t> </w:t>
      </w:r>
      <w:r>
        <w:rPr/>
        <w:t>above).</w:t>
      </w:r>
    </w:p>
    <w:p>
      <w:pPr>
        <w:pStyle w:val="BodyText"/>
        <w:spacing w:before="8"/>
        <w:rPr>
          <w:sz w:val="27"/>
        </w:rPr>
      </w:pPr>
    </w:p>
    <w:p>
      <w:pPr>
        <w:pStyle w:val="BodyText"/>
        <w:spacing w:line="357" w:lineRule="auto"/>
        <w:ind w:left="386" w:right="554"/>
      </w:pPr>
      <w:r>
        <w:rPr/>
        <w:t>The results are reported in Columns 2-3 of Table 2 and show some noteworthy differences. Movements in sterling</w:t>
      </w:r>
      <w:r>
        <w:rPr>
          <w:spacing w:val="-8"/>
        </w:rPr>
        <w:t> </w:t>
      </w:r>
      <w:r>
        <w:rPr/>
        <w:t>and</w:t>
      </w:r>
      <w:r>
        <w:rPr>
          <w:spacing w:val="-8"/>
        </w:rPr>
        <w:t> </w:t>
      </w:r>
      <w:r>
        <w:rPr/>
        <w:t>oil</w:t>
      </w:r>
      <w:r>
        <w:rPr>
          <w:spacing w:val="-6"/>
        </w:rPr>
        <w:t> </w:t>
      </w:r>
      <w:r>
        <w:rPr/>
        <w:t>prices</w:t>
      </w:r>
      <w:r>
        <w:rPr>
          <w:spacing w:val="-6"/>
        </w:rPr>
        <w:t> </w:t>
      </w:r>
      <w:r>
        <w:rPr/>
        <w:t>still</w:t>
      </w:r>
      <w:r>
        <w:rPr>
          <w:spacing w:val="-8"/>
        </w:rPr>
        <w:t> </w:t>
      </w:r>
      <w:r>
        <w:rPr/>
        <w:t>have</w:t>
      </w:r>
      <w:r>
        <w:rPr>
          <w:spacing w:val="-7"/>
        </w:rPr>
        <w:t> </w:t>
      </w:r>
      <w:r>
        <w:rPr/>
        <w:t>a</w:t>
      </w:r>
      <w:r>
        <w:rPr>
          <w:spacing w:val="-9"/>
        </w:rPr>
        <w:t> </w:t>
      </w:r>
      <w:r>
        <w:rPr/>
        <w:t>significant</w:t>
      </w:r>
      <w:r>
        <w:rPr>
          <w:spacing w:val="-5"/>
        </w:rPr>
        <w:t> </w:t>
      </w:r>
      <w:r>
        <w:rPr/>
        <w:t>effect</w:t>
      </w:r>
      <w:r>
        <w:rPr>
          <w:spacing w:val="-7"/>
        </w:rPr>
        <w:t> </w:t>
      </w:r>
      <w:r>
        <w:rPr/>
        <w:t>on</w:t>
      </w:r>
      <w:r>
        <w:rPr>
          <w:spacing w:val="-7"/>
        </w:rPr>
        <w:t> </w:t>
      </w:r>
      <w:r>
        <w:rPr/>
        <w:t>core</w:t>
      </w:r>
      <w:r>
        <w:rPr>
          <w:spacing w:val="-8"/>
        </w:rPr>
        <w:t> </w:t>
      </w:r>
      <w:r>
        <w:rPr/>
        <w:t>prices,</w:t>
      </w:r>
      <w:r>
        <w:rPr>
          <w:spacing w:val="-7"/>
        </w:rPr>
        <w:t> </w:t>
      </w:r>
      <w:r>
        <w:rPr/>
        <w:t>but</w:t>
      </w:r>
      <w:r>
        <w:rPr>
          <w:spacing w:val="-8"/>
        </w:rPr>
        <w:t> </w:t>
      </w:r>
      <w:r>
        <w:rPr/>
        <w:t>the</w:t>
      </w:r>
      <w:r>
        <w:rPr>
          <w:spacing w:val="-7"/>
        </w:rPr>
        <w:t> </w:t>
      </w:r>
      <w:r>
        <w:rPr/>
        <w:t>magnitude</w:t>
      </w:r>
      <w:r>
        <w:rPr>
          <w:spacing w:val="-7"/>
        </w:rPr>
        <w:t> </w:t>
      </w:r>
      <w:r>
        <w:rPr/>
        <w:t>is</w:t>
      </w:r>
      <w:r>
        <w:rPr>
          <w:spacing w:val="-7"/>
        </w:rPr>
        <w:t> </w:t>
      </w:r>
      <w:r>
        <w:rPr/>
        <w:t>less</w:t>
      </w:r>
      <w:r>
        <w:rPr>
          <w:spacing w:val="-6"/>
        </w:rPr>
        <w:t> </w:t>
      </w:r>
      <w:r>
        <w:rPr/>
        <w:t>than</w:t>
      </w:r>
      <w:r>
        <w:rPr>
          <w:spacing w:val="-8"/>
        </w:rPr>
        <w:t> </w:t>
      </w:r>
      <w:r>
        <w:rPr/>
        <w:t>half</w:t>
      </w:r>
      <w:r>
        <w:rPr>
          <w:spacing w:val="-7"/>
        </w:rPr>
        <w:t> </w:t>
      </w:r>
      <w:r>
        <w:rPr/>
        <w:t>as</w:t>
      </w:r>
      <w:r>
        <w:rPr>
          <w:spacing w:val="-6"/>
        </w:rPr>
        <w:t> </w:t>
      </w:r>
      <w:r>
        <w:rPr/>
        <w:t>large as for headline inflation. Movements in sterling and oil prices do not exert a significant effect on the DGI index,</w:t>
      </w:r>
      <w:r>
        <w:rPr>
          <w:spacing w:val="-9"/>
        </w:rPr>
        <w:t> </w:t>
      </w:r>
      <w:r>
        <w:rPr/>
        <w:t>suggesting</w:t>
      </w:r>
      <w:r>
        <w:rPr>
          <w:spacing w:val="-8"/>
        </w:rPr>
        <w:t> </w:t>
      </w:r>
      <w:r>
        <w:rPr/>
        <w:t>that</w:t>
      </w:r>
      <w:r>
        <w:rPr>
          <w:spacing w:val="-9"/>
        </w:rPr>
        <w:t> </w:t>
      </w:r>
      <w:r>
        <w:rPr/>
        <w:t>this</w:t>
      </w:r>
      <w:r>
        <w:rPr>
          <w:spacing w:val="-8"/>
        </w:rPr>
        <w:t> </w:t>
      </w:r>
      <w:r>
        <w:rPr/>
        <w:t>measure</w:t>
      </w:r>
      <w:r>
        <w:rPr>
          <w:spacing w:val="-8"/>
        </w:rPr>
        <w:t> </w:t>
      </w:r>
      <w:r>
        <w:rPr/>
        <w:t>is</w:t>
      </w:r>
      <w:r>
        <w:rPr>
          <w:spacing w:val="-7"/>
        </w:rPr>
        <w:t> </w:t>
      </w:r>
      <w:r>
        <w:rPr/>
        <w:t>doing</w:t>
      </w:r>
      <w:r>
        <w:rPr>
          <w:spacing w:val="-8"/>
        </w:rPr>
        <w:t> </w:t>
      </w:r>
      <w:r>
        <w:rPr/>
        <w:t>a</w:t>
      </w:r>
      <w:r>
        <w:rPr>
          <w:spacing w:val="-9"/>
        </w:rPr>
        <w:t> </w:t>
      </w:r>
      <w:r>
        <w:rPr/>
        <w:t>decent</w:t>
      </w:r>
      <w:r>
        <w:rPr>
          <w:spacing w:val="-7"/>
        </w:rPr>
        <w:t> </w:t>
      </w:r>
      <w:r>
        <w:rPr/>
        <w:t>job</w:t>
      </w:r>
      <w:r>
        <w:rPr>
          <w:spacing w:val="-8"/>
        </w:rPr>
        <w:t> </w:t>
      </w:r>
      <w:r>
        <w:rPr/>
        <w:t>of</w:t>
      </w:r>
      <w:r>
        <w:rPr>
          <w:spacing w:val="-8"/>
        </w:rPr>
        <w:t> </w:t>
      </w:r>
      <w:r>
        <w:rPr/>
        <w:t>capturing</w:t>
      </w:r>
      <w:r>
        <w:rPr>
          <w:spacing w:val="-8"/>
        </w:rPr>
        <w:t> </w:t>
      </w:r>
      <w:r>
        <w:rPr/>
        <w:t>domestic</w:t>
      </w:r>
      <w:r>
        <w:rPr>
          <w:spacing w:val="-8"/>
        </w:rPr>
        <w:t> </w:t>
      </w:r>
      <w:r>
        <w:rPr/>
        <w:t>inflation</w:t>
      </w:r>
      <w:r>
        <w:rPr>
          <w:spacing w:val="-8"/>
        </w:rPr>
        <w:t> </w:t>
      </w:r>
      <w:r>
        <w:rPr/>
        <w:t>that</w:t>
      </w:r>
      <w:r>
        <w:rPr>
          <w:spacing w:val="-7"/>
        </w:rPr>
        <w:t> </w:t>
      </w:r>
      <w:r>
        <w:rPr/>
        <w:t>excludes</w:t>
      </w:r>
      <w:r>
        <w:rPr>
          <w:spacing w:val="-7"/>
        </w:rPr>
        <w:t> </w:t>
      </w:r>
      <w:r>
        <w:rPr/>
        <w:t>these international influences. Inflation expectations continue to have a similar and powerful effect on both core and</w:t>
      </w:r>
      <w:r>
        <w:rPr>
          <w:spacing w:val="-8"/>
        </w:rPr>
        <w:t> </w:t>
      </w:r>
      <w:r>
        <w:rPr/>
        <w:t>headline</w:t>
      </w:r>
      <w:r>
        <w:rPr>
          <w:spacing w:val="-8"/>
        </w:rPr>
        <w:t> </w:t>
      </w:r>
      <w:r>
        <w:rPr/>
        <w:t>inflation</w:t>
      </w:r>
      <w:r>
        <w:rPr>
          <w:spacing w:val="-8"/>
        </w:rPr>
        <w:t> </w:t>
      </w:r>
      <w:r>
        <w:rPr/>
        <w:t>(although</w:t>
      </w:r>
      <w:r>
        <w:rPr>
          <w:spacing w:val="-9"/>
        </w:rPr>
        <w:t> </w:t>
      </w:r>
      <w:r>
        <w:rPr/>
        <w:t>not</w:t>
      </w:r>
      <w:r>
        <w:rPr>
          <w:spacing w:val="-6"/>
        </w:rPr>
        <w:t> </w:t>
      </w:r>
      <w:r>
        <w:rPr/>
        <w:t>on</w:t>
      </w:r>
      <w:r>
        <w:rPr>
          <w:spacing w:val="-8"/>
        </w:rPr>
        <w:t> </w:t>
      </w:r>
      <w:r>
        <w:rPr/>
        <w:t>the</w:t>
      </w:r>
      <w:r>
        <w:rPr>
          <w:spacing w:val="-7"/>
        </w:rPr>
        <w:t> </w:t>
      </w:r>
      <w:r>
        <w:rPr/>
        <w:t>DGI</w:t>
      </w:r>
      <w:r>
        <w:rPr>
          <w:spacing w:val="-8"/>
        </w:rPr>
        <w:t> </w:t>
      </w:r>
      <w:r>
        <w:rPr/>
        <w:t>index).</w:t>
      </w:r>
      <w:r>
        <w:rPr>
          <w:spacing w:val="-8"/>
        </w:rPr>
        <w:t> </w:t>
      </w:r>
      <w:r>
        <w:rPr/>
        <w:t>There</w:t>
      </w:r>
      <w:r>
        <w:rPr>
          <w:spacing w:val="-8"/>
        </w:rPr>
        <w:t> </w:t>
      </w:r>
      <w:r>
        <w:rPr/>
        <w:t>appears</w:t>
      </w:r>
      <w:r>
        <w:rPr>
          <w:spacing w:val="-7"/>
        </w:rPr>
        <w:t> </w:t>
      </w:r>
      <w:r>
        <w:rPr/>
        <w:t>to</w:t>
      </w:r>
      <w:r>
        <w:rPr>
          <w:spacing w:val="-8"/>
        </w:rPr>
        <w:t> </w:t>
      </w:r>
      <w:r>
        <w:rPr/>
        <w:t>be</w:t>
      </w:r>
      <w:r>
        <w:rPr>
          <w:spacing w:val="-8"/>
        </w:rPr>
        <w:t> </w:t>
      </w:r>
      <w:r>
        <w:rPr/>
        <w:t>more</w:t>
      </w:r>
      <w:r>
        <w:rPr>
          <w:spacing w:val="-8"/>
        </w:rPr>
        <w:t> </w:t>
      </w:r>
      <w:r>
        <w:rPr/>
        <w:t>hysteresis</w:t>
      </w:r>
      <w:r>
        <w:rPr>
          <w:spacing w:val="-7"/>
        </w:rPr>
        <w:t> </w:t>
      </w:r>
      <w:r>
        <w:rPr/>
        <w:t>in</w:t>
      </w:r>
      <w:r>
        <w:rPr>
          <w:spacing w:val="-8"/>
        </w:rPr>
        <w:t> </w:t>
      </w:r>
      <w:r>
        <w:rPr/>
        <w:t>core</w:t>
      </w:r>
      <w:r>
        <w:rPr>
          <w:spacing w:val="-8"/>
        </w:rPr>
        <w:t> </w:t>
      </w:r>
      <w:r>
        <w:rPr/>
        <w:t>inflation and the DGI index—with lower core inflation or DGI in the past acting as a continued drag on the corresponding inflation measure today. Lower world export prices do not seem to exert any additional drag on core inflation or the DGI index. In fact, the estimates of how world export prices affect core inflation have the opposite sign of what one would expect—indicating that lower world export prices tends to increase, not decrease, core inflation over time.</w:t>
      </w:r>
      <w:r>
        <w:rPr>
          <w:vertAlign w:val="superscript"/>
        </w:rPr>
        <w:t>21</w:t>
      </w:r>
      <w:r>
        <w:rPr>
          <w:vertAlign w:val="baseline"/>
        </w:rPr>
        <w:t> A closer look at how world export prices affect UK inflation seems to be merited (and will be done in the next</w:t>
      </w:r>
      <w:r>
        <w:rPr>
          <w:spacing w:val="-11"/>
          <w:vertAlign w:val="baseline"/>
        </w:rPr>
        <w:t> </w:t>
      </w:r>
      <w:r>
        <w:rPr>
          <w:vertAlign w:val="baseline"/>
        </w:rPr>
        <w:t>section).</w:t>
      </w:r>
    </w:p>
    <w:p>
      <w:pPr>
        <w:pStyle w:val="BodyText"/>
        <w:spacing w:before="4"/>
        <w:rPr>
          <w:sz w:val="27"/>
        </w:rPr>
      </w:pPr>
    </w:p>
    <w:p>
      <w:pPr>
        <w:pStyle w:val="BodyText"/>
        <w:spacing w:line="357" w:lineRule="auto"/>
        <w:ind w:left="386" w:right="533"/>
      </w:pPr>
      <w:r>
        <w:rPr/>
        <w:t>Before analyzing the role of inflation in other countries in more detail, however, it is useful to consider what this</w:t>
      </w:r>
      <w:r>
        <w:rPr>
          <w:spacing w:val="-8"/>
        </w:rPr>
        <w:t> </w:t>
      </w:r>
      <w:r>
        <w:rPr/>
        <w:t>estimated</w:t>
      </w:r>
      <w:r>
        <w:rPr>
          <w:spacing w:val="-9"/>
        </w:rPr>
        <w:t> </w:t>
      </w:r>
      <w:r>
        <w:rPr/>
        <w:t>model</w:t>
      </w:r>
      <w:r>
        <w:rPr>
          <w:spacing w:val="-8"/>
        </w:rPr>
        <w:t> </w:t>
      </w:r>
      <w:r>
        <w:rPr/>
        <w:t>implies</w:t>
      </w:r>
      <w:r>
        <w:rPr>
          <w:spacing w:val="-7"/>
        </w:rPr>
        <w:t> </w:t>
      </w:r>
      <w:r>
        <w:rPr/>
        <w:t>for</w:t>
      </w:r>
      <w:r>
        <w:rPr>
          <w:spacing w:val="-8"/>
        </w:rPr>
        <w:t> </w:t>
      </w:r>
      <w:r>
        <w:rPr/>
        <w:t>inflation</w:t>
      </w:r>
      <w:r>
        <w:rPr>
          <w:spacing w:val="-9"/>
        </w:rPr>
        <w:t> </w:t>
      </w:r>
      <w:r>
        <w:rPr/>
        <w:t>in</w:t>
      </w:r>
      <w:r>
        <w:rPr>
          <w:spacing w:val="-8"/>
        </w:rPr>
        <w:t> </w:t>
      </w:r>
      <w:r>
        <w:rPr/>
        <w:t>the</w:t>
      </w:r>
      <w:r>
        <w:rPr>
          <w:spacing w:val="-8"/>
        </w:rPr>
        <w:t> </w:t>
      </w:r>
      <w:r>
        <w:rPr/>
        <w:t>future.</w:t>
      </w:r>
      <w:r>
        <w:rPr>
          <w:spacing w:val="-7"/>
        </w:rPr>
        <w:t> </w:t>
      </w:r>
      <w:r>
        <w:rPr/>
        <w:t>Even</w:t>
      </w:r>
      <w:r>
        <w:rPr>
          <w:spacing w:val="-8"/>
        </w:rPr>
        <w:t> </w:t>
      </w:r>
      <w:r>
        <w:rPr/>
        <w:t>if</w:t>
      </w:r>
      <w:r>
        <w:rPr>
          <w:spacing w:val="-8"/>
        </w:rPr>
        <w:t> </w:t>
      </w:r>
      <w:r>
        <w:rPr/>
        <w:t>much</w:t>
      </w:r>
      <w:r>
        <w:rPr>
          <w:spacing w:val="-8"/>
        </w:rPr>
        <w:t> </w:t>
      </w:r>
      <w:r>
        <w:rPr/>
        <w:t>of</w:t>
      </w:r>
      <w:r>
        <w:rPr>
          <w:spacing w:val="-8"/>
        </w:rPr>
        <w:t> </w:t>
      </w:r>
      <w:r>
        <w:rPr/>
        <w:t>today’s</w:t>
      </w:r>
      <w:r>
        <w:rPr>
          <w:spacing w:val="-7"/>
        </w:rPr>
        <w:t> </w:t>
      </w:r>
      <w:r>
        <w:rPr/>
        <w:t>fall</w:t>
      </w:r>
      <w:r>
        <w:rPr>
          <w:spacing w:val="-9"/>
        </w:rPr>
        <w:t> </w:t>
      </w:r>
      <w:r>
        <w:rPr/>
        <w:t>in</w:t>
      </w:r>
      <w:r>
        <w:rPr>
          <w:spacing w:val="-8"/>
        </w:rPr>
        <w:t> </w:t>
      </w:r>
      <w:r>
        <w:rPr/>
        <w:t>headline</w:t>
      </w:r>
      <w:r>
        <w:rPr>
          <w:spacing w:val="-8"/>
        </w:rPr>
        <w:t> </w:t>
      </w:r>
      <w:r>
        <w:rPr/>
        <w:t>inflation</w:t>
      </w:r>
      <w:r>
        <w:rPr>
          <w:spacing w:val="-8"/>
        </w:rPr>
        <w:t> </w:t>
      </w:r>
      <w:r>
        <w:rPr/>
        <w:t>results from</w:t>
      </w:r>
      <w:r>
        <w:rPr>
          <w:spacing w:val="-5"/>
        </w:rPr>
        <w:t> </w:t>
      </w:r>
      <w:r>
        <w:rPr/>
        <w:t>the</w:t>
      </w:r>
      <w:r>
        <w:rPr>
          <w:spacing w:val="-6"/>
        </w:rPr>
        <w:t> </w:t>
      </w:r>
      <w:r>
        <w:rPr/>
        <w:t>transitory</w:t>
      </w:r>
      <w:r>
        <w:rPr>
          <w:spacing w:val="-6"/>
        </w:rPr>
        <w:t> </w:t>
      </w:r>
      <w:r>
        <w:rPr/>
        <w:t>effects</w:t>
      </w:r>
      <w:r>
        <w:rPr>
          <w:spacing w:val="-6"/>
        </w:rPr>
        <w:t> </w:t>
      </w:r>
      <w:r>
        <w:rPr/>
        <w:t>of</w:t>
      </w:r>
      <w:r>
        <w:rPr>
          <w:spacing w:val="-6"/>
        </w:rPr>
        <w:t> </w:t>
      </w:r>
      <w:r>
        <w:rPr/>
        <w:t>oil</w:t>
      </w:r>
      <w:r>
        <w:rPr>
          <w:spacing w:val="-6"/>
        </w:rPr>
        <w:t> </w:t>
      </w:r>
      <w:r>
        <w:rPr/>
        <w:t>prices</w:t>
      </w:r>
      <w:r>
        <w:rPr>
          <w:spacing w:val="-5"/>
        </w:rPr>
        <w:t> </w:t>
      </w:r>
      <w:r>
        <w:rPr/>
        <w:t>and</w:t>
      </w:r>
      <w:r>
        <w:rPr>
          <w:spacing w:val="-6"/>
        </w:rPr>
        <w:t> </w:t>
      </w:r>
      <w:r>
        <w:rPr/>
        <w:t>sterling,</w:t>
      </w:r>
      <w:r>
        <w:rPr>
          <w:spacing w:val="-6"/>
        </w:rPr>
        <w:t> </w:t>
      </w:r>
      <w:r>
        <w:rPr/>
        <w:t>how</w:t>
      </w:r>
      <w:r>
        <w:rPr>
          <w:spacing w:val="-11"/>
        </w:rPr>
        <w:t> </w:t>
      </w:r>
      <w:r>
        <w:rPr/>
        <w:t>long</w:t>
      </w:r>
      <w:r>
        <w:rPr>
          <w:spacing w:val="-5"/>
        </w:rPr>
        <w:t> </w:t>
      </w:r>
      <w:r>
        <w:rPr/>
        <w:t>will</w:t>
      </w:r>
      <w:r>
        <w:rPr>
          <w:spacing w:val="-5"/>
        </w:rPr>
        <w:t> </w:t>
      </w:r>
      <w:r>
        <w:rPr/>
        <w:t>it</w:t>
      </w:r>
      <w:r>
        <w:rPr>
          <w:spacing w:val="-4"/>
        </w:rPr>
        <w:t> </w:t>
      </w:r>
      <w:r>
        <w:rPr/>
        <w:t>take</w:t>
      </w:r>
      <w:r>
        <w:rPr>
          <w:spacing w:val="-5"/>
        </w:rPr>
        <w:t> </w:t>
      </w:r>
      <w:r>
        <w:rPr/>
        <w:t>before</w:t>
      </w:r>
      <w:r>
        <w:rPr>
          <w:spacing w:val="-6"/>
        </w:rPr>
        <w:t> </w:t>
      </w:r>
      <w:r>
        <w:rPr/>
        <w:t>inflation</w:t>
      </w:r>
      <w:r>
        <w:rPr>
          <w:spacing w:val="-5"/>
        </w:rPr>
        <w:t> </w:t>
      </w:r>
      <w:r>
        <w:rPr/>
        <w:t>begins</w:t>
      </w:r>
      <w:r>
        <w:rPr>
          <w:spacing w:val="-7"/>
        </w:rPr>
        <w:t> </w:t>
      </w:r>
      <w:r>
        <w:rPr/>
        <w:t>to</w:t>
      </w:r>
      <w:r>
        <w:rPr>
          <w:spacing w:val="-5"/>
        </w:rPr>
        <w:t> </w:t>
      </w:r>
      <w:r>
        <w:rPr/>
        <w:t>recover?</w:t>
      </w:r>
    </w:p>
    <w:p>
      <w:pPr>
        <w:pStyle w:val="BodyText"/>
        <w:spacing w:line="357" w:lineRule="auto"/>
        <w:ind w:left="386" w:right="533"/>
      </w:pPr>
      <w:r>
        <w:rPr/>
        <w:t>The estimates suggest that inflation expectations play a significant role in determining where headline and core inflation settle. Figure 15 shows that some measures of inflation expectations have remained fairly stable despite the fall in headline inflation, while others have softened. But all in all, inflation expectations remain</w:t>
      </w:r>
      <w:r>
        <w:rPr>
          <w:spacing w:val="-9"/>
        </w:rPr>
        <w:t> </w:t>
      </w:r>
      <w:r>
        <w:rPr/>
        <w:t>at</w:t>
      </w:r>
      <w:r>
        <w:rPr>
          <w:spacing w:val="-8"/>
        </w:rPr>
        <w:t> </w:t>
      </w:r>
      <w:r>
        <w:rPr/>
        <w:t>a</w:t>
      </w:r>
      <w:r>
        <w:rPr>
          <w:spacing w:val="-8"/>
        </w:rPr>
        <w:t> </w:t>
      </w:r>
      <w:r>
        <w:rPr/>
        <w:t>level</w:t>
      </w:r>
      <w:r>
        <w:rPr>
          <w:spacing w:val="-8"/>
        </w:rPr>
        <w:t> </w:t>
      </w:r>
      <w:r>
        <w:rPr/>
        <w:t>broadly</w:t>
      </w:r>
      <w:r>
        <w:rPr>
          <w:spacing w:val="-8"/>
        </w:rPr>
        <w:t> </w:t>
      </w:r>
      <w:r>
        <w:rPr/>
        <w:t>consistent</w:t>
      </w:r>
      <w:r>
        <w:rPr>
          <w:spacing w:val="-6"/>
        </w:rPr>
        <w:t> </w:t>
      </w:r>
      <w:r>
        <w:rPr/>
        <w:t>with</w:t>
      </w:r>
      <w:r>
        <w:rPr>
          <w:spacing w:val="-8"/>
        </w:rPr>
        <w:t> </w:t>
      </w:r>
      <w:r>
        <w:rPr/>
        <w:t>headline</w:t>
      </w:r>
      <w:r>
        <w:rPr>
          <w:spacing w:val="-8"/>
        </w:rPr>
        <w:t> </w:t>
      </w:r>
      <w:r>
        <w:rPr/>
        <w:t>and</w:t>
      </w:r>
      <w:r>
        <w:rPr>
          <w:spacing w:val="-8"/>
        </w:rPr>
        <w:t> </w:t>
      </w:r>
      <w:r>
        <w:rPr/>
        <w:t>core</w:t>
      </w:r>
      <w:r>
        <w:rPr>
          <w:spacing w:val="-9"/>
        </w:rPr>
        <w:t> </w:t>
      </w:r>
      <w:r>
        <w:rPr/>
        <w:t>inflation</w:t>
      </w:r>
      <w:r>
        <w:rPr>
          <w:spacing w:val="-8"/>
        </w:rPr>
        <w:t> </w:t>
      </w:r>
      <w:r>
        <w:rPr/>
        <w:t>around</w:t>
      </w:r>
      <w:r>
        <w:rPr>
          <w:spacing w:val="-8"/>
        </w:rPr>
        <w:t> </w:t>
      </w:r>
      <w:r>
        <w:rPr/>
        <w:t>2%</w:t>
      </w:r>
      <w:r>
        <w:rPr>
          <w:spacing w:val="-8"/>
        </w:rPr>
        <w:t> </w:t>
      </w:r>
      <w:r>
        <w:rPr/>
        <w:t>once</w:t>
      </w:r>
      <w:r>
        <w:rPr>
          <w:spacing w:val="-8"/>
        </w:rPr>
        <w:t> </w:t>
      </w:r>
      <w:r>
        <w:rPr/>
        <w:t>the</w:t>
      </w:r>
      <w:r>
        <w:rPr>
          <w:spacing w:val="-8"/>
        </w:rPr>
        <w:t> </w:t>
      </w:r>
      <w:r>
        <w:rPr/>
        <w:t>effects</w:t>
      </w:r>
      <w:r>
        <w:rPr>
          <w:spacing w:val="-7"/>
        </w:rPr>
        <w:t> </w:t>
      </w:r>
      <w:r>
        <w:rPr/>
        <w:t>of</w:t>
      </w:r>
      <w:r>
        <w:rPr>
          <w:spacing w:val="-9"/>
        </w:rPr>
        <w:t> </w:t>
      </w:r>
      <w:r>
        <w:rPr/>
        <w:t>transitory factors have faded.</w:t>
      </w:r>
      <w:r>
        <w:rPr>
          <w:vertAlign w:val="superscript"/>
        </w:rPr>
        <w:t>22</w:t>
      </w:r>
      <w:r>
        <w:rPr>
          <w:vertAlign w:val="baseline"/>
        </w:rPr>
        <w:t> However, the significant coefficient estimates on the lagged inflation term when predicting core and domestically-generated inflation also suggest that low inflation today could have persistent effects. As discussed above, these could occur through some type of second-round effects of sterling’s appreciation and lower oil prices, or any effects from lower inflation in other countries that are not captured in the</w:t>
      </w:r>
      <w:r>
        <w:rPr>
          <w:spacing w:val="-4"/>
          <w:vertAlign w:val="baseline"/>
        </w:rPr>
        <w:t> </w:t>
      </w:r>
      <w:r>
        <w:rPr>
          <w:vertAlign w:val="baseline"/>
        </w:rPr>
        <w:t>models.</w:t>
      </w:r>
    </w:p>
    <w:p>
      <w:pPr>
        <w:pStyle w:val="BodyText"/>
        <w:spacing w:before="2"/>
        <w:rPr>
          <w:sz w:val="27"/>
        </w:rPr>
      </w:pPr>
    </w:p>
    <w:p>
      <w:pPr>
        <w:pStyle w:val="BodyText"/>
        <w:spacing w:line="357" w:lineRule="auto"/>
        <w:ind w:left="386" w:right="628"/>
      </w:pPr>
      <w:r>
        <w:rPr/>
        <w:t>To better assess how all of these forces play out, I use the coefficient estimates in Table 2 to estimate headline</w:t>
      </w:r>
      <w:r>
        <w:rPr>
          <w:spacing w:val="-10"/>
        </w:rPr>
        <w:t> </w:t>
      </w:r>
      <w:r>
        <w:rPr/>
        <w:t>inflation</w:t>
      </w:r>
      <w:r>
        <w:rPr>
          <w:spacing w:val="-10"/>
        </w:rPr>
        <w:t> </w:t>
      </w:r>
      <w:r>
        <w:rPr/>
        <w:t>over</w:t>
      </w:r>
      <w:r>
        <w:rPr>
          <w:spacing w:val="-10"/>
        </w:rPr>
        <w:t> </w:t>
      </w:r>
      <w:r>
        <w:rPr/>
        <w:t>the</w:t>
      </w:r>
      <w:r>
        <w:rPr>
          <w:spacing w:val="-8"/>
        </w:rPr>
        <w:t> </w:t>
      </w:r>
      <w:r>
        <w:rPr/>
        <w:t>next</w:t>
      </w:r>
      <w:r>
        <w:rPr>
          <w:spacing w:val="-9"/>
        </w:rPr>
        <w:t> </w:t>
      </w:r>
      <w:r>
        <w:rPr/>
        <w:t>year</w:t>
      </w:r>
      <w:r>
        <w:rPr>
          <w:spacing w:val="-9"/>
        </w:rPr>
        <w:t> </w:t>
      </w:r>
      <w:r>
        <w:rPr/>
        <w:t>(through</w:t>
      </w:r>
      <w:r>
        <w:rPr>
          <w:spacing w:val="-9"/>
        </w:rPr>
        <w:t> </w:t>
      </w:r>
      <w:r>
        <w:rPr/>
        <w:t>June</w:t>
      </w:r>
      <w:r>
        <w:rPr>
          <w:spacing w:val="-10"/>
        </w:rPr>
        <w:t> </w:t>
      </w:r>
      <w:r>
        <w:rPr/>
        <w:t>2016).</w:t>
      </w:r>
      <w:r>
        <w:rPr>
          <w:spacing w:val="-9"/>
        </w:rPr>
        <w:t> </w:t>
      </w:r>
      <w:r>
        <w:rPr/>
        <w:t>This</w:t>
      </w:r>
      <w:r>
        <w:rPr>
          <w:spacing w:val="-9"/>
        </w:rPr>
        <w:t> </w:t>
      </w:r>
      <w:r>
        <w:rPr/>
        <w:t>requires</w:t>
      </w:r>
      <w:r>
        <w:rPr>
          <w:spacing w:val="-8"/>
        </w:rPr>
        <w:t> </w:t>
      </w:r>
      <w:r>
        <w:rPr/>
        <w:t>making</w:t>
      </w:r>
      <w:r>
        <w:rPr>
          <w:spacing w:val="-9"/>
        </w:rPr>
        <w:t> </w:t>
      </w:r>
      <w:r>
        <w:rPr/>
        <w:t>assumptions</w:t>
      </w:r>
      <w:r>
        <w:rPr>
          <w:spacing w:val="-8"/>
        </w:rPr>
        <w:t> </w:t>
      </w:r>
      <w:r>
        <w:rPr/>
        <w:t>about</w:t>
      </w:r>
      <w:r>
        <w:rPr>
          <w:spacing w:val="-8"/>
        </w:rPr>
        <w:t> </w:t>
      </w:r>
      <w:r>
        <w:rPr/>
        <w:t>the</w:t>
      </w:r>
      <w:r>
        <w:rPr>
          <w:spacing w:val="-10"/>
        </w:rPr>
        <w:t> </w:t>
      </w:r>
      <w:r>
        <w:rPr/>
        <w:t>path of</w:t>
      </w:r>
      <w:r>
        <w:rPr>
          <w:spacing w:val="-8"/>
        </w:rPr>
        <w:t> </w:t>
      </w:r>
      <w:r>
        <w:rPr/>
        <w:t>all</w:t>
      </w:r>
      <w:r>
        <w:rPr>
          <w:spacing w:val="-7"/>
        </w:rPr>
        <w:t> </w:t>
      </w:r>
      <w:r>
        <w:rPr/>
        <w:t>of</w:t>
      </w:r>
      <w:r>
        <w:rPr>
          <w:spacing w:val="-8"/>
        </w:rPr>
        <w:t> </w:t>
      </w:r>
      <w:r>
        <w:rPr/>
        <w:t>the</w:t>
      </w:r>
      <w:r>
        <w:rPr>
          <w:spacing w:val="-7"/>
        </w:rPr>
        <w:t> </w:t>
      </w:r>
      <w:r>
        <w:rPr/>
        <w:t>explanatory</w:t>
      </w:r>
      <w:r>
        <w:rPr>
          <w:spacing w:val="-7"/>
        </w:rPr>
        <w:t> </w:t>
      </w:r>
      <w:r>
        <w:rPr/>
        <w:t>variables.</w:t>
      </w:r>
      <w:r>
        <w:rPr>
          <w:spacing w:val="-8"/>
        </w:rPr>
        <w:t> </w:t>
      </w:r>
      <w:r>
        <w:rPr/>
        <w:t>To</w:t>
      </w:r>
      <w:r>
        <w:rPr>
          <w:spacing w:val="-7"/>
        </w:rPr>
        <w:t> </w:t>
      </w:r>
      <w:r>
        <w:rPr/>
        <w:t>do</w:t>
      </w:r>
      <w:r>
        <w:rPr>
          <w:spacing w:val="-6"/>
        </w:rPr>
        <w:t> </w:t>
      </w:r>
      <w:r>
        <w:rPr/>
        <w:t>this,</w:t>
      </w:r>
      <w:r>
        <w:rPr>
          <w:spacing w:val="-7"/>
        </w:rPr>
        <w:t> </w:t>
      </w:r>
      <w:r>
        <w:rPr/>
        <w:t>I</w:t>
      </w:r>
      <w:r>
        <w:rPr>
          <w:spacing w:val="-7"/>
        </w:rPr>
        <w:t> </w:t>
      </w:r>
      <w:r>
        <w:rPr/>
        <w:t>use</w:t>
      </w:r>
      <w:r>
        <w:rPr>
          <w:spacing w:val="-7"/>
        </w:rPr>
        <w:t> </w:t>
      </w:r>
      <w:r>
        <w:rPr/>
        <w:t>market</w:t>
      </w:r>
      <w:r>
        <w:rPr>
          <w:spacing w:val="-6"/>
        </w:rPr>
        <w:t> </w:t>
      </w:r>
      <w:r>
        <w:rPr/>
        <w:t>curves</w:t>
      </w:r>
      <w:r>
        <w:rPr>
          <w:spacing w:val="-7"/>
        </w:rPr>
        <w:t> </w:t>
      </w:r>
      <w:r>
        <w:rPr/>
        <w:t>when</w:t>
      </w:r>
      <w:r>
        <w:rPr>
          <w:spacing w:val="-8"/>
        </w:rPr>
        <w:t> </w:t>
      </w:r>
      <w:r>
        <w:rPr/>
        <w:t>possible,</w:t>
      </w:r>
      <w:r>
        <w:rPr>
          <w:spacing w:val="-5"/>
        </w:rPr>
        <w:t> </w:t>
      </w:r>
      <w:r>
        <w:rPr/>
        <w:t>and</w:t>
      </w:r>
      <w:r>
        <w:rPr>
          <w:spacing w:val="-8"/>
        </w:rPr>
        <w:t> </w:t>
      </w:r>
      <w:r>
        <w:rPr/>
        <w:t>forecasts</w:t>
      </w:r>
      <w:r>
        <w:rPr>
          <w:spacing w:val="-7"/>
        </w:rPr>
        <w:t> </w:t>
      </w:r>
      <w:r>
        <w:rPr/>
        <w:t>from</w:t>
      </w:r>
      <w:r>
        <w:rPr>
          <w:spacing w:val="-6"/>
        </w:rPr>
        <w:t> </w:t>
      </w:r>
      <w:r>
        <w:rPr/>
        <w:t>May’s</w:t>
      </w:r>
    </w:p>
    <w:p>
      <w:pPr>
        <w:pStyle w:val="BodyText"/>
        <w:spacing w:before="4"/>
        <w:rPr>
          <w:sz w:val="21"/>
        </w:rPr>
      </w:pPr>
      <w:r>
        <w:rPr/>
        <w:pict>
          <v:shape style="position:absolute;margin-left:79.320pt;margin-top:14.492322pt;width:135.5pt;height:.1pt;mso-position-horizontal-relative:page;mso-position-vertical-relative:paragraph;z-index:-251584512;mso-wrap-distance-left:0;mso-wrap-distance-right:0" coordorigin="1586,290" coordsize="2710,0" path="m1586,290l4296,290e" filled="false" stroked="true" strokeweight=".42pt" strokecolor="#000000">
            <v:path arrowok="t"/>
            <v:stroke dashstyle="solid"/>
            <w10:wrap type="topAndBottom"/>
          </v:shape>
        </w:pict>
      </w:r>
    </w:p>
    <w:p>
      <w:pPr>
        <w:spacing w:before="27"/>
        <w:ind w:left="386" w:right="533" w:hanging="1"/>
        <w:jc w:val="left"/>
        <w:rPr>
          <w:sz w:val="15"/>
        </w:rPr>
      </w:pPr>
      <w:r>
        <w:rPr>
          <w:position w:val="8"/>
          <w:sz w:val="9"/>
        </w:rPr>
        <w:t>21 </w:t>
      </w:r>
      <w:r>
        <w:rPr>
          <w:sz w:val="15"/>
        </w:rPr>
        <w:t>Various theories could explain this; for example, lower world prices could support looser monetary policy than would otherwise occur, which would in turn generate higher global growth and global inflation that drives up UK core inflation.</w:t>
      </w:r>
    </w:p>
    <w:p>
      <w:pPr>
        <w:spacing w:line="174" w:lineRule="exact" w:before="0"/>
        <w:ind w:left="386" w:right="0" w:firstLine="0"/>
        <w:jc w:val="left"/>
        <w:rPr>
          <w:sz w:val="15"/>
        </w:rPr>
      </w:pPr>
      <w:r>
        <w:rPr>
          <w:position w:val="8"/>
          <w:sz w:val="9"/>
        </w:rPr>
        <w:t>22 </w:t>
      </w:r>
      <w:r>
        <w:rPr>
          <w:sz w:val="15"/>
        </w:rPr>
        <w:t>For more details, see Domit and Jackson (2015).</w:t>
      </w:r>
    </w:p>
    <w:p>
      <w:pPr>
        <w:spacing w:after="0" w:line="174" w:lineRule="exact"/>
        <w:jc w:val="left"/>
        <w:rPr>
          <w:sz w:val="15"/>
        </w:rPr>
        <w:sectPr>
          <w:pgSz w:w="12240" w:h="15840"/>
          <w:pgMar w:header="0" w:footer="1240" w:top="1440" w:bottom="1440" w:left="1200" w:right="1060"/>
        </w:sectPr>
      </w:pPr>
    </w:p>
    <w:p>
      <w:pPr>
        <w:pStyle w:val="BodyText"/>
        <w:spacing w:line="357" w:lineRule="auto" w:before="99"/>
        <w:ind w:left="386" w:right="533"/>
      </w:pPr>
      <w:r>
        <w:rPr>
          <w:i/>
        </w:rPr>
        <w:t>Inflation Report</w:t>
      </w:r>
      <w:r>
        <w:rPr/>
        <w:t>.</w:t>
      </w:r>
      <w:r>
        <w:rPr>
          <w:vertAlign w:val="superscript"/>
        </w:rPr>
        <w:t>23</w:t>
      </w:r>
      <w:r>
        <w:rPr>
          <w:vertAlign w:val="baseline"/>
        </w:rPr>
        <w:t> The corresponding forecasts of inflation using this simple model are shown in Figure 16, along</w:t>
      </w:r>
      <w:r>
        <w:rPr>
          <w:spacing w:val="-7"/>
          <w:vertAlign w:val="baseline"/>
        </w:rPr>
        <w:t> </w:t>
      </w:r>
      <w:r>
        <w:rPr>
          <w:vertAlign w:val="baseline"/>
        </w:rPr>
        <w:t>with</w:t>
      </w:r>
      <w:r>
        <w:rPr>
          <w:spacing w:val="-7"/>
          <w:vertAlign w:val="baseline"/>
        </w:rPr>
        <w:t> </w:t>
      </w:r>
      <w:r>
        <w:rPr>
          <w:vertAlign w:val="baseline"/>
        </w:rPr>
        <w:t>forecasts</w:t>
      </w:r>
      <w:r>
        <w:rPr>
          <w:spacing w:val="-9"/>
          <w:vertAlign w:val="baseline"/>
        </w:rPr>
        <w:t> </w:t>
      </w:r>
      <w:r>
        <w:rPr>
          <w:vertAlign w:val="baseline"/>
        </w:rPr>
        <w:t>from</w:t>
      </w:r>
      <w:r>
        <w:rPr>
          <w:spacing w:val="-7"/>
          <w:vertAlign w:val="baseline"/>
        </w:rPr>
        <w:t> </w:t>
      </w:r>
      <w:r>
        <w:rPr>
          <w:vertAlign w:val="baseline"/>
        </w:rPr>
        <w:t>the</w:t>
      </w:r>
      <w:r>
        <w:rPr>
          <w:spacing w:val="-9"/>
          <w:vertAlign w:val="baseline"/>
        </w:rPr>
        <w:t> </w:t>
      </w:r>
      <w:r>
        <w:rPr>
          <w:vertAlign w:val="baseline"/>
        </w:rPr>
        <w:t>more</w:t>
      </w:r>
      <w:r>
        <w:rPr>
          <w:spacing w:val="-8"/>
          <w:vertAlign w:val="baseline"/>
        </w:rPr>
        <w:t> </w:t>
      </w:r>
      <w:r>
        <w:rPr>
          <w:vertAlign w:val="baseline"/>
        </w:rPr>
        <w:t>complex</w:t>
      </w:r>
      <w:r>
        <w:rPr>
          <w:spacing w:val="-6"/>
          <w:vertAlign w:val="baseline"/>
        </w:rPr>
        <w:t> </w:t>
      </w:r>
      <w:r>
        <w:rPr>
          <w:vertAlign w:val="baseline"/>
        </w:rPr>
        <w:t>DSGE</w:t>
      </w:r>
      <w:r>
        <w:rPr>
          <w:spacing w:val="-7"/>
          <w:vertAlign w:val="baseline"/>
        </w:rPr>
        <w:t> </w:t>
      </w:r>
      <w:r>
        <w:rPr>
          <w:vertAlign w:val="baseline"/>
        </w:rPr>
        <w:t>model</w:t>
      </w:r>
      <w:r>
        <w:rPr>
          <w:spacing w:val="-8"/>
          <w:vertAlign w:val="baseline"/>
        </w:rPr>
        <w:t> </w:t>
      </w:r>
      <w:r>
        <w:rPr>
          <w:vertAlign w:val="baseline"/>
        </w:rPr>
        <w:t>from</w:t>
      </w:r>
      <w:r>
        <w:rPr>
          <w:spacing w:val="-8"/>
          <w:vertAlign w:val="baseline"/>
        </w:rPr>
        <w:t> </w:t>
      </w:r>
      <w:r>
        <w:rPr>
          <w:vertAlign w:val="baseline"/>
        </w:rPr>
        <w:t>May’s</w:t>
      </w:r>
      <w:r>
        <w:rPr>
          <w:spacing w:val="-9"/>
          <w:vertAlign w:val="baseline"/>
        </w:rPr>
        <w:t> </w:t>
      </w:r>
      <w:r>
        <w:rPr>
          <w:i/>
          <w:vertAlign w:val="baseline"/>
        </w:rPr>
        <w:t>Inflation</w:t>
      </w:r>
      <w:r>
        <w:rPr>
          <w:i/>
          <w:spacing w:val="-8"/>
          <w:vertAlign w:val="baseline"/>
        </w:rPr>
        <w:t> </w:t>
      </w:r>
      <w:r>
        <w:rPr>
          <w:i/>
          <w:vertAlign w:val="baseline"/>
        </w:rPr>
        <w:t>Report</w:t>
      </w:r>
      <w:r>
        <w:rPr>
          <w:vertAlign w:val="baseline"/>
        </w:rPr>
        <w:t>.</w:t>
      </w:r>
      <w:r>
        <w:rPr>
          <w:spacing w:val="-8"/>
          <w:vertAlign w:val="baseline"/>
        </w:rPr>
        <w:t> </w:t>
      </w:r>
      <w:r>
        <w:rPr>
          <w:vertAlign w:val="baseline"/>
        </w:rPr>
        <w:t>Both</w:t>
      </w:r>
      <w:r>
        <w:rPr>
          <w:spacing w:val="-9"/>
          <w:vertAlign w:val="baseline"/>
        </w:rPr>
        <w:t> </w:t>
      </w:r>
      <w:r>
        <w:rPr>
          <w:vertAlign w:val="baseline"/>
        </w:rPr>
        <w:t>forecasts</w:t>
      </w:r>
      <w:r>
        <w:rPr>
          <w:spacing w:val="-8"/>
          <w:vertAlign w:val="baseline"/>
        </w:rPr>
        <w:t> </w:t>
      </w:r>
      <w:r>
        <w:rPr>
          <w:vertAlign w:val="baseline"/>
        </w:rPr>
        <w:t>show</w:t>
      </w:r>
      <w:r>
        <w:rPr>
          <w:spacing w:val="-8"/>
          <w:vertAlign w:val="baseline"/>
        </w:rPr>
        <w:t> </w:t>
      </w:r>
      <w:r>
        <w:rPr>
          <w:vertAlign w:val="baseline"/>
        </w:rPr>
        <w:t>a fairly sharp rebound in inflation by early 2016 as the effects of recent movements in oil prices and the past appreciation of the exchange rate fade. In fact the Philips Curve estimates suggest an even faster recovery—but</w:t>
      </w:r>
      <w:r>
        <w:rPr>
          <w:spacing w:val="-7"/>
          <w:vertAlign w:val="baseline"/>
        </w:rPr>
        <w:t> </w:t>
      </w:r>
      <w:r>
        <w:rPr>
          <w:vertAlign w:val="baseline"/>
        </w:rPr>
        <w:t>this</w:t>
      </w:r>
      <w:r>
        <w:rPr>
          <w:spacing w:val="-6"/>
          <w:vertAlign w:val="baseline"/>
        </w:rPr>
        <w:t> </w:t>
      </w:r>
      <w:r>
        <w:rPr>
          <w:vertAlign w:val="baseline"/>
        </w:rPr>
        <w:t>is</w:t>
      </w:r>
      <w:r>
        <w:rPr>
          <w:spacing w:val="-7"/>
          <w:vertAlign w:val="baseline"/>
        </w:rPr>
        <w:t> </w:t>
      </w:r>
      <w:r>
        <w:rPr>
          <w:vertAlign w:val="baseline"/>
        </w:rPr>
        <w:t>a</w:t>
      </w:r>
      <w:r>
        <w:rPr>
          <w:spacing w:val="-8"/>
          <w:vertAlign w:val="baseline"/>
        </w:rPr>
        <w:t> </w:t>
      </w:r>
      <w:r>
        <w:rPr>
          <w:vertAlign w:val="baseline"/>
        </w:rPr>
        <w:t>fairly</w:t>
      </w:r>
      <w:r>
        <w:rPr>
          <w:spacing w:val="-7"/>
          <w:vertAlign w:val="baseline"/>
        </w:rPr>
        <w:t> </w:t>
      </w:r>
      <w:r>
        <w:rPr>
          <w:vertAlign w:val="baseline"/>
        </w:rPr>
        <w:t>simplistic</w:t>
      </w:r>
      <w:r>
        <w:rPr>
          <w:spacing w:val="-7"/>
          <w:vertAlign w:val="baseline"/>
        </w:rPr>
        <w:t> </w:t>
      </w:r>
      <w:r>
        <w:rPr>
          <w:vertAlign w:val="baseline"/>
        </w:rPr>
        <w:t>model</w:t>
      </w:r>
      <w:r>
        <w:rPr>
          <w:spacing w:val="-7"/>
          <w:vertAlign w:val="baseline"/>
        </w:rPr>
        <w:t> </w:t>
      </w:r>
      <w:r>
        <w:rPr>
          <w:vertAlign w:val="baseline"/>
        </w:rPr>
        <w:t>and</w:t>
      </w:r>
      <w:r>
        <w:rPr>
          <w:spacing w:val="-7"/>
          <w:vertAlign w:val="baseline"/>
        </w:rPr>
        <w:t> </w:t>
      </w:r>
      <w:r>
        <w:rPr>
          <w:vertAlign w:val="baseline"/>
        </w:rPr>
        <w:t>therefore</w:t>
      </w:r>
      <w:r>
        <w:rPr>
          <w:spacing w:val="-7"/>
          <w:vertAlign w:val="baseline"/>
        </w:rPr>
        <w:t> </w:t>
      </w:r>
      <w:r>
        <w:rPr>
          <w:vertAlign w:val="baseline"/>
        </w:rPr>
        <w:t>the</w:t>
      </w:r>
      <w:r>
        <w:rPr>
          <w:spacing w:val="-7"/>
          <w:vertAlign w:val="baseline"/>
        </w:rPr>
        <w:t> </w:t>
      </w:r>
      <w:r>
        <w:rPr>
          <w:vertAlign w:val="baseline"/>
        </w:rPr>
        <w:t>estimates</w:t>
      </w:r>
      <w:r>
        <w:rPr>
          <w:spacing w:val="-7"/>
          <w:vertAlign w:val="baseline"/>
        </w:rPr>
        <w:t> </w:t>
      </w:r>
      <w:r>
        <w:rPr>
          <w:vertAlign w:val="baseline"/>
        </w:rPr>
        <w:t>should</w:t>
      </w:r>
      <w:r>
        <w:rPr>
          <w:spacing w:val="-7"/>
          <w:vertAlign w:val="baseline"/>
        </w:rPr>
        <w:t> </w:t>
      </w:r>
      <w:r>
        <w:rPr>
          <w:vertAlign w:val="baseline"/>
        </w:rPr>
        <w:t>be</w:t>
      </w:r>
      <w:r>
        <w:rPr>
          <w:spacing w:val="-7"/>
          <w:vertAlign w:val="baseline"/>
        </w:rPr>
        <w:t> </w:t>
      </w:r>
      <w:r>
        <w:rPr>
          <w:vertAlign w:val="baseline"/>
        </w:rPr>
        <w:t>treated</w:t>
      </w:r>
      <w:r>
        <w:rPr>
          <w:spacing w:val="-7"/>
          <w:vertAlign w:val="baseline"/>
        </w:rPr>
        <w:t> </w:t>
      </w:r>
      <w:r>
        <w:rPr>
          <w:vertAlign w:val="baseline"/>
        </w:rPr>
        <w:t>as</w:t>
      </w:r>
      <w:r>
        <w:rPr>
          <w:spacing w:val="-6"/>
          <w:vertAlign w:val="baseline"/>
        </w:rPr>
        <w:t> </w:t>
      </w:r>
      <w:r>
        <w:rPr>
          <w:vertAlign w:val="baseline"/>
        </w:rPr>
        <w:t>very</w:t>
      </w:r>
      <w:r>
        <w:rPr>
          <w:spacing w:val="-6"/>
          <w:vertAlign w:val="baseline"/>
        </w:rPr>
        <w:t> </w:t>
      </w:r>
      <w:r>
        <w:rPr>
          <w:vertAlign w:val="baseline"/>
        </w:rPr>
        <w:t>rough.</w:t>
      </w:r>
    </w:p>
    <w:p>
      <w:pPr>
        <w:pStyle w:val="BodyText"/>
        <w:spacing w:line="355" w:lineRule="auto"/>
        <w:ind w:left="386" w:right="628"/>
      </w:pPr>
      <w:r>
        <w:rPr/>
        <w:t>The</w:t>
      </w:r>
      <w:r>
        <w:rPr>
          <w:spacing w:val="-9"/>
        </w:rPr>
        <w:t> </w:t>
      </w:r>
      <w:r>
        <w:rPr/>
        <w:t>key</w:t>
      </w:r>
      <w:r>
        <w:rPr>
          <w:spacing w:val="-8"/>
        </w:rPr>
        <w:t> </w:t>
      </w:r>
      <w:r>
        <w:rPr/>
        <w:t>point</w:t>
      </w:r>
      <w:r>
        <w:rPr>
          <w:spacing w:val="-6"/>
        </w:rPr>
        <w:t> </w:t>
      </w:r>
      <w:r>
        <w:rPr/>
        <w:t>is</w:t>
      </w:r>
      <w:r>
        <w:rPr>
          <w:spacing w:val="-9"/>
        </w:rPr>
        <w:t> </w:t>
      </w:r>
      <w:r>
        <w:rPr/>
        <w:t>that</w:t>
      </w:r>
      <w:r>
        <w:rPr>
          <w:spacing w:val="-8"/>
        </w:rPr>
        <w:t> </w:t>
      </w:r>
      <w:r>
        <w:rPr/>
        <w:t>inflation</w:t>
      </w:r>
      <w:r>
        <w:rPr>
          <w:spacing w:val="-9"/>
        </w:rPr>
        <w:t> </w:t>
      </w:r>
      <w:r>
        <w:rPr/>
        <w:t>should</w:t>
      </w:r>
      <w:r>
        <w:rPr>
          <w:spacing w:val="-7"/>
        </w:rPr>
        <w:t> </w:t>
      </w:r>
      <w:r>
        <w:rPr/>
        <w:t>recover</w:t>
      </w:r>
      <w:r>
        <w:rPr>
          <w:spacing w:val="-8"/>
        </w:rPr>
        <w:t> </w:t>
      </w:r>
      <w:r>
        <w:rPr/>
        <w:t>soon,</w:t>
      </w:r>
      <w:r>
        <w:rPr>
          <w:spacing w:val="-8"/>
        </w:rPr>
        <w:t> </w:t>
      </w:r>
      <w:r>
        <w:rPr/>
        <w:t>even</w:t>
      </w:r>
      <w:r>
        <w:rPr>
          <w:spacing w:val="-6"/>
        </w:rPr>
        <w:t> </w:t>
      </w:r>
      <w:r>
        <w:rPr/>
        <w:t>after</w:t>
      </w:r>
      <w:r>
        <w:rPr>
          <w:spacing w:val="-9"/>
        </w:rPr>
        <w:t> </w:t>
      </w:r>
      <w:r>
        <w:rPr/>
        <w:t>controlling</w:t>
      </w:r>
      <w:r>
        <w:rPr>
          <w:spacing w:val="-8"/>
        </w:rPr>
        <w:t> </w:t>
      </w:r>
      <w:r>
        <w:rPr/>
        <w:t>for</w:t>
      </w:r>
      <w:r>
        <w:rPr>
          <w:spacing w:val="-8"/>
        </w:rPr>
        <w:t> </w:t>
      </w:r>
      <w:r>
        <w:rPr/>
        <w:t>the</w:t>
      </w:r>
      <w:r>
        <w:rPr>
          <w:spacing w:val="-8"/>
        </w:rPr>
        <w:t> </w:t>
      </w:r>
      <w:r>
        <w:rPr/>
        <w:t>effects</w:t>
      </w:r>
      <w:r>
        <w:rPr>
          <w:spacing w:val="-7"/>
        </w:rPr>
        <w:t> </w:t>
      </w:r>
      <w:r>
        <w:rPr/>
        <w:t>of</w:t>
      </w:r>
      <w:r>
        <w:rPr>
          <w:spacing w:val="-8"/>
        </w:rPr>
        <w:t> </w:t>
      </w:r>
      <w:r>
        <w:rPr/>
        <w:t>low</w:t>
      </w:r>
      <w:r>
        <w:rPr>
          <w:spacing w:val="-10"/>
        </w:rPr>
        <w:t> </w:t>
      </w:r>
      <w:r>
        <w:rPr/>
        <w:t>global</w:t>
      </w:r>
      <w:r>
        <w:rPr>
          <w:spacing w:val="-8"/>
        </w:rPr>
        <w:t> </w:t>
      </w:r>
      <w:r>
        <w:rPr/>
        <w:t>inflation and the lagged effects of having unusually low inflation in the UK</w:t>
      </w:r>
      <w:r>
        <w:rPr>
          <w:spacing w:val="-29"/>
        </w:rPr>
        <w:t> </w:t>
      </w:r>
      <w:r>
        <w:rPr/>
        <w:t>today.</w:t>
      </w:r>
    </w:p>
    <w:p>
      <w:pPr>
        <w:pStyle w:val="BodyText"/>
        <w:spacing w:before="8"/>
        <w:rPr>
          <w:sz w:val="23"/>
        </w:rPr>
      </w:pPr>
    </w:p>
    <w:p>
      <w:pPr>
        <w:spacing w:after="0"/>
        <w:rPr>
          <w:sz w:val="23"/>
        </w:rPr>
        <w:sectPr>
          <w:pgSz w:w="12240" w:h="15840"/>
          <w:pgMar w:header="0" w:footer="1240" w:top="1420" w:bottom="1440" w:left="1200" w:right="1060"/>
        </w:sectPr>
      </w:pPr>
    </w:p>
    <w:p>
      <w:pPr>
        <w:spacing w:line="278" w:lineRule="auto" w:before="111"/>
        <w:ind w:left="429" w:right="0" w:firstLine="0"/>
        <w:jc w:val="left"/>
        <w:rPr>
          <w:b/>
          <w:sz w:val="18"/>
        </w:rPr>
      </w:pPr>
      <w:r>
        <w:rPr/>
        <w:pict>
          <v:group style="position:absolute;margin-left:315.720001pt;margin-top:54.55201pt;width:205.65pt;height:148.1pt;mso-position-horizontal-relative:page;mso-position-vertical-relative:paragraph;z-index:-254917632" coordorigin="6314,1091" coordsize="4113,2962">
            <v:line style="position:absolute" from="10370,1097" to="10370,4047" stroked="true" strokeweight=".72pt" strokecolor="#868686">
              <v:stroke dashstyle="solid"/>
            </v:line>
            <v:shape style="position:absolute;left:10370;top:1091;width:57;height:2962" coordorigin="10370,1091" coordsize="57,2962" path="m10427,4039l10370,4039,10370,4053,10427,4053,10427,4039m10427,3616l10370,3616,10370,3630,10427,3630,10427,3616m10427,3192l10370,3192,10370,3207,10427,3207,10427,3192m10427,2770l10370,2770,10370,2783,10427,2783,10427,2770m10427,2346l10370,2346,10370,2361,10427,2361,10427,2346m10427,1937l10370,1937,10370,1951,10427,1951,10427,1937m10427,1513l10370,1513,10370,1528,10427,1528,10427,1513m10427,1091l10370,1091,10370,1104,10427,1104,10427,1091e" filled="true" fillcolor="#868686" stroked="false">
              <v:path arrowok="t"/>
              <v:fill type="solid"/>
            </v:shape>
            <v:line style="position:absolute" from="6378,3623" to="10370,3623" stroked="true" strokeweight=".72pt" strokecolor="#868686">
              <v:stroke dashstyle="solid"/>
            </v:line>
            <v:shape style="position:absolute;left:6370;top:3623;width:3908;height:57" coordorigin="6371,3623" coordsize="3908,57" path="m6384,3623l6371,3623,6371,3679,6384,3679,6384,3623m6822,3623l6808,3623,6808,3679,6822,3679,6822,3623m7259,3623l7246,3623,7246,3679,7259,3679,7259,3623m7682,3623l7668,3623,7668,3679,7682,3679,7682,3623m8120,3623l8106,3623,8106,3679,8120,3679,8120,3623m8543,3623l8530,3623,8530,3679,8543,3679,8543,3623m8981,3623l8966,3623,8966,3679,8981,3679,8981,3623m9418,3623l9403,3623,9403,3679,9418,3679,9418,3623m9841,3623l9827,3623,9827,3679,9841,3679,9841,3623m10278,3623l10265,3623,10265,3679,10278,3679,10278,3623e" filled="true" fillcolor="#868686" stroked="false">
              <v:path arrowok="t"/>
              <v:fill type="solid"/>
            </v:shape>
            <v:shape style="position:absolute;left:10078;top:2849;width:299;height:950" coordorigin="10079,2850" coordsize="299,950" path="m10098,3613l10091,3617,10082,3619,10079,3628,10082,3635,10139,3790,10140,3796,10146,3799,10152,3799,10159,3798,10164,3795,10165,3789,10167,3783,10138,3783,10148,3734,10109,3625,10105,3618,10098,3613xm10148,3734l10138,3783,10165,3780,10148,3734xm10378,2850l10360,2854,10357,2855,10354,2857,10352,2860,10296,2929,10294,2932,10294,2934,10292,2937,10250,3232,10194,3528,10148,3734,10165,3780,10138,3783,10167,3783,10222,3534,10278,3238,10320,2947,10318,2947,10321,2940,10323,2940,10370,2881,10367,2881,10374,2877,10378,2877,10378,2850xm10321,2940l10318,2947,10321,2944,10321,2940xm10321,2944l10318,2947,10320,2947,10321,2944xm10323,2940l10321,2940,10321,2944,10323,2940xm10374,2877l10367,2881,10371,2880,10374,2877xm10371,2880l10367,2881,10370,2881,10371,2880xm10378,2877l10374,2877,10371,2880,10378,2879,10378,2877xe" filled="true" fillcolor="#ff0000" stroked="false">
              <v:path arrowok="t"/>
              <v:fill type="solid"/>
            </v:shape>
            <v:shape style="position:absolute;left:6370;top:1425;width:3738;height:2220" coordorigin="6371,1426" coordsize="3738,2220" path="m9954,2826l9953,2826,9936,2875,9983,3126,10025,3406,10081,3646,10109,3646,10052,3406,10010,3106,9954,2826xm6660,2926l6650,2926,6636,2953,6682,3066,6683,3066,6739,3146,6744,3166,6794,3166,6851,3366,6852,3386,6876,3386,6887,3366,6852,3366,6869,3333,6822,3166,6820,3146,6763,3146,6707,3046,6708,3046,6660,2926xm7302,3006l7301,3006,7283,3069,7330,3366,7331,3386,7357,3386,7364,3366,7331,3366,7350,3312,7302,3006xm6869,3333l6852,3366,6878,3366,6869,3333xm6974,3226l6952,3226,6894,3286,6869,3333,6878,3366,6887,3366,6919,3306,6962,3259,6952,3246,6993,3246,6974,3226xm7350,3312l7331,3366,7358,3366,7350,3312xm7462,2926l7452,2926,7447,2946,7444,2946,7387,3206,7350,3312,7358,3366,7364,3366,7414,3226,7465,2977,7448,2966,7469,2948,7465,2946,7462,2926xm6993,3246l6974,3246,6962,3259,7013,3326,7022,3326,7028,3306,7057,3286,7010,3286,7023,3277,6993,3246xm7023,3277l7010,3286,7031,3286,7023,3277xm7065,3248l7023,3277,7031,3286,7057,3286,7085,3266,7062,3266,7065,3248xm7068,3246l7065,3248,7062,3266,7068,3246xm7093,3246l7068,3246,7062,3266,7090,3266,7093,3246xm6974,3246l6952,3246,6962,3259,6974,3246xm7120,2906l7118,2906,7065,3248,7068,3246,7093,3246,7138,2958,7120,2906xm7243,3206l7219,3206,7225,3226,7237,3226,7243,3206xm7146,2906l7138,2958,7176,3066,7218,3206,7231,3160,7202,3066,7146,2906xm7231,3160l7218,3206,7244,3206,7231,3160xm7274,3009l7231,3160,7244,3206,7283,3069,7274,3009xm7526,2986l7500,2986,7505,3006,7504,3006,7542,3186,7568,3186,7575,3166,7542,3166,7558,3119,7531,3006,7505,3006,7504,3005,7531,3005,7526,2986xm7636,3026l7625,3026,7615,3053,7656,3126,7657,3126,7718,3186,7739,3186,7744,3166,7711,3166,7717,3146,7679,3106,7681,3106,7636,3026xm7799,2986l7795,2986,7779,3042,7810,3186,7837,3186,7842,3166,7810,3166,7825,3107,7799,2986xm7558,3119l7542,3166,7570,3166,7558,3119xm7625,3006l7598,3006,7558,3119,7570,3166,7575,3166,7615,3053,7600,3026,7636,3026,7625,3006xm7717,3146l7711,3166,7735,3166,7717,3146xm7795,2966l7768,2966,7717,3146,7735,3166,7744,3166,7779,3042,7768,2986,7799,2986,7795,2966xm7825,3107l7810,3166,7837,3166,7825,3107xm7984,2786l7931,2786,7926,2806,7866,2946,7825,3107,7837,3166,7842,3166,7894,2946,7942,2826,7937,2826,7950,2806,7979,2806,7984,2786xm6755,3126l6763,3146,6811,3146,6755,3126xm7301,2986l7276,2986,7274,3006,7274,3009,7283,3069,7301,3006,7302,3006,7301,2986xm6497,2906l6480,2906,6424,2926,6487,2926,6473,2931,6527,3046,6529,3066,6546,3066,6566,3046,6529,3046,6546,3028,6497,2906xm8908,2953l8896,3046,8897,3066,8917,3066,8923,3046,8924,3046,8908,2953xm7625,3026l7600,3026,7615,3053,7625,3026xm6546,3028l6529,3046,6553,3046,6546,3028xm6652,2906l6626,2906,6584,2986,6587,2986,6546,3028,6553,3046,6566,3046,6606,3006,6608,3006,6636,2953,6625,2926,6660,2926,6652,2906xm8712,1446l8698,1588,8741,2026,8783,2306,8839,2726,8896,3046,8908,2953,8868,2726,8811,2305,8768,2026,8712,1446xm8981,2626l8952,2626,8908,2953,8924,3046,8981,2626xm7795,2986l7768,2986,7779,3042,7795,2986xm7274,3006l7273,3006,7274,3009,7274,3006xm7500,2986l7504,3005,7505,3006,7500,2986xm7470,2950l7465,2977,7504,3005,7500,2986,7522,2986,7470,2950xm9785,2506l9757,2506,9814,2786,9870,2986,9896,2986,9903,2966,9870,2966,9886,2927,9841,2786,9785,2506xm7469,2948l7448,2966,7465,2977,7470,2950,7469,2948xm9886,2927l9870,2966,9898,2966,9886,2927xm9926,2826l9886,2927,9898,2966,9903,2966,9936,2875,9926,2826xm7144,2886l7124,2886,7120,2906,7138,2958,7146,2906,7144,2886xm6650,2926l6625,2926,6636,2953,6650,2926xm7471,2946l7469,2948,7470,2950,7471,2946xm6371,2906l6371,2946,6431,2946,6473,2931,6470,2926,6382,2926,6371,2906xm6487,2926l6470,2926,6473,2931,6487,2926xm8388,2326l8360,2326,8384,2346,8367,2359,8417,2626,8459,2886,8460,2906,8485,2906,8493,2886,8460,2886,8480,2844,8444,2626,8388,2326xm8480,2844l8460,2886,8486,2886,8480,2844xm8684,1446l8572,2586,8516,2766,8480,2844,8486,2886,8493,2886,8542,2766,8599,2606,8698,1588,8684,1446xm9953,2806l9929,2806,9926,2826,9936,2875,9953,2826,9954,2826,9953,2806xm8208,2586l8191,2586,8136,2838,8153,2846,8101,2846,8143,2866,8161,2866,8162,2846,8217,2612,8201,2606,8248,2606,8249,2600,8208,2586xm8063,2586l8048,2644,8092,2846,8135,2846,8136,2838,8111,2826,8119,2826,8063,2586xm8136,2838l8135,2846,8153,2846,8136,2838xm7950,2806l7937,2826,7942,2826,7950,2806xm8012,2786l7993,2786,7979,2806,7950,2806,7942,2826,8005,2826,8006,2806,8012,2786xm8035,2586l7979,2806,7993,2786,8012,2786,8048,2644,8035,2586xm9460,2206l9458,2206,9438,2242,9488,2566,9490,2566,9548,2726,9571,2726,9572,2706,9545,2706,9556,2664,9516,2566,9460,2206xm9556,2664l9545,2706,9572,2706,9556,2664xm9701,2387l9660,2446,9664,2446,9607,2486,9601,2486,9556,2664,9572,2706,9629,2506,9624,2506,9680,2466,9684,2466,9712,2413,9701,2387xm9087,2526l9070,2526,9056,2532,9109,2646,9136,2646,9140,2626,9108,2626,9116,2587,9087,2526xm8062,2566l8038,2566,8035,2586,8048,2644,8063,2586,8062,2566xm8383,2306l8368,2306,8304,2386,8249,2600,8264,2606,8219,2606,8217,2612,8257,2626,8273,2626,8275,2606,8332,2386,8328,2386,8367,2359,8360,2326,8387,2326,8383,2306xm9078,2506l9012,2506,9011,2526,8954,2626,8978,2626,9035,2526,9087,2526,9078,2506xm9116,2587l9108,2626,9134,2626,9116,2587xm9179,2346l9174,2366,9164,2366,9116,2587,9134,2626,9140,2626,9185,2402,9168,2386,9188,2369,9185,2366,9179,2346xm8219,2606l8201,2606,8217,2612,8219,2606xm8249,2600l8248,2606,8264,2606,8249,2600xm9053,2526l9035,2526,9028,2546,9056,2532,9053,2526xm9070,2526l9053,2526,9056,2532,9070,2526xm9727,2386l9726,2386,9712,2413,9757,2526,9757,2506,9784,2506,9727,2386xm9067,2486l9061,2506,9076,2506,9067,2486xm9191,2372l9185,2402,9228,2446,9246,2446,9247,2426,9221,2426,9228,2409,9191,2372xm9228,2409l9221,2426,9245,2426,9228,2409xm9304,2286l9278,2286,9228,2409,9245,2426,9247,2426,9304,2286xm9725,2366l9704,2366,9702,2386,9701,2387,9712,2413,9726,2386,9727,2386,9725,2366xm9188,2369l9168,2386,9185,2402,9191,2372,9188,2369xm9702,2386l9701,2386,9701,2387,9702,2386xm9192,2366l9188,2369,9191,2372,9192,2366xm8360,2326l8367,2359,8384,2346,8360,2326xm9361,1926l9345,2029,9376,2306,9402,2306,9402,2305,9378,2286,9397,2252,9361,1926xm9403,2304l9402,2305,9403,2306,9403,2304xm9397,2252l9378,2286,9402,2305,9403,2304,9397,2252xm9460,2186l9434,2186,9397,2252,9403,2304,9438,2242,9432,2206,9460,2206,9460,2186xm9334,1926l9277,2286,9305,2286,9345,2029,9334,1926xm9458,2206l9432,2206,9438,2242,9458,2206xm9360,1906l9335,1906,9334,1926,9345,2029,9361,1926,9360,1906xm8712,1426l8686,1426,8684,1446,8698,1588,8712,1446,8712,1426xe" filled="true" fillcolor="#000000" stroked="false">
              <v:path arrowok="t"/>
              <v:fill type="solid"/>
            </v:shape>
            <v:shape style="position:absolute;left:10078;top:2966;width:299;height:665" coordorigin="10079,2967" coordsize="299,665" path="m10094,3571l10086,3574,10079,3588,10082,3597,10088,3600,10145,3628,10152,3631,10160,3629,10164,3623,10172,3609,10139,3609,10146,3597,10102,3575,10094,3571xm10146,3597l10139,3609,10158,3603,10146,3597xm10225,3510l10195,3510,10194,3513,10194,3513,10146,3597,10158,3603,10139,3609,10172,3609,10220,3525,10220,3523,10222,3522,10222,3521,10225,3510xm10194,3512l10194,3513,10194,3513,10194,3512xm10195,3510l10194,3512,10194,3513,10195,3510xm10378,2967l10360,2967,10356,2968,10354,2971,10297,3028,10295,3029,10294,3033,10292,3035,10250,3316,10194,3512,10195,3510,10225,3510,10278,3323,10320,3047,10316,3047,10321,3040,10324,3040,10368,2995,10363,2995,10373,2991,10378,2991,10378,2967xm10321,3040l10316,3047,10321,3043,10321,3040xm10321,3043l10316,3047,10320,3047,10321,3043xm10324,3040l10321,3040,10321,3043,10324,3040xm10373,2991l10363,2995,10368,2995,10373,2991xm10378,2991l10373,2991,10368,2995,10378,2995,10378,2991xe" filled="true" fillcolor="#98b954" stroked="false">
              <v:path arrowok="t"/>
              <v:fill type="solid"/>
            </v:shape>
            <v:line style="position:absolute" from="6314,1937" to="6709,1937" stroked="true" strokeweight="1.44pt" strokecolor="#98b954">
              <v:stroke dashstyle="solid"/>
            </v:line>
            <w10:wrap type="none"/>
          </v:group>
        </w:pict>
      </w:r>
      <w:r>
        <w:rPr>
          <w:b/>
          <w:sz w:val="18"/>
        </w:rPr>
        <w:t>Figure 15: Selected measures of medium term inflation expectations</w:t>
      </w:r>
    </w:p>
    <w:p>
      <w:pPr>
        <w:spacing w:line="278" w:lineRule="auto" w:before="97"/>
        <w:ind w:left="429" w:right="591" w:firstLine="0"/>
        <w:jc w:val="left"/>
        <w:rPr>
          <w:b/>
          <w:sz w:val="18"/>
        </w:rPr>
      </w:pPr>
      <w:r>
        <w:rPr/>
        <w:br w:type="column"/>
      </w:r>
      <w:r>
        <w:rPr>
          <w:b/>
          <w:sz w:val="18"/>
        </w:rPr>
        <w:t>Figure 16: CPI inflation forecast from Phillips curve regression</w:t>
      </w:r>
    </w:p>
    <w:p>
      <w:pPr>
        <w:spacing w:after="0" w:line="278" w:lineRule="auto"/>
        <w:jc w:val="left"/>
        <w:rPr>
          <w:sz w:val="18"/>
        </w:rPr>
        <w:sectPr>
          <w:type w:val="continuous"/>
          <w:pgSz w:w="12240" w:h="15840"/>
          <w:pgMar w:top="1120" w:bottom="1440" w:left="1200" w:right="1060"/>
          <w:cols w:num="2" w:equalWidth="0">
            <w:col w:w="4597" w:space="52"/>
            <w:col w:w="5331"/>
          </w:cols>
        </w:sectPr>
      </w:pPr>
    </w:p>
    <w:p>
      <w:pPr>
        <w:spacing w:line="244" w:lineRule="auto" w:before="130"/>
        <w:ind w:left="860" w:right="0" w:firstLine="0"/>
        <w:jc w:val="left"/>
        <w:rPr>
          <w:sz w:val="18"/>
        </w:rPr>
      </w:pPr>
      <w:r>
        <w:rPr/>
        <w:pict>
          <v:line style="position:absolute;mso-position-horizontal-relative:page;mso-position-vertical-relative:paragraph;z-index:251735040" from="81.839996pt,11.581969pt" to="101.579996pt,11.581969pt" stroked="true" strokeweight="1.44pt" strokecolor="#c0504d">
            <v:stroke dashstyle="solid"/>
            <w10:wrap type="none"/>
          </v:line>
        </w:pict>
      </w:r>
      <w:r>
        <w:rPr>
          <w:sz w:val="18"/>
        </w:rPr>
        <w:t>RPI 5 year instaneous forward (inflation swaps)</w:t>
      </w:r>
    </w:p>
    <w:p>
      <w:pPr>
        <w:pStyle w:val="BodyText"/>
        <w:spacing w:before="9"/>
        <w:rPr>
          <w:sz w:val="16"/>
        </w:rPr>
      </w:pPr>
      <w:r>
        <w:rPr/>
        <w:br w:type="column"/>
      </w:r>
      <w:r>
        <w:rPr>
          <w:sz w:val="16"/>
        </w:rPr>
      </w:r>
    </w:p>
    <w:p>
      <w:pPr>
        <w:spacing w:line="247" w:lineRule="auto" w:before="0"/>
        <w:ind w:left="465" w:right="0" w:firstLine="0"/>
        <w:jc w:val="left"/>
        <w:rPr>
          <w:sz w:val="18"/>
        </w:rPr>
      </w:pPr>
      <w:r>
        <w:rPr/>
        <w:pict>
          <v:line style="position:absolute;mso-position-horizontal-relative:page;mso-position-vertical-relative:paragraph;z-index:251737088" from="315.720001pt,1.905089pt" to="335.460001pt,1.905089pt" stroked="true" strokeweight="1.44pt" strokecolor="#ff0000">
            <v:stroke dashstyle="solid"/>
            <w10:wrap type="none"/>
          </v:line>
        </w:pict>
      </w:r>
      <w:r>
        <w:rPr>
          <w:sz w:val="18"/>
        </w:rPr>
        <w:t>Expectations of annual inflation</w:t>
      </w:r>
    </w:p>
    <w:p>
      <w:pPr>
        <w:spacing w:line="244" w:lineRule="auto" w:before="126"/>
        <w:ind w:left="822" w:right="0" w:firstLine="0"/>
        <w:jc w:val="left"/>
        <w:rPr>
          <w:sz w:val="18"/>
        </w:rPr>
      </w:pPr>
      <w:r>
        <w:rPr/>
        <w:br w:type="column"/>
      </w:r>
      <w:r>
        <w:rPr>
          <w:sz w:val="18"/>
        </w:rPr>
        <w:t>Phillips curve forecast</w:t>
      </w:r>
    </w:p>
    <w:p>
      <w:pPr>
        <w:tabs>
          <w:tab w:pos="2522" w:val="left" w:leader="none"/>
        </w:tabs>
        <w:spacing w:line="244" w:lineRule="auto" w:before="109"/>
        <w:ind w:left="860" w:right="531" w:firstLine="0"/>
        <w:jc w:val="left"/>
        <w:rPr>
          <w:sz w:val="18"/>
        </w:rPr>
      </w:pPr>
      <w:r>
        <w:rPr/>
        <w:br w:type="column"/>
      </w:r>
      <w:r>
        <w:rPr>
          <w:sz w:val="18"/>
        </w:rPr>
        <w:t>Percentage </w:t>
      </w:r>
      <w:r>
        <w:rPr>
          <w:spacing w:val="-3"/>
          <w:sz w:val="18"/>
        </w:rPr>
        <w:t>change </w:t>
      </w:r>
      <w:r>
        <w:rPr>
          <w:sz w:val="18"/>
        </w:rPr>
        <w:t>on  a</w:t>
      </w:r>
      <w:r>
        <w:rPr>
          <w:spacing w:val="-30"/>
          <w:sz w:val="18"/>
        </w:rPr>
        <w:t> </w:t>
      </w:r>
      <w:r>
        <w:rPr>
          <w:sz w:val="18"/>
        </w:rPr>
        <w:t>year</w:t>
      </w:r>
      <w:r>
        <w:rPr>
          <w:spacing w:val="1"/>
          <w:sz w:val="18"/>
        </w:rPr>
        <w:t> </w:t>
      </w:r>
      <w:r>
        <w:rPr>
          <w:sz w:val="18"/>
        </w:rPr>
        <w:t>earlier</w:t>
        <w:tab/>
      </w:r>
      <w:r>
        <w:rPr>
          <w:spacing w:val="-17"/>
          <w:position w:val="-7"/>
          <w:sz w:val="18"/>
        </w:rPr>
        <w:t>6</w:t>
      </w:r>
    </w:p>
    <w:p>
      <w:pPr>
        <w:spacing w:after="0" w:line="244" w:lineRule="auto"/>
        <w:jc w:val="left"/>
        <w:rPr>
          <w:sz w:val="18"/>
        </w:rPr>
        <w:sectPr>
          <w:type w:val="continuous"/>
          <w:pgSz w:w="12240" w:h="15840"/>
          <w:pgMar w:top="1120" w:bottom="1440" w:left="1200" w:right="1060"/>
          <w:cols w:num="4" w:equalWidth="0">
            <w:col w:w="2895" w:space="40"/>
            <w:col w:w="1740" w:space="39"/>
            <w:col w:w="1965" w:space="143"/>
            <w:col w:w="3158"/>
          </w:cols>
        </w:sectPr>
      </w:pPr>
    </w:p>
    <w:p>
      <w:pPr>
        <w:spacing w:line="174" w:lineRule="exact" w:before="0"/>
        <w:ind w:left="860" w:right="0" w:firstLine="0"/>
        <w:jc w:val="left"/>
        <w:rPr>
          <w:sz w:val="18"/>
        </w:rPr>
      </w:pPr>
      <w:r>
        <w:rPr/>
        <w:pict>
          <v:group style="position:absolute;margin-left:81.839996pt;margin-top:1.798162pt;width:204.2pt;height:154.15pt;mso-position-horizontal-relative:page;mso-position-vertical-relative:paragraph;z-index:-254919680" coordorigin="1637,36" coordsize="4084,3083">
            <v:line style="position:absolute" from="5664,43" to="5664,3062" stroked="true" strokeweight=".72pt" strokecolor="#868686">
              <v:stroke dashstyle="solid"/>
            </v:line>
            <v:shape style="position:absolute;left:5664;top:35;width:57;height:3034" coordorigin="5664,36" coordsize="57,3034" path="m5720,3055l5664,3055,5664,3070,5720,3070,5720,3055m5720,2618l5664,2618,5664,2632,5720,2632,5720,2618m5720,2195l5664,2195,5664,2209,5720,2209,5720,2195m5720,1757l5664,1757,5664,1771,5720,1771,5720,1757m5720,1334l5664,1334,5664,1348,5720,1348,5720,1334m5720,896l5664,896,5664,911,5720,911,5720,896m5720,473l5664,473,5664,487,5720,487,5720,473m5720,36l5664,36,5664,50,5720,50,5720,36e" filled="true" fillcolor="#868686" stroked="false">
              <v:path arrowok="t"/>
              <v:fill type="solid"/>
            </v:shape>
            <v:line style="position:absolute" from="1700,3062" to="5664,3062" stroked="true" strokeweight=".72pt" strokecolor="#868686">
              <v:stroke dashstyle="solid"/>
            </v:line>
            <v:shape style="position:absolute;left:1693;top:3062;width:3724;height:57" coordorigin="1693,3062" coordsize="3724,57" path="m1706,3062l1693,3062,1693,3119,1706,3119,1706,3062m2455,3062l2441,3062,2441,3119,2455,3119,2455,3062m3188,3062l3174,3062,3174,3119,3188,3119,3188,3062m3936,3062l3922,3062,3922,3119,3936,3119,3936,3062m4684,3062l4669,3062,4669,3119,4684,3119,4684,3062m5417,3062l5404,3062,5404,3119,5417,3119,5417,3062e" filled="true" fillcolor="#868686" stroked="false">
              <v:path arrowok="t"/>
              <v:fill type="solid"/>
            </v:shape>
            <v:shape style="position:absolute;left:1693;top:981;width:3978;height:1709" type="#_x0000_t75" stroked="false">
              <v:imagedata r:id="rId23" o:title=""/>
            </v:shape>
            <v:line style="position:absolute" from="1637,64" to="2032,64" stroked="true" strokeweight="1.38pt" strokecolor="#4bacc6">
              <v:stroke dashstyle="solid"/>
            </v:line>
            <w10:wrap type="none"/>
          </v:group>
        </w:pict>
      </w:r>
      <w:r>
        <w:rPr>
          <w:sz w:val="18"/>
        </w:rPr>
        <w:t>Bank/GfK 2 years ahead</w:t>
      </w:r>
    </w:p>
    <w:p>
      <w:pPr>
        <w:spacing w:line="181" w:lineRule="exact" w:before="0"/>
        <w:ind w:left="451" w:right="0" w:firstLine="0"/>
        <w:jc w:val="left"/>
        <w:rPr>
          <w:sz w:val="18"/>
        </w:rPr>
      </w:pPr>
      <w:r>
        <w:rPr/>
        <w:br w:type="column"/>
      </w:r>
      <w:r>
        <w:rPr>
          <w:sz w:val="18"/>
        </w:rPr>
        <w:t>rate (%)</w:t>
      </w:r>
    </w:p>
    <w:p>
      <w:pPr>
        <w:pStyle w:val="ListParagraph"/>
        <w:numPr>
          <w:ilvl w:val="1"/>
          <w:numId w:val="1"/>
        </w:numPr>
        <w:tabs>
          <w:tab w:pos="1006" w:val="left" w:leader="none"/>
          <w:tab w:pos="1007" w:val="left" w:leader="none"/>
          <w:tab w:pos="1401" w:val="left" w:leader="none"/>
        </w:tabs>
        <w:spacing w:line="181" w:lineRule="exact" w:before="0" w:after="0"/>
        <w:ind w:left="1006" w:right="0" w:hanging="486"/>
        <w:jc w:val="left"/>
        <w:rPr>
          <w:sz w:val="18"/>
        </w:rPr>
      </w:pPr>
      <w:r>
        <w:rPr>
          <w:w w:val="101"/>
          <w:position w:val="13"/>
          <w:sz w:val="18"/>
          <w:u w:val="thick"/>
        </w:rPr>
        <w:br w:type="column"/>
        <w:t> </w:t>
      </w:r>
      <w:r>
        <w:rPr>
          <w:position w:val="13"/>
          <w:sz w:val="18"/>
          <w:u w:val="thick"/>
        </w:rPr>
        <w:tab/>
      </w:r>
      <w:r>
        <w:rPr>
          <w:spacing w:val="-23"/>
          <w:position w:val="13"/>
          <w:sz w:val="18"/>
        </w:rPr>
        <w:t> </w:t>
      </w:r>
      <w:r>
        <w:rPr>
          <w:sz w:val="18"/>
        </w:rPr>
        <w:t>Actual CPI</w:t>
      </w:r>
      <w:r>
        <w:rPr>
          <w:spacing w:val="20"/>
          <w:sz w:val="18"/>
        </w:rPr>
        <w:t> </w:t>
      </w:r>
      <w:r>
        <w:rPr>
          <w:sz w:val="18"/>
        </w:rPr>
        <w:t>inflation</w:t>
      </w:r>
    </w:p>
    <w:p>
      <w:pPr>
        <w:spacing w:after="0" w:line="181" w:lineRule="exact"/>
        <w:jc w:val="left"/>
        <w:rPr>
          <w:sz w:val="18"/>
        </w:rPr>
        <w:sectPr>
          <w:type w:val="continuous"/>
          <w:pgSz w:w="12240" w:h="15840"/>
          <w:pgMar w:top="1120" w:bottom="1440" w:left="1200" w:right="1060"/>
          <w:cols w:num="3" w:equalWidth="0">
            <w:col w:w="2910" w:space="40"/>
            <w:col w:w="1119" w:space="39"/>
            <w:col w:w="5872"/>
          </w:cols>
        </w:sectPr>
      </w:pPr>
    </w:p>
    <w:p>
      <w:pPr>
        <w:tabs>
          <w:tab w:pos="831" w:val="left" w:leader="none"/>
        </w:tabs>
        <w:spacing w:line="204" w:lineRule="exact" w:before="0"/>
        <w:ind w:left="436" w:right="0" w:firstLine="0"/>
        <w:jc w:val="left"/>
        <w:rPr>
          <w:sz w:val="18"/>
        </w:rPr>
      </w:pPr>
      <w:r>
        <w:rPr>
          <w:w w:val="101"/>
          <w:sz w:val="18"/>
          <w:u w:val="thick" w:color="FFC000"/>
        </w:rPr>
        <w:t> </w:t>
      </w:r>
      <w:r>
        <w:rPr>
          <w:sz w:val="18"/>
          <w:u w:val="thick" w:color="FFC000"/>
        </w:rPr>
        <w:tab/>
      </w:r>
      <w:r>
        <w:rPr>
          <w:spacing w:val="-22"/>
          <w:sz w:val="18"/>
        </w:rPr>
        <w:t> </w:t>
      </w:r>
      <w:r>
        <w:rPr>
          <w:sz w:val="18"/>
        </w:rPr>
        <w:t>(households)</w:t>
      </w:r>
    </w:p>
    <w:p>
      <w:pPr>
        <w:spacing w:line="244" w:lineRule="auto" w:before="38"/>
        <w:ind w:left="860" w:right="586" w:firstLine="0"/>
        <w:jc w:val="left"/>
        <w:rPr>
          <w:sz w:val="18"/>
        </w:rPr>
      </w:pPr>
      <w:r>
        <w:rPr>
          <w:sz w:val="18"/>
        </w:rPr>
        <w:t>Bank/GfK 5 years </w:t>
      </w:r>
      <w:r>
        <w:rPr>
          <w:spacing w:val="2"/>
          <w:sz w:val="18"/>
        </w:rPr>
        <w:t>ahead </w:t>
      </w:r>
      <w:r>
        <w:rPr>
          <w:sz w:val="18"/>
        </w:rPr>
        <w:t>(households)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tabs>
          <w:tab w:pos="1054" w:val="left" w:leader="none"/>
          <w:tab w:pos="1797" w:val="left" w:leader="none"/>
          <w:tab w:pos="2539" w:val="left" w:leader="none"/>
          <w:tab w:pos="3282" w:val="left" w:leader="none"/>
          <w:tab w:pos="4024" w:val="left" w:leader="none"/>
        </w:tabs>
        <w:spacing w:before="0"/>
        <w:ind w:left="411" w:right="0" w:firstLine="0"/>
        <w:jc w:val="left"/>
        <w:rPr>
          <w:sz w:val="18"/>
        </w:rPr>
      </w:pPr>
      <w:r>
        <w:rPr>
          <w:sz w:val="18"/>
        </w:rPr>
        <w:t>004</w:t>
        <w:tab/>
        <w:t>2006</w:t>
        <w:tab/>
        <w:t>2008</w:t>
        <w:tab/>
        <w:t>2010</w:t>
        <w:tab/>
        <w:t>2012</w:t>
        <w:tab/>
      </w:r>
      <w:r>
        <w:rPr>
          <w:spacing w:val="-5"/>
          <w:sz w:val="18"/>
        </w:rPr>
        <w:t>2014</w:t>
      </w:r>
    </w:p>
    <w:p>
      <w:pPr>
        <w:spacing w:before="145"/>
        <w:ind w:left="429" w:right="0" w:firstLine="0"/>
        <w:jc w:val="left"/>
        <w:rPr>
          <w:sz w:val="15"/>
        </w:rPr>
      </w:pPr>
      <w:r>
        <w:rPr>
          <w:b/>
          <w:i/>
          <w:w w:val="105"/>
          <w:sz w:val="15"/>
        </w:rPr>
        <w:t>Source </w:t>
      </w:r>
      <w:r>
        <w:rPr>
          <w:b/>
          <w:w w:val="105"/>
          <w:sz w:val="15"/>
        </w:rPr>
        <w:t>: </w:t>
      </w:r>
      <w:r>
        <w:rPr>
          <w:w w:val="105"/>
          <w:sz w:val="15"/>
        </w:rPr>
        <w:t>Bank of England, Gf K and Bloomberg</w:t>
      </w:r>
    </w:p>
    <w:p>
      <w:pPr>
        <w:pStyle w:val="BodyText"/>
        <w:spacing w:before="5"/>
        <w:rPr>
          <w:sz w:val="16"/>
        </w:rPr>
      </w:pPr>
      <w:r>
        <w:rPr/>
        <w:br w:type="column"/>
      </w:r>
      <w:r>
        <w:rPr>
          <w:sz w:val="16"/>
        </w:rPr>
      </w:r>
    </w:p>
    <w:p>
      <w:pPr>
        <w:spacing w:before="0"/>
        <w:ind w:left="152" w:right="0" w:firstLine="0"/>
        <w:jc w:val="left"/>
        <w:rPr>
          <w:sz w:val="18"/>
        </w:rPr>
      </w:pPr>
      <w:r>
        <w:rPr>
          <w:sz w:val="18"/>
        </w:rPr>
        <w:t>4.5</w:t>
      </w:r>
    </w:p>
    <w:p>
      <w:pPr>
        <w:pStyle w:val="BodyText"/>
        <w:spacing w:before="5"/>
      </w:pPr>
    </w:p>
    <w:p>
      <w:pPr>
        <w:spacing w:before="0"/>
        <w:ind w:left="152" w:right="0" w:firstLine="0"/>
        <w:jc w:val="left"/>
        <w:rPr>
          <w:sz w:val="18"/>
        </w:rPr>
      </w:pPr>
      <w:r>
        <w:rPr>
          <w:sz w:val="18"/>
        </w:rPr>
        <w:t>4.0</w:t>
      </w:r>
    </w:p>
    <w:p>
      <w:pPr>
        <w:pStyle w:val="BodyText"/>
        <w:spacing w:before="5"/>
      </w:pPr>
    </w:p>
    <w:p>
      <w:pPr>
        <w:spacing w:before="1"/>
        <w:ind w:left="152" w:right="0" w:firstLine="0"/>
        <w:jc w:val="left"/>
        <w:rPr>
          <w:sz w:val="18"/>
        </w:rPr>
      </w:pPr>
      <w:r>
        <w:rPr>
          <w:sz w:val="18"/>
        </w:rPr>
        <w:t>3.5</w:t>
      </w:r>
    </w:p>
    <w:p>
      <w:pPr>
        <w:pStyle w:val="BodyText"/>
        <w:spacing w:before="4"/>
      </w:pPr>
    </w:p>
    <w:p>
      <w:pPr>
        <w:spacing w:before="0"/>
        <w:ind w:left="152" w:right="0" w:firstLine="0"/>
        <w:jc w:val="left"/>
        <w:rPr>
          <w:sz w:val="18"/>
        </w:rPr>
      </w:pPr>
      <w:r>
        <w:rPr>
          <w:sz w:val="18"/>
        </w:rPr>
        <w:t>3.0</w:t>
      </w:r>
    </w:p>
    <w:p>
      <w:pPr>
        <w:pStyle w:val="BodyText"/>
        <w:spacing w:before="5"/>
      </w:pPr>
    </w:p>
    <w:p>
      <w:pPr>
        <w:spacing w:before="0"/>
        <w:ind w:left="152" w:right="0" w:firstLine="0"/>
        <w:jc w:val="left"/>
        <w:rPr>
          <w:sz w:val="18"/>
        </w:rPr>
      </w:pPr>
      <w:r>
        <w:rPr>
          <w:sz w:val="18"/>
        </w:rPr>
        <w:t>2.5</w:t>
      </w:r>
    </w:p>
    <w:p>
      <w:pPr>
        <w:pStyle w:val="BodyText"/>
        <w:spacing w:before="5"/>
      </w:pPr>
    </w:p>
    <w:p>
      <w:pPr>
        <w:spacing w:before="0"/>
        <w:ind w:left="152" w:right="0" w:firstLine="0"/>
        <w:jc w:val="left"/>
        <w:rPr>
          <w:sz w:val="18"/>
        </w:rPr>
      </w:pPr>
      <w:r>
        <w:rPr>
          <w:sz w:val="18"/>
        </w:rPr>
        <w:t>2.0</w:t>
      </w:r>
    </w:p>
    <w:p>
      <w:pPr>
        <w:pStyle w:val="BodyText"/>
        <w:spacing w:before="6"/>
      </w:pPr>
    </w:p>
    <w:p>
      <w:pPr>
        <w:spacing w:before="0"/>
        <w:ind w:left="152" w:right="0" w:firstLine="0"/>
        <w:jc w:val="left"/>
        <w:rPr>
          <w:sz w:val="18"/>
        </w:rPr>
      </w:pPr>
      <w:r>
        <w:rPr>
          <w:sz w:val="18"/>
        </w:rPr>
        <w:t>1.5</w:t>
      </w:r>
    </w:p>
    <w:p>
      <w:pPr>
        <w:tabs>
          <w:tab w:pos="4520" w:val="right" w:leader="none"/>
        </w:tabs>
        <w:spacing w:before="15"/>
        <w:ind w:left="610" w:right="0" w:firstLine="0"/>
        <w:jc w:val="left"/>
        <w:rPr>
          <w:sz w:val="18"/>
        </w:rPr>
      </w:pPr>
      <w:r>
        <w:rPr/>
        <w:br w:type="column"/>
      </w:r>
      <w:r>
        <w:rPr>
          <w:sz w:val="18"/>
        </w:rPr>
        <w:t>(excl.</w:t>
      </w:r>
      <w:r>
        <w:rPr>
          <w:spacing w:val="11"/>
          <w:sz w:val="18"/>
        </w:rPr>
        <w:t> </w:t>
      </w:r>
      <w:r>
        <w:rPr>
          <w:sz w:val="18"/>
        </w:rPr>
        <w:t>VAT</w:t>
      </w:r>
      <w:r>
        <w:rPr>
          <w:spacing w:val="8"/>
          <w:sz w:val="18"/>
        </w:rPr>
        <w:t> </w:t>
      </w:r>
      <w:r>
        <w:rPr>
          <w:spacing w:val="3"/>
          <w:sz w:val="18"/>
        </w:rPr>
        <w:t>changes)</w:t>
        <w:tab/>
      </w:r>
      <w:r>
        <w:rPr>
          <w:position w:val="8"/>
          <w:sz w:val="18"/>
        </w:rPr>
        <w:t>5</w:t>
      </w:r>
    </w:p>
    <w:p>
      <w:pPr>
        <w:tabs>
          <w:tab w:pos="4520" w:val="right" w:leader="none"/>
        </w:tabs>
        <w:spacing w:before="141"/>
        <w:ind w:left="610" w:right="0" w:firstLine="0"/>
        <w:jc w:val="left"/>
        <w:rPr>
          <w:sz w:val="18"/>
        </w:rPr>
      </w:pPr>
      <w:r>
        <w:rPr>
          <w:spacing w:val="3"/>
          <w:sz w:val="18"/>
        </w:rPr>
        <w:t>May</w:t>
      </w:r>
      <w:r>
        <w:rPr>
          <w:spacing w:val="-1"/>
          <w:sz w:val="18"/>
        </w:rPr>
        <w:t> </w:t>
      </w:r>
      <w:r>
        <w:rPr>
          <w:spacing w:val="2"/>
          <w:sz w:val="18"/>
        </w:rPr>
        <w:t>IR</w:t>
      </w:r>
      <w:r>
        <w:rPr>
          <w:sz w:val="18"/>
        </w:rPr>
        <w:t> forecast</w:t>
        <w:tab/>
        <w:t>4</w:t>
      </w:r>
    </w:p>
    <w:p>
      <w:pPr>
        <w:pStyle w:val="BodyText"/>
        <w:spacing w:before="9"/>
        <w:rPr>
          <w:sz w:val="18"/>
        </w:rPr>
      </w:pPr>
    </w:p>
    <w:p>
      <w:pPr>
        <w:spacing w:before="0"/>
        <w:ind w:left="0" w:right="531" w:firstLine="0"/>
        <w:jc w:val="right"/>
        <w:rPr>
          <w:sz w:val="18"/>
        </w:rPr>
      </w:pPr>
      <w:r>
        <w:rPr>
          <w:w w:val="101"/>
          <w:sz w:val="18"/>
        </w:rPr>
        <w:t>3</w:t>
      </w:r>
    </w:p>
    <w:p>
      <w:pPr>
        <w:pStyle w:val="BodyText"/>
        <w:spacing w:before="8"/>
        <w:rPr>
          <w:sz w:val="18"/>
        </w:rPr>
      </w:pPr>
    </w:p>
    <w:p>
      <w:pPr>
        <w:spacing w:before="0"/>
        <w:ind w:left="0" w:right="531" w:firstLine="0"/>
        <w:jc w:val="right"/>
        <w:rPr>
          <w:sz w:val="18"/>
        </w:rPr>
      </w:pPr>
      <w:r>
        <w:rPr>
          <w:w w:val="101"/>
          <w:sz w:val="18"/>
        </w:rPr>
        <w:t>2</w:t>
      </w:r>
    </w:p>
    <w:p>
      <w:pPr>
        <w:pStyle w:val="BodyText"/>
        <w:spacing w:before="9"/>
        <w:rPr>
          <w:sz w:val="18"/>
        </w:rPr>
      </w:pPr>
    </w:p>
    <w:p>
      <w:pPr>
        <w:spacing w:before="0"/>
        <w:ind w:left="0" w:right="531" w:firstLine="0"/>
        <w:jc w:val="right"/>
        <w:rPr>
          <w:sz w:val="18"/>
        </w:rPr>
      </w:pPr>
      <w:r>
        <w:rPr>
          <w:w w:val="101"/>
          <w:sz w:val="18"/>
        </w:rPr>
        <w:t>1</w:t>
      </w:r>
    </w:p>
    <w:p>
      <w:pPr>
        <w:pStyle w:val="BodyText"/>
        <w:spacing w:before="8"/>
        <w:rPr>
          <w:sz w:val="18"/>
        </w:rPr>
      </w:pPr>
    </w:p>
    <w:p>
      <w:pPr>
        <w:spacing w:before="0"/>
        <w:ind w:left="0" w:right="531" w:firstLine="0"/>
        <w:jc w:val="right"/>
        <w:rPr>
          <w:sz w:val="18"/>
        </w:rPr>
      </w:pPr>
      <w:r>
        <w:rPr>
          <w:w w:val="101"/>
          <w:sz w:val="18"/>
        </w:rPr>
        <w:t>0</w:t>
      </w:r>
    </w:p>
    <w:p>
      <w:pPr>
        <w:pStyle w:val="BodyText"/>
        <w:spacing w:before="8"/>
        <w:rPr>
          <w:sz w:val="18"/>
        </w:rPr>
      </w:pPr>
    </w:p>
    <w:p>
      <w:pPr>
        <w:spacing w:before="1"/>
        <w:ind w:left="0" w:right="479" w:firstLine="0"/>
        <w:jc w:val="right"/>
        <w:rPr>
          <w:sz w:val="18"/>
        </w:rPr>
      </w:pPr>
      <w:r>
        <w:rPr/>
        <w:pict>
          <v:shape style="position:absolute;margin-left:313.799377pt;margin-top:10.559411pt;width:12.25pt;height:22.65pt;mso-position-horizontal-relative:page;mso-position-vertical-relative:paragraph;z-index:251738112" type="#_x0000_t202" filled="false" stroked="false">
            <v:textbox inset="0,0,0,0" style="layout-flow:vertical;mso-layout-flow-alt:bottom-to-top">
              <w:txbxContent>
                <w:p>
                  <w:pPr>
                    <w:spacing w:before="17"/>
                    <w:ind w:left="20" w:right="0" w:firstLine="0"/>
                    <w:jc w:val="left"/>
                    <w:rPr>
                      <w:sz w:val="18"/>
                    </w:rPr>
                  </w:pPr>
                  <w:r>
                    <w:rPr>
                      <w:sz w:val="18"/>
                    </w:rPr>
                    <w:t>1998</w:t>
                  </w:r>
                </w:p>
              </w:txbxContent>
            </v:textbox>
            <w10:wrap type="none"/>
          </v:shape>
        </w:pict>
      </w:r>
      <w:r>
        <w:rPr/>
        <w:pict>
          <v:shape style="position:absolute;margin-left:335.402008pt;margin-top:10.559411pt;width:12.25pt;height:22.65pt;mso-position-horizontal-relative:page;mso-position-vertical-relative:paragraph;z-index:251739136" type="#_x0000_t202" filled="false" stroked="false">
            <v:textbox inset="0,0,0,0" style="layout-flow:vertical;mso-layout-flow-alt:bottom-to-top">
              <w:txbxContent>
                <w:p>
                  <w:pPr>
                    <w:spacing w:before="17"/>
                    <w:ind w:left="20" w:right="0" w:firstLine="0"/>
                    <w:jc w:val="left"/>
                    <w:rPr>
                      <w:sz w:val="18"/>
                    </w:rPr>
                  </w:pPr>
                  <w:r>
                    <w:rPr>
                      <w:sz w:val="18"/>
                    </w:rPr>
                    <w:t>2000</w:t>
                  </w:r>
                </w:p>
              </w:txbxContent>
            </v:textbox>
            <w10:wrap type="none"/>
          </v:shape>
        </w:pict>
      </w:r>
      <w:r>
        <w:rPr/>
        <w:pict>
          <v:shape style="position:absolute;margin-left:357.004639pt;margin-top:10.559411pt;width:12.25pt;height:22.65pt;mso-position-horizontal-relative:page;mso-position-vertical-relative:paragraph;z-index:251740160" type="#_x0000_t202" filled="false" stroked="false">
            <v:textbox inset="0,0,0,0" style="layout-flow:vertical;mso-layout-flow-alt:bottom-to-top">
              <w:txbxContent>
                <w:p>
                  <w:pPr>
                    <w:spacing w:before="17"/>
                    <w:ind w:left="20" w:right="0" w:firstLine="0"/>
                    <w:jc w:val="left"/>
                    <w:rPr>
                      <w:sz w:val="18"/>
                    </w:rPr>
                  </w:pPr>
                  <w:r>
                    <w:rPr>
                      <w:sz w:val="18"/>
                    </w:rPr>
                    <w:t>2002</w:t>
                  </w:r>
                </w:p>
              </w:txbxContent>
            </v:textbox>
            <w10:wrap type="none"/>
          </v:shape>
        </w:pict>
      </w:r>
      <w:r>
        <w:rPr/>
        <w:pict>
          <v:shape style="position:absolute;margin-left:378.607269pt;margin-top:10.559411pt;width:12.25pt;height:22.65pt;mso-position-horizontal-relative:page;mso-position-vertical-relative:paragraph;z-index:251741184" type="#_x0000_t202" filled="false" stroked="false">
            <v:textbox inset="0,0,0,0" style="layout-flow:vertical;mso-layout-flow-alt:bottom-to-top">
              <w:txbxContent>
                <w:p>
                  <w:pPr>
                    <w:spacing w:before="17"/>
                    <w:ind w:left="20" w:right="0" w:firstLine="0"/>
                    <w:jc w:val="left"/>
                    <w:rPr>
                      <w:sz w:val="18"/>
                    </w:rPr>
                  </w:pPr>
                  <w:r>
                    <w:rPr>
                      <w:sz w:val="18"/>
                    </w:rPr>
                    <w:t>2004</w:t>
                  </w:r>
                </w:p>
              </w:txbxContent>
            </v:textbox>
            <w10:wrap type="none"/>
          </v:shape>
        </w:pict>
      </w:r>
      <w:r>
        <w:rPr/>
        <w:pict>
          <v:shape style="position:absolute;margin-left:400.2099pt;margin-top:10.559411pt;width:12.25pt;height:22.65pt;mso-position-horizontal-relative:page;mso-position-vertical-relative:paragraph;z-index:251742208" type="#_x0000_t202" filled="false" stroked="false">
            <v:textbox inset="0,0,0,0" style="layout-flow:vertical;mso-layout-flow-alt:bottom-to-top">
              <w:txbxContent>
                <w:p>
                  <w:pPr>
                    <w:spacing w:before="17"/>
                    <w:ind w:left="20" w:right="0" w:firstLine="0"/>
                    <w:jc w:val="left"/>
                    <w:rPr>
                      <w:sz w:val="18"/>
                    </w:rPr>
                  </w:pPr>
                  <w:r>
                    <w:rPr>
                      <w:sz w:val="18"/>
                    </w:rPr>
                    <w:t>2006</w:t>
                  </w:r>
                </w:p>
              </w:txbxContent>
            </v:textbox>
            <w10:wrap type="none"/>
          </v:shape>
        </w:pict>
      </w:r>
      <w:r>
        <w:rPr/>
        <w:pict>
          <v:shape style="position:absolute;margin-left:421.748352pt;margin-top:10.559411pt;width:12.25pt;height:22.65pt;mso-position-horizontal-relative:page;mso-position-vertical-relative:paragraph;z-index:251743232" type="#_x0000_t202" filled="false" stroked="false">
            <v:textbox inset="0,0,0,0" style="layout-flow:vertical;mso-layout-flow-alt:bottom-to-top">
              <w:txbxContent>
                <w:p>
                  <w:pPr>
                    <w:spacing w:before="17"/>
                    <w:ind w:left="20" w:right="0" w:firstLine="0"/>
                    <w:jc w:val="left"/>
                    <w:rPr>
                      <w:sz w:val="18"/>
                    </w:rPr>
                  </w:pPr>
                  <w:r>
                    <w:rPr>
                      <w:sz w:val="18"/>
                    </w:rPr>
                    <w:t>2008</w:t>
                  </w:r>
                </w:p>
              </w:txbxContent>
            </v:textbox>
            <w10:wrap type="none"/>
          </v:shape>
        </w:pict>
      </w:r>
      <w:r>
        <w:rPr/>
        <w:pict>
          <v:shape style="position:absolute;margin-left:443.350983pt;margin-top:10.559411pt;width:12.25pt;height:22.65pt;mso-position-horizontal-relative:page;mso-position-vertical-relative:paragraph;z-index:251744256" type="#_x0000_t202" filled="false" stroked="false">
            <v:textbox inset="0,0,0,0" style="layout-flow:vertical;mso-layout-flow-alt:bottom-to-top">
              <w:txbxContent>
                <w:p>
                  <w:pPr>
                    <w:spacing w:before="17"/>
                    <w:ind w:left="20" w:right="0" w:firstLine="0"/>
                    <w:jc w:val="left"/>
                    <w:rPr>
                      <w:sz w:val="18"/>
                    </w:rPr>
                  </w:pPr>
                  <w:r>
                    <w:rPr>
                      <w:sz w:val="18"/>
                    </w:rPr>
                    <w:t>2010</w:t>
                  </w:r>
                </w:p>
              </w:txbxContent>
            </v:textbox>
            <w10:wrap type="none"/>
          </v:shape>
        </w:pict>
      </w:r>
      <w:r>
        <w:rPr/>
        <w:pict>
          <v:shape style="position:absolute;margin-left:464.953644pt;margin-top:10.559411pt;width:12.25pt;height:22.65pt;mso-position-horizontal-relative:page;mso-position-vertical-relative:paragraph;z-index:251745280" type="#_x0000_t202" filled="false" stroked="false">
            <v:textbox inset="0,0,0,0" style="layout-flow:vertical;mso-layout-flow-alt:bottom-to-top">
              <w:txbxContent>
                <w:p>
                  <w:pPr>
                    <w:spacing w:before="17"/>
                    <w:ind w:left="20" w:right="0" w:firstLine="0"/>
                    <w:jc w:val="left"/>
                    <w:rPr>
                      <w:sz w:val="18"/>
                    </w:rPr>
                  </w:pPr>
                  <w:r>
                    <w:rPr>
                      <w:sz w:val="18"/>
                    </w:rPr>
                    <w:t>2012</w:t>
                  </w:r>
                </w:p>
              </w:txbxContent>
            </v:textbox>
            <w10:wrap type="none"/>
          </v:shape>
        </w:pict>
      </w:r>
      <w:r>
        <w:rPr/>
        <w:pict>
          <v:shape style="position:absolute;margin-left:486.556274pt;margin-top:10.559411pt;width:12.25pt;height:22.65pt;mso-position-horizontal-relative:page;mso-position-vertical-relative:paragraph;z-index:251746304" type="#_x0000_t202" filled="false" stroked="false">
            <v:textbox inset="0,0,0,0" style="layout-flow:vertical;mso-layout-flow-alt:bottom-to-top">
              <w:txbxContent>
                <w:p>
                  <w:pPr>
                    <w:spacing w:before="17"/>
                    <w:ind w:left="20" w:right="0" w:firstLine="0"/>
                    <w:jc w:val="left"/>
                    <w:rPr>
                      <w:sz w:val="18"/>
                    </w:rPr>
                  </w:pPr>
                  <w:r>
                    <w:rPr>
                      <w:sz w:val="18"/>
                    </w:rPr>
                    <w:t>2014</w:t>
                  </w:r>
                </w:p>
              </w:txbxContent>
            </v:textbox>
            <w10:wrap type="none"/>
          </v:shape>
        </w:pict>
      </w:r>
      <w:r>
        <w:rPr/>
        <w:pict>
          <v:shape style="position:absolute;margin-left:508.094727pt;margin-top:10.559411pt;width:12.25pt;height:22.65pt;mso-position-horizontal-relative:page;mso-position-vertical-relative:paragraph;z-index:251747328" type="#_x0000_t202" filled="false" stroked="false">
            <v:textbox inset="0,0,0,0" style="layout-flow:vertical;mso-layout-flow-alt:bottom-to-top">
              <w:txbxContent>
                <w:p>
                  <w:pPr>
                    <w:spacing w:before="17"/>
                    <w:ind w:left="20" w:right="0" w:firstLine="0"/>
                    <w:jc w:val="left"/>
                    <w:rPr>
                      <w:sz w:val="18"/>
                    </w:rPr>
                  </w:pPr>
                  <w:r>
                    <w:rPr>
                      <w:sz w:val="18"/>
                    </w:rPr>
                    <w:t>2016</w:t>
                  </w:r>
                </w:p>
              </w:txbxContent>
            </v:textbox>
            <w10:wrap type="none"/>
          </v:shape>
        </w:pict>
      </w:r>
      <w:r>
        <w:rPr>
          <w:sz w:val="18"/>
        </w:rPr>
        <w:t>-1</w:t>
      </w:r>
    </w:p>
    <w:p>
      <w:pPr>
        <w:pStyle w:val="BodyText"/>
        <w:rPr>
          <w:sz w:val="20"/>
        </w:rPr>
      </w:pPr>
    </w:p>
    <w:p>
      <w:pPr>
        <w:pStyle w:val="BodyText"/>
        <w:rPr>
          <w:sz w:val="20"/>
        </w:rPr>
      </w:pPr>
    </w:p>
    <w:p>
      <w:pPr>
        <w:spacing w:before="141"/>
        <w:ind w:left="152" w:right="0" w:firstLine="0"/>
        <w:jc w:val="left"/>
        <w:rPr>
          <w:sz w:val="15"/>
        </w:rPr>
      </w:pPr>
      <w:r>
        <w:rPr>
          <w:b/>
          <w:i/>
          <w:w w:val="105"/>
          <w:sz w:val="15"/>
        </w:rPr>
        <w:t>Source </w:t>
      </w:r>
      <w:r>
        <w:rPr>
          <w:b/>
          <w:w w:val="105"/>
          <w:sz w:val="15"/>
        </w:rPr>
        <w:t>: </w:t>
      </w:r>
      <w:r>
        <w:rPr>
          <w:w w:val="105"/>
          <w:sz w:val="15"/>
        </w:rPr>
        <w:t>Bank of England and Bloomberg</w:t>
      </w:r>
    </w:p>
    <w:p>
      <w:pPr>
        <w:spacing w:after="0"/>
        <w:jc w:val="left"/>
        <w:rPr>
          <w:sz w:val="15"/>
        </w:rPr>
        <w:sectPr>
          <w:type w:val="continuous"/>
          <w:pgSz w:w="12240" w:h="15840"/>
          <w:pgMar w:top="1120" w:bottom="1440" w:left="1200" w:right="1060"/>
          <w:cols w:num="3" w:equalWidth="0">
            <w:col w:w="4438" w:space="40"/>
            <w:col w:w="409" w:space="39"/>
            <w:col w:w="5054"/>
          </w:cols>
        </w:sectPr>
      </w:pPr>
    </w:p>
    <w:p>
      <w:pPr>
        <w:pStyle w:val="BodyText"/>
        <w:rPr>
          <w:sz w:val="20"/>
        </w:rPr>
      </w:pPr>
    </w:p>
    <w:p>
      <w:pPr>
        <w:pStyle w:val="BodyText"/>
        <w:spacing w:before="3"/>
        <w:rPr>
          <w:sz w:val="17"/>
        </w:rPr>
      </w:pPr>
    </w:p>
    <w:p>
      <w:pPr>
        <w:pStyle w:val="Heading1"/>
        <w:spacing w:before="93"/>
      </w:pPr>
      <w:r>
        <w:rPr>
          <w:u w:val="thick"/>
        </w:rPr>
        <w:t>A closer look: the impact of international prices on UK inflation</w:t>
      </w:r>
    </w:p>
    <w:p>
      <w:pPr>
        <w:pStyle w:val="BodyText"/>
        <w:spacing w:before="6"/>
        <w:rPr>
          <w:b/>
          <w:sz w:val="29"/>
        </w:rPr>
      </w:pPr>
    </w:p>
    <w:p>
      <w:pPr>
        <w:pStyle w:val="BodyText"/>
        <w:spacing w:line="357" w:lineRule="auto" w:before="93"/>
        <w:ind w:left="386" w:right="531"/>
      </w:pPr>
      <w:r>
        <w:rPr/>
        <w:pict>
          <v:shape style="position:absolute;margin-left:79.320pt;margin-top:153.959412pt;width:135.5pt;height:.1pt;mso-position-horizontal-relative:page;mso-position-vertical-relative:paragraph;z-index:-251583488;mso-wrap-distance-left:0;mso-wrap-distance-right:0" coordorigin="1586,3079" coordsize="2710,0" path="m1586,3079l4296,3079e" filled="false" stroked="true" strokeweight=".48pt" strokecolor="#000000">
            <v:path arrowok="t"/>
            <v:stroke dashstyle="solid"/>
            <w10:wrap type="topAndBottom"/>
          </v:shape>
        </w:pict>
      </w:r>
      <w:r>
        <w:rPr/>
        <w:t>The previous section found that after controlling for the effects of oil prices and sterling, there was little independent effect of low world export prices (a proxy for global inflation) dragging down headline inflation, core</w:t>
      </w:r>
      <w:r>
        <w:rPr>
          <w:spacing w:val="-8"/>
        </w:rPr>
        <w:t> </w:t>
      </w:r>
      <w:r>
        <w:rPr/>
        <w:t>inflation,</w:t>
      </w:r>
      <w:r>
        <w:rPr>
          <w:spacing w:val="-5"/>
        </w:rPr>
        <w:t> </w:t>
      </w:r>
      <w:r>
        <w:rPr/>
        <w:t>or</w:t>
      </w:r>
      <w:r>
        <w:rPr>
          <w:spacing w:val="-7"/>
        </w:rPr>
        <w:t> </w:t>
      </w:r>
      <w:r>
        <w:rPr/>
        <w:t>domestically-generated</w:t>
      </w:r>
      <w:r>
        <w:rPr>
          <w:spacing w:val="-7"/>
        </w:rPr>
        <w:t> </w:t>
      </w:r>
      <w:r>
        <w:rPr/>
        <w:t>inflation</w:t>
      </w:r>
      <w:r>
        <w:rPr>
          <w:spacing w:val="-6"/>
        </w:rPr>
        <w:t> </w:t>
      </w:r>
      <w:r>
        <w:rPr/>
        <w:t>in</w:t>
      </w:r>
      <w:r>
        <w:rPr>
          <w:spacing w:val="-8"/>
        </w:rPr>
        <w:t> </w:t>
      </w:r>
      <w:r>
        <w:rPr/>
        <w:t>the</w:t>
      </w:r>
      <w:r>
        <w:rPr>
          <w:spacing w:val="-7"/>
        </w:rPr>
        <w:t> </w:t>
      </w:r>
      <w:r>
        <w:rPr/>
        <w:t>UK.</w:t>
      </w:r>
      <w:r>
        <w:rPr>
          <w:spacing w:val="-6"/>
        </w:rPr>
        <w:t> </w:t>
      </w:r>
      <w:r>
        <w:rPr/>
        <w:t>One</w:t>
      </w:r>
      <w:r>
        <w:rPr>
          <w:spacing w:val="-8"/>
        </w:rPr>
        <w:t> </w:t>
      </w:r>
      <w:r>
        <w:rPr/>
        <w:t>might</w:t>
      </w:r>
      <w:r>
        <w:rPr>
          <w:spacing w:val="-5"/>
        </w:rPr>
        <w:t> </w:t>
      </w:r>
      <w:r>
        <w:rPr/>
        <w:t>be</w:t>
      </w:r>
      <w:r>
        <w:rPr>
          <w:spacing w:val="-7"/>
        </w:rPr>
        <w:t> </w:t>
      </w:r>
      <w:r>
        <w:rPr/>
        <w:t>tempted</w:t>
      </w:r>
      <w:r>
        <w:rPr>
          <w:spacing w:val="-7"/>
        </w:rPr>
        <w:t> </w:t>
      </w:r>
      <w:r>
        <w:rPr/>
        <w:t>to</w:t>
      </w:r>
      <w:r>
        <w:rPr>
          <w:spacing w:val="-8"/>
        </w:rPr>
        <w:t> </w:t>
      </w:r>
      <w:r>
        <w:rPr/>
        <w:t>stop</w:t>
      </w:r>
      <w:r>
        <w:rPr>
          <w:spacing w:val="-7"/>
        </w:rPr>
        <w:t> </w:t>
      </w:r>
      <w:r>
        <w:rPr/>
        <w:t>here</w:t>
      </w:r>
      <w:r>
        <w:rPr>
          <w:spacing w:val="-6"/>
        </w:rPr>
        <w:t> </w:t>
      </w:r>
      <w:r>
        <w:rPr/>
        <w:t>and</w:t>
      </w:r>
      <w:r>
        <w:rPr>
          <w:spacing w:val="-7"/>
        </w:rPr>
        <w:t> </w:t>
      </w:r>
      <w:r>
        <w:rPr/>
        <w:t>conclude that we should not be concerned about today’s low global inflation having persistent effects – and thereby not complicating the return of inflation toward our 2% target after the effects of transitory factors fade. But, part of our job on the Monetary Policy Committee is to assess different risks to this forecast. Weale (2015) explored whether unusually low inflation in the OECD given the limited historical precedents might generate more</w:t>
      </w:r>
      <w:r>
        <w:rPr>
          <w:spacing w:val="-10"/>
        </w:rPr>
        <w:t> </w:t>
      </w:r>
      <w:r>
        <w:rPr/>
        <w:t>persistent</w:t>
      </w:r>
      <w:r>
        <w:rPr>
          <w:spacing w:val="-9"/>
        </w:rPr>
        <w:t> </w:t>
      </w:r>
      <w:r>
        <w:rPr/>
        <w:t>effects</w:t>
      </w:r>
      <w:r>
        <w:rPr>
          <w:spacing w:val="-8"/>
        </w:rPr>
        <w:t> </w:t>
      </w:r>
      <w:r>
        <w:rPr/>
        <w:t>on</w:t>
      </w:r>
      <w:r>
        <w:rPr>
          <w:spacing w:val="-11"/>
        </w:rPr>
        <w:t> </w:t>
      </w:r>
      <w:r>
        <w:rPr/>
        <w:t>UK</w:t>
      </w:r>
      <w:r>
        <w:rPr>
          <w:spacing w:val="-9"/>
        </w:rPr>
        <w:t> </w:t>
      </w:r>
      <w:r>
        <w:rPr/>
        <w:t>inflation</w:t>
      </w:r>
      <w:r>
        <w:rPr>
          <w:spacing w:val="-9"/>
        </w:rPr>
        <w:t> </w:t>
      </w:r>
      <w:r>
        <w:rPr/>
        <w:t>than</w:t>
      </w:r>
      <w:r>
        <w:rPr>
          <w:spacing w:val="-9"/>
        </w:rPr>
        <w:t> </w:t>
      </w:r>
      <w:r>
        <w:rPr/>
        <w:t>our</w:t>
      </w:r>
      <w:r>
        <w:rPr>
          <w:spacing w:val="-10"/>
        </w:rPr>
        <w:t> </w:t>
      </w:r>
      <w:r>
        <w:rPr/>
        <w:t>standard</w:t>
      </w:r>
      <w:r>
        <w:rPr>
          <w:spacing w:val="-9"/>
        </w:rPr>
        <w:t> </w:t>
      </w:r>
      <w:r>
        <w:rPr/>
        <w:t>models</w:t>
      </w:r>
      <w:r>
        <w:rPr>
          <w:spacing w:val="-8"/>
        </w:rPr>
        <w:t> </w:t>
      </w:r>
      <w:r>
        <w:rPr/>
        <w:t>could</w:t>
      </w:r>
      <w:r>
        <w:rPr>
          <w:spacing w:val="-10"/>
        </w:rPr>
        <w:t> </w:t>
      </w:r>
      <w:r>
        <w:rPr/>
        <w:t>estimate.</w:t>
      </w:r>
      <w:r>
        <w:rPr>
          <w:spacing w:val="-9"/>
        </w:rPr>
        <w:t> </w:t>
      </w:r>
      <w:r>
        <w:rPr/>
        <w:t>He</w:t>
      </w:r>
      <w:r>
        <w:rPr>
          <w:spacing w:val="-9"/>
        </w:rPr>
        <w:t> </w:t>
      </w:r>
      <w:r>
        <w:rPr/>
        <w:t>uses</w:t>
      </w:r>
      <w:r>
        <w:rPr>
          <w:spacing w:val="-9"/>
        </w:rPr>
        <w:t> </w:t>
      </w:r>
      <w:r>
        <w:rPr/>
        <w:t>more</w:t>
      </w:r>
      <w:r>
        <w:rPr>
          <w:spacing w:val="-10"/>
        </w:rPr>
        <w:t> </w:t>
      </w:r>
      <w:r>
        <w:rPr/>
        <w:t>sophisticated estimation</w:t>
      </w:r>
      <w:r>
        <w:rPr>
          <w:spacing w:val="-9"/>
        </w:rPr>
        <w:t> </w:t>
      </w:r>
      <w:r>
        <w:rPr/>
        <w:t>techniques</w:t>
      </w:r>
      <w:r>
        <w:rPr>
          <w:spacing w:val="-6"/>
        </w:rPr>
        <w:t> </w:t>
      </w:r>
      <w:r>
        <w:rPr/>
        <w:t>and</w:t>
      </w:r>
      <w:r>
        <w:rPr>
          <w:spacing w:val="-7"/>
        </w:rPr>
        <w:t> </w:t>
      </w:r>
      <w:r>
        <w:rPr/>
        <w:t>does</w:t>
      </w:r>
      <w:r>
        <w:rPr>
          <w:spacing w:val="-5"/>
        </w:rPr>
        <w:t> </w:t>
      </w:r>
      <w:r>
        <w:rPr/>
        <w:t>not</w:t>
      </w:r>
      <w:r>
        <w:rPr>
          <w:spacing w:val="-8"/>
        </w:rPr>
        <w:t> </w:t>
      </w:r>
      <w:r>
        <w:rPr/>
        <w:t>find</w:t>
      </w:r>
      <w:r>
        <w:rPr>
          <w:spacing w:val="-6"/>
        </w:rPr>
        <w:t> </w:t>
      </w:r>
      <w:r>
        <w:rPr/>
        <w:t>strong</w:t>
      </w:r>
      <w:r>
        <w:rPr>
          <w:spacing w:val="-8"/>
        </w:rPr>
        <w:t> </w:t>
      </w:r>
      <w:r>
        <w:rPr/>
        <w:t>evidence</w:t>
      </w:r>
      <w:r>
        <w:rPr>
          <w:spacing w:val="-7"/>
        </w:rPr>
        <w:t> </w:t>
      </w:r>
      <w:r>
        <w:rPr/>
        <w:t>that</w:t>
      </w:r>
      <w:r>
        <w:rPr>
          <w:spacing w:val="-8"/>
        </w:rPr>
        <w:t> </w:t>
      </w:r>
      <w:r>
        <w:rPr/>
        <w:t>this</w:t>
      </w:r>
      <w:r>
        <w:rPr>
          <w:spacing w:val="-8"/>
        </w:rPr>
        <w:t> </w:t>
      </w:r>
      <w:r>
        <w:rPr/>
        <w:t>should</w:t>
      </w:r>
      <w:r>
        <w:rPr>
          <w:spacing w:val="-7"/>
        </w:rPr>
        <w:t> </w:t>
      </w:r>
      <w:r>
        <w:rPr/>
        <w:t>be</w:t>
      </w:r>
      <w:r>
        <w:rPr>
          <w:spacing w:val="-9"/>
        </w:rPr>
        <w:t> </w:t>
      </w:r>
      <w:r>
        <w:rPr/>
        <w:t>a</w:t>
      </w:r>
      <w:r>
        <w:rPr>
          <w:spacing w:val="-7"/>
        </w:rPr>
        <w:t> </w:t>
      </w:r>
      <w:r>
        <w:rPr/>
        <w:t>concern</w:t>
      </w:r>
      <w:r>
        <w:rPr>
          <w:spacing w:val="-8"/>
        </w:rPr>
        <w:t> </w:t>
      </w:r>
      <w:r>
        <w:rPr/>
        <w:t>today.</w:t>
      </w:r>
      <w:r>
        <w:rPr>
          <w:spacing w:val="-6"/>
        </w:rPr>
        <w:t> </w:t>
      </w:r>
      <w:r>
        <w:rPr/>
        <w:t>One</w:t>
      </w:r>
      <w:r>
        <w:rPr>
          <w:spacing w:val="-8"/>
        </w:rPr>
        <w:t> </w:t>
      </w:r>
      <w:r>
        <w:rPr/>
        <w:t>other</w:t>
      </w:r>
      <w:r>
        <w:rPr>
          <w:spacing w:val="-8"/>
        </w:rPr>
        <w:t> </w:t>
      </w:r>
      <w:r>
        <w:rPr/>
        <w:t>risk</w:t>
      </w:r>
    </w:p>
    <w:p>
      <w:pPr>
        <w:spacing w:before="26"/>
        <w:ind w:left="386" w:right="533" w:hanging="1"/>
        <w:jc w:val="left"/>
        <w:rPr>
          <w:sz w:val="15"/>
        </w:rPr>
      </w:pPr>
      <w:r>
        <w:rPr>
          <w:position w:val="8"/>
          <w:sz w:val="9"/>
        </w:rPr>
        <w:t>23 </w:t>
      </w:r>
      <w:r>
        <w:rPr>
          <w:sz w:val="15"/>
        </w:rPr>
        <w:t>More specifically, oil prices are based on the market curve. Inflation expectations are based on instantaneous forward rates implied by RPI inflation swaps over the forecasted horizon. As we could not obtain the forward inflation rates less than one year ahead, we used linear interpolation to transition between the current realised inflation and the first available period. To convert the market-based RPI expectation measures into CPI terms, we have assumed that an RPI-CPI wedge of 0.7pp is priced into the inflation swaps. All other forecasted variables (such as slack and global export prices excluding oil) are based on forecasts in the May </w:t>
      </w:r>
      <w:r>
        <w:rPr>
          <w:i/>
          <w:sz w:val="15"/>
        </w:rPr>
        <w:t>Inflation Report</w:t>
      </w:r>
      <w:r>
        <w:rPr>
          <w:sz w:val="15"/>
        </w:rPr>
        <w:t>.</w:t>
      </w:r>
    </w:p>
    <w:p>
      <w:pPr>
        <w:spacing w:after="0"/>
        <w:jc w:val="left"/>
        <w:rPr>
          <w:sz w:val="15"/>
        </w:rPr>
        <w:sectPr>
          <w:type w:val="continuous"/>
          <w:pgSz w:w="12240" w:h="15840"/>
          <w:pgMar w:top="1120" w:bottom="1440" w:left="1200" w:right="1060"/>
        </w:sectPr>
      </w:pPr>
    </w:p>
    <w:p>
      <w:pPr>
        <w:pStyle w:val="BodyText"/>
        <w:spacing w:line="357" w:lineRule="auto" w:before="79"/>
        <w:ind w:left="386" w:right="533"/>
      </w:pPr>
      <w:r>
        <w:rPr/>
        <w:t>that has not been previously explored, however, is whether inflation in certain countries might have more pervasive and persistent effects on UK inflation than global inflation measured more broadly. More specifically, could prices in countries that are located closer to the UK (such as France or Ireland) have stronger effects on UK prices than prices in Japan or Australia? Wouldn’t it be easier for a UK consumer to fly—or even hop on a train—to get an iPhone if it is cheaper in France (but not in Tokyo), thereby making it harder</w:t>
      </w:r>
      <w:r>
        <w:rPr>
          <w:spacing w:val="-8"/>
        </w:rPr>
        <w:t> </w:t>
      </w:r>
      <w:r>
        <w:rPr/>
        <w:t>for</w:t>
      </w:r>
      <w:r>
        <w:rPr>
          <w:spacing w:val="-8"/>
        </w:rPr>
        <w:t> </w:t>
      </w:r>
      <w:r>
        <w:rPr/>
        <w:t>a</w:t>
      </w:r>
      <w:r>
        <w:rPr>
          <w:spacing w:val="-8"/>
        </w:rPr>
        <w:t> </w:t>
      </w:r>
      <w:r>
        <w:rPr/>
        <w:t>UK</w:t>
      </w:r>
      <w:r>
        <w:rPr>
          <w:spacing w:val="-7"/>
        </w:rPr>
        <w:t> </w:t>
      </w:r>
      <w:r>
        <w:rPr/>
        <w:t>store</w:t>
      </w:r>
      <w:r>
        <w:rPr>
          <w:spacing w:val="-9"/>
        </w:rPr>
        <w:t> </w:t>
      </w:r>
      <w:r>
        <w:rPr/>
        <w:t>to</w:t>
      </w:r>
      <w:r>
        <w:rPr>
          <w:spacing w:val="-8"/>
        </w:rPr>
        <w:t> </w:t>
      </w:r>
      <w:r>
        <w:rPr/>
        <w:t>raise</w:t>
      </w:r>
      <w:r>
        <w:rPr>
          <w:spacing w:val="-8"/>
        </w:rPr>
        <w:t> </w:t>
      </w:r>
      <w:r>
        <w:rPr/>
        <w:t>prices</w:t>
      </w:r>
      <w:r>
        <w:rPr>
          <w:spacing w:val="-7"/>
        </w:rPr>
        <w:t> </w:t>
      </w:r>
      <w:r>
        <w:rPr/>
        <w:t>above</w:t>
      </w:r>
      <w:r>
        <w:rPr>
          <w:spacing w:val="-7"/>
        </w:rPr>
        <w:t> </w:t>
      </w:r>
      <w:r>
        <w:rPr/>
        <w:t>those</w:t>
      </w:r>
      <w:r>
        <w:rPr>
          <w:spacing w:val="-8"/>
        </w:rPr>
        <w:t> </w:t>
      </w:r>
      <w:r>
        <w:rPr/>
        <w:t>in</w:t>
      </w:r>
      <w:r>
        <w:rPr>
          <w:spacing w:val="-8"/>
        </w:rPr>
        <w:t> </w:t>
      </w:r>
      <w:r>
        <w:rPr/>
        <w:t>France?</w:t>
      </w:r>
      <w:r>
        <w:rPr>
          <w:spacing w:val="-8"/>
        </w:rPr>
        <w:t> </w:t>
      </w:r>
      <w:r>
        <w:rPr/>
        <w:t>Similarly,</w:t>
      </w:r>
      <w:r>
        <w:rPr>
          <w:spacing w:val="-7"/>
        </w:rPr>
        <w:t> </w:t>
      </w:r>
      <w:r>
        <w:rPr/>
        <w:t>could</w:t>
      </w:r>
      <w:r>
        <w:rPr>
          <w:spacing w:val="-8"/>
        </w:rPr>
        <w:t> </w:t>
      </w:r>
      <w:r>
        <w:rPr/>
        <w:t>prices</w:t>
      </w:r>
      <w:r>
        <w:rPr>
          <w:spacing w:val="-7"/>
        </w:rPr>
        <w:t> </w:t>
      </w:r>
      <w:r>
        <w:rPr/>
        <w:t>in</w:t>
      </w:r>
      <w:r>
        <w:rPr>
          <w:spacing w:val="-8"/>
        </w:rPr>
        <w:t> </w:t>
      </w:r>
      <w:r>
        <w:rPr/>
        <w:t>countries</w:t>
      </w:r>
      <w:r>
        <w:rPr>
          <w:spacing w:val="-6"/>
        </w:rPr>
        <w:t> </w:t>
      </w:r>
      <w:r>
        <w:rPr/>
        <w:t>where</w:t>
      </w:r>
      <w:r>
        <w:rPr>
          <w:spacing w:val="-7"/>
        </w:rPr>
        <w:t> </w:t>
      </w:r>
      <w:r>
        <w:rPr/>
        <w:t>people speak English, or have better internet connections, be more likely to put price pressure on the UK—as it would be easier to check prices online and arbitrage away any price</w:t>
      </w:r>
      <w:r>
        <w:rPr>
          <w:spacing w:val="-30"/>
        </w:rPr>
        <w:t> </w:t>
      </w:r>
      <w:r>
        <w:rPr/>
        <w:t>differences?</w:t>
      </w:r>
    </w:p>
    <w:p>
      <w:pPr>
        <w:pStyle w:val="BodyText"/>
        <w:spacing w:before="6"/>
        <w:rPr>
          <w:sz w:val="27"/>
        </w:rPr>
      </w:pPr>
    </w:p>
    <w:p>
      <w:pPr>
        <w:pStyle w:val="BodyText"/>
        <w:spacing w:line="352" w:lineRule="auto"/>
        <w:ind w:left="386" w:right="533"/>
      </w:pPr>
      <w:r>
        <w:rPr/>
        <w:t>To test if inflation in certain countries has a greater effect on UK inflation than broad measures of global inflation or world export prices, I return to the Phillips curve estimates above. I estimate the same model, except add an additional variable measuring inflation in one UK-partner country at a time, say France (</w:t>
      </w:r>
      <w:r>
        <w:rPr>
          <w:rFonts w:ascii="Symbol" w:hAnsi="Symbol"/>
        </w:rPr>
        <w:t></w:t>
      </w:r>
      <w:r>
        <w:rPr>
          <w:i/>
        </w:rPr>
        <w:t>FrancePrices</w:t>
      </w:r>
      <w:r>
        <w:rPr>
          <w:i/>
          <w:vertAlign w:val="subscript"/>
        </w:rPr>
        <w:t>t</w:t>
      </w:r>
      <w:r>
        <w:rPr>
          <w:vertAlign w:val="baseline"/>
        </w:rPr>
        <w:t>). This yields a coefficient on inflation for each partner country (i.e., </w:t>
      </w:r>
      <w:r>
        <w:rPr>
          <w:rFonts w:ascii="Symbol" w:hAnsi="Symbol"/>
          <w:i/>
          <w:sz w:val="20"/>
          <w:vertAlign w:val="baseline"/>
        </w:rPr>
        <w:t></w:t>
      </w:r>
      <w:r>
        <w:rPr>
          <w:i/>
          <w:sz w:val="20"/>
          <w:vertAlign w:val="subscript"/>
        </w:rPr>
        <w:t>France</w:t>
      </w:r>
      <w:r>
        <w:rPr>
          <w:vertAlign w:val="baseline"/>
        </w:rPr>
        <w:t>), which captures any additional correlation between inflation in that partner country with UK inflation, after controlling for any effects of world export prices, exchange rate movements, and the other variables. This would therefore capture</w:t>
      </w:r>
      <w:r>
        <w:rPr>
          <w:spacing w:val="-10"/>
          <w:vertAlign w:val="baseline"/>
        </w:rPr>
        <w:t> </w:t>
      </w:r>
      <w:r>
        <w:rPr>
          <w:vertAlign w:val="baseline"/>
        </w:rPr>
        <w:t>any</w:t>
      </w:r>
      <w:r>
        <w:rPr>
          <w:spacing w:val="-9"/>
          <w:vertAlign w:val="baseline"/>
        </w:rPr>
        <w:t> </w:t>
      </w:r>
      <w:r>
        <w:rPr>
          <w:vertAlign w:val="baseline"/>
        </w:rPr>
        <w:t>additional</w:t>
      </w:r>
      <w:r>
        <w:rPr>
          <w:spacing w:val="-8"/>
          <w:vertAlign w:val="baseline"/>
        </w:rPr>
        <w:t> </w:t>
      </w:r>
      <w:r>
        <w:rPr>
          <w:vertAlign w:val="baseline"/>
        </w:rPr>
        <w:t>spillovers</w:t>
      </w:r>
      <w:r>
        <w:rPr>
          <w:spacing w:val="-9"/>
          <w:vertAlign w:val="baseline"/>
        </w:rPr>
        <w:t> </w:t>
      </w:r>
      <w:r>
        <w:rPr>
          <w:vertAlign w:val="baseline"/>
        </w:rPr>
        <w:t>from</w:t>
      </w:r>
      <w:r>
        <w:rPr>
          <w:spacing w:val="-7"/>
          <w:vertAlign w:val="baseline"/>
        </w:rPr>
        <w:t> </w:t>
      </w:r>
      <w:r>
        <w:rPr>
          <w:vertAlign w:val="baseline"/>
        </w:rPr>
        <w:t>inflation</w:t>
      </w:r>
      <w:r>
        <w:rPr>
          <w:spacing w:val="-9"/>
          <w:vertAlign w:val="baseline"/>
        </w:rPr>
        <w:t> </w:t>
      </w:r>
      <w:r>
        <w:rPr>
          <w:vertAlign w:val="baseline"/>
        </w:rPr>
        <w:t>in</w:t>
      </w:r>
      <w:r>
        <w:rPr>
          <w:spacing w:val="-8"/>
          <w:vertAlign w:val="baseline"/>
        </w:rPr>
        <w:t> </w:t>
      </w:r>
      <w:r>
        <w:rPr>
          <w:vertAlign w:val="baseline"/>
        </w:rPr>
        <w:t>the</w:t>
      </w:r>
      <w:r>
        <w:rPr>
          <w:spacing w:val="-9"/>
          <w:vertAlign w:val="baseline"/>
        </w:rPr>
        <w:t> </w:t>
      </w:r>
      <w:r>
        <w:rPr>
          <w:vertAlign w:val="baseline"/>
        </w:rPr>
        <w:t>partner</w:t>
      </w:r>
      <w:r>
        <w:rPr>
          <w:spacing w:val="-9"/>
          <w:vertAlign w:val="baseline"/>
        </w:rPr>
        <w:t> </w:t>
      </w:r>
      <w:r>
        <w:rPr>
          <w:vertAlign w:val="baseline"/>
        </w:rPr>
        <w:t>country</w:t>
      </w:r>
      <w:r>
        <w:rPr>
          <w:spacing w:val="-8"/>
          <w:vertAlign w:val="baseline"/>
        </w:rPr>
        <w:t> </w:t>
      </w:r>
      <w:r>
        <w:rPr>
          <w:vertAlign w:val="baseline"/>
        </w:rPr>
        <w:t>to</w:t>
      </w:r>
      <w:r>
        <w:rPr>
          <w:spacing w:val="-10"/>
          <w:vertAlign w:val="baseline"/>
        </w:rPr>
        <w:t> </w:t>
      </w:r>
      <w:r>
        <w:rPr>
          <w:vertAlign w:val="baseline"/>
        </w:rPr>
        <w:t>the</w:t>
      </w:r>
      <w:r>
        <w:rPr>
          <w:spacing w:val="-9"/>
          <w:vertAlign w:val="baseline"/>
        </w:rPr>
        <w:t> </w:t>
      </w:r>
      <w:r>
        <w:rPr>
          <w:vertAlign w:val="baseline"/>
        </w:rPr>
        <w:t>UK,</w:t>
      </w:r>
      <w:r>
        <w:rPr>
          <w:spacing w:val="-7"/>
          <w:vertAlign w:val="baseline"/>
        </w:rPr>
        <w:t> </w:t>
      </w:r>
      <w:r>
        <w:rPr>
          <w:vertAlign w:val="baseline"/>
        </w:rPr>
        <w:t>although</w:t>
      </w:r>
      <w:r>
        <w:rPr>
          <w:spacing w:val="-9"/>
          <w:vertAlign w:val="baseline"/>
        </w:rPr>
        <w:t> </w:t>
      </w:r>
      <w:r>
        <w:rPr>
          <w:vertAlign w:val="baseline"/>
        </w:rPr>
        <w:t>it</w:t>
      </w:r>
      <w:r>
        <w:rPr>
          <w:spacing w:val="-10"/>
          <w:vertAlign w:val="baseline"/>
        </w:rPr>
        <w:t> </w:t>
      </w:r>
      <w:r>
        <w:rPr>
          <w:vertAlign w:val="baseline"/>
        </w:rPr>
        <w:t>could</w:t>
      </w:r>
      <w:r>
        <w:rPr>
          <w:spacing w:val="-8"/>
          <w:vertAlign w:val="baseline"/>
        </w:rPr>
        <w:t> </w:t>
      </w:r>
      <w:r>
        <w:rPr>
          <w:vertAlign w:val="baseline"/>
        </w:rPr>
        <w:t>also</w:t>
      </w:r>
      <w:r>
        <w:rPr>
          <w:spacing w:val="-9"/>
          <w:vertAlign w:val="baseline"/>
        </w:rPr>
        <w:t> </w:t>
      </w:r>
      <w:r>
        <w:rPr>
          <w:vertAlign w:val="baseline"/>
        </w:rPr>
        <w:t>capture similarities</w:t>
      </w:r>
      <w:r>
        <w:rPr>
          <w:spacing w:val="-7"/>
          <w:vertAlign w:val="baseline"/>
        </w:rPr>
        <w:t> </w:t>
      </w:r>
      <w:r>
        <w:rPr>
          <w:vertAlign w:val="baseline"/>
        </w:rPr>
        <w:t>in</w:t>
      </w:r>
      <w:r>
        <w:rPr>
          <w:spacing w:val="-9"/>
          <w:vertAlign w:val="baseline"/>
        </w:rPr>
        <w:t> </w:t>
      </w:r>
      <w:r>
        <w:rPr>
          <w:vertAlign w:val="baseline"/>
        </w:rPr>
        <w:t>the</w:t>
      </w:r>
      <w:r>
        <w:rPr>
          <w:spacing w:val="-8"/>
          <w:vertAlign w:val="baseline"/>
        </w:rPr>
        <w:t> </w:t>
      </w:r>
      <w:r>
        <w:rPr>
          <w:vertAlign w:val="baseline"/>
        </w:rPr>
        <w:t>two</w:t>
      </w:r>
      <w:r>
        <w:rPr>
          <w:spacing w:val="-8"/>
          <w:vertAlign w:val="baseline"/>
        </w:rPr>
        <w:t> </w:t>
      </w:r>
      <w:r>
        <w:rPr>
          <w:vertAlign w:val="baseline"/>
        </w:rPr>
        <w:t>countries’</w:t>
      </w:r>
      <w:r>
        <w:rPr>
          <w:spacing w:val="-7"/>
          <w:vertAlign w:val="baseline"/>
        </w:rPr>
        <w:t> </w:t>
      </w:r>
      <w:r>
        <w:rPr>
          <w:vertAlign w:val="baseline"/>
        </w:rPr>
        <w:t>structures</w:t>
      </w:r>
      <w:r>
        <w:rPr>
          <w:spacing w:val="-9"/>
          <w:vertAlign w:val="baseline"/>
        </w:rPr>
        <w:t> </w:t>
      </w:r>
      <w:r>
        <w:rPr>
          <w:vertAlign w:val="baseline"/>
        </w:rPr>
        <w:t>that</w:t>
      </w:r>
      <w:r>
        <w:rPr>
          <w:spacing w:val="-6"/>
          <w:vertAlign w:val="baseline"/>
        </w:rPr>
        <w:t> </w:t>
      </w:r>
      <w:r>
        <w:rPr>
          <w:vertAlign w:val="baseline"/>
        </w:rPr>
        <w:t>lead</w:t>
      </w:r>
      <w:r>
        <w:rPr>
          <w:spacing w:val="-8"/>
          <w:vertAlign w:val="baseline"/>
        </w:rPr>
        <w:t> </w:t>
      </w:r>
      <w:r>
        <w:rPr>
          <w:vertAlign w:val="baseline"/>
        </w:rPr>
        <w:t>to</w:t>
      </w:r>
      <w:r>
        <w:rPr>
          <w:spacing w:val="-9"/>
          <w:vertAlign w:val="baseline"/>
        </w:rPr>
        <w:t> </w:t>
      </w:r>
      <w:r>
        <w:rPr>
          <w:vertAlign w:val="baseline"/>
        </w:rPr>
        <w:t>more</w:t>
      </w:r>
      <w:r>
        <w:rPr>
          <w:spacing w:val="-7"/>
          <w:vertAlign w:val="baseline"/>
        </w:rPr>
        <w:t> </w:t>
      </w:r>
      <w:r>
        <w:rPr>
          <w:vertAlign w:val="baseline"/>
        </w:rPr>
        <w:t>correlated</w:t>
      </w:r>
      <w:r>
        <w:rPr>
          <w:spacing w:val="-8"/>
          <w:vertAlign w:val="baseline"/>
        </w:rPr>
        <w:t> </w:t>
      </w:r>
      <w:r>
        <w:rPr>
          <w:vertAlign w:val="baseline"/>
        </w:rPr>
        <w:t>inflation</w:t>
      </w:r>
      <w:r>
        <w:rPr>
          <w:spacing w:val="-9"/>
          <w:vertAlign w:val="baseline"/>
        </w:rPr>
        <w:t> </w:t>
      </w:r>
      <w:r>
        <w:rPr>
          <w:vertAlign w:val="baseline"/>
        </w:rPr>
        <w:t>rates.</w:t>
      </w:r>
      <w:r>
        <w:rPr>
          <w:spacing w:val="-7"/>
          <w:vertAlign w:val="baseline"/>
        </w:rPr>
        <w:t> </w:t>
      </w:r>
      <w:r>
        <w:rPr>
          <w:vertAlign w:val="baseline"/>
        </w:rPr>
        <w:t>I</w:t>
      </w:r>
      <w:r>
        <w:rPr>
          <w:spacing w:val="-7"/>
          <w:vertAlign w:val="baseline"/>
        </w:rPr>
        <w:t> </w:t>
      </w:r>
      <w:r>
        <w:rPr>
          <w:vertAlign w:val="baseline"/>
        </w:rPr>
        <w:t>repeat</w:t>
      </w:r>
      <w:r>
        <w:rPr>
          <w:spacing w:val="-6"/>
          <w:vertAlign w:val="baseline"/>
        </w:rPr>
        <w:t> </w:t>
      </w:r>
      <w:r>
        <w:rPr>
          <w:vertAlign w:val="baseline"/>
        </w:rPr>
        <w:t>this</w:t>
      </w:r>
      <w:r>
        <w:rPr>
          <w:spacing w:val="-6"/>
          <w:vertAlign w:val="baseline"/>
        </w:rPr>
        <w:t> </w:t>
      </w:r>
      <w:r>
        <w:rPr>
          <w:vertAlign w:val="baseline"/>
        </w:rPr>
        <w:t>regression for</w:t>
      </w:r>
      <w:r>
        <w:rPr>
          <w:spacing w:val="-7"/>
          <w:vertAlign w:val="baseline"/>
        </w:rPr>
        <w:t> </w:t>
      </w:r>
      <w:r>
        <w:rPr>
          <w:vertAlign w:val="baseline"/>
        </w:rPr>
        <w:t>each</w:t>
      </w:r>
      <w:r>
        <w:rPr>
          <w:spacing w:val="-8"/>
          <w:vertAlign w:val="baseline"/>
        </w:rPr>
        <w:t> </w:t>
      </w:r>
      <w:r>
        <w:rPr>
          <w:vertAlign w:val="baseline"/>
        </w:rPr>
        <w:t>of</w:t>
      </w:r>
      <w:r>
        <w:rPr>
          <w:spacing w:val="-6"/>
          <w:vertAlign w:val="baseline"/>
        </w:rPr>
        <w:t> </w:t>
      </w:r>
      <w:r>
        <w:rPr>
          <w:vertAlign w:val="baseline"/>
        </w:rPr>
        <w:t>the</w:t>
      </w:r>
      <w:r>
        <w:rPr>
          <w:spacing w:val="-9"/>
          <w:vertAlign w:val="baseline"/>
        </w:rPr>
        <w:t> </w:t>
      </w:r>
      <w:r>
        <w:rPr>
          <w:vertAlign w:val="baseline"/>
        </w:rPr>
        <w:t>47</w:t>
      </w:r>
      <w:r>
        <w:rPr>
          <w:spacing w:val="-9"/>
          <w:vertAlign w:val="baseline"/>
        </w:rPr>
        <w:t> </w:t>
      </w:r>
      <w:r>
        <w:rPr>
          <w:vertAlign w:val="baseline"/>
        </w:rPr>
        <w:t>partner</w:t>
      </w:r>
      <w:r>
        <w:rPr>
          <w:spacing w:val="-8"/>
          <w:vertAlign w:val="baseline"/>
        </w:rPr>
        <w:t> </w:t>
      </w:r>
      <w:r>
        <w:rPr>
          <w:vertAlign w:val="baseline"/>
        </w:rPr>
        <w:t>countries</w:t>
      </w:r>
      <w:r>
        <w:rPr>
          <w:spacing w:val="-7"/>
          <w:vertAlign w:val="baseline"/>
        </w:rPr>
        <w:t> </w:t>
      </w:r>
      <w:r>
        <w:rPr>
          <w:vertAlign w:val="baseline"/>
        </w:rPr>
        <w:t>in</w:t>
      </w:r>
      <w:r>
        <w:rPr>
          <w:spacing w:val="-9"/>
          <w:vertAlign w:val="baseline"/>
        </w:rPr>
        <w:t> </w:t>
      </w:r>
      <w:r>
        <w:rPr>
          <w:vertAlign w:val="baseline"/>
        </w:rPr>
        <w:t>the</w:t>
      </w:r>
      <w:r>
        <w:rPr>
          <w:spacing w:val="-7"/>
          <w:vertAlign w:val="baseline"/>
        </w:rPr>
        <w:t> </w:t>
      </w:r>
      <w:r>
        <w:rPr>
          <w:vertAlign w:val="baseline"/>
        </w:rPr>
        <w:t>sample,</w:t>
      </w:r>
      <w:r>
        <w:rPr>
          <w:spacing w:val="-7"/>
          <w:vertAlign w:val="baseline"/>
        </w:rPr>
        <w:t> </w:t>
      </w:r>
      <w:r>
        <w:rPr>
          <w:vertAlign w:val="baseline"/>
        </w:rPr>
        <w:t>to</w:t>
      </w:r>
      <w:r>
        <w:rPr>
          <w:spacing w:val="-7"/>
          <w:vertAlign w:val="baseline"/>
        </w:rPr>
        <w:t> </w:t>
      </w:r>
      <w:r>
        <w:rPr>
          <w:vertAlign w:val="baseline"/>
        </w:rPr>
        <w:t>yield</w:t>
      </w:r>
      <w:r>
        <w:rPr>
          <w:spacing w:val="-8"/>
          <w:vertAlign w:val="baseline"/>
        </w:rPr>
        <w:t> </w:t>
      </w:r>
      <w:r>
        <w:rPr>
          <w:vertAlign w:val="baseline"/>
        </w:rPr>
        <w:t>47</w:t>
      </w:r>
      <w:r>
        <w:rPr>
          <w:spacing w:val="-8"/>
          <w:vertAlign w:val="baseline"/>
        </w:rPr>
        <w:t> </w:t>
      </w:r>
      <w:r>
        <w:rPr>
          <w:vertAlign w:val="baseline"/>
        </w:rPr>
        <w:t>partner-country</w:t>
      </w:r>
      <w:r>
        <w:rPr>
          <w:spacing w:val="-8"/>
          <w:vertAlign w:val="baseline"/>
        </w:rPr>
        <w:t> </w:t>
      </w:r>
      <w:r>
        <w:rPr>
          <w:rFonts w:ascii="Symbol" w:hAnsi="Symbol"/>
          <w:i/>
          <w:sz w:val="20"/>
          <w:vertAlign w:val="baseline"/>
        </w:rPr>
        <w:t></w:t>
      </w:r>
      <w:r>
        <w:rPr>
          <w:i/>
          <w:vertAlign w:val="baseline"/>
        </w:rPr>
        <w:t>’</w:t>
      </w:r>
      <w:r>
        <w:rPr>
          <w:vertAlign w:val="baseline"/>
        </w:rPr>
        <w:t>s.</w:t>
      </w:r>
      <w:r>
        <w:rPr>
          <w:spacing w:val="-8"/>
          <w:vertAlign w:val="baseline"/>
        </w:rPr>
        <w:t> </w:t>
      </w:r>
      <w:r>
        <w:rPr>
          <w:vertAlign w:val="baseline"/>
        </w:rPr>
        <w:t>These</w:t>
      </w:r>
      <w:r>
        <w:rPr>
          <w:spacing w:val="-8"/>
          <w:vertAlign w:val="baseline"/>
        </w:rPr>
        <w:t> </w:t>
      </w:r>
      <w:r>
        <w:rPr>
          <w:vertAlign w:val="baseline"/>
        </w:rPr>
        <w:t>partner-country</w:t>
      </w:r>
      <w:r>
        <w:rPr>
          <w:spacing w:val="-7"/>
          <w:vertAlign w:val="baseline"/>
        </w:rPr>
        <w:t> </w:t>
      </w:r>
      <w:r>
        <w:rPr>
          <w:rFonts w:ascii="Symbol" w:hAnsi="Symbol"/>
          <w:i/>
          <w:sz w:val="20"/>
          <w:vertAlign w:val="baseline"/>
        </w:rPr>
        <w:t></w:t>
      </w:r>
      <w:r>
        <w:rPr>
          <w:i/>
          <w:vertAlign w:val="baseline"/>
        </w:rPr>
        <w:t>’</w:t>
      </w:r>
      <w:r>
        <w:rPr>
          <w:vertAlign w:val="baseline"/>
        </w:rPr>
        <w:t>s are</w:t>
      </w:r>
      <w:r>
        <w:rPr>
          <w:spacing w:val="-8"/>
          <w:vertAlign w:val="baseline"/>
        </w:rPr>
        <w:t> </w:t>
      </w:r>
      <w:r>
        <w:rPr>
          <w:vertAlign w:val="baseline"/>
        </w:rPr>
        <w:t>listed</w:t>
      </w:r>
      <w:r>
        <w:rPr>
          <w:spacing w:val="-9"/>
          <w:vertAlign w:val="baseline"/>
        </w:rPr>
        <w:t> </w:t>
      </w:r>
      <w:r>
        <w:rPr>
          <w:vertAlign w:val="baseline"/>
        </w:rPr>
        <w:t>in</w:t>
      </w:r>
      <w:r>
        <w:rPr>
          <w:spacing w:val="-7"/>
          <w:vertAlign w:val="baseline"/>
        </w:rPr>
        <w:t> </w:t>
      </w:r>
      <w:r>
        <w:rPr>
          <w:vertAlign w:val="baseline"/>
        </w:rPr>
        <w:t>Appendix</w:t>
      </w:r>
      <w:r>
        <w:rPr>
          <w:spacing w:val="-8"/>
          <w:vertAlign w:val="baseline"/>
        </w:rPr>
        <w:t> </w:t>
      </w:r>
      <w:r>
        <w:rPr>
          <w:vertAlign w:val="baseline"/>
        </w:rPr>
        <w:t>B</w:t>
      </w:r>
      <w:r>
        <w:rPr>
          <w:spacing w:val="-7"/>
          <w:vertAlign w:val="baseline"/>
        </w:rPr>
        <w:t> </w:t>
      </w:r>
      <w:r>
        <w:rPr>
          <w:vertAlign w:val="baseline"/>
        </w:rPr>
        <w:t>and</w:t>
      </w:r>
      <w:r>
        <w:rPr>
          <w:spacing w:val="-7"/>
          <w:vertAlign w:val="baseline"/>
        </w:rPr>
        <w:t> </w:t>
      </w:r>
      <w:r>
        <w:rPr>
          <w:vertAlign w:val="baseline"/>
        </w:rPr>
        <w:t>graphed</w:t>
      </w:r>
      <w:r>
        <w:rPr>
          <w:spacing w:val="-8"/>
          <w:vertAlign w:val="baseline"/>
        </w:rPr>
        <w:t> </w:t>
      </w:r>
      <w:r>
        <w:rPr>
          <w:vertAlign w:val="baseline"/>
        </w:rPr>
        <w:t>in</w:t>
      </w:r>
      <w:r>
        <w:rPr>
          <w:spacing w:val="-8"/>
          <w:vertAlign w:val="baseline"/>
        </w:rPr>
        <w:t> </w:t>
      </w:r>
      <w:r>
        <w:rPr>
          <w:vertAlign w:val="baseline"/>
        </w:rPr>
        <w:t>Figure</w:t>
      </w:r>
      <w:r>
        <w:rPr>
          <w:spacing w:val="-7"/>
          <w:vertAlign w:val="baseline"/>
        </w:rPr>
        <w:t> </w:t>
      </w:r>
      <w:r>
        <w:rPr>
          <w:vertAlign w:val="baseline"/>
        </w:rPr>
        <w:t>17</w:t>
      </w:r>
      <w:r>
        <w:rPr>
          <w:spacing w:val="-8"/>
          <w:vertAlign w:val="baseline"/>
        </w:rPr>
        <w:t> </w:t>
      </w:r>
      <w:r>
        <w:rPr>
          <w:vertAlign w:val="baseline"/>
        </w:rPr>
        <w:t>for</w:t>
      </w:r>
      <w:r>
        <w:rPr>
          <w:spacing w:val="-7"/>
          <w:vertAlign w:val="baseline"/>
        </w:rPr>
        <w:t> </w:t>
      </w:r>
      <w:r>
        <w:rPr>
          <w:vertAlign w:val="baseline"/>
        </w:rPr>
        <w:t>estimates</w:t>
      </w:r>
      <w:r>
        <w:rPr>
          <w:spacing w:val="-6"/>
          <w:vertAlign w:val="baseline"/>
        </w:rPr>
        <w:t> </w:t>
      </w:r>
      <w:r>
        <w:rPr>
          <w:vertAlign w:val="baseline"/>
        </w:rPr>
        <w:t>using</w:t>
      </w:r>
      <w:r>
        <w:rPr>
          <w:spacing w:val="-9"/>
          <w:vertAlign w:val="baseline"/>
        </w:rPr>
        <w:t> </w:t>
      </w:r>
      <w:r>
        <w:rPr>
          <w:vertAlign w:val="baseline"/>
        </w:rPr>
        <w:t>headline</w:t>
      </w:r>
      <w:r>
        <w:rPr>
          <w:spacing w:val="-8"/>
          <w:vertAlign w:val="baseline"/>
        </w:rPr>
        <w:t> </w:t>
      </w:r>
      <w:r>
        <w:rPr>
          <w:vertAlign w:val="baseline"/>
        </w:rPr>
        <w:t>inflation,</w:t>
      </w:r>
      <w:r>
        <w:rPr>
          <w:spacing w:val="-5"/>
          <w:vertAlign w:val="baseline"/>
        </w:rPr>
        <w:t> </w:t>
      </w:r>
      <w:r>
        <w:rPr>
          <w:vertAlign w:val="baseline"/>
        </w:rPr>
        <w:t>and</w:t>
      </w:r>
      <w:r>
        <w:rPr>
          <w:spacing w:val="-8"/>
          <w:vertAlign w:val="baseline"/>
        </w:rPr>
        <w:t> </w:t>
      </w:r>
      <w:r>
        <w:rPr>
          <w:vertAlign w:val="baseline"/>
        </w:rPr>
        <w:t>Figure</w:t>
      </w:r>
      <w:r>
        <w:rPr>
          <w:spacing w:val="-8"/>
          <w:vertAlign w:val="baseline"/>
        </w:rPr>
        <w:t> </w:t>
      </w:r>
      <w:r>
        <w:rPr>
          <w:vertAlign w:val="baseline"/>
        </w:rPr>
        <w:t>18</w:t>
      </w:r>
      <w:r>
        <w:rPr>
          <w:spacing w:val="-8"/>
          <w:vertAlign w:val="baseline"/>
        </w:rPr>
        <w:t> </w:t>
      </w:r>
      <w:r>
        <w:rPr>
          <w:vertAlign w:val="baseline"/>
        </w:rPr>
        <w:t>using core</w:t>
      </w:r>
      <w:r>
        <w:rPr>
          <w:spacing w:val="-8"/>
          <w:vertAlign w:val="baseline"/>
        </w:rPr>
        <w:t> </w:t>
      </w:r>
      <w:r>
        <w:rPr>
          <w:vertAlign w:val="baseline"/>
        </w:rPr>
        <w:t>inflation.</w:t>
      </w:r>
      <w:r>
        <w:rPr>
          <w:spacing w:val="-5"/>
          <w:vertAlign w:val="baseline"/>
        </w:rPr>
        <w:t> </w:t>
      </w:r>
      <w:r>
        <w:rPr>
          <w:vertAlign w:val="baseline"/>
        </w:rPr>
        <w:t>The</w:t>
      </w:r>
      <w:r>
        <w:rPr>
          <w:spacing w:val="-7"/>
          <w:vertAlign w:val="baseline"/>
        </w:rPr>
        <w:t> </w:t>
      </w:r>
      <w:r>
        <w:rPr>
          <w:vertAlign w:val="baseline"/>
        </w:rPr>
        <w:t>dots</w:t>
      </w:r>
      <w:r>
        <w:rPr>
          <w:spacing w:val="-6"/>
          <w:vertAlign w:val="baseline"/>
        </w:rPr>
        <w:t> </w:t>
      </w:r>
      <w:r>
        <w:rPr>
          <w:vertAlign w:val="baseline"/>
        </w:rPr>
        <w:t>reflect</w:t>
      </w:r>
      <w:r>
        <w:rPr>
          <w:spacing w:val="-6"/>
          <w:vertAlign w:val="baseline"/>
        </w:rPr>
        <w:t> </w:t>
      </w:r>
      <w:r>
        <w:rPr>
          <w:vertAlign w:val="baseline"/>
        </w:rPr>
        <w:t>the</w:t>
      </w:r>
      <w:r>
        <w:rPr>
          <w:spacing w:val="-7"/>
          <w:vertAlign w:val="baseline"/>
        </w:rPr>
        <w:t> </w:t>
      </w:r>
      <w:r>
        <w:rPr>
          <w:vertAlign w:val="baseline"/>
        </w:rPr>
        <w:t>point</w:t>
      </w:r>
      <w:r>
        <w:rPr>
          <w:spacing w:val="-8"/>
          <w:vertAlign w:val="baseline"/>
        </w:rPr>
        <w:t> </w:t>
      </w:r>
      <w:r>
        <w:rPr>
          <w:vertAlign w:val="baseline"/>
        </w:rPr>
        <w:t>estimates,</w:t>
      </w:r>
      <w:r>
        <w:rPr>
          <w:spacing w:val="-6"/>
          <w:vertAlign w:val="baseline"/>
        </w:rPr>
        <w:t> </w:t>
      </w:r>
      <w:r>
        <w:rPr>
          <w:vertAlign w:val="baseline"/>
        </w:rPr>
        <w:t>and</w:t>
      </w:r>
      <w:r>
        <w:rPr>
          <w:spacing w:val="-7"/>
          <w:vertAlign w:val="baseline"/>
        </w:rPr>
        <w:t> </w:t>
      </w:r>
      <w:r>
        <w:rPr>
          <w:vertAlign w:val="baseline"/>
        </w:rPr>
        <w:t>the</w:t>
      </w:r>
      <w:r>
        <w:rPr>
          <w:spacing w:val="-7"/>
          <w:vertAlign w:val="baseline"/>
        </w:rPr>
        <w:t> </w:t>
      </w:r>
      <w:r>
        <w:rPr>
          <w:vertAlign w:val="baseline"/>
        </w:rPr>
        <w:t>shaded</w:t>
      </w:r>
      <w:r>
        <w:rPr>
          <w:spacing w:val="-7"/>
          <w:vertAlign w:val="baseline"/>
        </w:rPr>
        <w:t> </w:t>
      </w:r>
      <w:r>
        <w:rPr>
          <w:vertAlign w:val="baseline"/>
        </w:rPr>
        <w:t>areas</w:t>
      </w:r>
      <w:r>
        <w:rPr>
          <w:spacing w:val="-6"/>
          <w:vertAlign w:val="baseline"/>
        </w:rPr>
        <w:t> </w:t>
      </w:r>
      <w:r>
        <w:rPr>
          <w:vertAlign w:val="baseline"/>
        </w:rPr>
        <w:t>incorporate</w:t>
      </w:r>
      <w:r>
        <w:rPr>
          <w:spacing w:val="-7"/>
          <w:vertAlign w:val="baseline"/>
        </w:rPr>
        <w:t> </w:t>
      </w:r>
      <w:r>
        <w:rPr>
          <w:vertAlign w:val="baseline"/>
        </w:rPr>
        <w:t>the</w:t>
      </w:r>
      <w:r>
        <w:rPr>
          <w:spacing w:val="-7"/>
          <w:vertAlign w:val="baseline"/>
        </w:rPr>
        <w:t> </w:t>
      </w:r>
      <w:r>
        <w:rPr>
          <w:vertAlign w:val="baseline"/>
        </w:rPr>
        <w:t>standard</w:t>
      </w:r>
      <w:r>
        <w:rPr>
          <w:spacing w:val="-7"/>
          <w:vertAlign w:val="baseline"/>
        </w:rPr>
        <w:t> </w:t>
      </w:r>
      <w:r>
        <w:rPr>
          <w:vertAlign w:val="baseline"/>
        </w:rPr>
        <w:t>errors.</w:t>
      </w:r>
    </w:p>
    <w:p>
      <w:pPr>
        <w:pStyle w:val="BodyText"/>
        <w:spacing w:line="350" w:lineRule="auto" w:before="3"/>
        <w:ind w:left="386" w:right="617"/>
        <w:jc w:val="both"/>
      </w:pPr>
      <w:r>
        <w:rPr/>
        <w:t>The</w:t>
      </w:r>
      <w:r>
        <w:rPr>
          <w:spacing w:val="-9"/>
        </w:rPr>
        <w:t> </w:t>
      </w:r>
      <w:r>
        <w:rPr/>
        <w:t>countries</w:t>
      </w:r>
      <w:r>
        <w:rPr>
          <w:spacing w:val="-5"/>
        </w:rPr>
        <w:t> </w:t>
      </w:r>
      <w:r>
        <w:rPr/>
        <w:t>are</w:t>
      </w:r>
      <w:r>
        <w:rPr>
          <w:spacing w:val="-8"/>
        </w:rPr>
        <w:t> </w:t>
      </w:r>
      <w:r>
        <w:rPr/>
        <w:t>grouped</w:t>
      </w:r>
      <w:r>
        <w:rPr>
          <w:spacing w:val="-8"/>
        </w:rPr>
        <w:t> </w:t>
      </w:r>
      <w:r>
        <w:rPr/>
        <w:t>with</w:t>
      </w:r>
      <w:r>
        <w:rPr>
          <w:spacing w:val="-8"/>
        </w:rPr>
        <w:t> </w:t>
      </w:r>
      <w:r>
        <w:rPr/>
        <w:t>the</w:t>
      </w:r>
      <w:r>
        <w:rPr>
          <w:spacing w:val="-8"/>
        </w:rPr>
        <w:t> </w:t>
      </w:r>
      <w:r>
        <w:rPr/>
        <w:t>European</w:t>
      </w:r>
      <w:r>
        <w:rPr>
          <w:spacing w:val="-9"/>
        </w:rPr>
        <w:t> </w:t>
      </w:r>
      <w:r>
        <w:rPr/>
        <w:t>Economic</w:t>
      </w:r>
      <w:r>
        <w:rPr>
          <w:spacing w:val="-7"/>
        </w:rPr>
        <w:t> </w:t>
      </w:r>
      <w:r>
        <w:rPr/>
        <w:t>Area</w:t>
      </w:r>
      <w:r>
        <w:rPr>
          <w:spacing w:val="-8"/>
        </w:rPr>
        <w:t> </w:t>
      </w:r>
      <w:r>
        <w:rPr/>
        <w:t>in</w:t>
      </w:r>
      <w:r>
        <w:rPr>
          <w:spacing w:val="-9"/>
        </w:rPr>
        <w:t> </w:t>
      </w:r>
      <w:r>
        <w:rPr/>
        <w:t>the</w:t>
      </w:r>
      <w:r>
        <w:rPr>
          <w:spacing w:val="-8"/>
        </w:rPr>
        <w:t> </w:t>
      </w:r>
      <w:r>
        <w:rPr/>
        <w:t>blue</w:t>
      </w:r>
      <w:r>
        <w:rPr>
          <w:spacing w:val="-7"/>
        </w:rPr>
        <w:t> </w:t>
      </w:r>
      <w:r>
        <w:rPr/>
        <w:t>section,</w:t>
      </w:r>
      <w:r>
        <w:rPr>
          <w:spacing w:val="-6"/>
        </w:rPr>
        <w:t> </w:t>
      </w:r>
      <w:r>
        <w:rPr/>
        <w:t>other</w:t>
      </w:r>
      <w:r>
        <w:rPr>
          <w:spacing w:val="-8"/>
        </w:rPr>
        <w:t> </w:t>
      </w:r>
      <w:r>
        <w:rPr/>
        <w:t>members</w:t>
      </w:r>
      <w:r>
        <w:rPr>
          <w:spacing w:val="-7"/>
        </w:rPr>
        <w:t> </w:t>
      </w:r>
      <w:r>
        <w:rPr/>
        <w:t>of</w:t>
      </w:r>
      <w:r>
        <w:rPr>
          <w:spacing w:val="-7"/>
        </w:rPr>
        <w:t> </w:t>
      </w:r>
      <w:r>
        <w:rPr/>
        <w:t>the</w:t>
      </w:r>
      <w:r>
        <w:rPr>
          <w:spacing w:val="-8"/>
        </w:rPr>
        <w:t> </w:t>
      </w:r>
      <w:r>
        <w:rPr/>
        <w:t>G10 in</w:t>
      </w:r>
      <w:r>
        <w:rPr>
          <w:spacing w:val="-8"/>
        </w:rPr>
        <w:t> </w:t>
      </w:r>
      <w:r>
        <w:rPr/>
        <w:t>the</w:t>
      </w:r>
      <w:r>
        <w:rPr>
          <w:spacing w:val="-7"/>
        </w:rPr>
        <w:t> </w:t>
      </w:r>
      <w:r>
        <w:rPr/>
        <w:t>orange</w:t>
      </w:r>
      <w:r>
        <w:rPr>
          <w:spacing w:val="-7"/>
        </w:rPr>
        <w:t> </w:t>
      </w:r>
      <w:r>
        <w:rPr/>
        <w:t>section,</w:t>
      </w:r>
      <w:r>
        <w:rPr>
          <w:spacing w:val="-7"/>
        </w:rPr>
        <w:t> </w:t>
      </w:r>
      <w:r>
        <w:rPr/>
        <w:t>and</w:t>
      </w:r>
      <w:r>
        <w:rPr>
          <w:spacing w:val="-7"/>
        </w:rPr>
        <w:t> </w:t>
      </w:r>
      <w:r>
        <w:rPr/>
        <w:t>other</w:t>
      </w:r>
      <w:r>
        <w:rPr>
          <w:spacing w:val="-7"/>
        </w:rPr>
        <w:t> </w:t>
      </w:r>
      <w:r>
        <w:rPr/>
        <w:t>countries</w:t>
      </w:r>
      <w:r>
        <w:rPr>
          <w:spacing w:val="-6"/>
        </w:rPr>
        <w:t> </w:t>
      </w:r>
      <w:r>
        <w:rPr/>
        <w:t>in</w:t>
      </w:r>
      <w:r>
        <w:rPr>
          <w:spacing w:val="-8"/>
        </w:rPr>
        <w:t> </w:t>
      </w:r>
      <w:r>
        <w:rPr/>
        <w:t>green.</w:t>
      </w:r>
      <w:r>
        <w:rPr>
          <w:spacing w:val="-6"/>
        </w:rPr>
        <w:t> </w:t>
      </w:r>
      <w:r>
        <w:rPr/>
        <w:t>Within</w:t>
      </w:r>
      <w:r>
        <w:rPr>
          <w:spacing w:val="-7"/>
        </w:rPr>
        <w:t> </w:t>
      </w:r>
      <w:r>
        <w:rPr/>
        <w:t>each</w:t>
      </w:r>
      <w:r>
        <w:rPr>
          <w:spacing w:val="-7"/>
        </w:rPr>
        <w:t> </w:t>
      </w:r>
      <w:r>
        <w:rPr/>
        <w:t>group</w:t>
      </w:r>
      <w:r>
        <w:rPr>
          <w:spacing w:val="-7"/>
        </w:rPr>
        <w:t> </w:t>
      </w:r>
      <w:r>
        <w:rPr/>
        <w:t>the</w:t>
      </w:r>
      <w:r>
        <w:rPr>
          <w:spacing w:val="-7"/>
        </w:rPr>
        <w:t> </w:t>
      </w:r>
      <w:r>
        <w:rPr/>
        <w:t>countries</w:t>
      </w:r>
      <w:r>
        <w:rPr>
          <w:spacing w:val="-6"/>
        </w:rPr>
        <w:t> </w:t>
      </w:r>
      <w:r>
        <w:rPr/>
        <w:t>are</w:t>
      </w:r>
      <w:r>
        <w:rPr>
          <w:spacing w:val="-8"/>
        </w:rPr>
        <w:t> </w:t>
      </w:r>
      <w:r>
        <w:rPr/>
        <w:t>ordered</w:t>
      </w:r>
      <w:r>
        <w:rPr>
          <w:spacing w:val="-8"/>
        </w:rPr>
        <w:t> </w:t>
      </w:r>
      <w:r>
        <w:rPr/>
        <w:t>by</w:t>
      </w:r>
      <w:r>
        <w:rPr>
          <w:spacing w:val="-6"/>
        </w:rPr>
        <w:t> </w:t>
      </w:r>
      <w:r>
        <w:rPr/>
        <w:t>the</w:t>
      </w:r>
      <w:r>
        <w:rPr>
          <w:spacing w:val="-7"/>
        </w:rPr>
        <w:t> </w:t>
      </w:r>
      <w:r>
        <w:rPr/>
        <w:t>size of</w:t>
      </w:r>
      <w:r>
        <w:rPr>
          <w:spacing w:val="-7"/>
        </w:rPr>
        <w:t> </w:t>
      </w:r>
      <w:r>
        <w:rPr/>
        <w:t>the</w:t>
      </w:r>
      <w:r>
        <w:rPr>
          <w:spacing w:val="-6"/>
        </w:rPr>
        <w:t> </w:t>
      </w:r>
      <w:r>
        <w:rPr/>
        <w:t>estimated</w:t>
      </w:r>
      <w:r>
        <w:rPr>
          <w:spacing w:val="-6"/>
        </w:rPr>
        <w:t> </w:t>
      </w:r>
      <w:r>
        <w:rPr>
          <w:rFonts w:ascii="Symbol" w:hAnsi="Symbol"/>
          <w:i/>
          <w:sz w:val="20"/>
        </w:rPr>
        <w:t></w:t>
      </w:r>
      <w:r>
        <w:rPr/>
        <w:t>,</w:t>
      </w:r>
      <w:r>
        <w:rPr>
          <w:spacing w:val="-6"/>
        </w:rPr>
        <w:t> </w:t>
      </w:r>
      <w:r>
        <w:rPr/>
        <w:t>so</w:t>
      </w:r>
      <w:r>
        <w:rPr>
          <w:spacing w:val="-7"/>
        </w:rPr>
        <w:t> </w:t>
      </w:r>
      <w:r>
        <w:rPr/>
        <w:t>that</w:t>
      </w:r>
      <w:r>
        <w:rPr>
          <w:spacing w:val="-6"/>
        </w:rPr>
        <w:t> </w:t>
      </w:r>
      <w:r>
        <w:rPr/>
        <w:t>the</w:t>
      </w:r>
      <w:r>
        <w:rPr>
          <w:spacing w:val="-6"/>
        </w:rPr>
        <w:t> </w:t>
      </w:r>
      <w:r>
        <w:rPr/>
        <w:t>country’s</w:t>
      </w:r>
      <w:r>
        <w:rPr>
          <w:spacing w:val="-5"/>
        </w:rPr>
        <w:t> </w:t>
      </w:r>
      <w:r>
        <w:rPr/>
        <w:t>with</w:t>
      </w:r>
      <w:r>
        <w:rPr>
          <w:spacing w:val="-6"/>
        </w:rPr>
        <w:t> </w:t>
      </w:r>
      <w:r>
        <w:rPr/>
        <w:t>a</w:t>
      </w:r>
      <w:r>
        <w:rPr>
          <w:spacing w:val="-6"/>
        </w:rPr>
        <w:t> </w:t>
      </w:r>
      <w:r>
        <w:rPr/>
        <w:t>greater</w:t>
      </w:r>
      <w:r>
        <w:rPr>
          <w:spacing w:val="-5"/>
        </w:rPr>
        <w:t> </w:t>
      </w:r>
      <w:r>
        <w:rPr/>
        <w:t>effect</w:t>
      </w:r>
      <w:r>
        <w:rPr>
          <w:spacing w:val="-6"/>
        </w:rPr>
        <w:t> </w:t>
      </w:r>
      <w:r>
        <w:rPr/>
        <w:t>on</w:t>
      </w:r>
      <w:r>
        <w:rPr>
          <w:spacing w:val="-7"/>
        </w:rPr>
        <w:t> </w:t>
      </w:r>
      <w:r>
        <w:rPr/>
        <w:t>UK</w:t>
      </w:r>
      <w:r>
        <w:rPr>
          <w:spacing w:val="-5"/>
        </w:rPr>
        <w:t> </w:t>
      </w:r>
      <w:r>
        <w:rPr/>
        <w:t>inflation</w:t>
      </w:r>
      <w:r>
        <w:rPr>
          <w:spacing w:val="-7"/>
        </w:rPr>
        <w:t> </w:t>
      </w:r>
      <w:r>
        <w:rPr/>
        <w:t>are</w:t>
      </w:r>
      <w:r>
        <w:rPr>
          <w:spacing w:val="-6"/>
        </w:rPr>
        <w:t> </w:t>
      </w:r>
      <w:r>
        <w:rPr/>
        <w:t>at</w:t>
      </w:r>
      <w:r>
        <w:rPr>
          <w:spacing w:val="-6"/>
        </w:rPr>
        <w:t> </w:t>
      </w:r>
      <w:r>
        <w:rPr/>
        <w:t>the</w:t>
      </w:r>
      <w:r>
        <w:rPr>
          <w:spacing w:val="-6"/>
        </w:rPr>
        <w:t> </w:t>
      </w:r>
      <w:r>
        <w:rPr/>
        <w:t>start</w:t>
      </w:r>
      <w:r>
        <w:rPr>
          <w:spacing w:val="-4"/>
        </w:rPr>
        <w:t> </w:t>
      </w:r>
      <w:r>
        <w:rPr/>
        <w:t>of</w:t>
      </w:r>
      <w:r>
        <w:rPr>
          <w:spacing w:val="-5"/>
        </w:rPr>
        <w:t> </w:t>
      </w:r>
      <w:r>
        <w:rPr/>
        <w:t>each</w:t>
      </w:r>
      <w:r>
        <w:rPr>
          <w:spacing w:val="-6"/>
        </w:rPr>
        <w:t> </w:t>
      </w:r>
      <w:r>
        <w:rPr/>
        <w:t>group.</w:t>
      </w:r>
    </w:p>
    <w:p>
      <w:pPr>
        <w:pStyle w:val="BodyText"/>
        <w:spacing w:before="1"/>
        <w:rPr>
          <w:sz w:val="28"/>
        </w:rPr>
      </w:pPr>
    </w:p>
    <w:p>
      <w:pPr>
        <w:pStyle w:val="BodyText"/>
        <w:spacing w:line="355" w:lineRule="auto"/>
        <w:ind w:left="386" w:right="628"/>
      </w:pPr>
      <w:r>
        <w:rPr/>
        <w:t>These graphs show a number of intuitive patterns. Even after controlling for world export prices and other global</w:t>
      </w:r>
      <w:r>
        <w:rPr>
          <w:spacing w:val="-9"/>
        </w:rPr>
        <w:t> </w:t>
      </w:r>
      <w:r>
        <w:rPr/>
        <w:t>variables,</w:t>
      </w:r>
      <w:r>
        <w:rPr>
          <w:spacing w:val="-7"/>
        </w:rPr>
        <w:t> </w:t>
      </w:r>
      <w:r>
        <w:rPr/>
        <w:t>UK</w:t>
      </w:r>
      <w:r>
        <w:rPr>
          <w:spacing w:val="-7"/>
        </w:rPr>
        <w:t> </w:t>
      </w:r>
      <w:r>
        <w:rPr/>
        <w:t>headline</w:t>
      </w:r>
      <w:r>
        <w:rPr>
          <w:spacing w:val="-9"/>
        </w:rPr>
        <w:t> </w:t>
      </w:r>
      <w:r>
        <w:rPr/>
        <w:t>inflation</w:t>
      </w:r>
      <w:r>
        <w:rPr>
          <w:spacing w:val="-8"/>
        </w:rPr>
        <w:t> </w:t>
      </w:r>
      <w:r>
        <w:rPr/>
        <w:t>rates</w:t>
      </w:r>
      <w:r>
        <w:rPr>
          <w:spacing w:val="-8"/>
        </w:rPr>
        <w:t> </w:t>
      </w:r>
      <w:r>
        <w:rPr/>
        <w:t>tend</w:t>
      </w:r>
      <w:r>
        <w:rPr>
          <w:spacing w:val="-9"/>
        </w:rPr>
        <w:t> </w:t>
      </w:r>
      <w:r>
        <w:rPr/>
        <w:t>to</w:t>
      </w:r>
      <w:r>
        <w:rPr>
          <w:spacing w:val="-9"/>
        </w:rPr>
        <w:t> </w:t>
      </w:r>
      <w:r>
        <w:rPr/>
        <w:t>move</w:t>
      </w:r>
      <w:r>
        <w:rPr>
          <w:spacing w:val="-9"/>
        </w:rPr>
        <w:t> </w:t>
      </w:r>
      <w:r>
        <w:rPr/>
        <w:t>more</w:t>
      </w:r>
      <w:r>
        <w:rPr>
          <w:spacing w:val="-9"/>
        </w:rPr>
        <w:t> </w:t>
      </w:r>
      <w:r>
        <w:rPr/>
        <w:t>closely</w:t>
      </w:r>
      <w:r>
        <w:rPr>
          <w:spacing w:val="-7"/>
        </w:rPr>
        <w:t> </w:t>
      </w:r>
      <w:r>
        <w:rPr/>
        <w:t>with</w:t>
      </w:r>
      <w:r>
        <w:rPr>
          <w:spacing w:val="-8"/>
        </w:rPr>
        <w:t> </w:t>
      </w:r>
      <w:r>
        <w:rPr/>
        <w:t>inflation</w:t>
      </w:r>
      <w:r>
        <w:rPr>
          <w:spacing w:val="-9"/>
        </w:rPr>
        <w:t> </w:t>
      </w:r>
      <w:r>
        <w:rPr/>
        <w:t>rates</w:t>
      </w:r>
      <w:r>
        <w:rPr>
          <w:spacing w:val="-8"/>
        </w:rPr>
        <w:t> </w:t>
      </w:r>
      <w:r>
        <w:rPr/>
        <w:t>in</w:t>
      </w:r>
      <w:r>
        <w:rPr>
          <w:spacing w:val="-9"/>
        </w:rPr>
        <w:t> </w:t>
      </w:r>
      <w:r>
        <w:rPr/>
        <w:t>countries</w:t>
      </w:r>
      <w:r>
        <w:rPr>
          <w:spacing w:val="-6"/>
        </w:rPr>
        <w:t> </w:t>
      </w:r>
      <w:r>
        <w:rPr/>
        <w:t>such as Belgium, France, Germany, Canada, Austria, and New Zealand. Many of the countries where inflation comoves</w:t>
      </w:r>
      <w:r>
        <w:rPr>
          <w:spacing w:val="-7"/>
        </w:rPr>
        <w:t> </w:t>
      </w:r>
      <w:r>
        <w:rPr/>
        <w:t>more</w:t>
      </w:r>
      <w:r>
        <w:rPr>
          <w:spacing w:val="-6"/>
        </w:rPr>
        <w:t> </w:t>
      </w:r>
      <w:r>
        <w:rPr/>
        <w:t>with</w:t>
      </w:r>
      <w:r>
        <w:rPr>
          <w:spacing w:val="-8"/>
        </w:rPr>
        <w:t> </w:t>
      </w:r>
      <w:r>
        <w:rPr/>
        <w:t>UK</w:t>
      </w:r>
      <w:r>
        <w:rPr>
          <w:spacing w:val="-6"/>
        </w:rPr>
        <w:t> </w:t>
      </w:r>
      <w:r>
        <w:rPr/>
        <w:t>inflation</w:t>
      </w:r>
      <w:r>
        <w:rPr>
          <w:spacing w:val="-8"/>
        </w:rPr>
        <w:t> </w:t>
      </w:r>
      <w:r>
        <w:rPr/>
        <w:t>are</w:t>
      </w:r>
      <w:r>
        <w:rPr>
          <w:spacing w:val="-7"/>
        </w:rPr>
        <w:t> </w:t>
      </w:r>
      <w:r>
        <w:rPr/>
        <w:t>located</w:t>
      </w:r>
      <w:r>
        <w:rPr>
          <w:spacing w:val="-7"/>
        </w:rPr>
        <w:t> </w:t>
      </w:r>
      <w:r>
        <w:rPr/>
        <w:t>close</w:t>
      </w:r>
      <w:r>
        <w:rPr>
          <w:spacing w:val="-7"/>
        </w:rPr>
        <w:t> </w:t>
      </w:r>
      <w:r>
        <w:rPr/>
        <w:t>to</w:t>
      </w:r>
      <w:r>
        <w:rPr>
          <w:spacing w:val="-8"/>
        </w:rPr>
        <w:t> </w:t>
      </w:r>
      <w:r>
        <w:rPr/>
        <w:t>the</w:t>
      </w:r>
      <w:r>
        <w:rPr>
          <w:spacing w:val="-8"/>
        </w:rPr>
        <w:t> </w:t>
      </w:r>
      <w:r>
        <w:rPr/>
        <w:t>UK,</w:t>
      </w:r>
      <w:r>
        <w:rPr>
          <w:spacing w:val="-7"/>
        </w:rPr>
        <w:t> </w:t>
      </w:r>
      <w:r>
        <w:rPr/>
        <w:t>or</w:t>
      </w:r>
      <w:r>
        <w:rPr>
          <w:spacing w:val="-6"/>
        </w:rPr>
        <w:t> </w:t>
      </w:r>
      <w:r>
        <w:rPr/>
        <w:t>were</w:t>
      </w:r>
      <w:r>
        <w:rPr>
          <w:spacing w:val="-7"/>
        </w:rPr>
        <w:t> </w:t>
      </w:r>
      <w:r>
        <w:rPr/>
        <w:t>UK</w:t>
      </w:r>
      <w:r>
        <w:rPr>
          <w:spacing w:val="-8"/>
        </w:rPr>
        <w:t> </w:t>
      </w:r>
      <w:r>
        <w:rPr/>
        <w:t>colonies.</w:t>
      </w:r>
      <w:r>
        <w:rPr>
          <w:spacing w:val="-6"/>
        </w:rPr>
        <w:t> </w:t>
      </w:r>
      <w:r>
        <w:rPr/>
        <w:t>For</w:t>
      </w:r>
      <w:r>
        <w:rPr>
          <w:spacing w:val="-7"/>
        </w:rPr>
        <w:t> </w:t>
      </w:r>
      <w:r>
        <w:rPr/>
        <w:t>most</w:t>
      </w:r>
      <w:r>
        <w:rPr>
          <w:spacing w:val="-6"/>
        </w:rPr>
        <w:t> </w:t>
      </w:r>
      <w:r>
        <w:rPr/>
        <w:t>countries</w:t>
      </w:r>
      <w:r>
        <w:rPr>
          <w:spacing w:val="-7"/>
        </w:rPr>
        <w:t> </w:t>
      </w:r>
      <w:r>
        <w:rPr/>
        <w:t>in</w:t>
      </w:r>
      <w:r>
        <w:rPr>
          <w:spacing w:val="-7"/>
        </w:rPr>
        <w:t> </w:t>
      </w:r>
      <w:r>
        <w:rPr/>
        <w:t>the sample, however, there is estimated to be little additional comovement with UK inflation. Moreover, these estimated</w:t>
      </w:r>
      <w:r>
        <w:rPr>
          <w:spacing w:val="-10"/>
        </w:rPr>
        <w:t> </w:t>
      </w:r>
      <w:r>
        <w:rPr/>
        <w:t>comovements</w:t>
      </w:r>
      <w:r>
        <w:rPr>
          <w:spacing w:val="-8"/>
        </w:rPr>
        <w:t> </w:t>
      </w:r>
      <w:r>
        <w:rPr/>
        <w:t>are</w:t>
      </w:r>
      <w:r>
        <w:rPr>
          <w:spacing w:val="-10"/>
        </w:rPr>
        <w:t> </w:t>
      </w:r>
      <w:r>
        <w:rPr/>
        <w:t>substantially</w:t>
      </w:r>
      <w:r>
        <w:rPr>
          <w:spacing w:val="-8"/>
        </w:rPr>
        <w:t> </w:t>
      </w:r>
      <w:r>
        <w:rPr/>
        <w:t>smaller</w:t>
      </w:r>
      <w:r>
        <w:rPr>
          <w:spacing w:val="-8"/>
        </w:rPr>
        <w:t> </w:t>
      </w:r>
      <w:r>
        <w:rPr/>
        <w:t>for</w:t>
      </w:r>
      <w:r>
        <w:rPr>
          <w:spacing w:val="-9"/>
        </w:rPr>
        <w:t> </w:t>
      </w:r>
      <w:r>
        <w:rPr/>
        <w:t>core</w:t>
      </w:r>
      <w:r>
        <w:rPr>
          <w:spacing w:val="-9"/>
        </w:rPr>
        <w:t> </w:t>
      </w:r>
      <w:r>
        <w:rPr/>
        <w:t>inflation</w:t>
      </w:r>
      <w:r>
        <w:rPr>
          <w:spacing w:val="-9"/>
        </w:rPr>
        <w:t> </w:t>
      </w:r>
      <w:r>
        <w:rPr/>
        <w:t>rates.</w:t>
      </w:r>
      <w:r>
        <w:rPr>
          <w:spacing w:val="-8"/>
        </w:rPr>
        <w:t> </w:t>
      </w:r>
      <w:r>
        <w:rPr/>
        <w:t>Although</w:t>
      </w:r>
      <w:r>
        <w:rPr>
          <w:spacing w:val="-9"/>
        </w:rPr>
        <w:t> </w:t>
      </w:r>
      <w:r>
        <w:rPr/>
        <w:t>core</w:t>
      </w:r>
      <w:r>
        <w:rPr>
          <w:spacing w:val="-9"/>
        </w:rPr>
        <w:t> </w:t>
      </w:r>
      <w:r>
        <w:rPr/>
        <w:t>inflation</w:t>
      </w:r>
      <w:r>
        <w:rPr>
          <w:spacing w:val="-10"/>
        </w:rPr>
        <w:t> </w:t>
      </w:r>
      <w:r>
        <w:rPr/>
        <w:t>in</w:t>
      </w:r>
      <w:r>
        <w:rPr>
          <w:spacing w:val="-9"/>
        </w:rPr>
        <w:t> </w:t>
      </w:r>
      <w:r>
        <w:rPr/>
        <w:t>Belgium, Germany and Taiwan may have some additional correlation with core UK inflation, the estimated </w:t>
      </w:r>
      <w:r>
        <w:rPr>
          <w:rFonts w:ascii="Symbol" w:hAnsi="Symbol"/>
          <w:i/>
          <w:sz w:val="20"/>
        </w:rPr>
        <w:t></w:t>
      </w:r>
      <w:r>
        <w:rPr>
          <w:rFonts w:ascii="Times New Roman" w:hAnsi="Times New Roman"/>
          <w:i/>
          <w:sz w:val="20"/>
        </w:rPr>
        <w:t> </w:t>
      </w:r>
      <w:r>
        <w:rPr/>
        <w:t>‘s are generally small and near zero for most countries. In fact, the estimated correlations for core inflation are more often negative and significant than positive and significant across the full set of countries. This suggests that although there may be some additional effects on UK headline inflation from low headline inflation in a few countries, any additional spillover effects appear to be fairly limited and small for core inflation.</w:t>
      </w:r>
    </w:p>
    <w:p>
      <w:pPr>
        <w:spacing w:after="0" w:line="355" w:lineRule="auto"/>
        <w:sectPr>
          <w:pgSz w:w="12240" w:h="15840"/>
          <w:pgMar w:header="0" w:footer="1240" w:top="1440" w:bottom="1440" w:left="1200" w:right="1060"/>
        </w:sectPr>
      </w:pPr>
    </w:p>
    <w:p>
      <w:pPr>
        <w:pStyle w:val="BodyText"/>
        <w:spacing w:line="352" w:lineRule="auto" w:before="79"/>
        <w:ind w:left="386" w:right="856"/>
      </w:pPr>
      <w:r>
        <w:rPr/>
        <w:t>Nonetheless,</w:t>
      </w:r>
      <w:r>
        <w:rPr>
          <w:spacing w:val="-8"/>
        </w:rPr>
        <w:t> </w:t>
      </w:r>
      <w:r>
        <w:rPr/>
        <w:t>even</w:t>
      </w:r>
      <w:r>
        <w:rPr>
          <w:spacing w:val="-7"/>
        </w:rPr>
        <w:t> </w:t>
      </w:r>
      <w:r>
        <w:rPr/>
        <w:t>if</w:t>
      </w:r>
      <w:r>
        <w:rPr>
          <w:spacing w:val="-7"/>
        </w:rPr>
        <w:t> </w:t>
      </w:r>
      <w:r>
        <w:rPr/>
        <w:t>UK</w:t>
      </w:r>
      <w:r>
        <w:rPr>
          <w:spacing w:val="-6"/>
        </w:rPr>
        <w:t> </w:t>
      </w:r>
      <w:r>
        <w:rPr/>
        <w:t>inflation</w:t>
      </w:r>
      <w:r>
        <w:rPr>
          <w:spacing w:val="-8"/>
        </w:rPr>
        <w:t> </w:t>
      </w:r>
      <w:r>
        <w:rPr/>
        <w:t>is</w:t>
      </w:r>
      <w:r>
        <w:rPr>
          <w:spacing w:val="-6"/>
        </w:rPr>
        <w:t> </w:t>
      </w:r>
      <w:r>
        <w:rPr/>
        <w:t>not</w:t>
      </w:r>
      <w:r>
        <w:rPr>
          <w:spacing w:val="-5"/>
        </w:rPr>
        <w:t> </w:t>
      </w:r>
      <w:r>
        <w:rPr/>
        <w:t>affected</w:t>
      </w:r>
      <w:r>
        <w:rPr>
          <w:spacing w:val="-7"/>
        </w:rPr>
        <w:t> </w:t>
      </w:r>
      <w:r>
        <w:rPr/>
        <w:t>by</w:t>
      </w:r>
      <w:r>
        <w:rPr>
          <w:spacing w:val="-7"/>
        </w:rPr>
        <w:t> </w:t>
      </w:r>
      <w:r>
        <w:rPr/>
        <w:t>inflation</w:t>
      </w:r>
      <w:r>
        <w:rPr>
          <w:spacing w:val="-7"/>
        </w:rPr>
        <w:t> </w:t>
      </w:r>
      <w:r>
        <w:rPr/>
        <w:t>rates</w:t>
      </w:r>
      <w:r>
        <w:rPr>
          <w:spacing w:val="-6"/>
        </w:rPr>
        <w:t> </w:t>
      </w:r>
      <w:r>
        <w:rPr/>
        <w:t>in</w:t>
      </w:r>
      <w:r>
        <w:rPr>
          <w:spacing w:val="-7"/>
        </w:rPr>
        <w:t> </w:t>
      </w:r>
      <w:r>
        <w:rPr/>
        <w:t>most</w:t>
      </w:r>
      <w:r>
        <w:rPr>
          <w:spacing w:val="-7"/>
        </w:rPr>
        <w:t> </w:t>
      </w:r>
      <w:r>
        <w:rPr/>
        <w:t>other</w:t>
      </w:r>
      <w:r>
        <w:rPr>
          <w:spacing w:val="-7"/>
        </w:rPr>
        <w:t> </w:t>
      </w:r>
      <w:r>
        <w:rPr/>
        <w:t>countries,</w:t>
      </w:r>
      <w:r>
        <w:rPr>
          <w:spacing w:val="-5"/>
        </w:rPr>
        <w:t> </w:t>
      </w:r>
      <w:r>
        <w:rPr/>
        <w:t>is</w:t>
      </w:r>
      <w:r>
        <w:rPr>
          <w:spacing w:val="-7"/>
        </w:rPr>
        <w:t> </w:t>
      </w:r>
      <w:r>
        <w:rPr/>
        <w:t>it</w:t>
      </w:r>
      <w:r>
        <w:rPr>
          <w:spacing w:val="-8"/>
        </w:rPr>
        <w:t> </w:t>
      </w:r>
      <w:r>
        <w:rPr/>
        <w:t>possible</w:t>
      </w:r>
      <w:r>
        <w:rPr>
          <w:spacing w:val="-8"/>
        </w:rPr>
        <w:t> </w:t>
      </w:r>
      <w:r>
        <w:rPr/>
        <w:t>to better understand which countries may have some effect on UK inflation? To answer this, I use the partner-country </w:t>
      </w:r>
      <w:r>
        <w:rPr>
          <w:rFonts w:ascii="Symbol" w:hAnsi="Symbol"/>
          <w:i/>
          <w:sz w:val="20"/>
        </w:rPr>
        <w:t></w:t>
      </w:r>
      <w:r>
        <w:rPr>
          <w:i/>
        </w:rPr>
        <w:t>’</w:t>
      </w:r>
      <w:r>
        <w:rPr/>
        <w:t>s shown in Appendix B and Figures 17 and 18 to assess exactly which country characteristics</w:t>
      </w:r>
      <w:r>
        <w:rPr>
          <w:spacing w:val="-8"/>
        </w:rPr>
        <w:t> </w:t>
      </w:r>
      <w:r>
        <w:rPr/>
        <w:t>determine</w:t>
      </w:r>
      <w:r>
        <w:rPr>
          <w:spacing w:val="-8"/>
        </w:rPr>
        <w:t> </w:t>
      </w:r>
      <w:r>
        <w:rPr/>
        <w:t>how</w:t>
      </w:r>
      <w:r>
        <w:rPr>
          <w:spacing w:val="-10"/>
        </w:rPr>
        <w:t> </w:t>
      </w:r>
      <w:r>
        <w:rPr/>
        <w:t>much</w:t>
      </w:r>
      <w:r>
        <w:rPr>
          <w:spacing w:val="-8"/>
        </w:rPr>
        <w:t> </w:t>
      </w:r>
      <w:r>
        <w:rPr/>
        <w:t>an</w:t>
      </w:r>
      <w:r>
        <w:rPr>
          <w:spacing w:val="-9"/>
        </w:rPr>
        <w:t> </w:t>
      </w:r>
      <w:r>
        <w:rPr/>
        <w:t>individual</w:t>
      </w:r>
      <w:r>
        <w:rPr>
          <w:spacing w:val="-7"/>
        </w:rPr>
        <w:t> </w:t>
      </w:r>
      <w:r>
        <w:rPr/>
        <w:t>country’s</w:t>
      </w:r>
      <w:r>
        <w:rPr>
          <w:spacing w:val="-7"/>
        </w:rPr>
        <w:t> </w:t>
      </w:r>
      <w:r>
        <w:rPr/>
        <w:t>inflation</w:t>
      </w:r>
      <w:r>
        <w:rPr>
          <w:spacing w:val="-8"/>
        </w:rPr>
        <w:t> </w:t>
      </w:r>
      <w:r>
        <w:rPr/>
        <w:t>rate</w:t>
      </w:r>
      <w:r>
        <w:rPr>
          <w:spacing w:val="-7"/>
        </w:rPr>
        <w:t> </w:t>
      </w:r>
      <w:r>
        <w:rPr/>
        <w:t>moves</w:t>
      </w:r>
      <w:r>
        <w:rPr>
          <w:spacing w:val="-9"/>
        </w:rPr>
        <w:t> </w:t>
      </w:r>
      <w:r>
        <w:rPr/>
        <w:t>with</w:t>
      </w:r>
      <w:r>
        <w:rPr>
          <w:spacing w:val="-9"/>
        </w:rPr>
        <w:t> </w:t>
      </w:r>
      <w:r>
        <w:rPr/>
        <w:t>UK</w:t>
      </w:r>
      <w:r>
        <w:rPr>
          <w:spacing w:val="-7"/>
        </w:rPr>
        <w:t> </w:t>
      </w:r>
      <w:r>
        <w:rPr/>
        <w:t>inflation.</w:t>
      </w:r>
      <w:r>
        <w:rPr>
          <w:spacing w:val="-6"/>
        </w:rPr>
        <w:t> </w:t>
      </w:r>
      <w:r>
        <w:rPr/>
        <w:t>In</w:t>
      </w:r>
      <w:r>
        <w:rPr>
          <w:spacing w:val="-8"/>
        </w:rPr>
        <w:t> </w:t>
      </w:r>
      <w:r>
        <w:rPr/>
        <w:t>other words,</w:t>
      </w:r>
      <w:r>
        <w:rPr>
          <w:spacing w:val="-8"/>
        </w:rPr>
        <w:t> </w:t>
      </w:r>
      <w:r>
        <w:rPr/>
        <w:t>I</w:t>
      </w:r>
      <w:r>
        <w:rPr>
          <w:spacing w:val="-5"/>
        </w:rPr>
        <w:t> </w:t>
      </w:r>
      <w:r>
        <w:rPr/>
        <w:t>attempt</w:t>
      </w:r>
      <w:r>
        <w:rPr>
          <w:spacing w:val="-8"/>
        </w:rPr>
        <w:t> </w:t>
      </w:r>
      <w:r>
        <w:rPr/>
        <w:t>to</w:t>
      </w:r>
      <w:r>
        <w:rPr>
          <w:spacing w:val="-7"/>
        </w:rPr>
        <w:t> </w:t>
      </w:r>
      <w:r>
        <w:rPr/>
        <w:t>explain</w:t>
      </w:r>
      <w:r>
        <w:rPr>
          <w:spacing w:val="-8"/>
        </w:rPr>
        <w:t> </w:t>
      </w:r>
      <w:r>
        <w:rPr/>
        <w:t>any</w:t>
      </w:r>
      <w:r>
        <w:rPr>
          <w:spacing w:val="-6"/>
        </w:rPr>
        <w:t> </w:t>
      </w:r>
      <w:r>
        <w:rPr/>
        <w:t>residual</w:t>
      </w:r>
      <w:r>
        <w:rPr>
          <w:spacing w:val="-7"/>
        </w:rPr>
        <w:t> </w:t>
      </w:r>
      <w:r>
        <w:rPr/>
        <w:t>correlation</w:t>
      </w:r>
      <w:r>
        <w:rPr>
          <w:spacing w:val="-7"/>
        </w:rPr>
        <w:t> </w:t>
      </w:r>
      <w:r>
        <w:rPr/>
        <w:t>between</w:t>
      </w:r>
      <w:r>
        <w:rPr>
          <w:spacing w:val="-7"/>
        </w:rPr>
        <w:t> </w:t>
      </w:r>
      <w:r>
        <w:rPr/>
        <w:t>a</w:t>
      </w:r>
      <w:r>
        <w:rPr>
          <w:spacing w:val="-8"/>
        </w:rPr>
        <w:t> </w:t>
      </w:r>
      <w:r>
        <w:rPr/>
        <w:t>country’s</w:t>
      </w:r>
      <w:r>
        <w:rPr>
          <w:spacing w:val="-7"/>
        </w:rPr>
        <w:t> </w:t>
      </w:r>
      <w:r>
        <w:rPr/>
        <w:t>inflation</w:t>
      </w:r>
      <w:r>
        <w:rPr>
          <w:spacing w:val="-7"/>
        </w:rPr>
        <w:t> </w:t>
      </w:r>
      <w:r>
        <w:rPr/>
        <w:t>and</w:t>
      </w:r>
      <w:r>
        <w:rPr>
          <w:spacing w:val="-8"/>
        </w:rPr>
        <w:t> </w:t>
      </w:r>
      <w:r>
        <w:rPr/>
        <w:t>that</w:t>
      </w:r>
      <w:r>
        <w:rPr>
          <w:spacing w:val="-7"/>
        </w:rPr>
        <w:t> </w:t>
      </w:r>
      <w:r>
        <w:rPr/>
        <w:t>in</w:t>
      </w:r>
      <w:r>
        <w:rPr>
          <w:spacing w:val="-7"/>
        </w:rPr>
        <w:t> </w:t>
      </w:r>
      <w:r>
        <w:rPr/>
        <w:t>the</w:t>
      </w:r>
      <w:r>
        <w:rPr>
          <w:spacing w:val="-8"/>
        </w:rPr>
        <w:t> </w:t>
      </w:r>
      <w:r>
        <w:rPr/>
        <w:t>UK</w:t>
      </w:r>
      <w:r>
        <w:rPr>
          <w:spacing w:val="-6"/>
        </w:rPr>
        <w:t> </w:t>
      </w:r>
      <w:r>
        <w:rPr/>
        <w:t>after</w:t>
      </w:r>
    </w:p>
    <w:p>
      <w:pPr>
        <w:pStyle w:val="BodyText"/>
        <w:spacing w:line="357" w:lineRule="auto"/>
        <w:ind w:left="386" w:right="533"/>
      </w:pPr>
      <w:r>
        <w:rPr/>
        <w:t>controlling</w:t>
      </w:r>
      <w:r>
        <w:rPr>
          <w:spacing w:val="-9"/>
        </w:rPr>
        <w:t> </w:t>
      </w:r>
      <w:r>
        <w:rPr/>
        <w:t>for</w:t>
      </w:r>
      <w:r>
        <w:rPr>
          <w:spacing w:val="-8"/>
        </w:rPr>
        <w:t> </w:t>
      </w:r>
      <w:r>
        <w:rPr/>
        <w:t>changes</w:t>
      </w:r>
      <w:r>
        <w:rPr>
          <w:spacing w:val="-6"/>
        </w:rPr>
        <w:t> </w:t>
      </w:r>
      <w:r>
        <w:rPr/>
        <w:t>in</w:t>
      </w:r>
      <w:r>
        <w:rPr>
          <w:spacing w:val="-8"/>
        </w:rPr>
        <w:t> </w:t>
      </w:r>
      <w:r>
        <w:rPr/>
        <w:t>oil</w:t>
      </w:r>
      <w:r>
        <w:rPr>
          <w:spacing w:val="-7"/>
        </w:rPr>
        <w:t> </w:t>
      </w:r>
      <w:r>
        <w:rPr/>
        <w:t>prices,</w:t>
      </w:r>
      <w:r>
        <w:rPr>
          <w:spacing w:val="-9"/>
        </w:rPr>
        <w:t> </w:t>
      </w:r>
      <w:r>
        <w:rPr/>
        <w:t>the</w:t>
      </w:r>
      <w:r>
        <w:rPr>
          <w:spacing w:val="-7"/>
        </w:rPr>
        <w:t> </w:t>
      </w:r>
      <w:r>
        <w:rPr/>
        <w:t>exchange</w:t>
      </w:r>
      <w:r>
        <w:rPr>
          <w:spacing w:val="-9"/>
        </w:rPr>
        <w:t> </w:t>
      </w:r>
      <w:r>
        <w:rPr/>
        <w:t>rate,</w:t>
      </w:r>
      <w:r>
        <w:rPr>
          <w:spacing w:val="-6"/>
        </w:rPr>
        <w:t> </w:t>
      </w:r>
      <w:r>
        <w:rPr/>
        <w:t>and</w:t>
      </w:r>
      <w:r>
        <w:rPr>
          <w:spacing w:val="-7"/>
        </w:rPr>
        <w:t> </w:t>
      </w:r>
      <w:r>
        <w:rPr/>
        <w:t>the</w:t>
      </w:r>
      <w:r>
        <w:rPr>
          <w:spacing w:val="-9"/>
        </w:rPr>
        <w:t> </w:t>
      </w:r>
      <w:r>
        <w:rPr/>
        <w:t>other</w:t>
      </w:r>
      <w:r>
        <w:rPr>
          <w:spacing w:val="-7"/>
        </w:rPr>
        <w:t> </w:t>
      </w:r>
      <w:r>
        <w:rPr/>
        <w:t>variables</w:t>
      </w:r>
      <w:r>
        <w:rPr>
          <w:spacing w:val="-7"/>
        </w:rPr>
        <w:t> </w:t>
      </w:r>
      <w:r>
        <w:rPr/>
        <w:t>in</w:t>
      </w:r>
      <w:r>
        <w:rPr>
          <w:spacing w:val="-9"/>
        </w:rPr>
        <w:t> </w:t>
      </w:r>
      <w:r>
        <w:rPr/>
        <w:t>the</w:t>
      </w:r>
      <w:r>
        <w:rPr>
          <w:spacing w:val="-7"/>
        </w:rPr>
        <w:t> </w:t>
      </w:r>
      <w:r>
        <w:rPr/>
        <w:t>regression.</w:t>
      </w:r>
      <w:r>
        <w:rPr>
          <w:spacing w:val="-8"/>
        </w:rPr>
        <w:t> </w:t>
      </w:r>
      <w:r>
        <w:rPr/>
        <w:t>I</w:t>
      </w:r>
      <w:r>
        <w:rPr>
          <w:spacing w:val="-6"/>
        </w:rPr>
        <w:t> </w:t>
      </w:r>
      <w:r>
        <w:rPr/>
        <w:t>attempt</w:t>
      </w:r>
      <w:r>
        <w:rPr>
          <w:spacing w:val="-8"/>
        </w:rPr>
        <w:t> </w:t>
      </w:r>
      <w:r>
        <w:rPr/>
        <w:t>to explain this excess comovement based on variables such as: the country’s share of UK imports, the country’s size (measured by its share of world PPP), the distance between the country and the UK (measured using the log of distance between their capitals), whether the country was a former UK colony, whether English is the country’s official language, and the percentage of households with access to the internet</w:t>
      </w:r>
      <w:r>
        <w:rPr>
          <w:spacing w:val="-3"/>
        </w:rPr>
        <w:t> </w:t>
      </w:r>
      <w:r>
        <w:rPr/>
        <w:t>(a</w:t>
      </w:r>
      <w:r>
        <w:rPr>
          <w:spacing w:val="-3"/>
        </w:rPr>
        <w:t> </w:t>
      </w:r>
      <w:r>
        <w:rPr/>
        <w:t>rough</w:t>
      </w:r>
      <w:r>
        <w:rPr>
          <w:spacing w:val="-3"/>
        </w:rPr>
        <w:t> </w:t>
      </w:r>
      <w:r>
        <w:rPr/>
        <w:t>proxy</w:t>
      </w:r>
      <w:r>
        <w:rPr>
          <w:spacing w:val="-3"/>
        </w:rPr>
        <w:t> </w:t>
      </w:r>
      <w:r>
        <w:rPr/>
        <w:t>for</w:t>
      </w:r>
      <w:r>
        <w:rPr>
          <w:spacing w:val="-3"/>
        </w:rPr>
        <w:t> </w:t>
      </w:r>
      <w:r>
        <w:rPr/>
        <w:t>the</w:t>
      </w:r>
      <w:r>
        <w:rPr>
          <w:spacing w:val="-4"/>
        </w:rPr>
        <w:t> </w:t>
      </w:r>
      <w:r>
        <w:rPr/>
        <w:t>locals’</w:t>
      </w:r>
      <w:r>
        <w:rPr>
          <w:spacing w:val="-3"/>
        </w:rPr>
        <w:t> </w:t>
      </w:r>
      <w:r>
        <w:rPr/>
        <w:t>ability</w:t>
      </w:r>
      <w:r>
        <w:rPr>
          <w:spacing w:val="-4"/>
        </w:rPr>
        <w:t> </w:t>
      </w:r>
      <w:r>
        <w:rPr/>
        <w:t>to</w:t>
      </w:r>
      <w:r>
        <w:rPr>
          <w:spacing w:val="-4"/>
        </w:rPr>
        <w:t> </w:t>
      </w:r>
      <w:r>
        <w:rPr/>
        <w:t>arbitrage</w:t>
      </w:r>
      <w:r>
        <w:rPr>
          <w:spacing w:val="-3"/>
        </w:rPr>
        <w:t> </w:t>
      </w:r>
      <w:r>
        <w:rPr/>
        <w:t>prices</w:t>
      </w:r>
      <w:r>
        <w:rPr>
          <w:spacing w:val="-1"/>
        </w:rPr>
        <w:t> </w:t>
      </w:r>
      <w:r>
        <w:rPr/>
        <w:t>through</w:t>
      </w:r>
      <w:r>
        <w:rPr>
          <w:spacing w:val="-3"/>
        </w:rPr>
        <w:t> </w:t>
      </w:r>
      <w:r>
        <w:rPr/>
        <w:t>the</w:t>
      </w:r>
      <w:r>
        <w:rPr>
          <w:spacing w:val="-3"/>
        </w:rPr>
        <w:t> </w:t>
      </w:r>
      <w:r>
        <w:rPr/>
        <w:t>internet).</w:t>
      </w:r>
    </w:p>
    <w:p>
      <w:pPr>
        <w:pStyle w:val="BodyText"/>
        <w:spacing w:before="4"/>
        <w:rPr>
          <w:sz w:val="23"/>
        </w:rPr>
      </w:pPr>
    </w:p>
    <w:p>
      <w:pPr>
        <w:spacing w:line="278" w:lineRule="auto" w:before="97"/>
        <w:ind w:left="429" w:right="1360" w:hanging="1"/>
        <w:jc w:val="left"/>
        <w:rPr>
          <w:b/>
          <w:sz w:val="18"/>
        </w:rPr>
      </w:pPr>
      <w:r>
        <w:rPr>
          <w:b/>
          <w:sz w:val="18"/>
        </w:rPr>
        <w:t>Figure 17: Country betas from Phillips curve regressions using UK and foreign </w:t>
      </w:r>
      <w:r>
        <w:rPr>
          <w:b/>
          <w:sz w:val="18"/>
          <w:u w:val="single"/>
        </w:rPr>
        <w:t>headline</w:t>
      </w:r>
      <w:r>
        <w:rPr>
          <w:b/>
          <w:sz w:val="18"/>
        </w:rPr>
        <w:t> inflation</w:t>
      </w:r>
    </w:p>
    <w:p>
      <w:pPr>
        <w:pStyle w:val="BodyText"/>
        <w:spacing w:before="3"/>
        <w:rPr>
          <w:b/>
          <w:sz w:val="20"/>
        </w:rPr>
      </w:pPr>
    </w:p>
    <w:p>
      <w:pPr>
        <w:spacing w:line="55" w:lineRule="auto" w:before="119"/>
        <w:ind w:left="0" w:right="636" w:firstLine="0"/>
        <w:jc w:val="center"/>
        <w:rPr>
          <w:sz w:val="18"/>
        </w:rPr>
      </w:pPr>
      <w:r>
        <w:rPr>
          <w:sz w:val="18"/>
        </w:rPr>
        <w:t>belgium </w:t>
      </w:r>
      <w:r>
        <w:rPr>
          <w:position w:val="-13"/>
          <w:sz w:val="18"/>
        </w:rPr>
        <w:t>france</w:t>
      </w:r>
    </w:p>
    <w:p>
      <w:pPr>
        <w:spacing w:after="0" w:line="55" w:lineRule="auto"/>
        <w:jc w:val="center"/>
        <w:rPr>
          <w:sz w:val="18"/>
        </w:rPr>
        <w:sectPr>
          <w:pgSz w:w="12240" w:h="15840"/>
          <w:pgMar w:header="0" w:footer="1240" w:top="1440" w:bottom="1440" w:left="1200" w:right="1060"/>
        </w:sectPr>
      </w:pPr>
    </w:p>
    <w:p>
      <w:pPr>
        <w:spacing w:line="139" w:lineRule="auto" w:before="69"/>
        <w:ind w:left="2586" w:right="0" w:firstLine="614"/>
        <w:jc w:val="left"/>
        <w:rPr>
          <w:sz w:val="18"/>
        </w:rPr>
      </w:pPr>
      <w:r>
        <w:rPr/>
        <w:pict>
          <v:group style="position:absolute;margin-left:141.960007pt;margin-top:5.410469pt;width:274.1pt;height:274.45pt;mso-position-horizontal-relative:page;mso-position-vertical-relative:paragraph;z-index:-254905344" coordorigin="2839,108" coordsize="5482,5489">
            <v:shape style="position:absolute;left:4015;top:163;width:3227;height:5084" type="#_x0000_t75" stroked="false">
              <v:imagedata r:id="rId24" o:title=""/>
            </v:shape>
            <v:shape style="position:absolute;left:4245;top:863;width:2675;height:3670" coordorigin="4246,863" coordsize="2675,3670" path="m5595,4131l5238,4131,5384,4338,5580,4533,5595,4131xm4951,1765l4786,1819,4691,1966,4508,2033,4400,2173,4316,2332,4436,2548,4307,2687,4326,2855,4246,3030,4379,3177,4316,3378,4445,3510,4468,3707,4553,3882,4688,4015,4831,4152,4945,4385,5238,4131,5595,4131,5629,3234,6673,3234,6763,3172,6827,3018,6918,2855,6892,2682,6864,2511,6920,2299,6665,2227,6660,2026,6631,1927,5332,1927,5188,1908,4951,1765xm6673,3234l5629,3234,5837,3815,6007,3888,6140,3826,6295,3787,6208,3483,6352,3447,6621,3447,6607,3280,6673,3234xm6621,3447l6352,3447,6622,3456,6621,3447xm5580,863l5332,1927,6631,1927,6604,1831,6450,1721,6374,1477,6200,1356,6100,1293,5785,1293,5580,863xm6013,1237l5785,1293,6100,1293,6013,1237xe" filled="true" fillcolor="#ffffff" stroked="false">
              <v:path arrowok="t"/>
              <v:fill type="solid"/>
            </v:shape>
            <v:shape style="position:absolute;left:5580;top:114;width:2741;height:5458" type="#_x0000_t75" stroked="false">
              <v:imagedata r:id="rId25" o:title=""/>
            </v:shape>
            <v:shape style="position:absolute;left:2839;top:207;width:2741;height:4035" type="#_x0000_t75" stroked="false">
              <v:imagedata r:id="rId26" o:title=""/>
            </v:shape>
            <v:shape style="position:absolute;left:4870;top:2855;width:710;height:2740" type="#_x0000_t75" stroked="false">
              <v:imagedata r:id="rId27" o:title=""/>
            </v:shape>
            <v:shape style="position:absolute;left:2839;top:4215;width:2741;height:1172" type="#_x0000_t75" stroked="false">
              <v:imagedata r:id="rId28" o:title=""/>
            </v:shape>
            <v:shape style="position:absolute;left:2842;top:108;width:5475;height:5489" coordorigin="2843,108" coordsize="5475,5489" path="m5580,2915l5573,2969,5573,5597,5587,5597,5587,2969,5580,2915xm5573,2915l5559,2968,5220,5567,5234,5569,5573,2970,5573,2915xm5587,2915l5587,2970,5926,5569,5940,5567,5601,2968,5587,2915xm5565,2915l5543,2969,4868,5496,4882,5500,5559,2968,5565,2915xm5594,2911l5601,2968,6278,5500,6293,5496,5615,2961,5594,2911xm5558,2911l5533,2955,4530,5382,4542,5388,5543,2969,5558,2911xm5602,2911l5615,2961,6618,5388,6631,5382,5631,2962,5602,2911xm5553,2906l5521,2949,4206,5226,4218,5233,5533,2955,5553,2906xm5609,2909l5631,2962,6943,5233,6955,5226,5640,2949,5609,2909xm5548,2902l5507,2942,3910,5028,3920,5037,5521,2949,5548,2902xm5612,2902l5640,2949,7240,5037,7250,5028,5653,2942,5612,2902xm5541,2898l5502,2928,3642,4787,3652,4798,5507,2942,5541,2898xm5617,2896l5653,2942,7508,4798,7518,4787,5654,2924,5617,2896xm5538,2892l5491,2919,3403,4518,3412,4530,5502,2928,5538,2892xm5622,2892l5654,2924,7748,4530,7758,4518,5674,2922,5622,2892xm5535,2885l5488,2905,3206,4222,3214,4234,5491,2919,5535,2885xm5627,2886l5674,2922,7948,4234,7955,4222,5672,2905,5627,2886xm5533,2879l5479,2893,3052,3897,3058,3910,5488,2905,5533,2879xm5626,2878l5672,2905,8104,3910,8108,3897,5679,2892,5626,2878xm5529,2873l5480,2879,2926,3558,2929,3571,5479,2893,5529,2873xm5631,2873l5679,2892,8231,3571,8234,3558,5682,2879,5631,2873xm5529,2859l2856,3205,2858,3219,5480,2879,5546,2861,5529,2859xm5631,2859l5615,2861,5615,2861,5682,2879,8303,3219,8304,3205,5631,2859xm5578,2897l5573,2915,5573,2970,5580,2915,5578,2897xm5582,2897l5580,2915,5587,2970,5587,2915,5582,2897xm5568,2894l5558,2911,5543,2969,5565,2915,5568,2894xm5573,2897l5565,2915,5559,2968,5573,2915,5573,2897xm5587,2894l5587,2915,5601,2968,5594,2911,5587,2894xm5597,2893l5602,2911,5631,2962,5609,2909,5597,2893xm5592,2894l5594,2911,5615,2961,5602,2911,5592,2894xm5563,2893l5553,2906,5533,2955,5558,2911,5563,2893xm5602,2891l5609,2909,5640,2949,5612,2902,5602,2891xm5560,2889l5548,2902,5521,2949,5553,2906,5560,2889xm5557,2886l5541,2898,5507,2942,5548,2902,5557,2886xm5602,2885l5612,2902,5653,2942,5617,2896,5602,2885xm5552,2884l5538,2892,5502,2928,5541,2898,5552,2884xm5608,2884l5617,2896,5654,2924,5622,2892,5608,2884xm5608,2878l5622,2892,5674,2922,5627,2886,5608,2878xm5552,2879l5535,2885,5491,2919,5538,2892,5552,2879xm5580,2888l5578,2896,5578,2898,5580,2915,5582,2898,5582,2896,5580,2888xm5576,2888l5573,2897,5573,2915,5578,2897,5578,2896,5576,2888xm5584,2886l5582,2896,5582,2897,5587,2915,5587,2894,5584,2886xm5573,2886l5568,2894,5565,2915,5573,2897,5573,2886xm5591,2885l5592,2894,5602,2911,5597,2893,5591,2885xm5569,2885l5563,2893,5558,2911,5568,2894,5569,2885xm5587,2886l5587,2894,5594,2911,5592,2894,5587,2886xm5594,2884l5597,2893,5609,2909,5602,2891,5594,2884xm5566,2884l5560,2889,5553,2906,5563,2893,5566,2884xm5549,2875l5533,2879,5488,2905,5535,2885,5549,2875xm5612,2875l5627,2886,5672,2905,5626,2878,5612,2875xm5597,2881l5602,2891,5612,2902,5602,2885,5597,2881xm5564,2881l5557,2886,5548,2902,5560,2889,5564,2881xm5561,2879l5552,2884,5541,2898,5557,2886,5561,2879xm5576,2881l5573,2886,5573,2897,5576,2888,5576,2881xm5579,2883l5577,2888,5577,2889,5578,2897,5580,2888,5579,2883xm5582,2881l5580,2888,5582,2897,5584,2886,5582,2881xm5599,2879l5602,2885,5617,2896,5608,2884,5599,2879xm5573,2881l5569,2885,5568,2894,5573,2886,5573,2881xm5587,2881l5587,2886,5592,2894,5591,2885,5587,2881xm5584,2881l5584,2884,5584,2886,5587,2894,5587,2886,5584,2881xm5548,2870l5529,2873,5479,2893,5533,2879,5548,2870xm5590,2879l5591,2885,5591,2885,5597,2893,5594,2884,5590,2879xm5570,2879l5566,2884,5563,2893,5569,2885,5569,2885,5570,2879xm5612,2870l5626,2878,5679,2892,5631,2873,5612,2870xm5558,2876l5552,2879,5538,2892,5552,2884,5558,2876xm5602,2876l5608,2884,5622,2892,5608,2879,5602,2876xm5592,2877l5594,2884,5602,2891,5597,2881,5592,2877xm5567,2878l5564,2881,5560,2889,5566,2884,5567,2878xm5577,2878l5576,2881,5576,2883,5576,2888,5579,2883,5577,2878xm5581,2878l5579,2883,5580,2888,5582,2881,5581,2878xm5602,2872l5608,2879,5627,2886,5612,2875,5602,2872xm5575,2878l5573,2881,5573,2886,5576,2881,5575,2878xm5585,2878l5584,2881,5587,2886,5587,2881,5585,2878xm5566,2876l5561,2879,5557,2886,5564,2881,5566,2876xm5583,2878l5582,2881,5582,2881,5584,2886,5584,2883,5584,2881,5583,2878xm5558,2872l5549,2875,5535,2885,5552,2879,5558,2872xm5573,2877l5570,2879,5569,2885,5573,2881,5573,2877xm5587,2877l5587,2881,5591,2885,5590,2879,5587,2877xm5596,2877l5597,2881,5602,2885,5599,2879,5596,2877xm5564,2873l5558,2876,5552,2884,5561,2879,5564,2873xm5596,2873l5599,2879,5608,2884,5602,2876,5596,2873xm5589,2874l5590,2879,5594,2884,5592,2877,5589,2874xm5571,2875l5567,2878,5566,2884,5570,2879,5571,2875xm5579,2875l5578,2878,5578,2879,5579,2883,5580,2878,5580,2878,5579,2875xm5577,2876l5575,2878,5576,2881,5577,2879,5577,2878,5577,2876xm5583,2876l5583,2878,5583,2879,5584,2881,5585,2878,5583,2876xm5581,2876l5581,2878,5581,2878,5582,2881,5582,2879,5582,2878,5581,2876xm5575,2875l5573,2877,5573,2881,5575,2878,5575,2875xm5585,2875l5585,2878,5587,2881,5587,2877,5585,2875xm5592,2875l5592,2877,5597,2881,5596,2877,5592,2875xm5568,2875l5566,2876,5564,2881,5567,2878,5568,2875xm5573,2874l5571,2875,5570,2879,5573,2877,5573,2874xm5587,2873l5587,2877,5590,2879,5589,2874,5587,2873xm5615,2861l5606,2862,5631,2873,5682,2879,5615,2861xm5557,2869l5548,2870,5533,2879,5549,2875,5557,2869xm5546,2861l5480,2879,5529,2873,5554,2862,5546,2861xm5567,2872l5564,2873,5561,2879,5566,2876,5567,2872xm5594,2873l5596,2877,5599,2879,5596,2873,5594,2873xm5561,2871l5558,2872,5552,2879,5558,2876,5561,2871xm5598,2871l5602,2876,5608,2878,5602,2872,5598,2871xm5605,2869l5612,2875,5626,2878,5612,2870,5605,2869xm5579,2873l5577,2875,5577,2876,5577,2878,5579,2875,5579,2874,5579,2873xm5582,2874l5581,2876,5583,2878,5583,2876,5583,2875,5582,2874xm5580,2874l5580,2874,5579,2875,5581,2878,5581,2877,5581,2876,5580,2874xm5571,2873l5568,2875,5568,2875,5567,2878,5571,2876,5571,2875,5571,2873xm5576,2873l5575,2874,5575,2876,5575,2878,5577,2876,5576,2873xm5584,2873l5583,2876,5585,2878,5585,2876,5585,2874,5584,2873xm5591,2871l5592,2875,5596,2877,5594,2873,5591,2871xm5589,2873l5589,2874,5592,2877,5592,2875,5592,2875,5589,2873xm5574,2873l5573,2874,5573,2877,5575,2875,5574,2873xm5586,2872l5585,2875,5587,2877,5587,2873,5586,2872xm5581,2872l5580,2874,5581,2876,5582,2874,5581,2872xm5569,2871l5567,2872,5566,2876,5568,2875,5569,2871xm5566,2870l5561,2871,5558,2876,5564,2873,5566,2870xm5594,2870l5596,2873,5602,2876,5598,2871,5594,2870xm5578,2872l5576,2873,5576,2874,5577,2876,5578,2873,5578,2872,5578,2872xm5583,2872l5582,2874,5583,2876,5584,2874,5584,2873,5583,2872xm5573,2872l5571,2873,5571,2875,5573,2874,5573,2872xm5579,2872l5579,2873,5579,2873,5579,2875,5580,2874,5579,2872xm5589,2870l5589,2872,5589,2873,5592,2875,5591,2871,5589,2870xm5571,2870l5569,2871,5568,2875,5571,2873,5571,2872,5571,2870xm5576,2872l5575,2872,5575,2873,5575,2875,5576,2873,5576,2872,5576,2872xm5585,2871l5584,2872,5584,2873,5585,2875,5585,2873,5585,2872,5585,2871xm5598,2868l5602,2872,5612,2875,5605,2869,5598,2868xm5562,2868l5557,2869,5549,2875,5558,2872,5562,2868xm5587,2872l5587,2873,5589,2874,5589,2873,5587,2872xm5582,2871l5581,2872,5581,2873,5582,2874,5583,2873,5583,2872,5582,2871xm5574,2871l5573,2872,5573,2874,5574,2873,5574,2871xm5580,2871l5579,2872,5579,2873,5580,2874,5581,2872,5580,2871xm5569,2870l5566,2870,5564,2873,5567,2872,5568,2872,5569,2870xm5593,2870l5594,2873,5596,2873,5594,2870,5593,2870xm5577,2870l5576,2872,5576,2872,5576,2873,5578,2872,5578,2871,5577,2870xm5584,2870l5583,2872,5583,2873,5584,2873,5585,2871,5584,2870xm5578,2871l5578,2871,5578,2872,5579,2873,5579,2873,5579,2872,5578,2871xm5573,2870l5571,2870,5571,2873,5573,2872,5573,2870xm5587,2870l5587,2872,5589,2873,5589,2870,5587,2870xm5586,2871l5586,2872,5587,2873,5587,2872,5586,2871xm5590,2869l5591,2871,5591,2871,5594,2873,5593,2870,5590,2869xm5575,2871l5575,2871,5574,2873,5576,2872,5575,2871xm5554,2862l5529,2873,5548,2870,5560,2863,5554,2862xm5606,2862l5600,2863,5612,2870,5631,2873,5606,2862xm5583,2869l5582,2870,5582,2871,5583,2872,5584,2870,5584,2870,5583,2869,5583,2869xm5581,2870l5580,2871,5580,2871,5581,2872,5582,2871,5581,2871,5581,2870xm5579,2870l5579,2871,5578,2871,5579,2872,5580,2871,5580,2871,5579,2870xm5564,2868l5562,2868,5558,2872,5561,2871,5564,2868xm5574,2869l5573,2870,5573,2872,5574,2871,5574,2869xm5586,2869l5586,2871,5587,2872,5587,2870,5586,2869xm5570,2869l5569,2870,5567,2872,5569,2871,5569,2871,5570,2869xm5596,2868l5598,2871,5602,2872,5598,2868,5596,2868xm5585,2871l5585,2871,5586,2872,5586,2871,5585,2871xm5577,2870l5576,2870,5575,2871,5576,2872,5577,2870,5577,2870xm5578,2870l5578,2870,5577,2870,5578,2872,5578,2871,5578,2870,5578,2870xm5567,2868l5564,2868,5561,2871,5566,2870,5567,2868xm5571,2869l5570,2869,5570,2869,5569,2871,5571,2870,5571,2869xm5588,2868l5589,2870,5591,2871,5590,2869,5588,2868xm5580,2869l5579,2870,5579,2870,5580,2871,5581,2870,5581,2870,5580,2869xm5575,2869l5574,2869,5574,2870,5574,2871,5575,2871,5575,2869xm5585,2869l5585,2871,5586,2871,5586,2870,5586,2869,5585,2869xm5582,2869l5581,2870,5581,2870,5582,2871,5583,2869,5582,2869,5582,2869xm5579,2869l5578,2870,5578,2870,5578,2871,5579,2870,5579,2870,5579,2869xm5593,2868l5594,2870,5598,2871,5596,2868,5593,2868xm5584,2870l5584,2870,5585,2871,5585,2871,5584,2870xm5576,2868l5575,2869,5575,2869,5575,2871,5577,2870,5576,2868xm5585,2869l5584,2869,5584,2870,5585,2871,5585,2869,5585,2869,5585,2869xm5573,2868l5572,2869,5571,2869,5571,2870,5573,2870,5573,2868xm5587,2868l5587,2870,5589,2870,5589,2869,5588,2868,5587,2868xm5583,2869l5584,2870,5584,2870,5583,2869xm5577,2869l5577,2869,5577,2870,5577,2870,5578,2870,5577,2869xm5579,2869l5579,2869,5579,2870,5579,2870,5580,2870,5580,2869,5579,2869xm5581,2868l5580,2869,5580,2870,5581,2870,5582,2869,5582,2869,5581,2868xm5569,2867l5567,2868,5566,2870,5568,2870,5569,2867xm5583,2868l5583,2869,5583,2869,5584,2870,5585,2869,5583,2868xm5560,2863l5548,2870,5557,2869,5563,2864,5563,2864,5560,2863xm5600,2863l5598,2864,5605,2869,5612,2870,5600,2863xm5578,2869l5578,2869,5577,2869,5578,2870,5578,2869,5578,2869,5578,2869xm5592,2868l5593,2870,5594,2870,5593,2868,5592,2868xm5574,2868l5573,2868,5573,2870,5574,2869,5574,2868xm5586,2868l5586,2869,5587,2870,5587,2868,5586,2868xm5577,2868l5577,2869,5577,2870,5577,2869,5577,2869,5577,2868xm5590,2867l5590,2869,5590,2869,5593,2870,5592,2868,5590,2867xm5570,2867l5569,2867,5569,2870,5570,2869,5570,2867xm5580,2868l5579,2869,5579,2869,5580,2869,5581,2868,5580,2868xm5579,2868l5578,2869,5578,2869,5579,2869,5579,2869,5579,2869,5579,2868xm5577,2868l5577,2868,5577,2868,5577,2869,5578,2869,5578,2869,5577,2868xm5582,2869l5582,2869,5583,2869,5582,2869xm5583,2868l5582,2868,5582,2869,5583,2869,5583,2868,5583,2868,5583,2868xm5575,2868l5574,2868,5574,2869,5575,2869,5575,2868xm5585,2868l5585,2869,5586,2869,5586,2868,5585,2868xm5572,2867l5570,2867,5570,2869,5571,2869,5572,2867xm5598,2864l5594,2864,5594,2864,5598,2868,5605,2869,5598,2864xm5563,2864l5557,2869,5562,2868,5566,2864,5566,2864,5563,2864xm5578,2868l5578,2868,5578,2868,5578,2869,5579,2868,5578,2868xm5581,2868l5581,2868,5582,2869,5582,2869,5581,2868xm5576,2867l5575,2868,5575,2868,5575,2869,5576,2868,5576,2867xm5585,2867l5585,2868,5585,2869,5585,2869,5585,2868,5585,2868,5585,2867xm5588,2867l5588,2868,5590,2869,5590,2867,5588,2867xm5582,2868l5581,2868,5581,2868,5582,2869,5582,2868,5582,2868,5582,2868xm5580,2868l5579,2868,5579,2869,5580,2868,5580,2868,5580,2868xm5573,2867l5572,2867,5571,2869,5573,2868,5573,2867xm5584,2867l5583,2868,5585,2869,5585,2868,5585,2867,5584,2867xm5579,2867l5578,2868,5579,2868,5580,2868,5579,2867xm5581,2868l5580,2868,5581,2868,5581,2868,5581,2868xm5587,2867l5587,2868,5588,2868,5588,2867,5587,2867xm5574,2867l5573,2867,5573,2868,5574,2868,5574,2867xm5566,2864l5562,2868,5564,2868,5567,2864,5567,2864,5566,2864xm5594,2864l5593,2864,5593,2864,5596,2868,5598,2868,5594,2864xm5581,2867l5581,2868,5581,2868,5581,2868,5582,2868,5581,2867xm5576,2867l5576,2868,5576,2868,5577,2868,5576,2867xm5577,2867l5576,2867,5577,2868,5577,2868,5577,2867xm5583,2867l5583,2868,5583,2868,5583,2868,5584,2867,5583,2867xm5574,2867l5574,2867,5574,2868,5575,2868,5574,2867xm5580,2868l5580,2868,5580,2868,5581,2868,5580,2868xm5586,2867l5586,2868,5587,2868,5587,2867,5586,2867xm5567,2864l5564,2868,5567,2868,5569,2865,5569,2865,5567,2864xm5593,2864l5591,2865,5591,2865,5593,2868,5596,2868,5593,2864xm5580,2867l5579,2867,5579,2867,5580,2868,5580,2868,5580,2867,5580,2867xm5576,2867l5575,2867,5574,2867,5575,2868,5576,2868,5576,2867,5576,2867xm5578,2867l5577,2867,5577,2867,5577,2868,5578,2868,5578,2867,5578,2867xm5583,2867l5582,2867,5582,2868,5583,2868,5583,2867,5583,2867xm5581,2867l5581,2868,5581,2868,5581,2868,5581,2867,5581,2867xm5586,2867l5586,2868,5586,2868,5586,2867,5586,2867xm5580,2867l5580,2867,5580,2867,5580,2868,5581,2867,5581,2867,5581,2867,5580,2867,5580,2867xm5569,2865l5567,2868,5569,2867,5570,2865,5570,2865,5569,2865xm5591,2865l5591,2865,5592,2868,5593,2868,5591,2865xm5585,2867l5585,2868,5585,2868,5586,2867,5586,2867,5585,2867xm5578,2867l5578,2867,5578,2867,5578,2868,5579,2867,5578,2867xm5582,2867l5581,2867,5581,2867,5582,2868,5583,2867,5582,2867,5582,2867xm5591,2865l5589,2865,5589,2865,5590,2867,5590,2867,5592,2868,5591,2865xm5584,2867l5584,2867,5585,2867,5585,2867,5584,2867xm5576,2867l5576,2867,5576,2867,5576,2867xm5576,2866l5576,2867,5576,2867,5577,2867,5576,2866xm5570,2865l5569,2867,5570,2867,5570,2867,5571,2865,5571,2865,5570,2865xm5582,2867l5581,2867,5581,2867,5582,2867xm5577,2866l5576,2866,5576,2867,5577,2867,5578,2867,5577,2866xm5579,2867l5579,2867,5578,2867,5579,2867,5579,2867,5579,2867,5579,2867xm5581,2866l5580,2867,5580,2867,5581,2867,5582,2867,5582,2867,5581,2866xm5571,2865l5570,2867,5572,2867,5572,2865,5571,2865xm5589,2865l5588,2865,5588,2867,5590,2867,5589,2865xm5584,2866l5584,2867,5583,2867,5584,2867,5584,2867,5584,2866xm5577,2866l5577,2867,5578,2867,5578,2867,5577,2866xm5572,2865l5572,2867,5573,2867,5573,2865,5572,2865xm5588,2865l5587,2865,5587,2867,5588,2867,5588,2865xm5481,2853l2843,2853,2843,2867,5468,2867,5529,2859,5481,2853xm5580,2867l5580,2867,5581,2867,5580,2867xm8317,2853l5679,2853,5631,2859,5631,2859,5692,2867,8317,2867,8317,2853xm5579,2867l5579,2867,5579,2867,5580,2867,5580,2867,5580,2867,5579,2867xm5583,2866l5583,2867,5583,2867,5584,2867,5584,2866,5583,2866xm5578,2866l5578,2866,5577,2866,5578,2867,5579,2867,5579,2867,5578,2866xm5573,2865l5573,2867,5574,2867,5573,2865,5573,2865xm5587,2865l5587,2865,5586,2867,5587,2867,5587,2865xm5583,2866l5582,2867,5582,2867,5583,2867,5583,2866,5583,2866xm5581,2866l5580,2866,5580,2867,5581,2866,5581,2866,5581,2866xm5580,2866l5580,2867,5580,2867,5580,2867,5580,2866xm5573,2865l5574,2867,5574,2867,5574,2865,5573,2865xm5587,2865l5586,2865,5586,2867,5586,2867,5587,2865xm5574,2865l5574,2867,5576,2867,5575,2865,5574,2865xm5586,2865l5586,2865,5586,2866,5586,2867,5586,2867,5586,2865xm5578,2866l5579,2867,5579,2867,5579,2866,5578,2866xm5582,2866l5581,2866,5581,2866,5582,2867,5582,2866,5582,2866,5582,2866xm5583,2866l5582,2867,5583,2866,5583,2866xm5586,2865l5585,2865,5584,2867,5585,2867,5586,2865xm5580,2866l5578,2866,5579,2867,5580,2866,5580,2866,5580,2866xm5575,2865l5576,2867,5576,2866,5575,2865,5575,2865xm5585,2865l5585,2865,5584,2866,5584,2866,5584,2867,5585,2865xm5580,2866l5580,2866,5581,2866,5580,2866xm5575,2865l5576,2866,5577,2866,5576,2866,5576,2865,5575,2865xm5585,2865l5584,2865,5584,2866,5583,2866,5584,2866,5585,2865xm5575,2865l5576,2866,5575,2865,5575,2865xm5581,2866l5581,2866,5581,2866,5582,2866,5581,2866xm5576,2866l5577,2866,5577,2866,5576,2866xm5584,2866l5583,2866,5583,2866,5584,2866xm5577,2866l5576,2866,5577,2866,5578,2866,5577,2866,5577,2866xm5583,2866l5583,2866,5583,2866,5583,2866,5583,2866xm5583,2866l5582,2866,5582,2866,5583,2866,5583,2866,5583,2866xm5580,2866l5580,2866,5581,2866,5581,2866,5580,2866xm5578,2866l5578,2866,5580,2866,5579,2866,5578,2866xm5582,2866l5581,2866,5582,2866,5582,2866xm5578,2866l5578,2866,5578,2866,5578,2866,5578,2866xm5580,2866l5580,2866,5580,2866,5580,2866xm5582,2866l5580,2866,5581,2866,5582,2866,5582,2866xm5579,2866l5580,2866,5580,2866,5579,2866xm5580,2861l5580,2861,5580,2866,5581,2866,5580,2861xm5580,2861l5579,2866,5580,2866,5580,2861xm5576,2865l5576,2866,5576,2865,5576,2865xm5576,2865l5576,2866,5576,2865,5576,2865xm5577,2866l5578,2866,5578,2866,5577,2866xm5578,2866l5578,2866,5579,2866,5578,2866xm5580,2860l5579,2861,5578,2865,5578,2866,5579,2866,5580,2860xm5580,2860l5580,2860,5579,2866,5580,2862,5580,2860xm5580,2860l5580,2862,5581,2866,5582,2866,5582,2865,5581,2861,5580,2860xm5583,2866l5582,2866,5582,2866,5583,2866xm5583,2866l5583,2866,5582,2866,5583,2866xm5584,2865l5584,2865,5584,2866,5584,2865xm5584,2865l5584,2865,5584,2866,5584,2865xm5577,2865l5577,2865,5577,2866,5578,2866,5578,2865,5577,2865xm5581,2861l5582,2866,5581,2862,5581,2861xm5581,2862l5582,2866,5583,2866,5583,2865,5583,2865,5581,2862xm5577,2865l5577,2866,5577,2866,5577,2865xm5583,2865l5583,2866,5583,2866,5583,2865xm5579,2861l5577,2865,5577,2865,5578,2865,5578,2866,5579,2861xm5576,2865l5576,2865,5577,2866,5576,2865,5576,2865xm5584,2865l5584,2865,5583,2866,5584,2865,5584,2865xm5584,2865l5584,2865,5584,2865,5584,2865xm5584,2865l5584,2865,5584,2865,5584,2865,5584,2865xm5577,2865l5577,2865,5578,2865,5577,2865xm5575,2865l5575,2865,5576,2865,5576,2865,5576,2865,5575,2865xm5585,2865l5584,2865,5584,2865,5584,2865,5585,2865xm5576,2865l5577,2865,5577,2865,5576,2865xm5581,2861l5581,2862,5582,2862,5583,2865,5584,2865,5585,2865,5584,2864,5581,2861xm5575,2865l5575,2865,5576,2865,5575,2865xm5585,2865l5584,2865,5585,2865,5585,2865xm5575,2865l5575,2865,5575,2865,5575,2865,5575,2865xm5585,2865l5585,2865,5585,2865,5585,2865,5585,2865xm5585,2865l5584,2865,5584,2865,5584,2865,5585,2865,5585,2865xm5575,2865l5575,2865,5575,2865,5575,2865,5575,2865xm5574,2864l5574,2865,5574,2865,5575,2865,5575,2865,5574,2865,5574,2864xm5586,2865l5585,2865,5585,2865,5586,2865,5586,2865xm5576,2864l5575,2864,5575,2865,5575,2865,5577,2865,5577,2865,5576,2864xm5575,2865l5575,2865,5575,2865,5575,2865xm5585,2865l5585,2865,5585,2865,5585,2865,5585,2865,5585,2865xm5585,2865l5585,2865,5585,2865,5585,2865xm5586,2865l5586,2865,5586,2865,5586,2865,5586,2865xm5573,2864l5573,2865,5574,2865,5574,2865,5574,2864,5573,2864xm5587,2865l5586,2865,5586,2865,5586,2865,5587,2865,5587,2865xm5575,2865l5575,2865,5575,2865,5575,2865,5575,2865,5575,2865xm5586,2864l5585,2865,5585,2865,5586,2865,5586,2865,5586,2864xm5573,2864l5573,2865,5573,2865,5573,2864,5573,2864xm5587,2865l5587,2865,5587,2865,5587,2865,5587,2865xm5585,2865l5584,2865,5585,2865,5585,2865xm5572,2864l5572,2865,5573,2865,5573,2864,5572,2864xm5588,2864l5587,2865,5587,2865,5588,2865,5588,2864xm5579,2861l5577,2864,5577,2865,5577,2865,5579,2861xm5585,2864l5585,2865,5584,2865,5585,2865,5585,2864xm5574,2865l5575,2865,5575,2865,5574,2865xm5586,2864l5585,2865,5585,2865,5586,2864,5586,2864xm5575,2864l5575,2865,5576,2865,5575,2864xm5571,2864l5571,2865,5572,2865,5572,2864,5571,2864xm5589,2864l5588,2864,5588,2865,5589,2865,5589,2864xm5575,2865l5575,2865,5575,2865,5575,2865xm5575,2865l5575,2865,5575,2865,5575,2865,5575,2865xm5587,2864l5586,2864,5586,2865,5587,2865,5587,2864xm5571,2864l5571,2864,5571,2865,5571,2865,5571,2864,5571,2864xm5590,2864l5589,2864,5589,2865,5591,2865,5590,2864xm5574,2863l5575,2865,5575,2864,5574,2863xm5574,2863l5575,2864,5575,2865,5575,2865,5574,2863xm5586,2864l5586,2864,5585,2865,5585,2865,5586,2864xm5574,2864l5574,2864,5574,2865,5575,2865,5575,2865,5574,2864xm5570,2863l5570,2864,5569,2865,5570,2865,5571,2864,5571,2864,5570,2863xm5587,2864l5587,2864,5587,2865,5587,2865,5587,2864xm5574,2863l5574,2863,5575,2864,5575,2865,5576,2864,5575,2864,5574,2863xm5580,2860l5576,2864,5576,2864,5576,2865,5579,2861,5580,2860,5580,2860xm5581,2860l5581,2861,5585,2865,5582,2861,5581,2860xm5582,2861l5585,2865,5586,2864,5586,2863,5582,2861xm5586,2863l5585,2865,5585,2864,5586,2863xm5573,2863l5574,2864,5574,2864,5575,2865,5574,2863,5573,2863xm5587,2863l5586,2864,5586,2864,5585,2865,5586,2864,5586,2864,5587,2863xm5574,2864l5574,2864,5574,2865,5574,2864xm5590,2864l5591,2865,5590,2864,5590,2864xm5568,2863l5567,2864,5567,2864,5569,2865,5570,2864,5570,2863,5568,2863xm5592,2863l5591,2864,5590,2864,5591,2865,5593,2864,5593,2864,5592,2863xm5588,2864l5587,2864,5587,2865,5588,2864,5588,2864xm5573,2864l5573,2864,5574,2864,5574,2864,5573,2864xm5573,2864l5573,2864,5573,2864,5573,2864,5573,2864xm5589,2863l5588,2863,5588,2864,5589,2864,5589,2863xm5574,2863l5574,2863,5574,2864,5575,2864,5574,2863xm5573,2864l5574,2864,5573,2864,5573,2864xm5567,2863l5566,2864,5567,2864,5568,2863,5568,2863,5567,2863xm5593,2863l5592,2863,5592,2863,5593,2864,5594,2864,5594,2864,5593,2863xm5587,2864l5587,2864,5586,2864,5587,2864xm5572,2864l5572,2864,5573,2864,5573,2864,5572,2864xm5573,2863l5573,2864,5573,2864,5574,2864,5573,2863,5573,2863xm5587,2863l5587,2863,5586,2864,5587,2863,5587,2863xm5587,2863l5586,2864,5587,2864,5587,2863xm5565,2862l5563,2864,5566,2864,5567,2863,5567,2863,5565,2862xm5596,2862l5593,2863,5594,2864,5598,2864,5596,2862xm5580,2860l5575,2863,5574,2863,5576,2864,5580,2860,5580,2860xm5586,2863l5585,2864,5586,2864,5586,2864,5586,2863xm5590,2863l5589,2863,5589,2863,5589,2864,5590,2864,5590,2863xm5573,2862l5573,2864,5573,2864,5573,2863,5573,2862xm5587,2863l5587,2863,5587,2864,5587,2864,5587,2863xm5571,2863l5571,2864,5572,2864,5572,2864,5571,2863xm5573,2864l5573,2864,5573,2864,5573,2864xm5587,2864l5587,2864,5587,2864,5587,2864xm5587,2863l5586,2863,5586,2864,5587,2863,5587,2863,5587,2863xm5572,2863l5572,2864,5573,2864,5573,2864,5572,2863xm5588,2863l5587,2864,5587,2864,5588,2864,5588,2863xm5563,2862l5560,2863,5563,2864,5565,2862,5563,2862xm5588,2862l5587,2863,5587,2864,5588,2863,5588,2862xm5572,2862l5572,2863,5573,2864,5573,2862,5572,2862xm5570,2863l5570,2863,5570,2863,5571,2864,5571,2863,5571,2863,5570,2863xm5591,2862l5590,2863,5590,2863,5590,2864,5592,2863,5592,2863,5591,2862xm5597,2862l5596,2862,5596,2862,5598,2864,5600,2863,5597,2862xm5571,2863l5571,2863,5572,2864,5572,2863,5571,2863xm5589,2863l5588,2863,5588,2864,5589,2863,5589,2863xm5590,2863l5590,2863,5590,2864,5590,2863xm5574,2863l5574,2863,5574,2863,5574,2863xm5581,2860l5582,2861,5586,2863,5581,2860xm5573,2862l5574,2863,5574,2863,5574,2863,5573,2862xm5581,2859l5581,2860,5586,2863,5587,2862,5581,2860,5581,2859xm5573,2862l5573,2862,5574,2863,5573,2862,5573,2862,5573,2862xm5587,2862l5586,2863,5587,2862,5587,2862xm5569,2862l5568,2863,5568,2863,5570,2863,5570,2863,5569,2862xm5588,2862l5588,2862,5588,2863,5588,2863,5588,2862xm5572,2861l5572,2862,5572,2863,5572,2863,5572,2862,5572,2862,5572,2861xm5573,2862l5573,2863,5574,2863,5573,2862xm5587,2862l5586,2863,5587,2863,5587,2862xm5559,2860l5554,2862,5560,2863,5563,2862,5559,2860xm5602,2861l5597,2862,5600,2863,5606,2862,5602,2861xm5587,2863l5587,2863,5587,2863,5587,2863,5587,2863xm5590,2862l5589,2863,5589,2863,5590,2863,5590,2862xm5592,2862l5591,2862,5591,2862,5592,2863,5593,2863,5593,2863,5592,2862xm5580,2860l5579,2860,5575,2863,5574,2863,5580,2860,5580,2860xm5570,2862l5570,2863,5571,2863,5571,2863,5570,2862xm5579,2860l5574,2862,5574,2862,5574,2863,5574,2863,5579,2860xm5587,2862l5587,2862,5587,2863,5587,2863,5587,2862xm5587,2862l5587,2863,5587,2863,5587,2862xm5573,2861l5573,2861,5573,2862,5573,2862,5574,2863,5573,2861xm5594,2861l5592,2862,5592,2862,5593,2863,5596,2862,5596,2862,5594,2861xm5589,2861l5588,2862,5588,2862,5589,2863,5589,2862,5589,2862,5589,2861xm5568,2862l5568,2863,5568,2863,5568,2863,5569,2862,5569,2862,5568,2862xm5571,2861l5571,2862,5571,2862,5571,2863,5571,2862,5572,2862,5571,2861,5571,2861xm5588,2862l5587,2862,5587,2863,5588,2862,5588,2862xm5567,2861l5566,2862,5566,2862,5567,2863,5568,2862,5568,2862,5567,2861xm5569,2862l5569,2862,5569,2862,5570,2863,5570,2862,5570,2862,5569,2862xm5590,2862l5590,2862,5590,2863,5590,2862xm5591,2862l5590,2862,5590,2863,5591,2862,5591,2862,5591,2862xm5573,2862l5573,2862,5573,2863,5573,2862,5573,2862xm5587,2862l5587,2863,5587,2862,5587,2862xm5554,2859l5546,2861,5554,2862,5559,2860,5558,2860,5554,2859xm5607,2859l5602,2861,5602,2861,5606,2862,5615,2861,5615,2861,5607,2859xm5588,2861l5588,2862,5588,2862,5588,2862,5588,2861xm5570,2860l5569,2861,5569,2862,5570,2862,5571,2861,5571,2860,5570,2860xm5589,2861l5589,2861,5590,2862,5589,2862,5589,2861xm5590,2860l5590,2861,5589,2861,5590,2862,5591,2862,5591,2861,5590,2860xm5573,2862l5573,2862,5573,2862,5573,2862xm5573,2862l5573,2862,5573,2862,5573,2862xm5572,2861l5572,2862,5572,2862,5572,2861xm5579,2859l5574,2861,5574,2861,5574,2862,5579,2860,5579,2860,5579,2859xm5565,2860l5563,2862,5565,2862,5567,2861,5567,2861,5565,2860xm5595,2860l5594,2861,5594,2861,5596,2862,5597,2862,5595,2860xm5572,2862l5572,2862,5573,2862,5573,2862,5572,2862xm5588,2861l5587,2862,5587,2862,5588,2861xm5588,2861l5587,2862,5588,2862,5588,2861xm5580,2860l5581,2861,5581,2862,5581,2861,5580,2860xm5587,2861l5587,2862,5587,2862,5587,2861xm5569,2861l5568,2862,5569,2862,5569,2862,5569,2861xm5591,2861l5591,2862,5591,2862,5592,2862,5591,2861xm5573,2861l5573,2862,5573,2862,5573,2862,5573,2861xm5581,2860l5587,2862,5587,2861,5587,2861,5581,2860xm5567,2861l5567,2861,5567,2861,5568,2862,5569,2862,5568,2861,5567,2861xm5593,2860l5592,2861,5591,2862,5592,2862,5594,2861,5594,2861,5593,2860xm5587,2861l5587,2861,5587,2862,5587,2862,5587,2861xm5589,2861l5589,2861,5588,2862,5589,2861,5589,2861xm5573,2861l5573,2862,5573,2862,5573,2861,5573,2861xm5572,2861l5572,2862,5573,2862,5572,2861xm5572,2861l5572,2861,5572,2862,5572,2861,5572,2861xm5588,2861l5588,2861,5588,2862,5588,2861,5588,2861xm5573,2861l5573,2861,5573,2862,5573,2861xm5587,2861l5587,2862,5587,2861,5587,2861xm5598,2859l5595,2860,5595,2861,5597,2862,5601,2861,5601,2860,5598,2859xm5590,2860l5590,2861,5591,2862,5591,2861,5590,2860xm5570,2860l5569,2861,5569,2862,5570,2860xm5572,2861l5572,2861,5572,2862,5572,2861,5572,2861xm5562,2859l5559,2860,5559,2860,5563,2862,5565,2861,5565,2860,5562,2859xm5592,2859l5590,2860,5590,2861,5591,2861,5593,2860,5593,2860,5592,2859xm5569,2859l5568,2860,5568,2861,5569,2861,5570,2860,5570,2860,5569,2859xm5580,2860l5580,2861,5580,2861,5580,2860xm5546,2857l5529,2859,5529,2859,5546,2861,5554,2859,5546,2857xm5589,2860l5589,2861,5589,2861,5589,2861,5589,2860xm5572,2860l5572,2861,5572,2861,5572,2860xm5588,2860l5588,2861,5588,2861,5588,2860xm5588,2860l5588,2860,5588,2861,5588,2860,5588,2860xm5573,2860l5573,2861,5573,2861,5573,2860xm5587,2860l5587,2861,5587,2861,5587,2860xm5615,2857l5607,2859,5615,2861,5631,2859,5615,2857xm5566,2860l5565,2860,5565,2861,5567,2861,5567,2861,5567,2861,5566,2860xm5571,2861l5572,2861,5572,2861,5571,2861xm5588,2860l5588,2861,5589,2861,5588,2860xm5590,2860l5589,2860,5589,2861,5589,2861,5590,2861,5590,2860,5590,2860xm5572,2860l5571,2861,5572,2861,5572,2860xm5573,2859l5573,2860,5573,2861,5573,2859xm5581,2860l5581,2860,5581,2860,5582,2861,5581,2860,5581,2860xm5587,2859l5587,2861,5587,2860,5587,2859xm5573,2860l5573,2861,5573,2861,5573,2860,5573,2860xm5581,2859l5581,2859,5581,2860,5587,2861,5587,2860,5581,2859xm5594,2860l5593,2860,5593,2860,5594,2861,5595,2861,5595,2860,5594,2860xm5572,2860l5572,2861,5572,2860,5572,2860xm5580,2860l5580,2860,5581,2861,5581,2860,5580,2860xm5579,2859l5573,2860,5573,2861,5579,2859,5579,2859xm5572,2860l5572,2860,5573,2861,5572,2860xm5588,2859l5587,2861,5588,2860,5588,2859xm5589,2860l5589,2860,5588,2860,5589,2861,5589,2861,5589,2860xm5571,2859l5571,2860,5570,2860,5571,2861,5572,2860,5571,2860,5571,2859xm5580,2860l5580,2860,5581,2861,5580,2860xm5572,2860l5572,2860,5572,2861,5572,2860xm5588,2860l5588,2861,5588,2860,5588,2860xm5580,2860l5580,2860,5579,2861,5580,2860,5580,2860xm5568,2858l5566,2860,5566,2860,5567,2861,5569,2859,5569,2859,5568,2858xm5570,2860l5570,2860,5571,2861,5570,2860xm5602,2858l5599,2859,5598,2859,5602,2861,5607,2859,5602,2858xm5580,2860l5580,2861,5580,2860,5580,2860xm5564,2858l5562,2859,5562,2859,5565,2860,5566,2860,5566,2860,5564,2858xm5596,2858l5594,2860,5594,2860,5595,2860,5598,2859,5598,2859,5596,2858xm5589,2859l5589,2860,5589,2860,5589,2860,5589,2860,5589,2860,5589,2859xm5591,2858l5590,2859,5590,2860,5590,2860,5592,2859,5591,2858xm5572,2859l5572,2860,5572,2860,5572,2859xm5559,2858l5554,2859,5559,2860,5562,2859,5561,2859,5559,2858xm5581,2860l5581,2860,5581,2860,5581,2860,5581,2860xm5571,2859l5571,2859,5571,2860,5572,2860,5572,2860,5572,2859,5571,2859xm5588,2859l5588,2860,5588,2860,5589,2860,5588,2859xm5592,2859l5592,2859,5592,2859,5593,2860,5594,2860,5594,2860,5592,2859xm5587,2859l5587,2860,5588,2859,5587,2859,5587,2859xm5580,2860l5580,2860,5580,2860,5580,2860xm5580,2860l5580,2860,5580,2860,5580,2860xm5581,2859l5581,2860,5581,2860,5581,2859,5581,2859xm5570,2860l5570,2860,5570,2860,5570,2860xm5590,2860l5590,2860,5590,2860,5590,2860xm5572,2859l5572,2860,5572,2859,5572,2859xm5588,2859l5588,2859,5588,2860,5588,2859xm5580,2860l5579,2860,5580,2860,5580,2860xm5588,2859l5588,2859,5588,2860,5588,2859xm5570,2859l5570,2859,5570,2860,5570,2859,5570,2859xm5589,2859l5589,2859,5589,2860,5589,2859,5589,2859,5589,2859xm5573,2859l5572,2860,5573,2859,5573,2859xm5573,2859l5573,2860,5573,2860,5573,2859xm5587,2859l5581,2859,5581,2859,5587,2860,5587,2859xm5567,2857l5564,2858,5564,2858,5566,2860,5568,2859,5568,2858,5567,2857xm5594,2857l5593,2859,5592,2859,5594,2860,5596,2858,5594,2857xm5572,2858l5572,2858,5572,2859,5572,2860,5572,2859,5572,2858xm5588,2858l5588,2859,5588,2860,5588,2859,5588,2858,5588,2858xm5573,2859l5573,2859,5573,2860,5579,2859,5579,2859,5573,2859xm5571,2859l5571,2859,5570,2860,5571,2859,5571,2859xm5589,2859l5589,2859,5590,2860,5589,2859,5589,2859xm5570,2859l5570,2859,5570,2859,5570,2860,5571,2859,5570,2859xm5590,2858l5589,2859,5589,2859,5590,2860,5591,2859,5591,2858,5590,2858xm5581,2859l5581,2860,5581,2860,5581,2859xm5580,2859l5580,2860,5580,2859,5580,2859xm5580,2859l5580,2860,5580,2860,5580,2859xm5581,2859l5581,2859,5581,2860,5581,2859xm5580,2859l5579,2859,5580,2860,5580,2859xm5580,2859l5580,2859,5580,2859,5580,2859xm5579,2859l5579,2859,5579,2859,5579,2859xm5580,2859l5580,2859,5580,2859,5580,2859xm5571,2859l5571,2859,5571,2859,5571,2859,5571,2859xm5589,2859l5589,2859,5589,2859,5589,2859,5589,2859xm5580,2859l5580,2859,5580,2859,5580,2859xm5580,2859l5580,2859,5580,2859,5580,2859,5580,2859xm5579,2859l5579,2859,5579,2859,5579,2859,5579,2859xm5581,2859l5581,2859,5581,2859,5581,2859,5581,2859xm5579,2859l5579,2859,5579,2859,5579,2859xm5580,2859l5580,2859,5580,2859,5580,2859,5580,2859xm5580,2859l5580,2859,5580,2859,5580,2859xm5571,2858l5571,2858,5570,2859,5571,2859,5571,2859,5571,2858,5571,2858xm5580,2859l5580,2859,5580,2859,5580,2859xm5579,2859l5580,2859,5580,2859,5579,2859xm5579,2859l5579,2859,5580,2859,5580,2859,5579,2859xm5580,2859l5580,2859,5580,2859,5580,2859xm5580,2859l5580,2859,5580,2859,5580,2859xm5580,2859l5580,2859,5580,2859,5580,2859xm5589,2857l5589,2858,5589,2859,5589,2859,5590,2858,5589,2857xm5569,2858l5569,2858,5568,2858,5569,2859,5570,2859,5569,2859,5569,2858xm5591,2858l5591,2859,5592,2859,5592,2859,5592,2859,5591,2858xm5588,2858l5588,2859,5588,2858,5588,2858xm5579,2859l5579,2859,5580,2859,5579,2859,5579,2859xm5562,2857l5559,2858,5562,2859,5563,2858,5563,2858,5562,2857xm5599,2857l5597,2858,5597,2858,5598,2859,5601,2858,5601,2858,5599,2857xm5578,2859l5579,2859,5579,2859,5579,2859,5578,2859xm5581,2859l5581,2859,5581,2859,5581,2859xm5554,2856l5546,2857,5554,2859,5559,2858,5559,2858,5554,2856xm5606,2856l5602,2858,5602,2858,5607,2859,5615,2857,5606,2856xm5582,2859l5581,2859,5581,2859,5581,2859,5582,2859xm5572,2858l5572,2858,5572,2859,5572,2858xm5587,2858l5587,2859,5588,2859,5588,2858,5588,2858,5587,2858xm5573,2859l5573,2859,5573,2859,5573,2859xm5573,2858l5573,2859,5579,2859,5578,2859,5573,2858xm5587,2858l5582,2859,5581,2859,5587,2859,5587,2858,5587,2858xm5578,2858l5579,2859,5579,2859,5580,2859,5579,2859,5579,2858,5578,2858xm2858,2485l2856,2500,5529,2859,5546,2857,5479,2839,2858,2485xm8303,2485l5683,2839,5615,2857,5615,2857,5631,2859,8304,2500,8303,2485xm5581,2858l5581,2859,5581,2859,5581,2859,5581,2858xm5587,2858l5587,2859,5588,2859,5587,2858xm5582,2858l5581,2858,5581,2859,5582,2858xm5574,2856l5578,2859,5579,2859,5578,2858,5574,2856xm5585,2856l5582,2858,5581,2859,5581,2859,5586,2856,5586,2856,5585,2856xm5570,2858l5569,2858,5569,2858,5570,2859,5570,2859,5570,2858,5570,2858xm5579,2858l5580,2859,5580,2859,5580,2858,5579,2858xm5576,2854l5579,2859,5580,2859,5580,2858,5576,2854xm5582,2858l5581,2859,5582,2859,5582,2858xm5582,2853l5581,2857,5581,2859,5581,2859,5581,2858,5582,2853,5582,2853xm5572,2858l5572,2858,5571,2859,5572,2858,5572,2858xm5593,2857l5592,2858,5591,2858,5592,2859,5594,2858,5594,2857,5593,2857xm5588,2858l5588,2858,5589,2859,5588,2858,5588,2858xm5574,2856l5573,2858,5578,2859,5574,2856xm5586,2857l5582,2858,5582,2859,5587,2858,5586,2857,5586,2857xm5579,2858l5579,2859,5579,2859,5579,2858xm5584,2854l5581,2858,5581,2859,5581,2858,5584,2855,5584,2854,5584,2854xm5573,2858l5573,2858,5573,2859,5573,2859,5573,2858,5573,2858xm5576,2854l5576,2855,5575,2855,5578,2858,5579,2858,5579,2859,5576,2854xm5572,2857l5571,2858,5571,2858,5571,2859,5572,2858,5572,2857xm5589,2857l5589,2858,5589,2859,5589,2858,5589,2857xm5573,2858l5572,2858,5572,2859,5573,2858xm5588,2857l5588,2858,5589,2859,5589,2858,5589,2857,5588,2857xm5570,2857l5570,2858,5570,2858,5570,2859,5571,2858,5571,2857,5570,2857xm5582,2853l5581,2858,5583,2854,5583,2854,5582,2853xm5590,2858l5590,2858,5591,2858,5591,2858,5591,2858,5590,2858xm5586,2856l5582,2858,5586,2857,5586,2856xm5579,2853l5580,2858,5580,2858,5580,2856,5579,2853xm5578,2858l5578,2858,5579,2858,5578,2858xm5567,2857l5567,2857,5567,2857,5568,2858,5569,2858,5568,2858,5567,2857xm5596,2856l5594,2857,5594,2858,5596,2858,5599,2857,5596,2856xm5565,2856l5562,2857,5562,2857,5564,2858,5567,2857,5565,2856xm5584,2854l5581,2858,5582,2858,5585,2855,5584,2855,5584,2854xm5581,2853l5581,2856,5580,2858,5582,2853,5582,2853,5582,2853,5581,2853xm5575,2856l5574,2856,5574,2856,5578,2858,5575,2856xm5579,2853l5578,2853,5578,2853,5578,2853,5579,2858,5580,2858,5579,2853xm5573,2857l5573,2858,5573,2858,5573,2857xm5573,2857l5573,2857,5573,2858,5573,2857xm5587,2857l5587,2858,5587,2858,5587,2857xm5587,2857l5587,2858,5587,2857,5587,2857xm5569,2856l5567,2857,5569,2858,5569,2858,5569,2857,5569,2856xm5591,2856l5591,2857,5591,2858,5591,2858,5593,2857,5591,2856xm5588,2857l5588,2858,5588,2858,5588,2858,5588,2857xm5572,2858l5572,2858,5572,2858,5572,2858xm5588,2857l5588,2858,5588,2857,5588,2857xm5572,2857l5571,2857,5571,2857,5571,2858,5572,2857,5572,2857xm5572,2857l5572,2858,5572,2858,5572,2857xm5590,2857l5590,2857,5590,2858,5590,2858,5590,2857xm5558,2855l5554,2856,5559,2858,5561,2857,5561,2857,5558,2855xm5581,2853l5580,2853,5580,2857,5580,2858,5581,2853xm5575,2855l5575,2855,5575,2856,5578,2858,5575,2855xm5585,2855l5582,2858,5585,2856,5585,2855,5585,2855xm5578,2853l5577,2854,5577,2854,5579,2858,5578,2853xm5602,2855l5599,2857,5599,2857,5602,2858,5606,2856,5602,2855xm5588,2856l5588,2857,5588,2858,5588,2857,5588,2857,5588,2856xm5570,2856l5569,2856,5569,2857,5570,2858,5570,2857,5570,2857,5570,2856xm5590,2856l5590,2857,5590,2857,5590,2858,5591,2857,5591,2856,5590,2856xm5573,2857l5573,2857,5573,2858,5573,2858,5573,2857xm5587,2857l5587,2858,5587,2858,5587,2857,5587,2857xm5574,2856l5574,2857,5573,2858,5574,2856xm5572,2857l5572,2857,5572,2858,5572,2857,5572,2857xm5574,2856l5573,2857,5573,2857,5573,2858,5574,2856xm5586,2857l5586,2857,5587,2858,5587,2857,5587,2857,5586,2857xm5594,2856l5593,2857,5593,2857,5594,2857,5596,2856,5596,2856,5594,2856xm5573,2856l5573,2857,5573,2857,5573,2856xm5587,2856l5587,2857,5587,2857,5587,2856xm5573,2856l5573,2857,5573,2857,5573,2856xm5587,2856l5587,2857,5587,2857,5587,2856xm5589,2857l5589,2857,5589,2857,5589,2857xm5571,2855l5570,2856,5570,2856,5570,2857,5571,2857,5571,2856,5571,2855xm5590,2856l5590,2856,5589,2857,5590,2857,5590,2856,5590,2856,5590,2856xm5574,2855l5573,2856,5573,2857,5574,2856,5574,2856,5574,2855xm5587,2856l5586,2857,5586,2857,5587,2857,5587,2856xm5572,2856l5572,2857,5572,2857,5572,2857,5572,2856xm5588,2857l5589,2857,5589,2857,5588,2857xm5563,2855l5559,2855,5558,2855,5562,2857,5565,2856,5565,2856,5563,2855xm5567,2856l5566,2856,5566,2856,5567,2857,5567,2857,5567,2857,5567,2856xm5589,2855l5589,2857,5589,2857,5590,2856,5590,2856,5589,2855xm5573,2857l5572,2857,5572,2857,5573,2857xm5587,2856l5587,2857,5588,2857,5587,2856,5587,2856xm5580,2852l5579,2853,5580,2857,5580,2853,5581,2853,5580,2852xm5587,2856l5587,2857,5588,2857,5587,2856xm5598,2855l5596,2856,5596,2856,5599,2857,5602,2855,5602,2855,5598,2855xm5683,2839l5631,2846,5606,2856,5615,2857,5683,2839xm5479,2839l5546,2857,5554,2856,5554,2856,5529,2846,5479,2839xm5573,2856l5573,2856,5572,2857,5573,2857,5573,2856xm5568,2855l5567,2856,5567,2856,5567,2857,5569,2856,5568,2856,5568,2855xm5592,2855l5592,2856,5591,2856,5593,2857,5594,2856,5594,2856,5592,2855xm5586,2856l5586,2857,5586,2856,5586,2856xm5586,2855l5586,2855,5586,2855,5586,2856,5586,2857,5587,2856,5587,2856,5586,2855,5586,2855xm5587,2856l5587,2856,5587,2857,5587,2856xm5588,2856l5588,2856,5588,2857,5588,2856xm5573,2856l5573,2856,5573,2857,5573,2856,5573,2856xm5588,2855l5588,2856,5588,2857,5589,2856,5588,2855,5588,2855xm5573,2856l5573,2857,5573,2856,5573,2856xm5572,2855l5571,2855,5571,2855,5571,2856,5572,2857,5572,2856,5572,2855xm5574,2855l5574,2855,5573,2856,5573,2856,5574,2855,5574,2855xm5569,2855l5568,2855,5569,2856,5570,2856,5569,2855xm5591,2855l5590,2856,5591,2856,5592,2855,5592,2855,5591,2855xm5587,2856l5587,2856,5587,2856,5587,2856,5587,2856xm5574,2855l5574,2855,5574,2856,5574,2856,5574,2855xm5586,2855l5585,2856,5586,2856,5586,2855xm5574,2855l5574,2856,5575,2856,5574,2855xm5573,2855l5573,2855,5572,2856,5573,2856,5573,2855xm5587,2856l5587,2856,5588,2856,5587,2856,5587,2856xm5595,2854l5594,2855,5594,2856,5596,2856,5597,2855,5597,2855,5595,2854xm5565,2854l5563,2855,5564,2855,5565,2856,5566,2856,5565,2854xm5571,2855l5571,2856,5572,2856,5571,2855xm5574,2855l5573,2856,5573,2856,5574,2855xm5586,2855l5587,2856,5587,2856,5586,2855xm5587,2855l5587,2856,5588,2856,5588,2855,5587,2855xm5573,2854l5573,2855,5573,2856,5573,2856,5573,2854xm5587,2855l5587,2856,5587,2856,5587,2855,5587,2855xm5571,2855l5569,2855,5569,2855,5570,2856,5571,2855,5571,2855xm5590,2855l5590,2856,5590,2856,5591,2855,5591,2855,5590,2855xm5567,2854l5565,2854,5565,2854,5567,2856,5568,2856,5567,2854xm5529,2846l5554,2856,5558,2855,5545,2848,5529,2846xm5631,2846l5615,2848,5602,2855,5606,2856,5631,2846xm5587,2855l5587,2856,5587,2856,5587,2855,5587,2855xm5589,2854l5589,2855,5590,2856,5590,2855,5590,2855,5589,2854xm5574,2854l5573,2854,5573,2856,5573,2855,5574,2854xm5587,2854l5587,2855,5587,2855,5587,2856,5587,2855,5587,2854xm5593,2854l5593,2855,5592,2855,5594,2856,5595,2854,5595,2854,5593,2854xm5575,2854l5574,2854,5573,2856,5574,2855,5575,2854xm5585,2854l5586,2855,5586,2855,5587,2856,5587,2855,5585,2854xm5576,2854l5575,2855,5575,2855,5575,2856,5576,2854xm5584,2854l5584,2855,5585,2856,5585,2855,5585,2855,5585,2855,5584,2854xm5569,2854l5567,2854,5568,2855,5569,2855,5569,2854,5569,2854xm5585,2855l5586,2855,5586,2855,5586,2855,5585,2855xm5574,2855l5574,2855,5574,2855,5574,2855xm5586,2855l5586,2855,5586,2855,5586,2855xm5586,2854l5587,2855,5587,2855,5587,2855,5586,2854,5586,2854xm5575,2855l5575,2855,5574,2855,5575,2855,5575,2855xm5615,2848l5605,2849,5598,2855,5602,2855,5615,2848xm5545,2848l5558,2855,5563,2855,5557,2849,5545,2848xm5575,2855l5574,2855,5574,2855,5574,2855,5575,2855xm5571,2855l5571,2855,5571,2855,5571,2855xm5591,2854l5591,2855,5592,2855,5593,2854,5591,2854xm5588,2854l5588,2855,5589,2855,5589,2854,5589,2854,5588,2854xm5572,2854l5571,2855,5571,2855,5572,2855,5572,2854xm5576,2854l5575,2855,5575,2855,5575,2855,5576,2854xm5585,2854l5585,2854,5587,2855,5586,2854,5586,2854,5585,2854xm5570,2854l5569,2854,5569,2855,5571,2855,5571,2854,5570,2854xm5575,2854l5574,2855,5574,2855,5575,2855,5575,2854xm5585,2854l5585,2854,5585,2854,5585,2855,5586,2855,5586,2855,5586,2854,5585,2854xm5586,2854l5587,2855,5587,2854,5586,2854xm5576,2853l5575,2854,5575,2855,5575,2855,5575,2854,5576,2853xm5591,2854l5591,2854,5590,2855,5591,2855,5591,2854,5591,2854xm5573,2854l5572,2854,5572,2855,5573,2855,5573,2854xm5587,2854l5587,2855,5588,2855,5588,2854,5587,2854xm5605,2849l5599,2850,5595,2854,5598,2855,5605,2849xm5589,2854l5589,2854,5590,2855,5590,2854,5590,2854,5589,2854xm5571,2854l5571,2854,5571,2854,5571,2855,5571,2854xm5577,2853l5576,2853,5575,2855,5576,2854,5577,2853xm5585,2854l5585,2854,5585,2855,5585,2854xm5572,2853l5571,2854,5571,2854,5571,2855,5572,2854,5572,2853xm5557,2849l5563,2855,5565,2854,5561,2850,5557,2849xm5573,2854l5573,2854,5573,2855,5573,2854,5573,2854xm5587,2854l5587,2854,5587,2855,5587,2854,5587,2854xm5584,2854l5584,2854,5584,2854,5584,2854xm5573,2853l5572,2853,5572,2854,5573,2854,5573,2853xm5561,2850l5565,2854,5567,2854,5564,2850,5561,2850xm5599,2850l5596,2850,5593,2854,5595,2854,5599,2850xm5574,2854l5574,2854,5573,2854,5574,2854,5574,2854xm5586,2854l5586,2854,5586,2854,5587,2854,5587,2854,5586,2854xm5588,2853l5588,2854,5589,2854,5589,2854,5588,2853xm5584,2853l5585,2854,5585,2854,5585,2854,5584,2853xm5583,2853l5584,2854,5584,2854,5585,2854,5584,2854,5584,2853,5583,2853,5583,2853xm5575,2854l5574,2854,5574,2854,5575,2854,5575,2854xm5585,2853l5585,2854,5585,2854,5586,2854,5586,2854,5586,2854,5585,2853xm5573,2853l5573,2853,5573,2854,5573,2854,5573,2854,5573,2853xm5564,2850l5567,2854,5568,2854,5568,2853,5567,2851,5564,2850xm5596,2850l5593,2851,5592,2853,5592,2854,5593,2854,5596,2850xm5587,2853l5587,2854,5588,2854,5588,2853,5587,2853xm5574,2853l5573,2853,5573,2854,5574,2854,5574,2853xm5575,2853l5574,2853,5574,2854,5575,2854,5575,2853,5575,2853xm5584,2854l5585,2854,5585,2854,5584,2854xm5567,2851l5569,2854,5570,2854,5569,2851,5567,2851xm5593,2851l5592,2851,5591,2853,5591,2854,5591,2854,5593,2851xm5587,2853l5587,2854,5587,2854,5587,2853,5587,2853xm5592,2851l5590,2851,5590,2852,5589,2854,5591,2854,5592,2851xm5578,2853l5577,2853,5576,2854,5578,2853xm5582,2853l5582,2853,5584,2854,5583,2853,5582,2853xm5578,2853l5578,2853,5576,2854,5578,2853,5578,2853xm5586,2853l5586,2854,5586,2854,5587,2854,5587,2853,5586,2853xm5569,2851l5570,2854,5571,2854,5570,2852,5570,2851,5569,2851xm5584,2853l5584,2853,5585,2853,5585,2854,5585,2853,5584,2853xm5575,2854l5575,2854,5575,2854,5575,2854xm5590,2851l5588,2851,5588,2854,5589,2854,5590,2851xm5570,2851l5571,2854,5572,2854,5572,2851,5570,2851xm5586,2853l5586,2854,5586,2853,5586,2853xm5584,2853l5585,2853,5586,2854,5586,2853,5584,2853xm5576,2853l5575,2853,5575,2853,5575,2854,5576,2853xm5576,2853l5576,2853,5575,2854,5575,2854,5576,2853,5576,2853xm5584,2853l5584,2854,5584,2853,5584,2853xm5572,2851l5572,2853,5573,2853,5573,2851,5572,2851xm5588,2851l5587,2851,5587,2853,5588,2853,5588,2851xm5577,2853l5577,2853,5576,2853,5577,2853,5577,2853xm5584,2853l5584,2853,5584,2853,5584,2853,5584,2853,5584,2853xm5577,2853l5576,2853,5576,2853,5577,2853xm5573,2851l5573,2853,5573,2853,5574,2852,5574,2852,5573,2851xm5587,2851l5586,2852,5586,2852,5587,2853,5587,2853,5587,2851xm5583,2853l5584,2853,5584,2853,5583,2853xm5574,2852l5573,2853,5574,2853,5574,2852,5574,2852,5574,2852xm5586,2852l5586,2852,5586,2852,5586,2853,5587,2853,5586,2852xm5574,2852l5574,2853,5575,2853,5576,2852,5574,2852xm5586,2852l5586,2852,5586,2853,5586,2853,5586,2852xm5585,2852l5584,2852,5584,2853,5585,2853,5586,2853,5585,2852xm5584,2853l5584,2853,5585,2853,5584,2853,5584,2853xm5584,2853l5584,2853,5584,2853,5584,2853xm5576,2852l5575,2853,5575,2853,5576,2853,5576,2852,5576,2852xm5578,2853l5577,2853,5577,2853,5578,2853,5578,2853xm5576,2852l5576,2853,5576,2853,5576,2852,5576,2852xm5584,2852l5584,2852,5584,2853,5584,2853,5584,2852xm5578,2853l5578,2853,5578,2853,5578,2853xm5582,2853l5582,2853,5582,2853,5582,2853xm5584,2852l5583,2852,5584,2853,5584,2853,5584,2852xm5576,2852l5576,2853,5577,2853,5578,2853,5578,2852,5578,2852,5576,2852xm5583,2852l5582,2852,5582,2852,5582,2853,5584,2853,5583,2852xm5582,2853l5583,2853,5584,2853,5582,2853xm5578,2853l5578,2853,5578,2853,5578,2853,5578,2853xm5578,2853l5577,2853,5577,2853,5578,2853xm5582,2853l5583,2853,5583,2853,5582,2853xm5578,2853l5577,2853,5578,2853,5578,2853xm5582,2853l5582,2853,5583,2853,5582,2853xm5579,2853l5578,2853,5578,2853,5579,2853xm5578,2852l5578,2853,5578,2853,5578,2853,5578,2852xm5581,2852l5581,2852,5582,2853,5582,2853,5582,2853,5581,2852xm5578,2852l5578,2853,5578,2853,5579,2852,5579,2852,5578,2852xm5581,2852l5580,2852,5582,2853,5581,2852xm5579,2852l5578,2853,5579,2853,5580,2852,5579,2852xm5578,2852l5578,2853,5578,2852,5578,2852xm5582,2852l5582,2852,5582,2853,5582,2852xm5580,2852l5579,2853,5580,2852,5580,2852xm5582,2852l5581,2852,5582,2853,5582,2852xm5581,2852l5580,2852,5580,2852,5581,2852,5581,2852,5581,2852xm5580,2852l5579,2852,5580,2852,5580,2852,5581,2852,5580,2852xm5579,2852l5578,2852,5579,2852,5580,2852,5579,2852xm5581,2852l5581,2852,5581,2852,5581,2852xm5581,2852l5581,2852,5581,2852,5582,2852,5581,2852xm5582,2852l5581,2852,5581,2852,5582,2852,5582,2852,5582,2852xm5579,2852l5579,2852,5578,2852,5579,2852,5579,2852xm5579,2852l5578,2852,5578,2852,5579,2852,5579,2852,5579,2852xm5582,2852l5582,2852,5582,2852,5582,2852,5582,2852,5582,2852,5582,2852xm5577,2851l5576,2852,5578,2852,5579,2852,5577,2851xm5580,2852l5580,2852,5581,2852,5580,2852xm5580,2852l5580,2852,5581,2852,5581,2852,5580,2852xm5583,2851l5582,2852,5582,2852,5583,2852,5584,2852,5583,2851xm5581,2851l5580,2851,5580,2852,5581,2852,5581,2852,5581,2851,5581,2851xm5577,2851l5577,2852,5576,2852,5577,2851xm5583,2851l5584,2852,5583,2852,5583,2851xm5585,2851l5583,2851,5584,2852,5585,2852,5585,2851xm5576,2851l5576,2852,5576,2852,5577,2851,5577,2851,5577,2851,5576,2851xm5580,2852l5580,2852,5580,2852,5580,2852,5580,2852xm5575,2851l5574,2852,5576,2852,5576,2851,5575,2851xm5581,2851l5581,2851,5582,2852,5582,2852,5582,2852,5581,2851xm5579,2851l5579,2852,5579,2852,5579,2852,5580,2852,5580,2851,5579,2851xm5585,2851l5585,2851,5585,2851,5585,2852,5586,2852,5585,2851xm5583,2851l5581,2851,5581,2851,5582,2852,5583,2851,5583,2851,5583,2851xm5579,2851l5579,2851,5579,2852,5579,2852,5579,2852,5579,2851,5579,2851xm5586,2851l5585,2851,5586,2852,5586,2852,5586,2851xm5574,2850l5574,2852,5574,2852,5575,2851,5575,2850,5574,2850xm5581,2851l5580,2851,5580,2852,5581,2851xm5580,2851l5580,2851,5580,2852,5580,2852,5580,2851xm5580,2851l5580,2851,5580,2851,5580,2852,5581,2851,5581,2851,5580,2851xm5587,2850l5586,2851,5586,2852,5587,2851,5587,2850xm5573,2850l5573,2851,5574,2852,5574,2850,5573,2850xm5577,2851l5577,2851,5577,2851,5579,2852,5579,2851,5579,2851,5577,2851xm5588,2850l5587,2850,5587,2851,5588,2851,5588,2850xm5571,2850l5572,2851,5573,2851,5573,2850,5571,2850xm5577,2851l5577,2851,5577,2851,5577,2851xm5583,2850l5583,2851,5583,2851,5583,2850xm5585,2850l5583,2850,5583,2851,5583,2851,5585,2851,5585,2850xm5580,2850l5579,2851,5579,2851,5580,2851,5580,2851,5580,2850,5580,2850xm5590,2849l5588,2850,5588,2851,5590,2851,5590,2851,5590,2849xm5570,2849l5570,2851,5570,2851,5572,2851,5571,2850,5570,2849xm5579,2851l5579,2851,5579,2851,5579,2851xm5581,2851l5581,2851,5581,2851,5581,2851xm5581,2851l5581,2851,5581,2851,5581,2851xm5578,2850l5578,2851,5579,2851,5578,2850xm5581,2851l5581,2851,5581,2851,5581,2851,5581,2851,5581,2851xm5579,2849l5578,2850,5579,2851,5580,2850,5580,2850,5579,2849xm5577,2850l5577,2851,5577,2851,5577,2851,5577,2850xm5576,2850l5576,2851,5577,2851,5577,2850,5576,2850xm5593,2849l5590,2849,5590,2850,5590,2851,5592,2851,5593,2849xm5569,2849l5569,2851,5570,2851,5570,2851,5570,2849,5569,2849xm5582,2850l5581,2851,5581,2851,5582,2851,5582,2850xm5582,2850l5581,2850,5581,2851,5581,2851,5582,2850,5582,2850xm5565,2848l5567,2850,5567,2851,5569,2851,5568,2849,5565,2848xm5575,2849l5575,2851,5576,2851,5576,2850,5575,2849xm5585,2849l5585,2850,5585,2850,5585,2851,5585,2851,5585,2849xm5595,2848l5593,2849,5592,2851,5593,2851,5595,2848xm5586,2849l5585,2849,5585,2850,5585,2851,5586,2851,5586,2849xm5580,2850l5580,2850,5580,2851,5580,2850,5580,2850xm5598,2847l5595,2848,5593,2851,5596,2850,5596,2850,5598,2847xm5561,2847l5564,2850,5564,2850,5567,2851,5565,2848,5561,2847xm5587,2849l5586,2849,5586,2851,5587,2850,5587,2849xm5581,2849l5580,2850,5580,2850,5581,2851,5582,2850,5582,2849,5581,2849xm5574,2849l5574,2850,5575,2851,5575,2850,5575,2849,5574,2849xm5577,2850l5577,2850,5577,2850,5577,2850,5577,2850xm5584,2849l5583,2850,5583,2850,5584,2850,5584,2849xm5582,2849l5582,2850,5582,2850,5582,2850,5582,2849xm5578,2849l5578,2850,5578,2850,5578,2849,5578,2849,5578,2849xm5589,2848l5587,2849,5587,2850,5588,2850,5589,2849,5589,2848xm5573,2849l5573,2850,5574,2850,5574,2849,5573,2849xm5603,2846l5598,2847,5596,2850,5599,2850,5603,2846xm5556,2846l5561,2850,5564,2850,5561,2847,5556,2846xm5584,2848l5582,2849,5582,2850,5583,2850,5584,2849,5584,2849,5584,2848xm5577,2848l5577,2849,5577,2850,5577,2850,5578,2849,5577,2848xm5580,2850l5580,2850,5580,2850,5580,2850xm5575,2849l5575,2849,5576,2850,5576,2850,5575,2849xm5580,2847l5579,2849,5579,2849,5580,2850,5580,2850,5581,2849,5581,2849,5580,2847xm5571,2848l5571,2850,5573,2850,5573,2849,5571,2848xm5591,2847l5589,2848,5589,2849,5588,2850,5590,2849,5591,2847xm5579,2849l5579,2849,5580,2850,5579,2849xm5612,2844l5603,2846,5599,2850,5605,2849,5605,2849,5612,2844xm5549,2844l5557,2849,5561,2850,5556,2846,5549,2844xm5576,2847l5575,2849,5577,2850,5577,2848,5577,2848,5576,2847xm5585,2849l5585,2849,5585,2850,5585,2849,5585,2849xm5569,2847l5570,2849,5571,2850,5571,2848,5571,2848,5569,2847xm5582,2849l5581,2849,5582,2850,5582,2849,5582,2849,5582,2849xm5594,2846l5591,2847,5590,2849,5593,2849,5593,2849,5594,2846xm5586,2848l5585,2849,5585,2849,5586,2849,5586,2848xm5574,2848l5574,2849,5575,2849,5575,2849,5574,2848xm5583,2847l5582,2848,5582,2849,5582,2849,5584,2848,5583,2847xm5528,2838l5545,2848,5557,2849,5549,2844,5528,2838xm5585,2847l5584,2848,5584,2848,5584,2849,5585,2849,5585,2847xm5567,2846l5568,2849,5569,2849,5570,2849,5569,2847,5567,2846xm5587,2848l5586,2848,5586,2849,5587,2849,5587,2848xm5573,2848l5573,2849,5574,2849,5574,2848,5573,2848xm5631,2838l5612,2844,5605,2849,5615,2848,5631,2838xm5578,2849l5578,2849,5579,2849,5578,2849xm5586,2847l5585,2847,5585,2849,5586,2848,5586,2847xm5574,2846l5574,2848,5575,2849,5576,2847,5575,2847,5574,2846xm5580,2847l5579,2848,5578,2849,5579,2849,5580,2847,5580,2847,5580,2847xm5580,2847l5580,2847,5580,2847,5581,2849,5582,2849,5581,2848,5580,2847xm5563,2845l5565,2848,5565,2848,5569,2849,5567,2846,5563,2845xm5597,2845l5594,2846,5593,2849,5595,2848,5597,2845xm5578,2848l5577,2848,5578,2849,5578,2849,5578,2848xm5589,2847l5587,2847,5587,2849,5589,2848,5589,2847xm5571,2847l5571,2848,5573,2849,5573,2847,5571,2847xm5579,2845l5578,2847,5578,2848,5578,2849,5579,2847,5579,2846,5579,2845xm5582,2844l5581,2846,5581,2847,5582,2849,5583,2847,5583,2846,5582,2844xm5587,2845l5586,2847,5586,2847,5586,2848,5587,2848,5587,2845xm5573,2845l5573,2848,5574,2848,5574,2847,5574,2846,5573,2845xm5602,2842l5597,2845,5595,2848,5598,2847,5602,2842xm5576,2846l5576,2847,5577,2848,5577,2847,5576,2846xm5584,2846l5584,2847,5583,2847,5584,2848,5584,2848,5584,2847,5584,2846xm5591,2845l5589,2847,5589,2848,5591,2847,5591,2845xm5569,2845l5569,2847,5571,2848,5571,2847,5569,2845xm5558,2842l5561,2847,5565,2848,5563,2845,5558,2842xm5679,2826l5631,2838,5615,2848,5631,2846,5679,2826xm5479,2825l5529,2846,5545,2848,5528,2838,5479,2825xm5577,2843l5576,2846,5578,2848,5578,2846,5578,2845,5577,2843xm5589,2844l5587,2845,5587,2848,5589,2847,5589,2846,5589,2844xm5571,2843l5571,2846,5571,2847,5573,2848,5573,2845,5571,2843xm5585,2845l5584,2846,5584,2846,5585,2847,5586,2847,5585,2845xm5610,2839l5602,2842,5598,2847,5603,2846,5610,2839xm5580,2846l5580,2846,5580,2847,5580,2847,5580,2847,5580,2846,5580,2846xm5595,2843l5591,2845,5591,2847,5594,2846,5595,2843xm5566,2844l5567,2846,5569,2847,5569,2845,5566,2844xm5550,2839l5556,2846,5561,2847,5558,2842,5550,2839xm5583,2843l5583,2844,5582,2845,5583,2847,5584,2846,5583,2843xm5575,2845l5575,2846,5576,2847,5575,2846,5575,2845xm5587,2843l5586,2845,5585,2845,5586,2847,5587,2846,5587,2843xm5592,2841l5589,2844,5589,2847,5591,2845,5592,2841xm5567,2840l5569,2845,5571,2847,5571,2843,5567,2840xm5579,2844l5579,2845,5579,2845,5580,2847,5580,2846,5580,2845,5579,2844xm5582,2843l5580,2845,5580,2846,5580,2847,5582,2845,5582,2844,5582,2843xm5561,2841l5563,2845,5567,2846,5566,2844,5561,2841xm5575,2841l5575,2845,5576,2846,5577,2843,5577,2843,5575,2841xm5585,2841l5583,2843,5583,2843,5584,2846,5585,2845,5585,2841xm5627,2832l5610,2839,5603,2846,5612,2844,5627,2832xm5573,2843l5573,2845,5574,2846,5574,2845,5573,2843xm5581,2840l5579,2844,5579,2844,5580,2846,5582,2843,5581,2840xm5599,2841l5595,2843,5594,2846,5597,2845,5599,2841xm8231,2133l5679,2826,5631,2846,5683,2839,8234,2147,8231,2133xm2929,2133l2926,2147,5480,2839,5529,2846,5479,2825,2929,2133xm5535,2833l5549,2844,5556,2846,5550,2839,5535,2833xm5590,2840l5587,2843,5587,2845,5589,2844,5589,2843,5590,2840xm5577,2841l5577,2842,5577,2843,5579,2845,5579,2844,5579,2844,5577,2841xm5597,2838l5592,2841,5591,2845,5595,2843,5597,2838xm5564,2838l5566,2844,5569,2845,5567,2840,5564,2838xm5573,2838l5573,2843,5575,2845,5575,2842,5575,2841,5573,2838xm5587,2838l5585,2840,5585,2842,5585,2845,5587,2843,5587,2838xm5607,2836l5599,2841,5597,2845,5602,2842,5607,2836xm5553,2836l5558,2842,5563,2845,5561,2841,5553,2836xm5570,2840l5571,2842,5571,2843,5573,2845,5573,2843,5570,2840xm5583,2841l5582,2843,5582,2844,5583,2843,5583,2842,5583,2841xm5579,2835l5577,2841,5579,2844,5581,2840,5579,2835xm5555,2831l5561,2841,5566,2844,5564,2838,5555,2831xm5594,2836l5590,2840,5590,2841,5589,2844,5592,2841,5594,2836xm5477,2809l5528,2838,5549,2844,5535,2833,5477,2809xm5683,2809l5627,2832,5612,2844,5631,2838,5683,2809xm5604,2833l5597,2838,5595,2843,5599,2841,5604,2833xm5569,2833l5570,2840,5573,2843,5573,2838,5569,2833xm5591,2833l5587,2838,5587,2843,5590,2840,5591,2833xm5575,2838l5575,2839,5575,2841,5577,2843,5577,2841,5577,2841,5575,2838xm5585,2838l5583,2840,5583,2841,5583,2843,5585,2841,5585,2839,5585,2838xm5566,2836l5567,2840,5567,2840,5571,2843,5570,2840,5566,2836xm5582,2837l5581,2840,5582,2843,5583,2841,5582,2837xm5621,2828l5607,2836,5602,2842,5610,2839,5621,2828xm5539,2828l5550,2839,5558,2842,5553,2836,5539,2828xm5601,2829l5594,2836,5592,2841,5597,2838,5601,2829xm5584,2832l5582,2837,5583,2841,5585,2838,5584,2832xm5576,2830l5575,2838,5577,2841,5579,2835,5576,2830xm5573,2833l5573,2838,5575,2841,5575,2839,5575,2838,5573,2833xm5587,2833l5585,2838,5585,2839,5585,2841,5587,2838,5587,2833xm5618,2822l5604,2833,5599,2841,5607,2836,5618,2822xm5540,2819l5553,2836,5561,2841,5555,2831,5540,2819xm5563,2825l5566,2836,5570,2840,5569,2833,5563,2825xm5597,2825l5591,2833,5590,2840,5594,2836,5597,2825xm5561,2831l5564,2838,5567,2840,5566,2836,5561,2831xm5580,2830l5579,2835,5581,2840,5582,2837,5580,2830xm5665,2803l5621,2828,5610,2839,5627,2832,5665,2803xm5500,2805l5535,2833,5550,2839,5539,2828,5500,2805xm8104,1794l5683,2809,5631,2838,5679,2826,8108,1807,8104,1794xm5587,2824l5584,2832,5584,2833,5585,2838,5587,2833,5587,2824xm5573,2821l5573,2833,5575,2838,5576,2830,5573,2821xm3058,1794l3052,1807,5479,2825,5528,2838,5477,2809,3058,1794xm5568,2825l5569,2833,5573,2838,5573,2833,5568,2825xm5592,2825l5587,2833,5587,2838,5591,2833,5592,2825xm5548,2818l5555,2831,5564,2838,5561,2831,5548,2818xm5612,2818l5601,2829,5597,2838,5604,2833,5612,2818xm5582,2821l5580,2830,5582,2837,5584,2833,5584,2830,5582,2821xm5554,2813l5561,2831,5566,2836,5563,2825,5554,2813xm5609,2810l5597,2825,5594,2836,5601,2829,5609,2810xm5659,2790l5618,2822,5607,2836,5621,2828,5659,2790xm5498,2786l5539,2828,5553,2836,5540,2819,5498,2786xm5578,2821l5577,2829,5577,2830,5579,2835,5580,2831,5580,2830,5578,2821xm5559,2809l5563,2825,5569,2833,5568,2825,5559,2809xm5601,2809l5592,2825,5591,2833,5597,2825,5601,2809xm5594,2808l5587,2824,5587,2833,5592,2826,5592,2821,5594,2808xm5566,2804l5568,2825,5568,2826,5573,2833,5573,2821,5566,2804xm3214,1485l3206,1497,5477,2809,5535,2833,5500,2805,3214,1485xm5651,2779l5612,2818,5604,2833,5618,2822,5651,2779xm5587,2803l5582,2821,5582,2822,5584,2832,5587,2824,5587,2803xm7948,1485l5665,2803,5627,2832,5683,2809,7955,1497,7948,1485xm5519,2768l5548,2818,5561,2831,5554,2813,5519,2768xm5509,2779l5540,2819,5555,2831,5548,2818,5509,2779xm5580,2803l5578,2819,5578,2822,5580,2830,5582,2822,5582,2821,5580,2803xm5573,2803l5573,2822,5576,2830,5578,2822,5578,2821,5573,2803xm5641,2768l5609,2810,5601,2829,5612,2818,5641,2768xm7748,1175l5659,2790,5621,2828,5665,2803,7758,1186,7748,1175xm3412,1175l3403,1186,5500,2805,5539,2828,5498,2786,3412,1175xm5615,2756l5594,2808,5592,2825,5601,2809,5615,2756xm5535,2767l5554,2813,5563,2825,5559,2809,5535,2767xm5543,2749l5559,2809,5568,2825,5566,2804,5543,2749xm5629,2760l5601,2809,5597,2825,5609,2810,5629,2760xm5601,2750l5587,2803,5587,2824,5594,2808,5601,2750xm7508,907l5651,2779,5618,2822,5659,2790,7518,917,7508,907xm5573,2747l5573,2804,5578,2821,5580,2804,5580,2803,5573,2747xm5587,2747l5580,2803,5580,2804,5582,2821,5587,2804,5587,2747xm5559,2750l5566,2804,5573,2821,5573,2803,5559,2750xm3652,907l3642,917,5498,2786,5540,2819,5509,2779,3652,907xm3920,682l3910,690,5509,2779,5548,2818,5519,2768,3920,682xm7240,682l5641,2768,5612,2818,5651,2779,7250,690,7240,682xm4218,472l4205,478,5519,2768,5554,2813,5535,2767,4218,472xm6943,472l5629,2760,5609,2810,5641,2768,6955,478,6943,472xm6618,317l5615,2756,5601,2809,5629,2760,6631,322,6618,317xm4542,317l4530,322,5535,2767,5559,2809,5543,2749,4542,317xm6278,205l5601,2750,5594,2808,5615,2756,6293,209,6278,205xm4882,205l4868,209,5543,2749,5566,2804,5559,2750,4882,205xm5234,136l5220,137,5559,2750,5573,2803,5573,2747,5234,136xm5926,136l5587,2747,5587,2803,5601,2750,5940,137,5926,136xm5587,108l5573,108,5573,2749,5580,2803,5587,2749,5587,108xe" filled="true" fillcolor="#868686" stroked="false">
              <v:path arrowok="t"/>
              <v:fill type="solid"/>
            </v:shape>
            <v:shape style="position:absolute;left:4117;top:465;width:2982;height:4478" type="#_x0000_t75" stroked="false">
              <v:imagedata r:id="rId29" o:title=""/>
            </v:shape>
            <w10:wrap type="none"/>
          </v:group>
        </w:pict>
      </w:r>
      <w:r>
        <w:rPr>
          <w:sz w:val="18"/>
        </w:rPr>
        <w:t>brazil australia</w:t>
      </w:r>
    </w:p>
    <w:p>
      <w:pPr>
        <w:spacing w:line="181" w:lineRule="exact" w:before="0"/>
        <w:ind w:left="2209" w:right="0" w:firstLine="0"/>
        <w:jc w:val="left"/>
        <w:rPr>
          <w:sz w:val="18"/>
        </w:rPr>
      </w:pPr>
      <w:r>
        <w:rPr>
          <w:sz w:val="18"/>
        </w:rPr>
        <w:t>colombia</w:t>
      </w:r>
    </w:p>
    <w:p>
      <w:pPr>
        <w:spacing w:line="285" w:lineRule="auto" w:before="0"/>
        <w:ind w:left="1483" w:right="256" w:firstLine="573"/>
        <w:jc w:val="left"/>
        <w:rPr>
          <w:sz w:val="18"/>
        </w:rPr>
      </w:pPr>
      <w:r>
        <w:rPr>
          <w:sz w:val="18"/>
        </w:rPr>
        <w:t>mexico philippines</w:t>
      </w:r>
    </w:p>
    <w:p>
      <w:pPr>
        <w:spacing w:line="360" w:lineRule="auto" w:before="34"/>
        <w:ind w:left="1417" w:right="1161" w:firstLine="196"/>
        <w:jc w:val="left"/>
        <w:rPr>
          <w:sz w:val="18"/>
        </w:rPr>
      </w:pPr>
      <w:r>
        <w:rPr>
          <w:sz w:val="18"/>
        </w:rPr>
        <w:t>turkey russia</w:t>
      </w:r>
    </w:p>
    <w:p>
      <w:pPr>
        <w:spacing w:line="410" w:lineRule="auto" w:before="22"/>
        <w:ind w:left="807" w:right="1161" w:firstLine="141"/>
        <w:jc w:val="left"/>
        <w:rPr>
          <w:sz w:val="18"/>
        </w:rPr>
      </w:pPr>
      <w:r>
        <w:rPr>
          <w:sz w:val="18"/>
        </w:rPr>
        <w:t>indonesia singapore</w:t>
      </w:r>
    </w:p>
    <w:p>
      <w:pPr>
        <w:spacing w:line="429" w:lineRule="auto" w:before="11"/>
        <w:ind w:left="1087" w:right="2016" w:firstLine="87"/>
        <w:jc w:val="both"/>
        <w:rPr>
          <w:sz w:val="18"/>
        </w:rPr>
      </w:pPr>
      <w:r>
        <w:rPr>
          <w:sz w:val="18"/>
        </w:rPr>
        <w:t>chile china israel korea</w:t>
      </w:r>
    </w:p>
    <w:p>
      <w:pPr>
        <w:spacing w:line="188" w:lineRule="exact" w:before="0"/>
        <w:ind w:left="740" w:right="1276" w:firstLine="0"/>
        <w:jc w:val="center"/>
        <w:rPr>
          <w:sz w:val="18"/>
        </w:rPr>
      </w:pPr>
      <w:r>
        <w:rPr>
          <w:sz w:val="18"/>
        </w:rPr>
        <w:t>india</w:t>
      </w:r>
    </w:p>
    <w:p>
      <w:pPr>
        <w:spacing w:before="128"/>
        <w:ind w:left="917" w:right="1276" w:firstLine="0"/>
        <w:jc w:val="center"/>
        <w:rPr>
          <w:sz w:val="18"/>
        </w:rPr>
      </w:pPr>
      <w:r>
        <w:rPr>
          <w:sz w:val="18"/>
        </w:rPr>
        <w:t>taiwan</w:t>
      </w:r>
    </w:p>
    <w:p>
      <w:pPr>
        <w:spacing w:before="102"/>
        <w:ind w:left="960" w:right="1276" w:firstLine="0"/>
        <w:jc w:val="center"/>
        <w:rPr>
          <w:sz w:val="18"/>
        </w:rPr>
      </w:pPr>
      <w:r>
        <w:rPr>
          <w:sz w:val="18"/>
        </w:rPr>
        <w:t>southafrica</w:t>
      </w:r>
    </w:p>
    <w:p>
      <w:pPr>
        <w:spacing w:before="74"/>
        <w:ind w:left="1207" w:right="860" w:firstLine="0"/>
        <w:jc w:val="center"/>
        <w:rPr>
          <w:sz w:val="18"/>
        </w:rPr>
      </w:pPr>
      <w:r>
        <w:rPr>
          <w:sz w:val="18"/>
        </w:rPr>
        <w:t>malaysia</w:t>
      </w:r>
    </w:p>
    <w:p>
      <w:pPr>
        <w:spacing w:before="39"/>
        <w:ind w:left="2136" w:right="256" w:hanging="143"/>
        <w:jc w:val="left"/>
        <w:rPr>
          <w:sz w:val="18"/>
        </w:rPr>
      </w:pPr>
      <w:r>
        <w:rPr>
          <w:sz w:val="18"/>
        </w:rPr>
        <w:t>thailand hongkong</w:t>
      </w:r>
    </w:p>
    <w:p>
      <w:pPr>
        <w:spacing w:line="80" w:lineRule="exact" w:before="0"/>
        <w:ind w:left="2291" w:right="0" w:firstLine="0"/>
        <w:jc w:val="left"/>
        <w:rPr>
          <w:sz w:val="18"/>
        </w:rPr>
      </w:pPr>
      <w:r>
        <w:rPr>
          <w:sz w:val="18"/>
        </w:rPr>
        <w:t>newzealand</w:t>
      </w:r>
    </w:p>
    <w:p>
      <w:pPr>
        <w:spacing w:before="16"/>
        <w:ind w:left="0" w:right="46" w:firstLine="0"/>
        <w:jc w:val="right"/>
        <w:rPr>
          <w:sz w:val="18"/>
        </w:rPr>
      </w:pPr>
      <w:r>
        <w:rPr/>
        <w:br w:type="column"/>
      </w:r>
      <w:r>
        <w:rPr>
          <w:sz w:val="18"/>
        </w:rPr>
        <w:t>0.8</w:t>
      </w:r>
    </w:p>
    <w:p>
      <w:pPr>
        <w:spacing w:before="136"/>
        <w:ind w:left="0" w:right="46" w:firstLine="0"/>
        <w:jc w:val="right"/>
        <w:rPr>
          <w:sz w:val="18"/>
        </w:rPr>
      </w:pPr>
      <w:r>
        <w:rPr>
          <w:sz w:val="18"/>
        </w:rPr>
        <w:t>0.6</w:t>
      </w:r>
    </w:p>
    <w:p>
      <w:pPr>
        <w:spacing w:before="135"/>
        <w:ind w:left="0" w:right="46" w:firstLine="0"/>
        <w:jc w:val="right"/>
        <w:rPr>
          <w:sz w:val="18"/>
        </w:rPr>
      </w:pPr>
      <w:r>
        <w:rPr>
          <w:sz w:val="18"/>
        </w:rPr>
        <w:t>0.4</w:t>
      </w:r>
    </w:p>
    <w:p>
      <w:pPr>
        <w:spacing w:before="136"/>
        <w:ind w:left="0" w:right="46" w:firstLine="0"/>
        <w:jc w:val="right"/>
        <w:rPr>
          <w:sz w:val="18"/>
        </w:rPr>
      </w:pPr>
      <w:r>
        <w:rPr>
          <w:sz w:val="18"/>
        </w:rPr>
        <w:t>0.2</w:t>
      </w:r>
    </w:p>
    <w:p>
      <w:pPr>
        <w:spacing w:before="136"/>
        <w:ind w:left="0" w:right="45" w:firstLine="0"/>
        <w:jc w:val="right"/>
        <w:rPr>
          <w:sz w:val="18"/>
        </w:rPr>
      </w:pPr>
      <w:r>
        <w:rPr>
          <w:w w:val="101"/>
          <w:sz w:val="18"/>
        </w:rPr>
        <w:t>0</w:t>
      </w:r>
    </w:p>
    <w:p>
      <w:pPr>
        <w:spacing w:before="136"/>
        <w:ind w:left="0" w:right="38" w:firstLine="0"/>
        <w:jc w:val="right"/>
        <w:rPr>
          <w:sz w:val="18"/>
        </w:rPr>
      </w:pPr>
      <w:r>
        <w:rPr>
          <w:spacing w:val="3"/>
          <w:sz w:val="18"/>
        </w:rPr>
        <w:t>-0.2</w:t>
      </w:r>
    </w:p>
    <w:p>
      <w:pPr>
        <w:spacing w:before="135"/>
        <w:ind w:left="0" w:right="38" w:firstLine="0"/>
        <w:jc w:val="right"/>
        <w:rPr>
          <w:sz w:val="18"/>
        </w:rPr>
      </w:pPr>
      <w:r>
        <w:rPr>
          <w:spacing w:val="3"/>
          <w:sz w:val="18"/>
        </w:rPr>
        <w:t>-0.4</w:t>
      </w:r>
    </w:p>
    <w:p>
      <w:pPr>
        <w:spacing w:before="135"/>
        <w:ind w:left="0" w:right="38" w:firstLine="0"/>
        <w:jc w:val="right"/>
        <w:rPr>
          <w:sz w:val="18"/>
        </w:rPr>
      </w:pPr>
      <w:r>
        <w:rPr>
          <w:spacing w:val="3"/>
          <w:sz w:val="18"/>
        </w:rPr>
        <w:t>-0.6</w:t>
      </w:r>
    </w:p>
    <w:p>
      <w:pPr>
        <w:spacing w:before="136"/>
        <w:ind w:left="0" w:right="38" w:firstLine="0"/>
        <w:jc w:val="right"/>
        <w:rPr>
          <w:sz w:val="18"/>
        </w:rPr>
      </w:pPr>
      <w:r>
        <w:rPr>
          <w:spacing w:val="3"/>
          <w:sz w:val="18"/>
        </w:rPr>
        <w:t>-0.8</w:t>
      </w:r>
    </w:p>
    <w:p>
      <w:pPr>
        <w:spacing w:line="162" w:lineRule="exact" w:before="0"/>
        <w:ind w:left="807" w:right="0" w:firstLine="0"/>
        <w:jc w:val="left"/>
        <w:rPr>
          <w:sz w:val="18"/>
        </w:rPr>
      </w:pPr>
      <w:r>
        <w:rPr/>
        <w:br w:type="column"/>
      </w:r>
      <w:r>
        <w:rPr>
          <w:sz w:val="18"/>
        </w:rPr>
        <w:t>germany</w:t>
      </w:r>
    </w:p>
    <w:p>
      <w:pPr>
        <w:spacing w:line="143" w:lineRule="exact" w:before="0"/>
        <w:ind w:left="1160" w:right="0" w:firstLine="0"/>
        <w:jc w:val="left"/>
        <w:rPr>
          <w:sz w:val="18"/>
        </w:rPr>
      </w:pPr>
      <w:r>
        <w:rPr>
          <w:sz w:val="18"/>
        </w:rPr>
        <w:t>austria</w:t>
      </w:r>
    </w:p>
    <w:p>
      <w:pPr>
        <w:spacing w:line="186" w:lineRule="exact" w:before="0"/>
        <w:ind w:left="1494" w:right="0" w:firstLine="0"/>
        <w:jc w:val="left"/>
        <w:rPr>
          <w:sz w:val="18"/>
        </w:rPr>
      </w:pPr>
      <w:r>
        <w:rPr>
          <w:sz w:val="18"/>
        </w:rPr>
        <w:t>iceland</w:t>
      </w:r>
    </w:p>
    <w:p>
      <w:pPr>
        <w:spacing w:line="285" w:lineRule="auto" w:before="0"/>
        <w:ind w:left="2084" w:right="2317" w:hanging="280"/>
        <w:jc w:val="left"/>
        <w:rPr>
          <w:sz w:val="18"/>
        </w:rPr>
      </w:pPr>
      <w:r>
        <w:rPr>
          <w:sz w:val="18"/>
        </w:rPr>
        <w:t>netherlands sweden</w:t>
      </w:r>
    </w:p>
    <w:p>
      <w:pPr>
        <w:spacing w:before="34"/>
        <w:ind w:left="2330" w:right="0" w:firstLine="0"/>
        <w:jc w:val="left"/>
        <w:rPr>
          <w:sz w:val="18"/>
        </w:rPr>
      </w:pPr>
      <w:r>
        <w:rPr>
          <w:sz w:val="18"/>
        </w:rPr>
        <w:t>norway</w:t>
      </w:r>
    </w:p>
    <w:p>
      <w:pPr>
        <w:spacing w:line="386" w:lineRule="auto" w:before="102"/>
        <w:ind w:left="2702" w:right="2349" w:hanging="165"/>
        <w:jc w:val="right"/>
        <w:rPr>
          <w:sz w:val="18"/>
        </w:rPr>
      </w:pPr>
      <w:r>
        <w:rPr>
          <w:sz w:val="18"/>
        </w:rPr>
        <w:t>denmark estonia</w:t>
      </w:r>
    </w:p>
    <w:p>
      <w:pPr>
        <w:spacing w:before="21"/>
        <w:ind w:left="0" w:right="2285" w:firstLine="0"/>
        <w:jc w:val="right"/>
        <w:rPr>
          <w:sz w:val="18"/>
        </w:rPr>
      </w:pPr>
      <w:r>
        <w:rPr>
          <w:sz w:val="18"/>
        </w:rPr>
        <w:t>finland</w:t>
      </w:r>
    </w:p>
    <w:p>
      <w:pPr>
        <w:spacing w:line="432" w:lineRule="auto" w:before="158"/>
        <w:ind w:left="2919" w:right="1268" w:hanging="25"/>
        <w:jc w:val="left"/>
        <w:rPr>
          <w:sz w:val="18"/>
        </w:rPr>
      </w:pPr>
      <w:r>
        <w:rPr>
          <w:sz w:val="18"/>
        </w:rPr>
        <w:t>czechrepublic latvia</w:t>
      </w:r>
    </w:p>
    <w:p>
      <w:pPr>
        <w:spacing w:line="424" w:lineRule="auto" w:before="0"/>
        <w:ind w:left="2822" w:right="1685" w:firstLine="73"/>
        <w:jc w:val="left"/>
        <w:rPr>
          <w:sz w:val="18"/>
        </w:rPr>
      </w:pPr>
      <w:r>
        <w:rPr>
          <w:sz w:val="18"/>
        </w:rPr>
        <w:t>greece </w:t>
      </w:r>
      <w:r>
        <w:rPr>
          <w:spacing w:val="2"/>
          <w:sz w:val="18"/>
        </w:rPr>
        <w:t>poland</w:t>
      </w:r>
    </w:p>
    <w:p>
      <w:pPr>
        <w:spacing w:line="193" w:lineRule="exact" w:before="0"/>
        <w:ind w:left="2702" w:right="0" w:firstLine="0"/>
        <w:jc w:val="left"/>
        <w:rPr>
          <w:sz w:val="18"/>
        </w:rPr>
      </w:pPr>
      <w:r>
        <w:rPr>
          <w:sz w:val="18"/>
        </w:rPr>
        <w:t>spain</w:t>
      </w:r>
    </w:p>
    <w:p>
      <w:pPr>
        <w:spacing w:line="360" w:lineRule="auto" w:before="127"/>
        <w:ind w:left="2330" w:right="2317" w:firstLine="207"/>
        <w:jc w:val="left"/>
        <w:rPr>
          <w:sz w:val="18"/>
        </w:rPr>
      </w:pPr>
      <w:r>
        <w:rPr>
          <w:sz w:val="18"/>
        </w:rPr>
        <w:t>hungary italy</w:t>
      </w:r>
    </w:p>
    <w:p>
      <w:pPr>
        <w:spacing w:line="176" w:lineRule="exact" w:before="0"/>
        <w:ind w:left="2084" w:right="0" w:firstLine="0"/>
        <w:jc w:val="left"/>
        <w:rPr>
          <w:sz w:val="18"/>
        </w:rPr>
      </w:pPr>
      <w:r>
        <w:rPr>
          <w:sz w:val="18"/>
        </w:rPr>
        <w:t>luxem bourg</w:t>
      </w:r>
    </w:p>
    <w:p>
      <w:pPr>
        <w:spacing w:before="39"/>
        <w:ind w:left="1494" w:right="2317" w:firstLine="310"/>
        <w:jc w:val="left"/>
        <w:rPr>
          <w:sz w:val="18"/>
        </w:rPr>
      </w:pPr>
      <w:r>
        <w:rPr>
          <w:sz w:val="18"/>
        </w:rPr>
        <w:t>slovakrepu~c slovenia</w:t>
      </w:r>
    </w:p>
    <w:p>
      <w:pPr>
        <w:spacing w:line="80" w:lineRule="exact" w:before="0"/>
        <w:ind w:left="1160" w:right="0" w:firstLine="0"/>
        <w:jc w:val="left"/>
        <w:rPr>
          <w:sz w:val="18"/>
        </w:rPr>
      </w:pPr>
      <w:r>
        <w:rPr>
          <w:sz w:val="18"/>
        </w:rPr>
        <w:t>ireland</w:t>
      </w:r>
    </w:p>
    <w:p>
      <w:pPr>
        <w:spacing w:after="0" w:line="80" w:lineRule="exact"/>
        <w:jc w:val="left"/>
        <w:rPr>
          <w:sz w:val="18"/>
        </w:rPr>
        <w:sectPr>
          <w:type w:val="continuous"/>
          <w:pgSz w:w="12240" w:h="15840"/>
          <w:pgMar w:top="1120" w:bottom="1440" w:left="1200" w:right="1060"/>
          <w:cols w:num="3" w:equalWidth="0">
            <w:col w:w="3651" w:space="40"/>
            <w:col w:w="532" w:space="94"/>
            <w:col w:w="5663"/>
          </w:cols>
        </w:sectPr>
      </w:pPr>
    </w:p>
    <w:p>
      <w:pPr>
        <w:spacing w:line="235" w:lineRule="auto" w:before="0"/>
        <w:ind w:left="2635" w:right="0" w:firstLine="0"/>
        <w:jc w:val="left"/>
        <w:rPr>
          <w:sz w:val="18"/>
        </w:rPr>
      </w:pPr>
      <w:r>
        <w:rPr>
          <w:spacing w:val="-4"/>
          <w:w w:val="101"/>
          <w:sz w:val="18"/>
        </w:rPr>
        <w:t>u</w:t>
      </w:r>
      <w:r>
        <w:rPr>
          <w:spacing w:val="10"/>
          <w:w w:val="101"/>
          <w:sz w:val="18"/>
        </w:rPr>
        <w:t>n</w:t>
      </w:r>
      <w:r>
        <w:rPr>
          <w:spacing w:val="2"/>
          <w:w w:val="101"/>
          <w:sz w:val="18"/>
        </w:rPr>
        <w:t>i</w:t>
      </w:r>
      <w:r>
        <w:rPr>
          <w:spacing w:val="-9"/>
          <w:w w:val="101"/>
          <w:sz w:val="18"/>
        </w:rPr>
        <w:t>t</w:t>
      </w:r>
      <w:r>
        <w:rPr>
          <w:spacing w:val="10"/>
          <w:w w:val="101"/>
          <w:sz w:val="18"/>
        </w:rPr>
        <w:t>e</w:t>
      </w:r>
      <w:r>
        <w:rPr>
          <w:spacing w:val="-4"/>
          <w:w w:val="101"/>
          <w:sz w:val="18"/>
        </w:rPr>
        <w:t>d</w:t>
      </w:r>
      <w:r>
        <w:rPr>
          <w:spacing w:val="6"/>
          <w:w w:val="101"/>
          <w:sz w:val="18"/>
        </w:rPr>
        <w:t>st</w:t>
      </w:r>
      <w:r>
        <w:rPr>
          <w:spacing w:val="-4"/>
          <w:w w:val="101"/>
          <w:sz w:val="18"/>
        </w:rPr>
        <w:t>a</w:t>
      </w:r>
      <w:r>
        <w:rPr>
          <w:spacing w:val="5"/>
          <w:w w:val="101"/>
          <w:sz w:val="18"/>
        </w:rPr>
        <w:t>t</w:t>
      </w:r>
      <w:r>
        <w:rPr>
          <w:spacing w:val="-4"/>
          <w:w w:val="101"/>
          <w:sz w:val="18"/>
        </w:rPr>
        <w:t>e</w:t>
      </w:r>
      <w:r>
        <w:rPr>
          <w:spacing w:val="-89"/>
          <w:w w:val="101"/>
          <w:sz w:val="18"/>
        </w:rPr>
        <w:t>s</w:t>
      </w:r>
      <w:r>
        <w:rPr>
          <w:spacing w:val="2"/>
          <w:w w:val="101"/>
          <w:position w:val="-6"/>
          <w:sz w:val="18"/>
        </w:rPr>
        <w:t>j</w:t>
      </w:r>
      <w:r>
        <w:rPr>
          <w:spacing w:val="-4"/>
          <w:w w:val="101"/>
          <w:position w:val="-6"/>
          <w:sz w:val="18"/>
        </w:rPr>
        <w:t>a</w:t>
      </w:r>
      <w:r>
        <w:rPr>
          <w:spacing w:val="10"/>
          <w:w w:val="101"/>
          <w:position w:val="-6"/>
          <w:sz w:val="18"/>
        </w:rPr>
        <w:t>p</w:t>
      </w:r>
      <w:r>
        <w:rPr>
          <w:spacing w:val="-4"/>
          <w:w w:val="101"/>
          <w:position w:val="-6"/>
          <w:sz w:val="18"/>
        </w:rPr>
        <w:t>a</w:t>
      </w:r>
      <w:r>
        <w:rPr>
          <w:w w:val="101"/>
          <w:position w:val="-6"/>
          <w:sz w:val="18"/>
        </w:rPr>
        <w:t>n</w:t>
      </w:r>
    </w:p>
    <w:p>
      <w:pPr>
        <w:pStyle w:val="BodyText"/>
        <w:spacing w:before="10"/>
        <w:rPr>
          <w:sz w:val="17"/>
        </w:rPr>
      </w:pPr>
      <w:r>
        <w:rPr/>
        <w:br w:type="column"/>
      </w:r>
      <w:r>
        <w:rPr>
          <w:sz w:val="17"/>
        </w:rPr>
      </w:r>
    </w:p>
    <w:p>
      <w:pPr>
        <w:spacing w:before="0"/>
        <w:ind w:left="29" w:right="0" w:firstLine="0"/>
        <w:jc w:val="left"/>
        <w:rPr>
          <w:sz w:val="18"/>
        </w:rPr>
      </w:pPr>
      <w:r>
        <w:rPr>
          <w:sz w:val="18"/>
        </w:rPr>
        <w:t>canada</w:t>
      </w:r>
    </w:p>
    <w:p>
      <w:pPr>
        <w:spacing w:before="0"/>
        <w:ind w:left="31" w:right="0" w:firstLine="0"/>
        <w:jc w:val="left"/>
        <w:rPr>
          <w:sz w:val="18"/>
        </w:rPr>
      </w:pPr>
      <w:r>
        <w:rPr/>
        <w:br w:type="column"/>
      </w:r>
      <w:r>
        <w:rPr>
          <w:spacing w:val="6"/>
          <w:w w:val="101"/>
          <w:sz w:val="18"/>
        </w:rPr>
        <w:t>s</w:t>
      </w:r>
      <w:r>
        <w:rPr>
          <w:spacing w:val="-6"/>
          <w:w w:val="101"/>
          <w:sz w:val="18"/>
        </w:rPr>
        <w:t>w</w:t>
      </w:r>
      <w:r>
        <w:rPr>
          <w:spacing w:val="1"/>
          <w:w w:val="101"/>
          <w:sz w:val="18"/>
        </w:rPr>
        <w:t>i</w:t>
      </w:r>
      <w:r>
        <w:rPr>
          <w:spacing w:val="5"/>
          <w:w w:val="101"/>
          <w:sz w:val="18"/>
        </w:rPr>
        <w:t>t</w:t>
      </w:r>
      <w:r>
        <w:rPr>
          <w:spacing w:val="-50"/>
          <w:w w:val="101"/>
          <w:sz w:val="18"/>
        </w:rPr>
        <w:t>z</w:t>
      </w:r>
      <w:r>
        <w:rPr>
          <w:spacing w:val="-45"/>
          <w:w w:val="101"/>
          <w:position w:val="7"/>
          <w:sz w:val="18"/>
        </w:rPr>
        <w:t>p</w:t>
      </w:r>
      <w:r>
        <w:rPr>
          <w:spacing w:val="-62"/>
          <w:w w:val="101"/>
          <w:sz w:val="18"/>
        </w:rPr>
        <w:t>e</w:t>
      </w:r>
      <w:r>
        <w:rPr>
          <w:spacing w:val="-45"/>
          <w:w w:val="101"/>
          <w:position w:val="7"/>
          <w:sz w:val="18"/>
        </w:rPr>
        <w:t>o</w:t>
      </w:r>
      <w:r>
        <w:rPr>
          <w:spacing w:val="-6"/>
          <w:w w:val="101"/>
          <w:sz w:val="18"/>
        </w:rPr>
        <w:t>r</w:t>
      </w:r>
      <w:r>
        <w:rPr>
          <w:spacing w:val="-60"/>
          <w:w w:val="101"/>
          <w:position w:val="7"/>
          <w:sz w:val="18"/>
        </w:rPr>
        <w:t>r</w:t>
      </w:r>
      <w:r>
        <w:rPr>
          <w:spacing w:val="1"/>
          <w:w w:val="101"/>
          <w:sz w:val="18"/>
        </w:rPr>
        <w:t>l</w:t>
      </w:r>
      <w:r>
        <w:rPr>
          <w:spacing w:val="-89"/>
          <w:w w:val="101"/>
          <w:sz w:val="18"/>
        </w:rPr>
        <w:t>a</w:t>
      </w:r>
      <w:r>
        <w:rPr>
          <w:spacing w:val="5"/>
          <w:w w:val="101"/>
          <w:position w:val="7"/>
          <w:sz w:val="18"/>
        </w:rPr>
        <w:t>t</w:t>
      </w:r>
      <w:r>
        <w:rPr>
          <w:spacing w:val="-59"/>
          <w:w w:val="101"/>
          <w:position w:val="7"/>
          <w:sz w:val="18"/>
        </w:rPr>
        <w:t>u</w:t>
      </w:r>
      <w:r>
        <w:rPr>
          <w:spacing w:val="-47"/>
          <w:w w:val="101"/>
          <w:sz w:val="18"/>
        </w:rPr>
        <w:t>n</w:t>
      </w:r>
      <w:r>
        <w:rPr>
          <w:spacing w:val="-58"/>
          <w:w w:val="101"/>
          <w:position w:val="7"/>
          <w:sz w:val="18"/>
        </w:rPr>
        <w:t>g</w:t>
      </w:r>
      <w:r>
        <w:rPr>
          <w:spacing w:val="-34"/>
          <w:w w:val="101"/>
          <w:sz w:val="18"/>
        </w:rPr>
        <w:t>d</w:t>
      </w:r>
      <w:r>
        <w:rPr>
          <w:spacing w:val="-3"/>
          <w:w w:val="101"/>
          <w:position w:val="7"/>
          <w:sz w:val="18"/>
        </w:rPr>
        <w:t>a</w:t>
      </w:r>
      <w:r>
        <w:rPr>
          <w:w w:val="101"/>
          <w:position w:val="7"/>
          <w:sz w:val="18"/>
        </w:rPr>
        <w:t>l</w:t>
      </w:r>
    </w:p>
    <w:p>
      <w:pPr>
        <w:spacing w:after="0"/>
        <w:jc w:val="left"/>
        <w:rPr>
          <w:sz w:val="18"/>
        </w:rPr>
        <w:sectPr>
          <w:type w:val="continuous"/>
          <w:pgSz w:w="12240" w:h="15840"/>
          <w:pgMar w:top="1120" w:bottom="1440" w:left="1200" w:right="1060"/>
          <w:cols w:num="3" w:equalWidth="0">
            <w:col w:w="4009" w:space="40"/>
            <w:col w:w="640" w:space="39"/>
            <w:col w:w="5252"/>
          </w:cols>
        </w:sectPr>
      </w:pPr>
    </w:p>
    <w:p>
      <w:pPr>
        <w:tabs>
          <w:tab w:pos="3435" w:val="left" w:leader="none"/>
          <w:tab w:pos="4384" w:val="left" w:leader="none"/>
          <w:tab w:pos="5793" w:val="left" w:leader="none"/>
          <w:tab w:pos="6837" w:val="left" w:leader="none"/>
        </w:tabs>
        <w:spacing w:before="131"/>
        <w:ind w:left="1366" w:right="0" w:firstLine="0"/>
        <w:jc w:val="left"/>
        <w:rPr>
          <w:sz w:val="18"/>
        </w:rPr>
      </w:pPr>
      <w:r>
        <w:rPr/>
        <w:drawing>
          <wp:anchor distT="0" distB="0" distL="0" distR="0" allowOverlap="1" layoutInCell="1" locked="0" behindDoc="0" simplePos="0" relativeHeight="251749376">
            <wp:simplePos x="0" y="0"/>
            <wp:positionH relativeFrom="page">
              <wp:posOffset>1370838</wp:posOffset>
            </wp:positionH>
            <wp:positionV relativeFrom="paragraph">
              <wp:posOffset>122698</wp:posOffset>
            </wp:positionV>
            <wp:extent cx="232409" cy="53339"/>
            <wp:effectExtent l="0" t="0" r="0" b="0"/>
            <wp:wrapNone/>
            <wp:docPr id="21" name="image21.png"/>
            <wp:cNvGraphicFramePr>
              <a:graphicFrameLocks noChangeAspect="1"/>
            </wp:cNvGraphicFramePr>
            <a:graphic>
              <a:graphicData uri="http://schemas.openxmlformats.org/drawingml/2006/picture">
                <pic:pic>
                  <pic:nvPicPr>
                    <pic:cNvPr id="22" name="image21.png"/>
                    <pic:cNvPicPr/>
                  </pic:nvPicPr>
                  <pic:blipFill>
                    <a:blip r:embed="rId30" cstate="print"/>
                    <a:stretch>
                      <a:fillRect/>
                    </a:stretch>
                  </pic:blipFill>
                  <pic:spPr>
                    <a:xfrm>
                      <a:off x="0" y="0"/>
                      <a:ext cx="232409" cy="53339"/>
                    </a:xfrm>
                    <a:prstGeom prst="rect">
                      <a:avLst/>
                    </a:prstGeom>
                  </pic:spPr>
                </pic:pic>
              </a:graphicData>
            </a:graphic>
          </wp:anchor>
        </w:drawing>
      </w:r>
      <w:r>
        <w:rPr/>
        <w:drawing>
          <wp:anchor distT="0" distB="0" distL="0" distR="0" allowOverlap="1" layoutInCell="1" locked="0" behindDoc="1" simplePos="0" relativeHeight="248413184">
            <wp:simplePos x="0" y="0"/>
            <wp:positionH relativeFrom="page">
              <wp:posOffset>2687573</wp:posOffset>
            </wp:positionH>
            <wp:positionV relativeFrom="paragraph">
              <wp:posOffset>122698</wp:posOffset>
            </wp:positionV>
            <wp:extent cx="224027" cy="53339"/>
            <wp:effectExtent l="0" t="0" r="0" b="0"/>
            <wp:wrapNone/>
            <wp:docPr id="23" name="image22.png"/>
            <wp:cNvGraphicFramePr>
              <a:graphicFrameLocks noChangeAspect="1"/>
            </wp:cNvGraphicFramePr>
            <a:graphic>
              <a:graphicData uri="http://schemas.openxmlformats.org/drawingml/2006/picture">
                <pic:pic>
                  <pic:nvPicPr>
                    <pic:cNvPr id="24" name="image22.png"/>
                    <pic:cNvPicPr/>
                  </pic:nvPicPr>
                  <pic:blipFill>
                    <a:blip r:embed="rId31" cstate="print"/>
                    <a:stretch>
                      <a:fillRect/>
                    </a:stretch>
                  </pic:blipFill>
                  <pic:spPr>
                    <a:xfrm>
                      <a:off x="0" y="0"/>
                      <a:ext cx="224027" cy="53339"/>
                    </a:xfrm>
                    <a:prstGeom prst="rect">
                      <a:avLst/>
                    </a:prstGeom>
                  </pic:spPr>
                </pic:pic>
              </a:graphicData>
            </a:graphic>
          </wp:anchor>
        </w:drawing>
      </w:r>
      <w:r>
        <w:rPr/>
        <w:drawing>
          <wp:anchor distT="0" distB="0" distL="0" distR="0" allowOverlap="1" layoutInCell="1" locked="0" behindDoc="1" simplePos="0" relativeHeight="248414208">
            <wp:simplePos x="0" y="0"/>
            <wp:positionH relativeFrom="page">
              <wp:posOffset>3288029</wp:posOffset>
            </wp:positionH>
            <wp:positionV relativeFrom="paragraph">
              <wp:posOffset>122698</wp:posOffset>
            </wp:positionV>
            <wp:extent cx="233172" cy="53339"/>
            <wp:effectExtent l="0" t="0" r="0" b="0"/>
            <wp:wrapNone/>
            <wp:docPr id="25" name="image23.png"/>
            <wp:cNvGraphicFramePr>
              <a:graphicFrameLocks noChangeAspect="1"/>
            </wp:cNvGraphicFramePr>
            <a:graphic>
              <a:graphicData uri="http://schemas.openxmlformats.org/drawingml/2006/picture">
                <pic:pic>
                  <pic:nvPicPr>
                    <pic:cNvPr id="26" name="image23.png"/>
                    <pic:cNvPicPr/>
                  </pic:nvPicPr>
                  <pic:blipFill>
                    <a:blip r:embed="rId32" cstate="print"/>
                    <a:stretch>
                      <a:fillRect/>
                    </a:stretch>
                  </pic:blipFill>
                  <pic:spPr>
                    <a:xfrm>
                      <a:off x="0" y="0"/>
                      <a:ext cx="233172" cy="53339"/>
                    </a:xfrm>
                    <a:prstGeom prst="rect">
                      <a:avLst/>
                    </a:prstGeom>
                  </pic:spPr>
                </pic:pic>
              </a:graphicData>
            </a:graphic>
          </wp:anchor>
        </w:drawing>
      </w:r>
      <w:r>
        <w:rPr/>
        <w:drawing>
          <wp:anchor distT="0" distB="0" distL="0" distR="0" allowOverlap="1" layoutInCell="1" locked="0" behindDoc="1" simplePos="0" relativeHeight="248415232">
            <wp:simplePos x="0" y="0"/>
            <wp:positionH relativeFrom="page">
              <wp:posOffset>4184141</wp:posOffset>
            </wp:positionH>
            <wp:positionV relativeFrom="paragraph">
              <wp:posOffset>122698</wp:posOffset>
            </wp:positionV>
            <wp:extent cx="224027" cy="53339"/>
            <wp:effectExtent l="0" t="0" r="0" b="0"/>
            <wp:wrapNone/>
            <wp:docPr id="27" name="image24.png"/>
            <wp:cNvGraphicFramePr>
              <a:graphicFrameLocks noChangeAspect="1"/>
            </wp:cNvGraphicFramePr>
            <a:graphic>
              <a:graphicData uri="http://schemas.openxmlformats.org/drawingml/2006/picture">
                <pic:pic>
                  <pic:nvPicPr>
                    <pic:cNvPr id="28" name="image24.png"/>
                    <pic:cNvPicPr/>
                  </pic:nvPicPr>
                  <pic:blipFill>
                    <a:blip r:embed="rId33" cstate="print"/>
                    <a:stretch>
                      <a:fillRect/>
                    </a:stretch>
                  </pic:blipFill>
                  <pic:spPr>
                    <a:xfrm>
                      <a:off x="0" y="0"/>
                      <a:ext cx="224027" cy="53339"/>
                    </a:xfrm>
                    <a:prstGeom prst="rect">
                      <a:avLst/>
                    </a:prstGeom>
                  </pic:spPr>
                </pic:pic>
              </a:graphicData>
            </a:graphic>
          </wp:anchor>
        </w:drawing>
      </w:r>
      <w:r>
        <w:rPr/>
        <w:pict>
          <v:group style="position:absolute;margin-left:380.940002pt;margin-top:9.481285pt;width:19.1pt;height:4.6pt;mso-position-horizontal-relative:page;mso-position-vertical-relative:paragraph;z-index:-254900224" coordorigin="7619,190" coordsize="382,92">
            <v:line style="position:absolute" from="7619,235" to="8000,235" stroked="true" strokeweight="1.44pt" strokecolor="#000099">
              <v:stroke dashstyle="solid"/>
            </v:line>
            <v:shape style="position:absolute;left:7766;top:189;width:90;height:92" coordorigin="7766,190" coordsize="90,92" path="m7856,233l7854,230,7827,203,7817,192,7813,190,7808,190,7806,192,7769,230,7766,233,7766,238,7806,277,7808,281,7813,281,7826,268,7854,240,7856,238,7856,233e" filled="true" fillcolor="#000099" stroked="false">
              <v:path arrowok="t"/>
              <v:fill type="solid"/>
            </v:shape>
            <w10:wrap type="none"/>
          </v:group>
        </w:pict>
      </w:r>
      <w:r>
        <w:rPr>
          <w:spacing w:val="2"/>
          <w:sz w:val="18"/>
        </w:rPr>
        <w:t>95%</w:t>
      </w:r>
      <w:r>
        <w:rPr>
          <w:spacing w:val="7"/>
          <w:sz w:val="18"/>
        </w:rPr>
        <w:t> </w:t>
      </w:r>
      <w:r>
        <w:rPr>
          <w:spacing w:val="3"/>
          <w:sz w:val="18"/>
        </w:rPr>
        <w:t>conf.</w:t>
      </w:r>
      <w:r>
        <w:rPr>
          <w:spacing w:val="6"/>
          <w:sz w:val="18"/>
        </w:rPr>
        <w:t> </w:t>
      </w:r>
      <w:r>
        <w:rPr>
          <w:sz w:val="18"/>
        </w:rPr>
        <w:t>interval</w:t>
        <w:tab/>
      </w:r>
      <w:r>
        <w:rPr>
          <w:spacing w:val="2"/>
          <w:sz w:val="18"/>
        </w:rPr>
        <w:t>EEA</w:t>
        <w:tab/>
        <w:t>G10</w:t>
      </w:r>
      <w:r>
        <w:rPr>
          <w:spacing w:val="12"/>
          <w:sz w:val="18"/>
        </w:rPr>
        <w:t> </w:t>
      </w:r>
      <w:r>
        <w:rPr>
          <w:sz w:val="18"/>
        </w:rPr>
        <w:t>other</w:t>
        <w:tab/>
        <w:t>Other</w:t>
        <w:tab/>
        <w:t>country</w:t>
      </w:r>
      <w:r>
        <w:rPr>
          <w:spacing w:val="-1"/>
          <w:sz w:val="18"/>
        </w:rPr>
        <w:t> </w:t>
      </w:r>
      <w:r>
        <w:rPr>
          <w:spacing w:val="4"/>
          <w:sz w:val="18"/>
        </w:rPr>
        <w:t>beta</w:t>
      </w:r>
    </w:p>
    <w:p>
      <w:pPr>
        <w:pStyle w:val="BodyText"/>
        <w:spacing w:before="9"/>
        <w:rPr>
          <w:sz w:val="20"/>
        </w:rPr>
      </w:pPr>
    </w:p>
    <w:p>
      <w:pPr>
        <w:spacing w:before="105"/>
        <w:ind w:left="429" w:right="0" w:firstLine="0"/>
        <w:jc w:val="left"/>
        <w:rPr>
          <w:sz w:val="15"/>
        </w:rPr>
      </w:pPr>
      <w:r>
        <w:rPr>
          <w:b/>
          <w:i/>
          <w:w w:val="105"/>
          <w:sz w:val="15"/>
        </w:rPr>
        <w:t>Source </w:t>
      </w:r>
      <w:r>
        <w:rPr>
          <w:b/>
          <w:w w:val="105"/>
          <w:sz w:val="15"/>
        </w:rPr>
        <w:t>: </w:t>
      </w:r>
      <w:r>
        <w:rPr>
          <w:w w:val="105"/>
          <w:sz w:val="15"/>
        </w:rPr>
        <w:t>Bank of England, OECD, ONS, IMF International Financial Statistics, Bloomberg</w:t>
      </w:r>
    </w:p>
    <w:p>
      <w:pPr>
        <w:spacing w:after="0"/>
        <w:jc w:val="left"/>
        <w:rPr>
          <w:sz w:val="15"/>
        </w:rPr>
        <w:sectPr>
          <w:type w:val="continuous"/>
          <w:pgSz w:w="12240" w:h="15840"/>
          <w:pgMar w:top="1120" w:bottom="1440" w:left="1200" w:right="1060"/>
        </w:sectPr>
      </w:pPr>
    </w:p>
    <w:p>
      <w:pPr>
        <w:spacing w:line="278" w:lineRule="auto" w:before="67"/>
        <w:ind w:left="429" w:right="2076" w:hanging="1"/>
        <w:jc w:val="left"/>
        <w:rPr>
          <w:b/>
          <w:sz w:val="18"/>
        </w:rPr>
      </w:pPr>
      <w:r>
        <w:rPr>
          <w:b/>
          <w:sz w:val="18"/>
        </w:rPr>
        <w:t>Figure 18: Country betas from Phillips curve regressions using UK and foreign </w:t>
      </w:r>
      <w:r>
        <w:rPr>
          <w:b/>
          <w:sz w:val="18"/>
          <w:u w:val="single"/>
        </w:rPr>
        <w:t>core</w:t>
      </w:r>
      <w:r>
        <w:rPr>
          <w:b/>
          <w:sz w:val="18"/>
        </w:rPr>
        <w:t> inflation</w:t>
      </w:r>
    </w:p>
    <w:p>
      <w:pPr>
        <w:pStyle w:val="BodyText"/>
        <w:spacing w:before="7"/>
        <w:rPr>
          <w:b/>
          <w:sz w:val="20"/>
        </w:rPr>
      </w:pPr>
    </w:p>
    <w:p>
      <w:pPr>
        <w:spacing w:line="57" w:lineRule="auto" w:before="127"/>
        <w:ind w:left="0" w:right="440" w:firstLine="0"/>
        <w:jc w:val="center"/>
        <w:rPr>
          <w:sz w:val="18"/>
        </w:rPr>
      </w:pPr>
      <w:r>
        <w:rPr>
          <w:sz w:val="18"/>
        </w:rPr>
        <w:t>belgium </w:t>
      </w:r>
      <w:r>
        <w:rPr>
          <w:position w:val="-12"/>
          <w:sz w:val="18"/>
        </w:rPr>
        <w:t>germany</w:t>
      </w:r>
    </w:p>
    <w:p>
      <w:pPr>
        <w:spacing w:after="0" w:line="57" w:lineRule="auto"/>
        <w:jc w:val="center"/>
        <w:rPr>
          <w:sz w:val="18"/>
        </w:rPr>
        <w:sectPr>
          <w:pgSz w:w="12240" w:h="15840"/>
          <w:pgMar w:header="0" w:footer="1240" w:top="1500" w:bottom="1440" w:left="1200" w:right="1060"/>
        </w:sectPr>
      </w:pPr>
    </w:p>
    <w:p>
      <w:pPr>
        <w:spacing w:line="139" w:lineRule="auto" w:before="67"/>
        <w:ind w:left="2850" w:right="0" w:hanging="88"/>
        <w:jc w:val="left"/>
        <w:rPr>
          <w:sz w:val="18"/>
        </w:rPr>
      </w:pPr>
      <w:r>
        <w:rPr/>
        <w:pict>
          <v:group style="position:absolute;margin-left:142.139999pt;margin-top:5.561983pt;width:273.75pt;height:273.45pt;mso-position-horizontal-relative:page;mso-position-vertical-relative:paragraph;z-index:-254899200" coordorigin="2843,111" coordsize="5475,5469">
            <v:shape style="position:absolute;left:4072;top:608;width:2972;height:4534" type="#_x0000_t75" stroked="false">
              <v:imagedata r:id="rId34" o:title=""/>
            </v:shape>
            <v:shape style="position:absolute;left:4224;top:1271;width:2609;height:3104" coordorigin="4224,1272" coordsize="2609,3104" path="m4698,1964l4672,2149,4577,2266,4338,2331,4259,2492,4224,2667,4325,2846,4276,3018,4276,3195,4325,3366,4301,3584,4379,3768,4496,3928,4592,4132,4801,4195,4946,4375,5354,3686,5609,3686,5633,3248,6621,3248,6674,3139,6730,2997,6677,2846,6833,2680,6749,2532,6727,2370,6674,2214,6631,2143,5392,2143,5360,2103,5010,2103,4698,1964xm5609,3686l5354,3686,5465,3716,5580,4239,5609,3686xm6621,3248l5633,3248,5719,3366,5869,3544,5881,3368,6389,3368,6412,3326,6610,3272,6621,3248xm6389,3368l5881,3368,6002,3396,6226,3490,6352,3438,6389,3368xm5580,1272l5392,2143,6631,2143,6588,2072,6492,1934,6433,1810,6176,1810,6084,1627,5908,1621,5779,1328,5580,1272xm5177,1873l5053,1933,5010,2103,5360,2103,5177,1873xm6410,1762l6176,1810,6433,1810,6410,1762xe" filled="true" fillcolor="#ffffff" stroked="false">
              <v:path arrowok="t"/>
              <v:fill type="solid"/>
            </v:shape>
            <v:shape style="position:absolute;left:5580;top:111;width:2734;height:5445" type="#_x0000_t75" stroked="false">
              <v:imagedata r:id="rId35" o:title=""/>
            </v:shape>
            <v:shape style="position:absolute;left:2845;top:204;width:2735;height:4035" type="#_x0000_t75" stroked="false">
              <v:imagedata r:id="rId36" o:title=""/>
            </v:shape>
            <v:shape style="position:absolute;left:4872;top:2846;width:708;height:2734" type="#_x0000_t75" stroked="false">
              <v:imagedata r:id="rId37" o:title=""/>
            </v:shape>
            <v:shape style="position:absolute;left:2845;top:4212;width:2735;height:1158" type="#_x0000_t75" stroked="false">
              <v:imagedata r:id="rId38" o:title=""/>
            </v:shape>
            <v:shape style="position:absolute;left:2842;top:114;width:5475;height:5462" coordorigin="2843,115" coordsize="5475,5462" path="m5580,2896l5573,2951,5573,5576,5587,5576,5587,2951,5580,2896xm5573,2894l5559,2948,5220,5560,5234,5563,5573,2951,5573,2894xm5587,2894l5587,2951,5926,5563,5940,5560,5601,2948,5587,2894xm5566,2894l5543,2948,4868,5490,4882,5493,5559,2948,5566,2894xm5594,2890l5601,2948,6278,5493,6293,5490,5615,2941,5594,2890xm5559,2890l5536,2930,4530,5376,4542,5380,5543,2948,5559,2890xm5601,2890l5615,2941,6618,5380,6631,5376,5628,2936,5601,2890xm5555,2883l5520,2928,4205,5205,4218,5212,5536,2930,5555,2883xm5608,2887l5628,2936,6943,5212,6955,5205,5640,2928,5608,2887xm5548,2881l5507,2921,3910,5007,3920,5016,5520,2928,5548,2881xm5612,2881l5640,2928,7240,5016,7250,5007,5653,2921,5612,2881xm5541,2877l5502,2907,3642,4766,3652,4777,5507,2921,5541,2877xm5617,2875l5653,2921,7508,4777,7518,4766,5654,2903,5617,2875xm5538,2871l5491,2898,3403,4498,3412,4509,5502,2907,5538,2871xm5622,2871l5654,2903,7748,4509,7757,4498,5673,2901,5622,2871xm5535,2865l5485,2886,3206,4201,3214,4213,5491,2898,5535,2865xm5628,2866l5673,2901,7948,4213,7954,4201,5675,2886,5628,2866xm5532,2859l5478,2873,3052,3890,3058,3903,5485,2886,5532,2859xm5627,2858l5675,2886,8104,3903,8108,3890,5680,2872,5627,2858xm5525,2854l5472,2861,2940,3552,2944,3565,5478,2873,5525,2854xm5635,2854l5680,2872,8216,3565,8220,3552,5690,2861,5635,2854xm5525,2839l2870,3199,2872,3212,5472,2861,5543,2841,5525,2839xm5635,2839l5618,2841,5618,2841,5690,2861,8288,3212,8291,3199,5635,2839xm5578,2876l5573,2894,5573,2951,5580,2896,5578,2876xm5582,2876l5580,2896,5587,2951,5587,2894,5582,2876xm5568,2873l5559,2890,5543,2948,5566,2894,5568,2873xm5573,2876l5566,2894,5559,2948,5573,2894,5573,2876xm5587,2873l5587,2894,5601,2948,5594,2890,5587,2873xm5592,2873l5594,2890,5615,2941,5601,2890,5592,2873xm5597,2872l5601,2890,5628,2936,5608,2887,5597,2872xm5563,2872l5555,2883,5536,2930,5559,2890,5563,2872xm5561,2867l5548,2881,5520,2928,5555,2883,5561,2867xm5601,2869l5608,2887,5640,2928,5612,2881,5601,2869xm5557,2865l5541,2877,5507,2921,5548,2881,5557,2865xm5602,2864l5612,2881,5653,2921,5617,2875,5602,2864xm5552,2863l5538,2871,5502,2907,5541,2877,5552,2863xm5608,2863l5617,2875,5654,2903,5622,2871,5608,2863xm5609,2858l5622,2871,5673,2901,5628,2866,5609,2858xm5551,2858l5535,2865,5491,2898,5538,2871,5551,2858xm5580,2867l5578,2876,5578,2877,5580,2896,5582,2877,5582,2876,5580,2867xm5576,2868l5573,2876,5573,2894,5578,2876,5576,2868xm5584,2865l5582,2876,5587,2894,5587,2873,5584,2865xm5573,2865l5568,2873,5566,2894,5573,2876,5573,2865xm5591,2864l5592,2872,5592,2873,5601,2890,5597,2872,5591,2864xm5569,2864l5563,2872,5559,2890,5568,2873,5569,2864xm5587,2865l5587,2873,5594,2890,5592,2873,5587,2865xm5594,2863l5597,2872,5608,2887,5601,2869,5594,2863xm5549,2854l5532,2859,5485,2886,5535,2865,5549,2854xm5612,2854l5628,2866,5675,2886,5627,2858,5612,2854xm5566,2863l5561,2867,5555,2883,5563,2872,5566,2863xm5565,2859l5557,2865,5548,2881,5561,2867,5565,2859xm5596,2859l5601,2869,5612,2881,5602,2864,5596,2859xm5561,2858l5552,2863,5541,2877,5557,2865,5561,2858xm5579,2862l5577,2867,5577,2869,5578,2876,5580,2868,5580,2867,5579,2862xm5582,2860l5580,2866,5580,2868,5582,2876,5584,2866,5584,2865,5582,2860xm5575,2861l5573,2865,5573,2876,5576,2868,5575,2861xm5599,2858l5602,2864,5617,2875,5608,2863,5599,2858xm5585,2861l5584,2865,5587,2873,5587,2865,5585,2861xm5573,2860l5569,2864,5568,2873,5573,2865,5573,2860xm5587,2860l5587,2865,5592,2873,5591,2864,5587,2860xm5545,2851l5525,2854,5478,2873,5532,2859,5545,2851xm5615,2851l5627,2858,5680,2872,5635,2854,5615,2851xm5590,2858l5591,2864,5597,2872,5594,2863,5590,2858xm5570,2858l5566,2863,5563,2872,5569,2864,5570,2858xm5558,2855l5551,2858,5538,2871,5552,2863,5558,2855xm5602,2855l5608,2863,5622,2871,5609,2858,5602,2855xm5592,2856l5594,2863,5601,2869,5596,2859,5592,2856xm5577,2857l5576,2860,5576,2862,5576,2868,5579,2862,5577,2857xm5581,2857l5579,2862,5580,2867,5582,2860,5581,2857xm5567,2857l5565,2859,5561,2867,5566,2863,5567,2857xm5602,2851l5609,2858,5628,2866,5612,2854,5602,2851xm5583,2857l5582,2859,5582,2861,5584,2865,5585,2861,5583,2857xm5575,2857l5573,2860,5573,2865,5575,2861,5575,2859,5575,2857xm5585,2857l5585,2859,5585,2861,5587,2865,5587,2860,5585,2857xm5566,2855l5561,2858,5557,2865,5565,2859,5566,2855xm5558,2852l5549,2854,5535,2865,5551,2858,5558,2852xm5573,2856l5570,2858,5569,2864,5573,2860,5573,2856xm5587,2856l5587,2860,5591,2864,5590,2858,5587,2856xm5595,2856l5596,2859,5602,2864,5599,2858,5595,2856xm5564,2853l5558,2855,5552,2863,5561,2858,5564,2853xm5596,2853l5599,2858,5608,2863,5602,2855,5596,2853xm5589,2853l5590,2858,5594,2863,5592,2856,5589,2853xm5571,2855l5567,2857,5566,2863,5570,2858,5571,2855xm5579,2854l5578,2857,5578,2858,5579,2862,5581,2857,5580,2857,5579,2854xm5618,2841l5608,2843,5635,2854,5690,2861,5618,2841xm5543,2841l5472,2861,5525,2854,5552,2843,5543,2841xm5577,2855l5575,2857,5575,2861,5577,2857,5577,2855xm5583,2855l5583,2857,5585,2861,5585,2857,5583,2855xm5581,2855l5581,2857,5581,2857,5582,2860,5582,2858,5582,2857,5581,2855xm5575,2854l5573,2856,5573,2860,5575,2857,5575,2855,5575,2854xm5585,2854l5585,2855,5585,2857,5587,2860,5587,2856,5585,2854xm5592,2854l5592,2856,5596,2859,5595,2856,5592,2854xm5568,2854l5566,2855,5565,2859,5567,2857,5568,2854xm5554,2850l5545,2851,5532,2859,5549,2854,5554,2850xm5573,2853l5571,2855,5570,2858,5573,2856,5573,2853xm5587,2852l5587,2856,5590,2858,5589,2853,5587,2852xm5607,2850l5612,2854,5627,2858,5615,2851,5607,2850xm5568,2851l5564,2853,5561,2858,5566,2855,5568,2851xm5593,2851l5595,2855,5595,2856,5599,2858,5596,2853,5593,2851xm5561,2851l5558,2852,5551,2858,5558,2855,5561,2851xm5598,2850l5602,2855,5609,2858,5602,2851,5598,2850xm5579,2852l5577,2855,5577,2855,5577,2857,5579,2854,5579,2852xm5582,2853l5582,2855,5582,2856,5583,2857,5583,2855,5583,2855,5582,2853xm5580,2853l5580,2853,5579,2855,5581,2857,5581,2856,5581,2855,5580,2853xm5571,2852l5568,2854,5567,2857,5570,2855,5571,2854,5571,2852xm5576,2852l5575,2853,5575,2855,5575,2857,5577,2855,5576,2854,5576,2852xm5584,2852l5584,2854,5583,2855,5585,2857,5585,2855,5585,2853,5584,2852xm5589,2852l5589,2853,5589,2854,5592,2856,5592,2854,5589,2852xm5574,2852l5573,2853,5573,2856,5574,2854,5574,2852xm5586,2851l5586,2854,5587,2856,5587,2852,5586,2851xm5591,2850l5592,2854,5595,2856,5593,2851,5591,2850xm5581,2851l5580,2853,5581,2855,5582,2853,5581,2851xm5566,2849l5561,2851,5558,2855,5564,2853,5566,2849xm5594,2849l5596,2853,5602,2855,5598,2850,5594,2849xm5569,2850l5568,2851,5566,2855,5568,2854,5569,2850xm5578,2851l5576,2852,5576,2853,5577,2855,5578,2852,5578,2851,5578,2851xm5583,2851l5582,2853,5583,2855,5584,2853,5584,2852,5583,2851xm5573,2851l5571,2852,5571,2855,5573,2853,5573,2851xm5579,2851l5579,2852,5579,2852,5579,2854,5580,2853,5579,2851xm5600,2849l5602,2851,5612,2854,5607,2850,5600,2849xm5560,2849l5554,2850,5549,2854,5558,2852,5560,2849xm5576,2851l5574,2852,5574,2852,5575,2854,5576,2853,5576,2851,5576,2851xm5585,2850l5584,2851,5584,2853,5585,2854,5586,2851,5585,2850xm5589,2850l5589,2851,5589,2852,5592,2854,5591,2850,5589,2850xm5571,2850l5569,2850,5568,2854,5571,2852,5571,2851,5571,2850xm5552,2843l5525,2854,5545,2851,5558,2843,5552,2843xm5608,2843l5602,2843,5615,2851,5635,2854,5608,2843xm5587,2851l5587,2852,5589,2853,5589,2852,5587,2851xm5582,2850l5581,2851,5581,2851,5582,2853,5583,2852,5583,2851,5582,2850xm5574,2850l5573,2851,5573,2853,5574,2852,5574,2850xm5580,2850l5579,2851,5579,2852,5580,2853,5581,2852,5581,2851,5580,2850xm5569,2848l5566,2849,5564,2853,5568,2851,5569,2848xm5592,2848l5593,2851,5596,2853,5594,2849,5592,2848xm5577,2849l5576,2851,5576,2851,5576,2852,5578,2851,5578,2850,5577,2849xm5584,2849l5583,2851,5583,2852,5584,2852,5584,2850,5584,2850,5584,2849xm5578,2850l5578,2850,5578,2851,5579,2852,5579,2851,5579,2851,5578,2850xm5573,2849l5571,2850,5571,2852,5573,2851,5573,2849xm5587,2849l5587,2851,5589,2852,5589,2850,5587,2849xm5586,2850l5586,2851,5587,2852,5587,2851,5586,2850xm5575,2850l5574,2850,5574,2852,5576,2851,5575,2850xm5563,2849l5560,2849,5558,2852,5561,2851,5563,2849xm5590,2848l5591,2850,5593,2851,5592,2848,5590,2848xm5583,2848l5582,2850,5582,2850,5583,2851,5584,2850,5584,2849,5583,2848xm5581,2849l5580,2850,5580,2850,5581,2851,5581,2850,5581,2850,5581,2849xm5579,2849l5579,2850,5579,2850,5579,2851,5580,2850,5580,2850,5579,2849xm5597,2849l5598,2850,5602,2851,5600,2849,5597,2849xm5574,2848l5573,2849,5573,2851,5574,2850,5574,2848xm5586,2848l5586,2850,5587,2851,5587,2849,5586,2848xm5558,2843l5545,2851,5554,2850,5562,2844,5562,2844,5558,2843xm5602,2843l5599,2844,5599,2844,5607,2850,5615,2851,5602,2843xm5585,2850l5585,2850,5586,2851,5586,2850,5585,2850xm5570,2848l5569,2848,5568,2851,5569,2850,5570,2848xm5577,2849l5576,2850,5575,2850,5576,2851,5577,2850,5577,2849xm5578,2849l5578,2849,5577,2850,5578,2851,5578,2850,5578,2850,5578,2849xm5567,2848l5563,2849,5561,2851,5566,2849,5567,2848xm5571,2848l5570,2848,5569,2850,5571,2850,5571,2848xm5588,2847l5589,2850,5591,2850,5590,2848,5588,2847xm5575,2848l5574,2848,5574,2849,5574,2850,5575,2850,5575,2849,5575,2848xm5585,2848l5585,2849,5585,2850,5586,2850,5586,2849,5586,2848,5585,2848xm5580,2848l5579,2849,5579,2849,5580,2850,5581,2849,5581,2849,5580,2848xm5593,2848l5594,2849,5598,2850,5597,2849,5593,2848xm5582,2848l5581,2849,5581,2849,5582,2850,5582,2849,5582,2848,5582,2848xm5579,2848l5578,2849,5578,2849,5578,2850,5579,2849,5579,2849,5579,2848xm5584,2849l5584,2850,5585,2850,5584,2850,5584,2849xm5599,2844l5595,2844,5600,2849,5607,2850,5599,2844xm5562,2844l5554,2850,5560,2849,5565,2844,5562,2844xm5576,2847l5575,2848,5575,2848,5575,2850,5577,2849,5576,2847xm5585,2848l5584,2849,5584,2849,5585,2850,5585,2848,5585,2848,5585,2848xm5573,2847l5572,2848,5571,2848,5571,2850,5573,2849,5573,2847xm5587,2847l5587,2849,5589,2850,5589,2848,5588,2847,5587,2847,5587,2847xm5583,2848l5584,2849,5584,2849,5583,2848xm5577,2848l5577,2848,5577,2849,5577,2849,5578,2849,5577,2848xm5569,2848l5567,2848,5566,2849,5569,2849,5569,2848,5569,2848xm5579,2848l5579,2848,5579,2849,5579,2849,5580,2849,5580,2848,5579,2848xm5581,2847l5580,2848,5580,2849,5581,2849,5582,2848,5582,2848,5581,2847xm5583,2847l5583,2848,5583,2849,5584,2849,5585,2848,5583,2847xm5578,2848l5578,2848,5578,2849,5578,2849,5578,2848,5579,2848,5578,2848xm5592,2848l5592,2848,5592,2849,5594,2849,5593,2848,5592,2848xm5574,2847l5573,2847,5573,2849,5574,2848,5574,2847xm5586,2847l5586,2848,5587,2849,5587,2847,5586,2847xm5565,2844l5560,2849,5563,2849,5566,2844,5565,2844xm5595,2844l5594,2844,5597,2849,5600,2849,5595,2844xm5577,2847l5577,2847,5577,2849,5577,2849,5577,2848,5577,2847xm5566,2844l5563,2849,5567,2848,5568,2845,5568,2845,5566,2844xm5594,2844l5592,2845,5592,2845,5593,2848,5597,2849,5594,2844xm5590,2848l5590,2848,5590,2848,5592,2848,5592,2848,5590,2848xm5570,2848l5569,2848,5569,2848,5570,2848,5570,2848xm5580,2847l5579,2848,5580,2848,5581,2848,5581,2847,5580,2847xm5579,2847l5578,2848,5578,2848,5579,2848,5579,2848,5579,2847xm5575,2847l5574,2847,5574,2848,5575,2848,5575,2847xm5585,2847l5585,2848,5586,2848,5586,2847,5585,2847xm5577,2847l5577,2847,5577,2847,5577,2848,5578,2848,5578,2848,5577,2847xm5582,2848l5582,2848,5583,2848,5582,2848xm5583,2847l5582,2847,5582,2848,5583,2848,5583,2847,5583,2847,5583,2847xm5572,2847l5570,2848,5570,2848,5571,2848,5572,2847xm5569,2845l5567,2848,5569,2848,5570,2845,5569,2845xm5591,2845l5591,2845,5592,2848,5593,2848,5591,2845xm5576,2847l5575,2847,5575,2847,5575,2848,5576,2847,5576,2847xm5585,2847l5585,2848,5585,2848,5585,2847,5585,2847,5585,2847xm5588,2847l5588,2847,5590,2848,5590,2848,5588,2847xm5578,2847l5578,2847,5578,2847,5578,2848,5579,2848,5579,2847,5578,2847xm5581,2847l5581,2848,5582,2848,5582,2848,5581,2847xm5582,2847l5581,2847,5581,2847,5582,2848,5582,2847,5582,2847,5582,2847xm5573,2847l5572,2847,5571,2848,5573,2847,5573,2847xm5591,2845l5590,2845,5590,2845,5590,2848,5592,2848,5591,2845xm5580,2847l5579,2847,5579,2848,5579,2848,5580,2847,5580,2847xm5584,2847l5583,2847,5585,2848,5585,2847,5584,2847xm5570,2845l5569,2848,5570,2848,5570,2845,5570,2845xm5589,2845l5588,2845,5588,2847,5590,2848,5589,2845xm5571,2845l5570,2848,5572,2847,5572,2845,5571,2845xm5588,2847l5588,2847,5588,2847,5588,2847xm5579,2846l5579,2846,5578,2847,5578,2847,5579,2847,5580,2847,5580,2847,5579,2846xm5581,2847l5580,2847,5581,2847,5581,2847,5581,2847xm5574,2847l5573,2847,5573,2847,5574,2847,5574,2847xm5572,2845l5572,2847,5573,2847,5573,2845,5572,2845xm5588,2845l5587,2845,5587,2847,5588,2847,5588,2845xm5576,2847l5576,2847,5576,2847,5577,2847,5576,2847xm5581,2846l5581,2847,5581,2847,5581,2847,5582,2847,5582,2846,5581,2846xm5587,2847l5587,2847,5588,2847,5587,2847xm5577,2847l5577,2847,5577,2847,5577,2847,5577,2847,5577,2847xm5583,2847l5583,2847,5583,2847,5584,2847,5583,2847xm5575,2847l5574,2847,5574,2847,5575,2847,5575,2847xm5573,2845l5573,2847,5574,2847,5574,2846,5573,2845,5573,2845xm5586,2847l5586,2847,5587,2847,5587,2847,5586,2847xm5587,2845l5587,2845,5586,2847,5587,2847,5587,2845xm5580,2847l5580,2847,5580,2847,5580,2847,5580,2847,5580,2847xm5573,2845l5574,2847,5575,2847,5574,2845,5573,2845xm5585,2847l5585,2847,5586,2847,5586,2847,5585,2847xm5575,2847l5575,2847,5575,2847,5575,2847xm5574,2845l5575,2847,5576,2847,5576,2846,5574,2845xm5585,2847l5585,2847,5585,2847,5585,2847,5585,2847xm5578,2846l5577,2847,5577,2847,5578,2847,5578,2846xm5582,2846l5582,2847,5583,2847,5583,2847,5582,2846xm5580,2846l5579,2846,5579,2846,5580,2847,5580,2847,5580,2846xm5576,2847l5575,2847,5576,2847,5576,2847xm5587,2845l5586,2845,5586,2846,5586,2847,5586,2847,5587,2845xm5584,2846l5584,2847,5585,2847,5585,2846,5584,2846xm5581,2846l5580,2847,5581,2847,5581,2846,5581,2846xm5576,2846l5576,2847,5576,2847,5576,2846xm5580,2846l5580,2846,5580,2847,5581,2846,5581,2846,5580,2846xm5583,2846l5583,2847,5584,2847,5584,2846,5584,2846,5583,2846xm5577,2846l5576,2846,5576,2847,5577,2847,5577,2846xm5586,2845l5586,2845,5585,2846,5585,2847,5585,2847,5586,2845xm5579,2846l5578,2846,5578,2847,5579,2846xm5581,2846l5582,2847,5582,2846,5581,2846xm5578,2846l5577,2846,5577,2847,5578,2846,5578,2846xm5583,2846l5582,2846,5582,2846,5583,2847,5583,2846,5583,2846,5583,2846xm5585,2845l5584,2846,5584,2846,5584,2846,5585,2847,5585,2845xm5576,2846l5576,2847,5576,2846,5576,2846xm5576,2846l5576,2846,5577,2846,5577,2846,5576,2846,5576,2846xm5578,2846l5578,2846,5578,2846,5578,2846,5579,2846,5579,2846,5578,2846,5578,2846xm5583,2846l5582,2846,5581,2846,5582,2846,5583,2846xm5579,2846l5579,2846,5579,2846,5579,2846xm5581,2846l5581,2846,5581,2846,5581,2846xm5582,2846l5582,2846,5581,2846,5581,2846,5582,2846xm5581,2846l5580,2846,5581,2846,5581,2846,5581,2846xm5579,2846l5579,2846,5579,2846,5580,2846,5580,2846,5579,2846xm5577,2846l5577,2846,5578,2846,5577,2846,5577,2846xm5578,2846l5579,2846,5579,2846,5578,2846xm5582,2846l5581,2846,5581,2846,5582,2846xm5580,2846l5580,2846,5580,2846,5580,2846xm5584,2846l5584,2846,5583,2846,5583,2846,5584,2846,5584,2846xm5580,2846l5580,2846,5580,2846,5580,2846,5581,2846,5580,2846,5580,2846,5580,2846xm5580,2846l5579,2846,5580,2846,5580,2846xm5577,2846l5578,2846,5578,2846,5578,2846,5577,2846xm5579,2846l5579,2846,5579,2846,5579,2846,5579,2846,5579,2846xm5581,2845l5580,2846,5580,2846,5581,2846,5581,2846,5581,2845xm5583,2846l5583,2846,5583,2846,5583,2846xm5579,2846l5579,2846,5579,2846,5580,2846,5580,2846,5579,2846xm5468,2832l2843,2832,2843,2846,5473,2846,5525,2839,5468,2832xm5579,2846l5578,2846,5578,2846,5579,2846,5579,2846xm5580,2846l5580,2846,5580,2846,5580,2846xm5581,2845l5581,2846,5582,2846,5582,2846,5581,2845xm8317,2832l5692,2832,5636,2839,5636,2839,5687,2846,8317,2846,8317,2832xm5582,2846l5582,2846,5582,2846,5582,2846xm5576,2845l5577,2846,5577,2846,5578,2846,5578,2846,5576,2845xm5582,2846l5582,2846,5583,2846,5582,2846xm5577,2844l5576,2845,5578,2846,5579,2846,5579,2845,5578,2845,5577,2844xm5584,2845l5582,2846,5582,2846,5583,2846,5584,2845xm5585,2844l5584,2845,5583,2846,5583,2846,5585,2844xm5575,2844l5577,2846,5577,2846,5576,2845,5575,2844xm5581,2845l5580,2845,5580,2846,5581,2845,5581,2845,5581,2845xm5580,2845l5579,2846,5580,2846,5580,2845xm5579,2846l5579,2846,5579,2846,5579,2846xm5585,2844l5585,2844,5583,2846,5584,2846,5585,2844xm5575,2844l5576,2845,5576,2846,5577,2846,5576,2844,5575,2844,5575,2844xm5579,2845l5579,2846,5579,2846,5579,2846,5579,2845xm5583,2845l5582,2845,5581,2845,5581,2845,5582,2846,5583,2845,5583,2845xm5583,2845l5582,2846,5584,2845,5583,2845xm5586,2844l5585,2844,5584,2846,5585,2845,5586,2845,5586,2844xm5574,2843l5574,2845,5574,2845,5576,2846,5575,2844,5574,2844,5574,2843xm5579,2845l5579,2845,5579,2846,5580,2846,5580,2845,5579,2845xm5578,2845l5579,2846,5579,2845,5578,2845xm5580,2845l5580,2845,5581,2845,5580,2845xm5586,2844l5586,2844,5585,2845,5586,2845,5586,2845,5586,2844xm5587,2844l5586,2844,5586,2844,5586,2845,5587,2845,5587,2844xm5573,2843l5573,2845,5574,2845,5574,2843,5573,2843xm5581,2845l5581,2845,5581,2845,5581,2845xm5575,2844l5576,2845,5575,2844,5575,2844xm5582,2845l5581,2845,5581,2845,5582,2845xm5578,2845l5578,2845,5578,2845,5579,2845,5579,2845,5578,2845xm5587,2844l5587,2844,5587,2844,5587,2845,5587,2845,5587,2844xm5573,2843l5573,2845,5573,2845,5573,2843,5573,2843xm5580,2840l5580,2845,5581,2845,5581,2845,5581,2843,5580,2840xm5588,2843l5587,2844,5587,2845,5588,2845,5588,2843xm5572,2843l5572,2845,5573,2845,5573,2843,5572,2843xm5580,2839l5580,2841,5581,2845,5582,2845,5582,2844,5581,2840,5580,2839xm5578,2845l5578,2845,5578,2845,5578,2845xm5580,2840l5579,2843,5579,2845,5580,2845,5580,2840xm5589,2843l5588,2843,5588,2844,5588,2845,5589,2845,5589,2843xm5571,2843l5571,2844,5571,2845,5572,2845,5572,2844,5572,2843,5571,2843xm5590,2843l5589,2843,5589,2844,5589,2845,5590,2845,5590,2844,5590,2843xm5570,2842l5569,2845,5570,2845,5571,2844,5571,2843,5571,2843,5570,2842xm5579,2843l5579,2843,5579,2845,5579,2843xm5575,2844l5575,2844,5576,2845,5576,2844,5575,2844,5575,2844xm5576,2844l5576,2845,5577,2845,5576,2844,5576,2844xm5577,2844l5577,2844,5578,2845,5578,2844,5577,2844xm5580,2839l5580,2839,5579,2840,5578,2844,5578,2845,5579,2845,5579,2843,5579,2843,5580,2839xm5581,2841l5582,2845,5583,2844,5583,2844,5581,2841xm5583,2844l5582,2845,5583,2845,5583,2844xm5584,2844l5584,2844,5584,2845,5584,2844xm5585,2844l5584,2844,5584,2845,5585,2844xm5581,2840l5582,2845,5581,2841,5581,2840xm5590,2843l5590,2843,5590,2843,5591,2845,5591,2845,5590,2843xm5592,2842l5590,2843,5591,2845,5594,2844,5594,2844,5592,2842xm5568,2842l5566,2844,5566,2844,5569,2845,5570,2843,5570,2842,5568,2842xm5571,2843l5571,2845,5571,2843,5571,2843xm5584,2844l5584,2844,5583,2845,5584,2844,5584,2844xm5579,2840l5577,2844,5577,2844,5578,2844,5578,2845,5579,2840xm5584,2844l5584,2844,5584,2844,5584,2844,5584,2844xm5577,2844l5577,2844,5578,2844,5577,2844xm5576,2844l5577,2844,5577,2844,5576,2844xm5581,2840l5581,2841,5583,2844,5584,2844,5585,2844,5585,2843,5581,2840xm5585,2844l5585,2844,5584,2844,5585,2844,5585,2844xm5593,2842l5592,2842,5592,2842,5594,2844,5595,2844,5593,2842xm5567,2842l5565,2844,5565,2844,5566,2844,5568,2842,5568,2842,5567,2842xm5576,2843l5575,2843,5575,2844,5576,2844,5577,2844,5577,2844,5576,2843xm5575,2844l5575,2844,5575,2844,5575,2844xm5585,2844l5585,2844,5585,2844,5585,2844,5585,2844xm5596,2841l5593,2842,5593,2842,5595,2844,5599,2844,5596,2841xm5565,2841l5562,2844,5565,2844,5567,2842,5567,2842,5565,2841xm5585,2844l5585,2844,5585,2844,5585,2844xm5575,2844l5575,2844,5575,2844,5575,2844,5575,2844xm5586,2843l5585,2844,5585,2844,5586,2844,5586,2843,5586,2843xm5585,2844l5584,2844,5584,2844,5585,2844xm5579,2840l5577,2843,5577,2844,5577,2844,5579,2840xm5585,2843l5585,2844,5584,2844,5585,2844,5585,2843xm5574,2844l5575,2844,5575,2844,5574,2844xm5586,2843l5585,2844,5585,2844,5586,2843,5586,2843xm5575,2843l5575,2844,5575,2844,5576,2844,5575,2843xm5575,2844l5575,2844,5575,2844,5575,2844xm5563,2841l5558,2843,5558,2843,5562,2844,5565,2841,5563,2841xm5575,2844l5575,2844,5575,2844,5575,2844xm5587,2843l5586,2843,5586,2844,5587,2844,5587,2843,5587,2843xm5574,2842l5575,2844,5575,2843,5574,2842xm5574,2842l5575,2844,5575,2844,5574,2842xm5586,2843l5585,2843,5585,2844,5585,2844,5585,2844,5586,2843xm5574,2843l5574,2843,5574,2844,5575,2844,5575,2844,5574,2843xm5597,2841l5596,2841,5596,2841,5599,2844,5602,2843,5597,2841xm5587,2843l5587,2843,5587,2844,5587,2844,5587,2843xm5574,2842l5575,2843,5575,2843,5575,2843,5575,2844,5576,2843,5575,2843,5574,2842xm5580,2839l5576,2843,5576,2843,5576,2844,5579,2840,5580,2839xm5581,2839l5581,2840,5585,2844,5582,2840,5581,2839xm5582,2840l5585,2844,5586,2843,5586,2842,5582,2840xm5586,2842l5585,2844,5585,2843,5586,2842xm5573,2842l5574,2843,5574,2843,5575,2844,5574,2842,5573,2842xm5574,2843l5574,2843,5574,2844,5574,2843xm5587,2842l5586,2843,5586,2843,5585,2844,5586,2843,5586,2843,5587,2842xm5588,2843l5587,2843,5587,2844,5588,2843,5588,2843xm5573,2843l5573,2843,5574,2843,5574,2843,5573,2843xm5589,2842l5588,2843,5588,2843,5589,2843,5589,2842xm5602,2840l5597,2841,5602,2843,5608,2843,5602,2840xm5559,2840l5552,2843,5558,2843,5563,2841,5563,2841,5559,2840xm5573,2843l5573,2843,5573,2843,5573,2843,5573,2843xm5574,2842l5574,2842,5574,2843,5575,2843,5574,2842xm5573,2843l5574,2843,5573,2843,5573,2843xm5587,2843l5587,2843,5586,2843,5587,2843xm5572,2843l5572,2843,5573,2843,5573,2843,5572,2843xm5573,2841l5573,2842,5573,2843,5574,2843,5573,2842,5573,2842,5573,2841xm5587,2842l5587,2842,5587,2843,5586,2843,5587,2842xm5587,2842l5587,2842,5586,2843,5587,2843,5587,2842xm5586,2842l5585,2843,5586,2843,5586,2842xm5580,2839l5579,2839,5575,2842,5575,2842,5576,2843,5580,2839xm5589,2842l5589,2842,5589,2842,5589,2843,5590,2843,5589,2842xm5572,2842l5571,2843,5572,2843,5572,2843,5572,2842xm5573,2843l5573,2843,5573,2843,5573,2843xm5587,2843l5587,2843,5587,2843,5587,2843xm5573,2841l5573,2843,5573,2843,5573,2842,5573,2841xm5587,2842l5587,2842,5587,2843,5587,2843,5587,2842xm5580,2839l5580,2839,5579,2843,5580,2841,5580,2839xm5587,2842l5586,2842,5586,2843,5587,2842,5587,2842,5587,2842xm5572,2842l5572,2843,5573,2843,5573,2843,5572,2842xm5588,2842l5587,2843,5587,2843,5588,2843,5588,2842xm5571,2842l5571,2843,5571,2843,5572,2842,5571,2842,5571,2842xm5590,2842l5589,2842,5590,2843,5590,2843,5590,2842,5590,2842xm5570,2842l5570,2842,5571,2843,5571,2842,5570,2842xm5572,2841l5572,2843,5573,2843,5573,2841,5572,2841xm5588,2841l5587,2842,5587,2843,5588,2843,5588,2841xm5591,2841l5590,2842,5590,2842,5590,2843,5592,2842,5592,2842,5591,2841xm5572,2842l5572,2842,5572,2843,5572,2842,5572,2842xm5589,2842l5588,2842,5588,2843,5589,2842,5589,2842xm5607,2838l5602,2840,5602,2840,5608,2843,5618,2841,5607,2838xm5554,2838l5543,2841,5552,2843,5559,2840,5559,2839,5554,2838xm5569,2841l5568,2842,5570,2842,5570,2842,5569,2841xm5573,2841l5573,2842,5574,2842,5573,2841xm5573,2841l5573,2841,5574,2842,5573,2841,5573,2841xm5573,2841l5574,2842,5574,2842,5574,2842,5573,2841xm5574,2842l5574,2842,5574,2842,5574,2842xm5581,2839l5582,2840,5586,2842,5581,2839xm5581,2839l5586,2842,5587,2841,5587,2841,5581,2839xm5587,2841l5586,2842,5587,2841,5587,2841xm5587,2841l5586,2842,5587,2842,5587,2841xm5572,2841l5572,2842,5572,2842,5572,2842,5572,2841,5572,2841xm5588,2841l5588,2841,5588,2842,5588,2842,5588,2841xm5571,2842l5571,2842,5572,2842,5571,2842,5571,2842xm5587,2841l5587,2842,5587,2842,5587,2842,5587,2842,5587,2841xm5570,2841l5570,2842,5571,2842,5571,2842,5570,2841xm5589,2842l5589,2842,5589,2842,5589,2842,5589,2842xm5592,2841l5592,2841,5592,2842,5593,2842,5593,2842,5592,2841xm5579,2839l5578,2840,5575,2842,5574,2842,5579,2839xm5578,2840l5574,2841,5574,2841,5574,2842,5574,2842,5578,2840xm5572,2840l5572,2840,5572,2842,5572,2842,5572,2841,5572,2840,5572,2840xm5573,2840l5573,2840,5573,2840,5573,2841,5573,2841,5574,2842,5573,2840xm5594,2840l5592,2841,5592,2841,5593,2842,5596,2841,5596,2841,5594,2840xm5587,2841l5587,2842,5587,2842,5587,2841xm5571,2840l5571,2841,5570,2841,5571,2842,5572,2841,5572,2840,5571,2840xm5589,2841l5589,2841,5588,2841,5589,2842,5589,2842,5589,2841,5589,2841xm5568,2841l5568,2842,5567,2842,5568,2842,5568,2841,5568,2841xm5590,2841l5589,2842,5590,2842,5590,2841xm5588,2841l5587,2841,5587,2842,5588,2842,5588,2841xm5567,2840l5566,2841,5565,2841,5567,2842,5568,2841,5568,2841,5567,2840xm5587,2841l5587,2841,5587,2842,5587,2841xm5569,2841l5569,2841,5569,2841,5570,2842,5570,2841,5569,2841xm5591,2841l5590,2841,5590,2842,5591,2841,5591,2841,5591,2841xm5573,2841l5573,2842,5573,2842,5573,2841,5573,2841xm5587,2841l5587,2841,5587,2842,5587,2842,5587,2841xm5589,2840l5589,2841,5589,2842,5590,2841,5589,2840xm5588,2840l5588,2841,5588,2841,5588,2841,5588,2840xm5570,2839l5569,2840,5569,2841,5570,2841,5571,2840,5571,2840,5570,2839xm5590,2840l5589,2840,5589,2841,5590,2841,5591,2841,5591,2840,5590,2840xm5546,2836l5525,2839,5525,2839,5543,2841,5554,2838,5554,2838,5546,2836xm5573,2841l5573,2841,5573,2841,5573,2841,5573,2841xm5573,2841l5573,2841,5573,2841,5573,2841xm5615,2836l5607,2838,5607,2838,5618,2841,5635,2839,5615,2836xm5565,2840l5563,2840,5563,2841,5565,2841,5566,2840,5566,2840,5565,2840xm5595,2840l5594,2840,5594,2840,5596,2841,5597,2841,5595,2840xm5572,2841l5572,2841,5573,2841,5573,2841,5572,2841xm5579,2839l5574,2840,5574,2840,5574,2841,5578,2840,5579,2839xm5588,2840l5587,2841,5587,2841,5588,2840xm5588,2840l5587,2841,5588,2841,5588,2840xm5580,2839l5581,2840,5581,2841,5581,2840,5580,2839xm5573,2840l5573,2841,5573,2841,5573,2840xm5569,2840l5569,2841,5568,2841,5569,2841,5569,2841,5569,2840xm5591,2840l5591,2841,5591,2841,5592,2841,5591,2841,5591,2840xm5581,2839l5587,2841,5587,2841,5587,2840,5581,2839xm5567,2840l5567,2840,5567,2840,5568,2841,5569,2841,5568,2840,5567,2840xm5593,2839l5592,2840,5591,2841,5592,2841,5594,2840,5594,2840,5593,2839xm5589,2840l5588,2841,5589,2841,5589,2840xm5572,2840l5573,2841,5573,2841,5572,2840xm5573,2840l5573,2841,5573,2841,5573,2840,5573,2840xm5587,2840l5587,2840,5587,2841,5587,2841,5587,2840xm5588,2840l5588,2840,5588,2841,5588,2840,5588,2840xm5598,2838l5595,2839,5595,2840,5597,2841,5602,2840,5598,2838xm5572,2840l5572,2840,5572,2841,5572,2840,5572,2840xm5562,2838l5559,2839,5559,2840,5563,2841,5565,2840,5565,2839,5562,2838xm5570,2839l5569,2840,5569,2841,5569,2841,5570,2839xm5590,2839l5590,2840,5591,2841,5591,2841,5591,2840,5590,2839xm5572,2840l5572,2840,5572,2841,5572,2840,5572,2840xm5589,2840l5589,2840,5589,2841,5589,2840xm5569,2838l5568,2840,5567,2840,5569,2840,5570,2839,5570,2839,5569,2838xm5592,2838l5590,2839,5590,2840,5591,2840,5593,2839,5593,2839,5592,2838xm5590,2839l5589,2839,5589,2840,5589,2840,5590,2840,5590,2839,5590,2839xm5588,2839l5588,2840,5588,2840,5588,2839xm5588,2839l5588,2839,5588,2840,5588,2839,5588,2839xm5573,2840l5573,2840,5573,2840,5573,2840xm5587,2839l5587,2840,5587,2840,5587,2839xm5572,2839l5572,2840,5572,2840,5572,2839,5572,2839xm5566,2839l5565,2839,5565,2840,5567,2840,5567,2840,5567,2840,5566,2839xm5571,2840l5572,2840,5572,2840,5571,2840xm5588,2839l5588,2840,5588,2840,5588,2839xm5572,2839l5571,2840,5572,2840,5572,2839xm5573,2839l5573,2840,5573,2840,5573,2840,5573,2839xm5573,2840l5573,2840,5573,2840,5573,2840,5573,2840xm5581,2839l5581,2839,5581,2839,5582,2840,5581,2839,5581,2839,5581,2839xm5581,2839l5581,2839,5581,2839,5581,2839,5587,2840,5581,2839xm5587,2838l5582,2839,5582,2839,5587,2840,5587,2840,5587,2838xm5587,2839l5587,2840,5587,2839,5587,2839xm5594,2839l5594,2839,5593,2839,5594,2840,5595,2840,5595,2839,5594,2839xm5580,2839l5579,2839,5578,2840,5579,2839,5580,2839,5580,2839xm5579,2839l5574,2840,5573,2840,5579,2839,5579,2839,5579,2839,5579,2839,5579,2839xm5580,2839l5580,2839,5581,2840,5581,2839,5580,2839xm5573,2838l5573,2838,5573,2839,5573,2840,5578,2839,5578,2839,5573,2838xm5572,2838l5572,2839,5573,2840,5572,2838xm5588,2838l5587,2840,5588,2839,5588,2838xm5570,2839l5570,2839,5571,2840,5570,2839xm5571,2838l5571,2839,5571,2839,5571,2840,5572,2839,5571,2839,5571,2838xm5589,2838l5589,2839,5588,2839,5589,2840,5589,2839,5589,2839,5589,2838xm5580,2839l5580,2839,5581,2840,5580,2839xm5572,2839l5572,2839,5572,2840,5572,2839xm5588,2839l5588,2840,5588,2839,5588,2839xm5568,2838l5566,2839,5566,2839,5567,2840,5569,2838,5569,2838,5568,2838xm5602,2837l5599,2838,5598,2838,5602,2840,5607,2838,5606,2838,5602,2837xm5580,2839l5580,2839,5579,2840,5580,2839xm5580,2839l5580,2839,5580,2840,5580,2839xm5564,2838l5562,2838,5562,2838,5565,2840,5566,2839,5566,2839,5564,2838xm5596,2838l5594,2839,5594,2839,5595,2840,5598,2838,5598,2838,5596,2838xm5559,2837l5555,2838,5555,2838,5559,2840,5562,2838,5561,2838,5559,2837xm5591,2838l5590,2839,5590,2839,5590,2839,5592,2838,5591,2838,5591,2838xm5580,2839l5579,2839,5580,2839,5580,2839xm5580,2839l5580,2839,5581,2839,5581,2839,5580,2839xm5573,2838l5573,2839,5573,2839,5573,2838xm5571,2838l5571,2838,5571,2839,5572,2839,5572,2839,5572,2838,5571,2838xm5588,2839l5588,2839,5588,2839,5588,2839xm5589,2838l5588,2838,5588,2839,5588,2839,5589,2839,5589,2838,5589,2838xm5592,2838l5592,2838,5592,2838,5593,2839,5594,2839,5594,2839,5592,2838xm5587,2838l5587,2839,5588,2839,5587,2838xm5573,2838l5572,2839,5573,2839,5573,2838xm5580,2839l5580,2839,5580,2839,5580,2839xm5580,2839l5580,2839,5580,2839,5580,2839xm5590,2839l5590,2839,5590,2839,5590,2839xm5572,2838l5572,2839,5572,2838,5572,2838xm5588,2838l5588,2838,5588,2839,5588,2838xm5581,2839l5581,2839,5581,2839,5581,2839,5581,2839xm5579,2839l5579,2839,5580,2839,5579,2839,5579,2839xm5581,2839l5581,2839,5581,2839,5581,2839xm5581,2839l5581,2839,5581,2839,5581,2839xm5580,2839l5580,2839,5580,2839,5580,2839xm2872,2479l2870,2493,5525,2839,5546,2836,5546,2836,5480,2818,2872,2479xm8288,2479l5682,2818,5615,2836,5635,2839,8291,2493,8288,2479xm5581,2839l5581,2839,5581,2839,5581,2839xm5570,2838l5570,2838,5570,2839,5570,2838,5570,2838xm5580,2839l5580,2839,5580,2839,5580,2839xm5580,2839l5580,2839,5580,2839,5580,2839xm5567,2836l5564,2837,5564,2838,5566,2839,5568,2838,5568,2837,5567,2836xm5594,2837l5593,2838,5592,2838,5594,2839,5596,2838,5594,2837xm5572,2837l5572,2838,5572,2838,5572,2839,5572,2839,5572,2837xm5588,2838l5588,2839,5588,2839,5588,2838,5588,2838xm5573,2838l5573,2838,5573,2839,5573,2838,5573,2838,5573,2838xm5580,2839l5580,2839,5580,2839,5580,2839xm5580,2839l5580,2839,5580,2839,5580,2839xm5580,2839l5580,2839,5580,2839,5580,2839xm5580,2839l5580,2839,5580,2839,5580,2839xm5580,2839l5580,2839,5580,2839,5580,2839xm5580,2839l5580,2839,5580,2839,5580,2839xm5580,2839l5580,2839,5580,2839,5580,2839xm5580,2839l5580,2839,5580,2839,5580,2839xm5571,2838l5571,2838,5570,2839,5571,2838,5571,2838xm5589,2838l5589,2838,5590,2839,5589,2838,5589,2838xm5580,2839l5579,2839,5580,2839,5580,2839xm5580,2839l5580,2839,5580,2839,5580,2839xm5570,2838l5570,2838,5570,2838,5570,2839,5571,2838,5571,2838,5570,2838xm5590,2837l5589,2838,5589,2838,5590,2839,5591,2838,5591,2837,5590,2837xm5581,2839l5580,2839,5581,2839,5581,2839xm5588,2837l5588,2838,5588,2839,5589,2838,5588,2838,5588,2837xm5580,2838l5580,2839,5580,2839,5580,2838xm5579,2838l5579,2839,5579,2839,5579,2839,5579,2838xm5581,2838l5581,2839,5581,2839,5581,2838xm5580,2839l5580,2839,5580,2839,5580,2839xm5581,2838l5581,2839,5581,2839,5581,2838xm5581,2839l5581,2839,5581,2839,5581,2839xm5574,2837l5573,2838,5579,2839,5579,2838,5579,2838,5577,2837,5574,2837xm5587,2837l5582,2838,5581,2839,5587,2838,5587,2837,5587,2837xm5587,2837l5582,2838,5581,2838,5581,2838,5581,2839,5587,2837,5587,2837xm5579,2838l5579,2838,5580,2839,5579,2838xm5580,2838l5579,2838,5580,2838,5580,2838xm5582,2838l5581,2838,5581,2838,5582,2838xm5578,2838l5579,2838,5579,2838,5579,2838,5578,2838xm5571,2838l5571,2838,5571,2838,5571,2838,5571,2838xm5589,2838l5589,2838,5589,2838,5589,2838,5589,2838xm5579,2838l5580,2838,5579,2838,5579,2838xm5580,2838l5580,2838,5580,2838,5580,2838,5580,2838xm5580,2838l5580,2838,5580,2838,5580,2838,5580,2838xm5554,2835l5546,2836,5546,2836,5554,2838,5559,2837,5554,2835xm5606,2835l5602,2837,5607,2838,5615,2836,5606,2835xm5577,2837l5579,2838,5578,2838,5577,2837xm5562,2836l5559,2837,5559,2837,5562,2838,5563,2838,5563,2837,5562,2836xm5599,2836l5597,2837,5597,2838,5598,2838,5601,2837,5601,2837,5599,2836xm5569,2837l5568,2837,5568,2838,5569,2838,5570,2838,5569,2838,5569,2837xm5591,2837l5591,2838,5592,2838,5592,2838,5592,2838,5591,2837xm5580,2838l5580,2838,5580,2838,5580,2838xm5580,2838l5580,2838,5580,2838,5580,2838xm5571,2837l5571,2837,5570,2838,5571,2838,5571,2838,5571,2837,5571,2837xm5589,2836l5589,2837,5589,2838,5589,2838,5590,2837,5590,2837,5589,2836xm5589,2838l5588,2838,5589,2838,5589,2838xm5580,2838l5580,2838,5580,2838,5580,2838xm5580,2837l5580,2838,5580,2838,5580,2837,5580,2837xm5580,2838l5580,2838,5580,2838,5580,2838xm5579,2838l5580,2838,5580,2838,5580,2838,5579,2838xm5580,2838l5580,2838,5580,2838,5580,2838xm5572,2837l5572,2837,5572,2838,5572,2837xm5576,2833l5579,2838,5579,2838,5580,2838,5580,2837,5579,2837,5576,2833xm5580,2838l5580,2838,5580,2838,5580,2838xm5578,2837l5579,2838,5579,2838,5580,2838,5579,2838,5578,2837xm5581,2837l5581,2838,5581,2838,5581,2838,5581,2837xm5582,2837l5581,2837,5581,2838,5582,2837xm5570,2837l5569,2837,5569,2837,5570,2838,5570,2838,5570,2837,5570,2837xm5575,2835l5575,2836,5578,2838,5579,2838,5578,2837,5575,2835xm5585,2835l5582,2837,5581,2838,5582,2838,5586,2835,5586,2835,5585,2835xm5593,2836l5591,2837,5591,2837,5592,2838,5594,2837,5593,2836xm5582,2832l5581,2836,5581,2838,5581,2838,5581,2837,5582,2832,5582,2832xm5572,2837l5572,2837,5571,2838,5572,2837,5572,2837xm5588,2837l5588,2837,5588,2838,5588,2837xm5588,2837l5588,2837,5589,2838,5588,2837,5588,2837xm5587,2836l5587,2838,5587,2838,5587,2836xm5574,2835l5574,2836,5577,2837,5578,2838,5574,2835xm5586,2835l5582,2838,5587,2837,5586,2836,5586,2835xm5576,2833l5576,2834,5575,2834,5578,2837,5579,2838,5576,2833xm5573,2837l5573,2837,5573,2838,5573,2838,5574,2837,5573,2837xm5573,2836l5573,2837,5573,2838,5573,2837,5573,2836xm5579,2837l5580,2838,5580,2837,5579,2837xm5584,2833l5581,2837,5581,2838,5581,2837,5581,2837,5584,2834,5584,2833,5584,2833xm5572,2836l5571,2837,5571,2837,5571,2838,5572,2837,5572,2836xm5589,2836l5589,2837,5589,2838,5589,2837,5589,2836xm5587,2836l5588,2838,5587,2837,5587,2836xm5573,2836l5573,2837,5572,2838,5573,2836xm5588,2836l5588,2837,5589,2838,5589,2837,5589,2836,5588,2836xm5570,2836l5570,2837,5570,2837,5570,2838,5571,2837,5571,2836,5570,2836xm5572,2837l5572,2837,5572,2838,5572,2837xm5590,2837l5590,2837,5591,2838,5591,2837,5591,2837,5590,2837xm5565,2835l5562,2836,5562,2836,5564,2838,5567,2836,5566,2836,5565,2835xm5596,2835l5594,2836,5594,2837,5596,2838,5599,2836,5599,2836,5596,2835xm5582,2832l5581,2838,5583,2833,5583,2833,5582,2832xm5567,2836l5567,2836,5567,2836,5568,2838,5569,2837,5569,2837,5567,2836xm5579,2832l5580,2837,5580,2837,5580,2837,5580,2835,5579,2832xm5574,2836l5574,2837,5577,2837,5574,2836xm5584,2834l5581,2837,5582,2837,5585,2834,5584,2834,5584,2834xm5587,2836l5588,2837,5587,2837,5587,2836xm5581,2832l5581,2836,5580,2837,5582,2832,5582,2832,5582,2832,5581,2832xm5569,2835l5567,2836,5569,2837,5570,2837,5569,2836,5569,2835xm5591,2835l5591,2836,5590,2837,5591,2837,5593,2836,5591,2835xm5573,2836l5573,2837,5573,2837,5573,2836xm5587,2836l5587,2837,5587,2837,5587,2836xm5588,2836l5588,2837,5588,2837,5588,2836,5588,2836xm5572,2837l5572,2837,5572,2837,5572,2837xm5581,2832l5580,2832,5580,2836,5580,2837,5581,2832xm5579,2832l5578,2832,5578,2832,5578,2832,5580,2837,5580,2837,5579,2832xm5558,2834l5554,2835,5559,2837,5562,2836,5558,2834xm5572,2836l5571,2836,5571,2836,5571,2837,5572,2836,5572,2836xm5590,2836l5590,2837,5590,2837,5590,2837,5590,2836xm5602,2834l5599,2836,5602,2837,5606,2835,5602,2834xm5573,2836l5573,2836,5572,2837,5573,2837,5573,2836xm5587,2836l5587,2837,5588,2837,5587,2836,5587,2836xm5575,2834l5575,2834,5575,2835,5578,2837,5575,2834xm5585,2834l5582,2837,5585,2835,5585,2834,5585,2834xm5578,2832l5577,2833,5577,2833,5579,2837,5578,2832xm5570,2835l5569,2835,5569,2836,5570,2837,5570,2836,5570,2836,5570,2835xm5590,2835l5590,2836,5590,2836,5590,2837,5591,2836,5591,2835,5590,2835xm5588,2835l5588,2836,5588,2837,5588,2836,5588,2835,5588,2835xm5574,2835l5574,2836,5573,2837,5574,2837,5574,2836,5574,2835,5574,2835xm5587,2836l5587,2837,5587,2837,5587,2836xm5572,2836l5572,2836,5572,2837,5572,2836,5572,2836xm5594,2835l5593,2836,5594,2837,5596,2835,5596,2835,5594,2835xm5574,2835l5573,2836,5573,2836,5573,2837,5574,2835xm5586,2835l5587,2837,5587,2836,5587,2836,5586,2835xm5573,2835l5573,2835,5573,2836,5573,2835xm5587,2835l5587,2836,5587,2835,5587,2835xm5573,2835l5573,2836,5573,2836,5573,2835xm5587,2835l5587,2836,5587,2836,5587,2835xm5587,2836l5587,2836,5587,2836,5587,2836xm5589,2836l5589,2836,5589,2836,5589,2836xm5572,2836l5572,2836,5572,2836,5572,2836xm5563,2834l5559,2834,5558,2835,5562,2836,5565,2835,5563,2834xm5571,2834l5570,2835,5570,2835,5570,2836,5572,2836,5571,2835,5571,2834xm5590,2835l5590,2835,5589,2836,5590,2836,5590,2835,5590,2835,5590,2835xm5588,2836l5589,2836,5589,2836,5588,2836xm5574,2834l5573,2835,5573,2836,5574,2835,5574,2835,5574,2834xm5586,2834l5586,2835,5586,2835,5587,2836,5587,2836,5586,2835,5586,2834,5586,2834xm5572,2835l5572,2835,5572,2836,5572,2836,5572,2836,5572,2835xm5573,2836l5572,2836,5572,2836,5573,2836xm5587,2835l5587,2836,5588,2836,5588,2835,5587,2835xm5567,2835l5566,2835,5566,2835,5567,2836,5567,2836,5567,2835xm5682,2818l5631,2825,5606,2835,5615,2836,5682,2818xm5589,2834l5588,2836,5589,2836,5590,2835,5590,2835,5589,2834xm5598,2834l5596,2835,5599,2836,5602,2834,5598,2834xm5480,2818l5546,2836,5554,2835,5529,2825,5480,2818xm5580,2831l5579,2832,5580,2836,5580,2832,5581,2832,5580,2831xm5573,2835l5572,2835,5572,2836,5573,2836,5573,2835xm5568,2835l5567,2835,5567,2835,5567,2836,5568,2835,5568,2835,5568,2835xm5592,2834l5592,2835,5592,2835,5593,2836,5594,2835,5594,2835,5592,2834xm5586,2835l5587,2836,5587,2835,5586,2835xm5587,2835l5587,2835,5587,2836,5587,2835,5587,2835xm5588,2835l5588,2835,5588,2836,5588,2835xm5573,2835l5573,2835,5573,2836,5573,2835,5573,2835xm5588,2834l5588,2835,5588,2836,5589,2835,5589,2834,5588,2834xm5573,2835l5573,2836,5573,2835,5573,2835xm5572,2834l5572,2834,5571,2835,5572,2836,5572,2835,5572,2834xm5575,2835l5574,2835,5574,2835,5574,2835,5575,2835,5575,2835xm5569,2834l5568,2835,5568,2835,5569,2835,5570,2835,5569,2834,5569,2834xm5591,2834l5591,2834,5590,2835,5591,2835,5592,2834,5592,2834,5591,2834xm5574,2834l5574,2834,5573,2835,5573,2835,5574,2834,5574,2834,5574,2834xm5595,2834l5594,2834,5594,2835,5596,2835,5598,2834,5598,2834,5595,2834xm5565,2834l5564,2834,5564,2834,5565,2835,5566,2835,5566,2835,5565,2834xm5573,2834l5572,2834,5572,2835,5573,2835,5573,2834xm5587,2835l5587,2835,5588,2835,5588,2835,5587,2835xm5586,2834l5585,2835,5586,2835,5586,2834xm5574,2834l5574,2835,5575,2835,5574,2834xm5571,2834l5571,2835,5572,2835,5571,2834xm5587,2834l5587,2835,5588,2835,5588,2834,5587,2834xm5574,2834l5573,2835,5573,2835,5574,2834xm5586,2834l5586,2835,5587,2835,5587,2835,5586,2834xm5529,2825l5554,2835,5558,2834,5545,2827,5529,2825xm5631,2825l5615,2827,5602,2834,5602,2834,5606,2835,5631,2825xm5567,2833l5565,2834,5567,2835,5568,2835,5568,2834,5567,2833xm5571,2834l5569,2834,5569,2834,5570,2835,5571,2834,5571,2834xm5590,2834l5590,2835,5590,2835,5591,2834,5590,2834xm5573,2833l5573,2834,5573,2835,5573,2835,5573,2834,5573,2833xm5587,2834l5587,2835,5587,2835,5587,2835,5587,2834xm5589,2833l5589,2834,5590,2835,5590,2834,5590,2834,5589,2833xm5593,2833l5592,2834,5592,2834,5594,2835,5595,2834,5593,2833xm5574,2833l5573,2833,5573,2835,5573,2834,5574,2833xm5587,2833l5587,2834,5587,2835,5587,2834,5587,2833xm5575,2833l5574,2833,5573,2835,5574,2834,5574,2834,5575,2833xm5586,2834l5586,2834,5587,2835,5587,2835,5587,2834,5586,2834xm5569,2833l5567,2833,5568,2835,5569,2834,5569,2834,5569,2833xm5575,2834l5575,2834,5575,2834,5575,2835,5575,2834,5575,2834xm5584,2833l5584,2834,5585,2835,5585,2834,5585,2834,5584,2833xm5585,2833l5586,2834,5586,2834,5586,2834,5586,2834,5585,2833xm5545,2827l5558,2834,5563,2834,5556,2828,5545,2827xm5615,2827l5605,2828,5598,2834,5602,2834,5615,2827xm5576,2833l5575,2834,5575,2834,5575,2834,5576,2833xm5585,2834l5586,2834,5586,2834,5586,2834,5585,2834xm5574,2834l5574,2834,5574,2834,5574,2834xm5586,2834l5586,2834,5586,2834,5586,2834xm5586,2833l5587,2834,5587,2834,5587,2833,5586,2833xm5575,2834l5574,2834,5574,2834,5574,2834,5575,2834,5575,2834xm5571,2834l5571,2834,5571,2834,5571,2834xm5591,2833l5591,2834,5591,2834,5592,2834,5593,2833,5591,2833xm5588,2833l5588,2834,5589,2834,5589,2834,5589,2833,5588,2833xm5572,2834l5571,2834,5571,2834,5572,2834,5572,2834xm5570,2833l5569,2833,5569,2833,5569,2834,5571,2834,5570,2833xm5575,2834l5575,2834,5575,2834,5575,2834,5575,2834,5575,2834xm5586,2833l5586,2834,5586,2834,5587,2834,5586,2834,5586,2833,5586,2833xm5576,2833l5575,2833,5574,2834,5574,2834,5575,2834,5575,2834,5576,2833xm5585,2833l5585,2833,5585,2834,5586,2834,5586,2834,5586,2833,5585,2833xm5573,2833l5572,2834,5572,2834,5573,2834,5573,2833xm5587,2833l5587,2834,5588,2834,5588,2833,5587,2833xm5591,2833l5590,2834,5591,2834,5591,2833,5591,2833xm5605,2828l5599,2829,5595,2833,5595,2834,5598,2834,5605,2828xm5576,2833l5575,2834,5575,2834,5576,2833xm5585,2833l5585,2833,5586,2834,5586,2833,5585,2833xm5589,2833l5589,2833,5590,2834,5591,2833,5589,2833xm5571,2833l5570,2833,5571,2834,5571,2833xm5572,2833l5571,2833,5571,2834,5572,2834,5572,2833xm5556,2828l5563,2834,5565,2834,5561,2829,5556,2828xm5585,2833l5585,2833,5585,2834,5585,2833xm5576,2833l5575,2834,5575,2834,5576,2833xm5573,2833l5573,2833,5573,2834,5573,2833,5573,2833xm5587,2833l5587,2833,5587,2834,5587,2833,5587,2833xm5577,2832l5576,2832,5576,2833,5575,2834,5576,2833,5577,2832xm5584,2833l5584,2834,5584,2833,5584,2833xm5573,2832l5572,2833,5572,2834,5573,2833,5573,2832xm5561,2829l5565,2834,5567,2833,5567,2833,5564,2829,5561,2829xm5599,2829l5596,2829,5593,2833,5593,2833,5595,2834,5599,2829xm5588,2833l5588,2833,5589,2833,5589,2833,5588,2833xm5574,2833l5573,2833,5573,2833,5574,2833,5574,2833xm5586,2833l5586,2833,5586,2833,5587,2833,5587,2833,5586,2833xm5584,2832l5584,2833,5585,2833,5585,2833,5584,2832xm5583,2832l5584,2833,5584,2833,5585,2833,5584,2833,5584,2832,5583,2832,5583,2832xm5575,2833l5574,2833,5574,2833,5575,2833,5575,2833xm5586,2833l5586,2833,5586,2833,5586,2833,5586,2833,5586,2833xm5573,2832l5573,2832,5573,2833,5573,2833,5573,2832xm5564,2829l5567,2833,5569,2833,5567,2830,5567,2830,5564,2829xm5596,2829l5593,2830,5593,2830,5591,2833,5593,2833,5596,2829xm5587,2832l5587,2833,5588,2833,5588,2833,5587,2832xm5574,2832l5573,2832,5573,2833,5574,2833,5574,2833,5574,2832xm5585,2832l5585,2833,5585,2833,5586,2833,5586,2833,5585,2832,5585,2832xm5567,2830l5569,2833,5570,2833,5570,2832,5569,2830,5569,2830,5567,2830xm5593,2830l5592,2830,5591,2833,5591,2833,5593,2830xm5576,2832l5574,2832,5574,2833,5575,2833,5575,2833,5576,2832xm5584,2833l5585,2833,5585,2833,5584,2833xm5587,2832l5587,2833,5587,2833,5587,2832,5587,2832xm5592,2830l5590,2830,5590,2830,5589,2833,5591,2833,5592,2830xm5578,2832l5577,2832,5576,2833,5578,2832xm5578,2832l5577,2832,5576,2833,5578,2832,5578,2832xm5582,2832l5582,2832,5584,2833,5583,2832,5582,2832xm5586,2832l5586,2833,5586,2833,5587,2833,5587,2832,5586,2832xm5569,2830l5570,2833,5571,2833,5570,2830,5570,2830,5569,2830xm5575,2833l5575,2833,5575,2833,5575,2833xm5584,2832l5584,2833,5585,2833,5585,2832,5584,2832xm5570,2830l5571,2833,5572,2833,5572,2830,5570,2830xm5590,2830l5588,2830,5588,2833,5589,2833,5590,2830xm5585,2832l5586,2833,5586,2833,5586,2832,5585,2832xm5576,2832l5576,2832,5575,2833,5576,2833,5576,2832,5576,2832xm5572,2830l5572,2833,5573,2832,5573,2831,5572,2830xm5588,2830l5587,2831,5587,2832,5588,2833,5588,2830xm5576,2832l5575,2833,5576,2833,5576,2832xm5584,2832l5584,2833,5584,2832,5584,2832xm5577,2832l5577,2832,5576,2832,5576,2833,5577,2832,5577,2832,5577,2832xm5584,2832l5585,2832,5586,2833,5585,2832,5584,2832xm5584,2832l5584,2832,5584,2832,5584,2832,5584,2832,5584,2832xm5577,2832l5576,2832,5576,2832,5577,2832xm5573,2831l5573,2832,5573,2832,5574,2831,5574,2831,5573,2831xm5587,2831l5586,2831,5586,2831,5587,2832,5587,2832,5587,2831xm5583,2832l5584,2832,5584,2832,5583,2832xm5574,2831l5573,2832,5574,2832,5574,2831,5574,2831xm5586,2831l5586,2831,5586,2832,5587,2832,5586,2831xm5574,2831l5574,2832,5575,2832,5576,2831,5576,2831,5574,2831xm5586,2831l5585,2831,5585,2832,5586,2832,5586,2831xm5584,2832l5584,2832,5585,2832,5584,2832,5584,2832xm5585,2831l5584,2831,5584,2831,5585,2832,5585,2832,5585,2831xm5584,2832l5584,2832,5584,2832,5584,2832xm5578,2832l5577,2832,5577,2832,5578,2832,5578,2832xm5576,2831l5576,2832,5576,2832,5576,2832,5576,2831xm5584,2831l5584,2831,5584,2832,5584,2832,5584,2831xm5578,2832l5578,2832,5578,2832,5578,2832xm5582,2832l5582,2832,5582,2832,5582,2832xm5576,2831l5576,2831,5576,2832,5576,2831,5576,2831xm5584,2831l5583,2831,5584,2832,5584,2832,5584,2831xm5576,2831l5576,2832,5577,2832,5578,2832,5578,2831,5576,2831xm5583,2831l5582,2831,5582,2832,5584,2832,5583,2831xm5582,2832l5583,2832,5584,2832,5582,2832xm5578,2832l5578,2832,5578,2832,5578,2832,5578,2832xm5578,2832l5577,2832,5577,2832,5578,2832xm5582,2832l5583,2832,5583,2832,5582,2832xm5578,2832l5577,2832,5578,2832,5578,2832xm5582,2832l5582,2832,5583,2832,5582,2832xm5579,2832l5578,2832,5578,2832,5579,2832xm5578,2831l5578,2832,5578,2832,5578,2832,5578,2831xm5581,2831l5581,2831,5582,2832,5582,2832,5582,2832,5581,2831xm5578,2831l5578,2832,5578,2832,5579,2831,5578,2831xm5581,2831l5580,2831,5582,2832,5581,2831xm5579,2831l5578,2832,5579,2832,5580,2831,5579,2831xm5578,2831l5578,2832,5578,2831,5578,2831,5578,2831xm5580,2831l5579,2832,5580,2831,5580,2831xm5582,2831l5581,2831,5581,2831,5582,2832,5582,2831xm5582,2831l5582,2831,5582,2831,5582,2832,5582,2831xm5581,2831l5580,2831,5580,2831,5581,2831,5581,2831,5581,2831xm5580,2831l5579,2831,5580,2831,5581,2831,5580,2831xm5579,2831l5579,2831,5579,2831,5579,2831,5580,2831,5579,2831xm5581,2831l5581,2831,5581,2831,5581,2831xm5581,2831l5581,2831,5581,2831,5581,2831,5581,2831,5581,2831xm5579,2831l5578,2831,5579,2831,5579,2831,5579,2831xm5582,2831l5581,2831,5582,2831,5582,2831,5582,2831xm5579,2831l5578,2831,5578,2831,5579,2831,5579,2831,5579,2831xm5576,2831l5576,2831,5576,2831,5576,2831xm5577,2830l5576,2831,5578,2831,5579,2831,5577,2830xm5582,2831l5582,2831,5582,2831,5582,2831,5582,2831,5582,2831,5582,2831xm5580,2831l5580,2831,5581,2831,5580,2831xm5583,2830l5582,2831,5582,2831,5583,2831,5584,2831,5583,2830xm5580,2831l5580,2831,5581,2831,5581,2831,5580,2831xm5581,2830l5580,2831,5580,2831,5581,2831,5581,2831,5581,2831,5581,2830xm5577,2830l5577,2831,5576,2831,5577,2830xm5583,2830l5584,2831,5583,2831,5583,2830xm5577,2830l5576,2831,5577,2830,5577,2830,5577,2830xm5585,2830l5584,2830,5583,2831,5584,2831,5585,2831,5585,2830xm5575,2830l5574,2831,5576,2831,5577,2830,5575,2830xm5580,2831l5580,2831,5580,2831,5580,2831,5580,2831,5580,2831xm5581,2830l5581,2830,5582,2831,5582,2831,5582,2831,5581,2830xm5579,2830l5579,2831,5579,2831,5579,2831,5580,2831,5579,2830xm5585,2830l5585,2830,5585,2831,5586,2831,5585,2830xm5583,2830l5581,2830,5581,2830,5582,2831,5583,2830,5583,2830,5583,2830xm5579,2830l5579,2830,5579,2831,5579,2831,5579,2831,5579,2830,5579,2830xm5574,2829l5574,2831,5574,2831,5574,2830,5575,2830,5574,2829xm5586,2830l5585,2830,5586,2831,5586,2831,5586,2830xm5581,2830l5580,2831,5580,2831,5581,2830xm5580,2830l5580,2831,5580,2831,5580,2831,5580,2830xm5573,2829l5573,2831,5574,2831,5574,2829,5573,2829xm5587,2829l5586,2830,5586,2831,5587,2831,5587,2829xm5580,2830l5580,2830,5580,2830,5580,2831,5581,2830,5581,2830,5580,2830xm5577,2830l5577,2830,5577,2830,5579,2831,5579,2830,5579,2830,5577,2830xm5571,2829l5571,2830,5572,2830,5573,2831,5573,2829,5571,2829xm5589,2829l5587,2829,5587,2831,5588,2830,5589,2830,5589,2829xm5579,2830l5579,2830,5579,2830,5579,2830xm5580,2829l5579,2830,5579,2830,5580,2830,5580,2830,5580,2829,5580,2829xm5584,2829l5583,2829,5583,2830,5583,2830,5584,2830,5584,2829,5584,2829xm5583,2830l5583,2830,5583,2830,5583,2830xm5570,2828l5570,2830,5570,2830,5572,2830,5571,2829,5570,2828xm5590,2829l5589,2829,5588,2830,5590,2830,5590,2830,5590,2829xm5581,2830l5581,2830,5581,2830,5581,2830xm5578,2829l5577,2830,5579,2830,5578,2829xm5581,2830l5581,2830,5581,2830,5581,2830,5581,2830xm5579,2828l5578,2829,5579,2830,5580,2829,5580,2829,5579,2828xm5568,2828l5569,2830,5570,2830,5570,2828,5568,2828xm5593,2828l5590,2829,5590,2830,5592,2830,5593,2828xm5577,2830l5577,2830,5577,2830,5577,2830xm5577,2829l5577,2830,5577,2830,5577,2830,5577,2829xm5582,2829l5581,2830,5581,2830,5582,2830,5582,2829xm5565,2827l5567,2830,5569,2830,5568,2828,5565,2827xm5582,2829l5581,2830,5581,2830,5581,2830,5582,2829,5582,2829xm5585,2829l5584,2829,5585,2830,5585,2830,5585,2829xm5575,2829l5575,2830,5577,2830,5577,2830,5577,2829,5575,2829xm5595,2827l5593,2828,5592,2830,5593,2830,5595,2827xm5586,2828l5585,2828,5585,2829,5585,2830,5586,2830,5586,2828xm5561,2826l5564,2829,5564,2829,5567,2830,5565,2827,5565,2827,5561,2826xm5598,2826l5595,2827,5593,2830,5596,2829,5596,2829,5598,2826xm5580,2829l5580,2829,5580,2830,5580,2830,5580,2829xm5587,2828l5586,2828,5586,2830,5587,2829,5587,2828xm5581,2828l5580,2829,5580,2829,5581,2830,5582,2829,5581,2828xm5574,2828l5574,2829,5575,2830,5575,2829,5575,2829,5574,2828xm5577,2829l5577,2829,5577,2830,5577,2829,5577,2829xm5584,2829l5583,2829,5583,2830,5584,2829,5584,2829xm5582,2829l5582,2829,5582,2829,5582,2829,5582,2829xm5578,2828l5578,2829,5578,2829,5579,2828,5578,2828xm5589,2827l5587,2828,5587,2829,5589,2829,5589,2829,5589,2827xm5556,2825l5561,2829,5564,2829,5561,2826,5556,2825xm5603,2825l5598,2826,5596,2829,5599,2829,5603,2825xm5575,2828l5575,2829,5577,2829,5577,2829,5575,2828xm5573,2828l5573,2829,5574,2829,5574,2828,5573,2828xm5583,2827l5582,2828,5582,2829,5583,2829,5584,2829,5584,2828,5583,2827xm5578,2827l5577,2829,5577,2829,5578,2828,5578,2827xm5580,2826l5579,2828,5579,2828,5580,2829,5580,2829,5581,2828,5581,2828,5580,2826xm5576,2826l5575,2828,5577,2829,5578,2828,5578,2827,5576,2826xm5571,2827l5571,2829,5573,2829,5573,2828,5571,2827xm5579,2828l5579,2828,5580,2829,5579,2828xm5591,2826l5589,2827,5589,2828,5589,2829,5590,2829,5591,2826xm5585,2828l5584,2828,5584,2829,5585,2829,5585,2828xm5549,2823l5556,2828,5561,2829,5556,2825,5549,2823xm5612,2823l5603,2825,5599,2829,5605,2828,5605,2828,5612,2823xm5582,2828l5581,2828,5582,2829,5582,2829,5582,2828xm5569,2826l5570,2828,5571,2829,5571,2827,5571,2827,5569,2826xm5594,2825l5591,2826,5590,2829,5593,2828,5593,2828,5594,2825xm5586,2827l5585,2828,5585,2829,5586,2828,5586,2827xm5574,2827l5574,2828,5575,2829,5575,2828,5574,2827xm5585,2827l5584,2827,5584,2828,5584,2829,5585,2828,5585,2827xm5583,2826l5582,2827,5582,2828,5582,2829,5583,2827,5583,2826xm5528,2817l5545,2827,5556,2828,5549,2823,5528,2817xm5567,2825l5568,2828,5569,2828,5570,2828,5569,2826,5567,2825xm5631,2818l5612,2823,5605,2828,5615,2827,5631,2818xm5587,2827l5586,2827,5586,2828,5587,2828,5587,2827xm5573,2827l5573,2828,5574,2828,5574,2827,5573,2827xm5578,2828l5578,2828,5579,2828,5579,2828,5578,2828xm5586,2826l5585,2826,5585,2827,5585,2828,5586,2827,5586,2826xm5574,2825l5574,2827,5575,2828,5576,2826,5576,2826,5574,2825xm5580,2826l5579,2827,5578,2828,5579,2828,5580,2826,5580,2826,5580,2826xm5580,2826l5580,2826,5580,2826,5581,2828,5582,2828,5580,2826xm5563,2824l5565,2827,5568,2828,5567,2825,5563,2824xm5597,2824l5594,2825,5593,2828,5595,2827,5597,2824xm5578,2827l5578,2827,5578,2828,5578,2827,5578,2827xm5589,2826l5587,2827,5587,2828,5589,2827,5589,2826xm5571,2826l5571,2827,5573,2828,5573,2827,5571,2826xm5579,2825l5578,2827,5578,2828,5579,2826,5579,2825,5579,2825xm5582,2824l5581,2825,5581,2826,5582,2828,5583,2826,5583,2825,5582,2824xm5584,2825l5583,2826,5583,2827,5583,2827,5585,2827,5584,2826,5584,2825xm5576,2825l5576,2826,5578,2827,5578,2827,5576,2825xm5587,2825l5586,2826,5586,2826,5586,2827,5587,2827,5587,2825xm5573,2824l5573,2827,5574,2827,5574,2826,5574,2825,5573,2824xm5602,2821l5597,2824,5595,2827,5598,2826,5602,2821xm5577,2822l5576,2825,5578,2827,5579,2825,5579,2825,5577,2822xm5558,2821l5561,2826,5565,2827,5563,2824,5558,2821xm5591,2824l5589,2826,5589,2827,5591,2826,5591,2824xm5569,2824l5569,2826,5571,2827,5571,2826,5569,2824xm5478,2804l5529,2825,5545,2827,5528,2817,5478,2804xm5680,2805l5631,2818,5615,2827,5631,2825,5680,2805xm5589,2823l5587,2825,5587,2827,5589,2826,5589,2825,5589,2823xm5570,2822l5571,2825,5571,2826,5573,2827,5573,2824,5570,2822xm5585,2824l5584,2825,5584,2825,5585,2827,5586,2826,5585,2824xm5610,2818l5602,2821,5598,2826,5603,2825,5610,2818xm5580,2825l5580,2825,5580,2826,5580,2826,5580,2826,5580,2825,5580,2825xm5583,2822l5582,2824,5582,2824,5583,2826,5584,2825,5583,2822xm5595,2822l5591,2824,5591,2826,5594,2825,5594,2825,5595,2822xm5566,2823l5567,2825,5569,2826,5569,2824,5566,2823xm5550,2818l5556,2825,5561,2826,5558,2821,5550,2818xm5575,2824l5575,2825,5576,2826,5576,2825,5576,2825,5575,2824xm5587,2822l5586,2824,5586,2825,5586,2826,5587,2825,5587,2822xm5579,2824l5579,2824,5579,2825,5580,2826,5580,2825,5580,2825,5579,2824xm5581,2822l5580,2825,5580,2825,5580,2826,5582,2824,5582,2824,5581,2822xm5592,2821l5589,2823,5589,2826,5591,2824,5592,2821xm5567,2820l5569,2824,5571,2826,5570,2822,5567,2820xm5561,2820l5563,2824,5567,2825,5566,2823,5561,2820xm5575,2820l5575,2824,5576,2825,5577,2822,5575,2820xm5585,2820l5583,2822,5584,2825,5585,2824,5585,2820xm5628,2811l5610,2818,5603,2825,5612,2823,5628,2811xm5573,2822l5573,2824,5574,2825,5574,2824,5573,2822xm5581,2820l5580,2823,5579,2824,5580,2825,5581,2823,5581,2822,5581,2820xm2944,2126l2940,2140,5480,2818,5529,2825,5478,2804,2944,2126xm8216,2126l5680,2805,5631,2825,5682,2818,8220,2140,8216,2126xm5599,2820l5595,2822,5594,2825,5597,2824,5599,2820xm5577,2820l5577,2821,5577,2822,5579,2825,5579,2824,5577,2820xm5535,2812l5549,2823,5556,2825,5550,2818,5535,2812xm5590,2819l5587,2822,5587,2825,5589,2823,5589,2823,5590,2819xm5597,2817l5592,2821,5591,2824,5595,2822,5597,2817xm5564,2817l5566,2823,5569,2824,5567,2820,5564,2817xm5573,2817l5573,2822,5575,2824,5575,2820,5575,2820,5573,2817xm5587,2817l5585,2820,5585,2820,5585,2824,5587,2822,5587,2817xm5583,2820l5582,2822,5581,2823,5582,2824,5583,2822,5583,2821,5583,2820xm5570,2819l5570,2822,5573,2824,5573,2822,5570,2819xm5578,2815l5577,2820,5579,2824,5581,2821,5580,2820,5578,2815xm5607,2815l5599,2820,5597,2824,5602,2821,5607,2815xm5553,2815l5558,2821,5563,2824,5561,2820,5553,2815xm5555,2811l5561,2820,5566,2823,5564,2817,5564,2817,5555,2811xm5594,2815l5590,2819,5589,2823,5592,2821,5594,2815xm5477,2788l5528,2817,5549,2823,5535,2812,5477,2788xm5683,2788l5628,2811,5612,2823,5631,2818,5683,2788xm5582,2817l5581,2820,5581,2821,5581,2822,5583,2820,5582,2817xm5604,2812l5597,2817,5597,2817,5595,2822,5599,2820,5604,2812xm5569,2812l5570,2819,5573,2822,5573,2817,5569,2812xm5591,2812l5587,2817,5587,2822,5590,2819,5591,2812xm5575,2817l5575,2818,5575,2820,5577,2822,5577,2821,5577,2820,5575,2817xm5585,2817l5583,2820,5583,2821,5583,2822,5585,2820,5585,2818,5585,2817xm5566,2815l5567,2820,5570,2822,5570,2819,5566,2815xm5621,2807l5607,2815,5602,2821,5610,2818,5621,2807xm5539,2807l5550,2818,5558,2821,5553,2815,5539,2807xm5601,2809l5594,2815,5592,2821,5597,2817,5597,2817,5601,2809xm5580,2810l5578,2815,5581,2820,5582,2817,5582,2817,5580,2810xm5584,2812l5582,2817,5582,2818,5583,2820,5585,2817,5584,2812xm5576,2810l5575,2817,5577,2820,5578,2815,5576,2810xm5573,2812l5573,2817,5575,2820,5575,2818,5575,2817,5573,2812xm5587,2813l5585,2817,5585,2818,5585,2820,5587,2817,5587,2813xm5617,2802l5604,2812,5599,2820,5607,2815,5617,2802xm5541,2799l5553,2815,5561,2820,5555,2811,5541,2799xm5561,2811l5564,2817,5564,2817,5567,2820,5566,2815,5561,2811xm5563,2805l5566,2815,5570,2819,5569,2813,5569,2812,5563,2805xm5597,2805l5591,2812,5591,2813,5590,2819,5594,2815,5597,2805xm5668,2781l5621,2807,5610,2818,5628,2811,5668,2781xm5497,2783l5535,2812,5550,2818,5539,2807,5497,2783xm8104,1788l5683,2788,5631,2818,5680,2805,8108,1801,8104,1788xm5587,2805l5584,2812,5584,2813,5585,2817,5587,2813,5587,2805xm5573,2802l5573,2813,5575,2817,5576,2810,5573,2802xm5582,2801l5580,2809,5580,2810,5582,2817,5584,2813,5582,2801xm5547,2797l5555,2811,5564,2817,5561,2811,5547,2797xm3058,1788l3052,1801,5478,2804,5528,2817,5477,2788,3058,1788xm5613,2797l5601,2809,5597,2817,5604,2812,5613,2797xm5568,2805l5569,2812,5569,2813,5573,2817,5573,2812,5568,2805xm5592,2805l5587,2812,5587,2817,5591,2812,5591,2812,5592,2805xm5554,2792l5561,2811,5566,2815,5563,2805,5554,2792xm5656,2772l5617,2802,5607,2815,5621,2807,5656,2772xm5609,2789l5597,2805,5594,2815,5601,2809,5609,2789xm5500,2768l5539,2807,5553,2815,5541,2799,5500,2768xm5578,2801l5577,2809,5576,2811,5578,2815,5580,2810,5578,2801xm5594,2788l5587,2805,5587,2813,5592,2805,5592,2804,5594,2788xm5566,2784l5568,2804,5568,2805,5573,2812,5573,2802,5566,2784xm5587,2783l5583,2799,5583,2802,5584,2812,5587,2805,5587,2783xm5559,2789l5563,2805,5569,2812,5568,2805,5559,2789xm5601,2789l5592,2805,5592,2805,5591,2812,5597,2805,5601,2789xm5651,2759l5613,2797,5604,2812,5617,2802,5651,2759xm3214,1478l3206,1490,5477,2788,5535,2812,5497,2783,3214,1478xm7948,1478l5668,2781,5628,2811,5683,2788,7954,1490,7948,1478xm5509,2759l5541,2799,5555,2811,5547,2797,5509,2759xm5518,2745l5547,2797,5561,2811,5554,2792,5518,2745xm5573,2783l5573,2802,5576,2810,5578,2801,5573,2783xm5580,2782l5578,2801,5580,2810,5582,2802,5582,2799,5580,2782xm5642,2745l5609,2789,5601,2809,5613,2797,5642,2745xm7748,1182l5656,2772,5621,2807,5668,2781,7757,1194,7748,1182xm3412,1182l3403,1194,5497,2783,5539,2807,5500,2768,3412,1182xm5536,2749l5554,2792,5563,2805,5559,2789,5536,2749xm5628,2742l5601,2789,5597,2805,5609,2789,5628,2742xm5614,2739l5594,2788,5592,2805,5601,2789,5614,2739xm5544,2732l5559,2789,5568,2805,5566,2784,5544,2732xm5602,2728l5587,2782,5587,2805,5594,2788,5602,2728xm5558,2728l5566,2784,5573,2802,5573,2782,5558,2728xm7508,901l5651,2759,5617,2802,5656,2772,7518,910,7508,901xm5573,2727l5573,2783,5578,2801,5580,2782,5573,2727xm5587,2727l5580,2781,5580,2783,5582,2801,5587,2783,5587,2727xm3652,901l3642,910,5500,2768,5541,2799,5509,2759,3652,901xm3920,675l3910,684,5509,2759,5547,2797,5518,2745,3920,675xm7240,675l5642,2745,5613,2797,5651,2759,7250,684,7240,675xm4218,478l4205,486,5518,2745,5554,2792,5536,2749,4218,478xm6618,310l5614,2739,5601,2789,5628,2742,6631,315,6618,310xm4542,310l4530,315,5536,2749,5559,2789,5544,2732,4542,310xm6943,478l5628,2742,5609,2789,5642,2745,6955,486,6943,478xm6278,198l5602,2728,5594,2788,5614,2739,6293,201,6278,198xm4882,198l4868,201,5544,2732,5566,2784,5558,2728,4882,198xm5234,128l5220,130,5558,2728,5573,2783,5573,2727,5234,128xm5926,128l5587,2727,5587,2783,5602,2728,5940,130,5926,128xm5587,115l5573,115,5573,2728,5580,2782,5587,2728,5587,115xe" filled="true" fillcolor="#868686" stroked="false">
              <v:path arrowok="t"/>
              <v:fill type="solid"/>
            </v:shape>
            <v:shape style="position:absolute;left:4146;top:881;width:2811;height:3928" type="#_x0000_t75" stroked="false">
              <v:imagedata r:id="rId39" o:title=""/>
            </v:shape>
            <w10:wrap type="none"/>
          </v:group>
        </w:pict>
      </w:r>
      <w:r>
        <w:rPr>
          <w:sz w:val="18"/>
        </w:rPr>
        <w:t>philippines brazil</w:t>
      </w:r>
    </w:p>
    <w:p>
      <w:pPr>
        <w:spacing w:line="180" w:lineRule="exact" w:before="0"/>
        <w:ind w:left="2160" w:right="0" w:firstLine="0"/>
        <w:jc w:val="left"/>
        <w:rPr>
          <w:sz w:val="18"/>
        </w:rPr>
      </w:pPr>
      <w:r>
        <w:rPr>
          <w:sz w:val="18"/>
        </w:rPr>
        <w:t>indonesia</w:t>
      </w:r>
    </w:p>
    <w:p>
      <w:pPr>
        <w:spacing w:line="283" w:lineRule="auto" w:before="0"/>
        <w:ind w:left="1780" w:right="988" w:firstLine="426"/>
        <w:jc w:val="left"/>
        <w:rPr>
          <w:sz w:val="18"/>
        </w:rPr>
      </w:pPr>
      <w:r>
        <w:rPr>
          <w:sz w:val="18"/>
        </w:rPr>
        <w:t>china mexico</w:t>
      </w:r>
    </w:p>
    <w:p>
      <w:pPr>
        <w:spacing w:line="360" w:lineRule="auto" w:before="36"/>
        <w:ind w:left="1454" w:right="1446" w:hanging="327"/>
        <w:jc w:val="left"/>
        <w:rPr>
          <w:sz w:val="18"/>
        </w:rPr>
      </w:pPr>
      <w:r>
        <w:rPr>
          <w:sz w:val="18"/>
        </w:rPr>
        <w:t>newzealand korea</w:t>
      </w:r>
    </w:p>
    <w:p>
      <w:pPr>
        <w:spacing w:line="408" w:lineRule="auto" w:before="22"/>
        <w:ind w:left="1139" w:right="1446" w:firstLine="109"/>
        <w:jc w:val="left"/>
        <w:rPr>
          <w:sz w:val="18"/>
        </w:rPr>
      </w:pPr>
      <w:r>
        <w:rPr>
          <w:sz w:val="18"/>
        </w:rPr>
        <w:t>turkey russia</w:t>
      </w:r>
    </w:p>
    <w:p>
      <w:pPr>
        <w:spacing w:before="13"/>
        <w:ind w:left="0" w:right="2072" w:firstLine="0"/>
        <w:jc w:val="right"/>
        <w:rPr>
          <w:sz w:val="18"/>
        </w:rPr>
      </w:pPr>
      <w:r>
        <w:rPr>
          <w:sz w:val="18"/>
        </w:rPr>
        <w:t>colombia</w:t>
      </w:r>
    </w:p>
    <w:p>
      <w:pPr>
        <w:spacing w:line="432" w:lineRule="auto" w:before="164"/>
        <w:ind w:left="857" w:right="2076" w:firstLine="300"/>
        <w:jc w:val="right"/>
        <w:rPr>
          <w:sz w:val="18"/>
        </w:rPr>
      </w:pPr>
      <w:r>
        <w:rPr>
          <w:sz w:val="18"/>
        </w:rPr>
        <w:t>chile australia</w:t>
      </w:r>
    </w:p>
    <w:p>
      <w:pPr>
        <w:spacing w:line="408" w:lineRule="auto" w:before="0"/>
        <w:ind w:left="1019" w:right="1884" w:firstLine="56"/>
        <w:jc w:val="center"/>
        <w:rPr>
          <w:sz w:val="18"/>
        </w:rPr>
      </w:pPr>
      <w:r>
        <w:rPr>
          <w:sz w:val="18"/>
        </w:rPr>
        <w:t>israel malaysia</w:t>
      </w:r>
    </w:p>
    <w:p>
      <w:pPr>
        <w:spacing w:line="188" w:lineRule="exact" w:before="0"/>
        <w:ind w:left="152" w:right="339" w:firstLine="0"/>
        <w:jc w:val="center"/>
        <w:rPr>
          <w:sz w:val="18"/>
        </w:rPr>
      </w:pPr>
      <w:r>
        <w:rPr>
          <w:sz w:val="18"/>
        </w:rPr>
        <w:t>india</w:t>
      </w:r>
    </w:p>
    <w:p>
      <w:pPr>
        <w:spacing w:before="94"/>
        <w:ind w:left="39" w:right="339" w:firstLine="0"/>
        <w:jc w:val="center"/>
        <w:rPr>
          <w:sz w:val="18"/>
        </w:rPr>
      </w:pPr>
      <w:r>
        <w:rPr>
          <w:sz w:val="18"/>
        </w:rPr>
        <w:t>southafrica</w:t>
      </w:r>
    </w:p>
    <w:p>
      <w:pPr>
        <w:spacing w:before="73"/>
        <w:ind w:left="614" w:right="339" w:firstLine="0"/>
        <w:jc w:val="center"/>
        <w:rPr>
          <w:sz w:val="18"/>
        </w:rPr>
      </w:pPr>
      <w:r>
        <w:rPr>
          <w:sz w:val="18"/>
        </w:rPr>
        <w:t>hongkong</w:t>
      </w:r>
    </w:p>
    <w:p>
      <w:pPr>
        <w:spacing w:line="207" w:lineRule="exact" w:before="37"/>
        <w:ind w:left="1176" w:right="339" w:firstLine="0"/>
        <w:jc w:val="center"/>
        <w:rPr>
          <w:sz w:val="18"/>
        </w:rPr>
      </w:pPr>
      <w:r>
        <w:rPr>
          <w:sz w:val="18"/>
        </w:rPr>
        <w:t>singapore</w:t>
      </w:r>
    </w:p>
    <w:p>
      <w:pPr>
        <w:spacing w:line="185" w:lineRule="exact" w:before="0"/>
        <w:ind w:left="1960" w:right="339" w:firstLine="0"/>
        <w:jc w:val="center"/>
        <w:rPr>
          <w:sz w:val="18"/>
        </w:rPr>
      </w:pPr>
      <w:r>
        <w:rPr>
          <w:sz w:val="18"/>
        </w:rPr>
        <w:t>thailand</w:t>
      </w:r>
    </w:p>
    <w:p>
      <w:pPr>
        <w:spacing w:line="101" w:lineRule="exact" w:before="0"/>
        <w:ind w:left="2745" w:right="339" w:firstLine="0"/>
        <w:jc w:val="center"/>
        <w:rPr>
          <w:sz w:val="18"/>
        </w:rPr>
      </w:pPr>
      <w:r>
        <w:rPr>
          <w:sz w:val="18"/>
        </w:rPr>
        <w:t>taiwan</w:t>
      </w:r>
    </w:p>
    <w:p>
      <w:pPr>
        <w:spacing w:before="14"/>
        <w:ind w:left="0" w:right="46" w:firstLine="0"/>
        <w:jc w:val="right"/>
        <w:rPr>
          <w:sz w:val="18"/>
        </w:rPr>
      </w:pPr>
      <w:r>
        <w:rPr/>
        <w:br w:type="column"/>
      </w:r>
      <w:r>
        <w:rPr>
          <w:sz w:val="18"/>
        </w:rPr>
        <w:t>0.8</w:t>
      </w:r>
    </w:p>
    <w:p>
      <w:pPr>
        <w:spacing w:before="135"/>
        <w:ind w:left="0" w:right="46" w:firstLine="0"/>
        <w:jc w:val="right"/>
        <w:rPr>
          <w:sz w:val="18"/>
        </w:rPr>
      </w:pPr>
      <w:r>
        <w:rPr>
          <w:sz w:val="18"/>
        </w:rPr>
        <w:t>0.6</w:t>
      </w:r>
    </w:p>
    <w:p>
      <w:pPr>
        <w:spacing w:before="134"/>
        <w:ind w:left="0" w:right="46" w:firstLine="0"/>
        <w:jc w:val="right"/>
        <w:rPr>
          <w:sz w:val="18"/>
        </w:rPr>
      </w:pPr>
      <w:r>
        <w:rPr>
          <w:sz w:val="18"/>
        </w:rPr>
        <w:t>0.4</w:t>
      </w:r>
    </w:p>
    <w:p>
      <w:pPr>
        <w:spacing w:before="135"/>
        <w:ind w:left="0" w:right="46" w:firstLine="0"/>
        <w:jc w:val="right"/>
        <w:rPr>
          <w:sz w:val="18"/>
        </w:rPr>
      </w:pPr>
      <w:r>
        <w:rPr>
          <w:sz w:val="18"/>
        </w:rPr>
        <w:t>0.2</w:t>
      </w:r>
    </w:p>
    <w:p>
      <w:pPr>
        <w:spacing w:before="135"/>
        <w:ind w:left="0" w:right="45" w:firstLine="0"/>
        <w:jc w:val="right"/>
        <w:rPr>
          <w:sz w:val="18"/>
        </w:rPr>
      </w:pPr>
      <w:r>
        <w:rPr>
          <w:w w:val="101"/>
          <w:sz w:val="18"/>
        </w:rPr>
        <w:t>0</w:t>
      </w:r>
    </w:p>
    <w:p>
      <w:pPr>
        <w:spacing w:before="136"/>
        <w:ind w:left="0" w:right="38" w:firstLine="0"/>
        <w:jc w:val="right"/>
        <w:rPr>
          <w:sz w:val="18"/>
        </w:rPr>
      </w:pPr>
      <w:r>
        <w:rPr>
          <w:spacing w:val="3"/>
          <w:sz w:val="18"/>
        </w:rPr>
        <w:t>-0.2</w:t>
      </w:r>
    </w:p>
    <w:p>
      <w:pPr>
        <w:spacing w:before="133"/>
        <w:ind w:left="0" w:right="38" w:firstLine="0"/>
        <w:jc w:val="right"/>
        <w:rPr>
          <w:sz w:val="18"/>
        </w:rPr>
      </w:pPr>
      <w:r>
        <w:rPr>
          <w:spacing w:val="3"/>
          <w:sz w:val="18"/>
        </w:rPr>
        <w:t>-0.4</w:t>
      </w:r>
    </w:p>
    <w:p>
      <w:pPr>
        <w:spacing w:before="135"/>
        <w:ind w:left="0" w:right="38" w:firstLine="0"/>
        <w:jc w:val="right"/>
        <w:rPr>
          <w:sz w:val="18"/>
        </w:rPr>
      </w:pPr>
      <w:r>
        <w:rPr>
          <w:spacing w:val="3"/>
          <w:sz w:val="18"/>
        </w:rPr>
        <w:t>-0.6</w:t>
      </w:r>
    </w:p>
    <w:p>
      <w:pPr>
        <w:spacing w:before="135"/>
        <w:ind w:left="0" w:right="38" w:firstLine="0"/>
        <w:jc w:val="right"/>
        <w:rPr>
          <w:sz w:val="18"/>
        </w:rPr>
      </w:pPr>
      <w:r>
        <w:rPr>
          <w:spacing w:val="3"/>
          <w:sz w:val="18"/>
        </w:rPr>
        <w:t>-0.8</w:t>
      </w:r>
    </w:p>
    <w:p>
      <w:pPr>
        <w:spacing w:line="160" w:lineRule="exact" w:before="0"/>
        <w:ind w:left="816" w:right="0" w:firstLine="0"/>
        <w:jc w:val="left"/>
        <w:rPr>
          <w:sz w:val="18"/>
        </w:rPr>
      </w:pPr>
      <w:r>
        <w:rPr/>
        <w:br w:type="column"/>
      </w:r>
      <w:r>
        <w:rPr>
          <w:sz w:val="18"/>
        </w:rPr>
        <w:t>austria</w:t>
      </w:r>
    </w:p>
    <w:p>
      <w:pPr>
        <w:spacing w:line="142" w:lineRule="exact" w:before="0"/>
        <w:ind w:left="1169" w:right="0" w:firstLine="0"/>
        <w:jc w:val="left"/>
        <w:rPr>
          <w:sz w:val="18"/>
        </w:rPr>
      </w:pPr>
      <w:r>
        <w:rPr>
          <w:sz w:val="18"/>
        </w:rPr>
        <w:t>sweden</w:t>
      </w:r>
    </w:p>
    <w:p>
      <w:pPr>
        <w:spacing w:line="185" w:lineRule="exact" w:before="0"/>
        <w:ind w:left="1502" w:right="0" w:firstLine="0"/>
        <w:jc w:val="left"/>
        <w:rPr>
          <w:sz w:val="18"/>
        </w:rPr>
      </w:pPr>
      <w:r>
        <w:rPr>
          <w:sz w:val="18"/>
        </w:rPr>
        <w:t>finland</w:t>
      </w:r>
    </w:p>
    <w:p>
      <w:pPr>
        <w:spacing w:line="207" w:lineRule="exact" w:before="0"/>
        <w:ind w:left="1811" w:right="0" w:firstLine="0"/>
        <w:jc w:val="left"/>
        <w:rPr>
          <w:sz w:val="18"/>
        </w:rPr>
      </w:pPr>
      <w:r>
        <w:rPr>
          <w:sz w:val="18"/>
        </w:rPr>
        <w:t>iceland</w:t>
      </w:r>
    </w:p>
    <w:p>
      <w:pPr>
        <w:spacing w:before="38"/>
        <w:ind w:left="0" w:right="2971" w:firstLine="0"/>
        <w:jc w:val="right"/>
        <w:rPr>
          <w:sz w:val="18"/>
        </w:rPr>
      </w:pPr>
      <w:r>
        <w:rPr>
          <w:sz w:val="18"/>
        </w:rPr>
        <w:t>estonia</w:t>
      </w:r>
    </w:p>
    <w:p>
      <w:pPr>
        <w:spacing w:before="72"/>
        <w:ind w:left="0" w:right="2894" w:firstLine="0"/>
        <w:jc w:val="right"/>
        <w:rPr>
          <w:sz w:val="18"/>
        </w:rPr>
      </w:pPr>
      <w:r>
        <w:rPr>
          <w:sz w:val="18"/>
        </w:rPr>
        <w:t>latvia</w:t>
      </w:r>
    </w:p>
    <w:p>
      <w:pPr>
        <w:spacing w:line="386" w:lineRule="auto" w:before="103"/>
        <w:ind w:left="2707" w:right="1934" w:hanging="165"/>
        <w:jc w:val="left"/>
        <w:rPr>
          <w:sz w:val="18"/>
        </w:rPr>
      </w:pPr>
      <w:r>
        <w:rPr>
          <w:spacing w:val="2"/>
          <w:sz w:val="18"/>
        </w:rPr>
        <w:t>poland hungary</w:t>
      </w:r>
    </w:p>
    <w:p>
      <w:pPr>
        <w:spacing w:line="427" w:lineRule="auto" w:before="18"/>
        <w:ind w:left="2826" w:right="1726" w:firstLine="0"/>
        <w:jc w:val="left"/>
        <w:rPr>
          <w:sz w:val="18"/>
        </w:rPr>
      </w:pPr>
      <w:r>
        <w:rPr>
          <w:sz w:val="18"/>
        </w:rPr>
        <w:t>czechrepublic slovakrepu~c netherlands ireland  greece</w:t>
      </w:r>
    </w:p>
    <w:p>
      <w:pPr>
        <w:spacing w:line="189" w:lineRule="exact" w:before="0"/>
        <w:ind w:left="2707" w:right="0" w:firstLine="0"/>
        <w:jc w:val="left"/>
        <w:rPr>
          <w:sz w:val="18"/>
        </w:rPr>
      </w:pPr>
      <w:r>
        <w:rPr>
          <w:sz w:val="18"/>
        </w:rPr>
        <w:t>slovenia</w:t>
      </w:r>
    </w:p>
    <w:p>
      <w:pPr>
        <w:spacing w:line="360" w:lineRule="auto" w:before="127"/>
        <w:ind w:left="2336" w:right="2530" w:firstLine="206"/>
        <w:jc w:val="left"/>
        <w:rPr>
          <w:sz w:val="18"/>
        </w:rPr>
      </w:pPr>
      <w:r>
        <w:rPr>
          <w:sz w:val="18"/>
        </w:rPr>
        <w:t>norway spain</w:t>
      </w:r>
    </w:p>
    <w:p>
      <w:pPr>
        <w:spacing w:line="175" w:lineRule="exact" w:before="0"/>
        <w:ind w:left="2090" w:right="0" w:firstLine="0"/>
        <w:jc w:val="left"/>
        <w:rPr>
          <w:sz w:val="18"/>
        </w:rPr>
      </w:pPr>
      <w:r>
        <w:rPr>
          <w:sz w:val="18"/>
        </w:rPr>
        <w:t>portugal</w:t>
      </w:r>
    </w:p>
    <w:p>
      <w:pPr>
        <w:spacing w:before="38"/>
        <w:ind w:left="1502" w:right="3062" w:firstLine="308"/>
        <w:jc w:val="left"/>
        <w:rPr>
          <w:sz w:val="18"/>
        </w:rPr>
      </w:pPr>
      <w:r>
        <w:rPr>
          <w:sz w:val="18"/>
        </w:rPr>
        <w:t>france italy</w:t>
      </w:r>
    </w:p>
    <w:p>
      <w:pPr>
        <w:spacing w:line="79" w:lineRule="exact" w:before="0"/>
        <w:ind w:left="1169" w:right="0" w:firstLine="0"/>
        <w:jc w:val="left"/>
        <w:rPr>
          <w:sz w:val="18"/>
        </w:rPr>
      </w:pPr>
      <w:r>
        <w:rPr>
          <w:sz w:val="18"/>
        </w:rPr>
        <w:t>luxem bourg</w:t>
      </w:r>
    </w:p>
    <w:p>
      <w:pPr>
        <w:spacing w:after="0" w:line="79" w:lineRule="exact"/>
        <w:jc w:val="left"/>
        <w:rPr>
          <w:sz w:val="18"/>
        </w:rPr>
        <w:sectPr>
          <w:type w:val="continuous"/>
          <w:pgSz w:w="12240" w:h="15840"/>
          <w:pgMar w:top="1120" w:bottom="1440" w:left="1200" w:right="1060"/>
          <w:cols w:num="3" w:equalWidth="0">
            <w:col w:w="3645" w:space="40"/>
            <w:col w:w="538" w:space="84"/>
            <w:col w:w="5673"/>
          </w:cols>
        </w:sectPr>
      </w:pPr>
    </w:p>
    <w:p>
      <w:pPr>
        <w:spacing w:line="277" w:lineRule="exact" w:before="0"/>
        <w:ind w:left="0" w:right="0" w:firstLine="0"/>
        <w:jc w:val="right"/>
        <w:rPr>
          <w:sz w:val="18"/>
        </w:rPr>
      </w:pPr>
      <w:r>
        <w:rPr>
          <w:spacing w:val="-70"/>
          <w:w w:val="101"/>
          <w:sz w:val="18"/>
        </w:rPr>
        <w:t>u</w:t>
      </w:r>
      <w:r>
        <w:rPr>
          <w:spacing w:val="-25"/>
          <w:w w:val="101"/>
          <w:position w:val="7"/>
          <w:sz w:val="18"/>
        </w:rPr>
        <w:t>c</w:t>
      </w:r>
      <w:r>
        <w:rPr>
          <w:spacing w:val="-70"/>
          <w:w w:val="101"/>
          <w:sz w:val="18"/>
        </w:rPr>
        <w:t>n</w:t>
      </w:r>
      <w:r>
        <w:rPr>
          <w:spacing w:val="-22"/>
          <w:w w:val="101"/>
          <w:position w:val="7"/>
          <w:sz w:val="18"/>
        </w:rPr>
        <w:t>a</w:t>
      </w:r>
      <w:r>
        <w:rPr>
          <w:spacing w:val="-23"/>
          <w:w w:val="101"/>
          <w:sz w:val="18"/>
        </w:rPr>
        <w:t>i</w:t>
      </w:r>
      <w:r>
        <w:rPr>
          <w:spacing w:val="-79"/>
          <w:w w:val="101"/>
          <w:position w:val="7"/>
          <w:sz w:val="18"/>
        </w:rPr>
        <w:t>n</w:t>
      </w:r>
      <w:r>
        <w:rPr>
          <w:spacing w:val="-9"/>
          <w:w w:val="101"/>
          <w:sz w:val="18"/>
        </w:rPr>
        <w:t>t</w:t>
      </w:r>
      <w:r>
        <w:rPr>
          <w:spacing w:val="-70"/>
          <w:w w:val="101"/>
          <w:sz w:val="18"/>
        </w:rPr>
        <w:t>e</w:t>
      </w:r>
      <w:r>
        <w:rPr>
          <w:spacing w:val="-22"/>
          <w:w w:val="101"/>
          <w:position w:val="7"/>
          <w:sz w:val="18"/>
        </w:rPr>
        <w:t>a</w:t>
      </w:r>
      <w:r>
        <w:rPr>
          <w:spacing w:val="-70"/>
          <w:w w:val="101"/>
          <w:sz w:val="18"/>
        </w:rPr>
        <w:t>d</w:t>
      </w:r>
      <w:r>
        <w:rPr>
          <w:spacing w:val="-35"/>
          <w:w w:val="101"/>
          <w:position w:val="7"/>
          <w:sz w:val="18"/>
        </w:rPr>
        <w:t>d</w:t>
      </w:r>
      <w:r>
        <w:rPr>
          <w:spacing w:val="-60"/>
          <w:w w:val="101"/>
          <w:sz w:val="18"/>
        </w:rPr>
        <w:t>s</w:t>
      </w:r>
      <w:r>
        <w:rPr>
          <w:spacing w:val="-37"/>
          <w:w w:val="101"/>
          <w:position w:val="7"/>
          <w:sz w:val="18"/>
        </w:rPr>
        <w:t>a</w:t>
      </w:r>
      <w:r>
        <w:rPr>
          <w:spacing w:val="5"/>
          <w:w w:val="101"/>
          <w:sz w:val="18"/>
        </w:rPr>
        <w:t>t</w:t>
      </w:r>
      <w:r>
        <w:rPr>
          <w:spacing w:val="-4"/>
          <w:w w:val="101"/>
          <w:sz w:val="18"/>
        </w:rPr>
        <w:t>a</w:t>
      </w:r>
      <w:r>
        <w:rPr>
          <w:spacing w:val="5"/>
          <w:w w:val="101"/>
          <w:sz w:val="18"/>
        </w:rPr>
        <w:t>t</w:t>
      </w:r>
      <w:r>
        <w:rPr>
          <w:spacing w:val="-3"/>
          <w:w w:val="101"/>
          <w:sz w:val="18"/>
        </w:rPr>
        <w:t>es</w:t>
      </w:r>
    </w:p>
    <w:p>
      <w:pPr>
        <w:pStyle w:val="BodyText"/>
        <w:spacing w:before="9"/>
        <w:rPr>
          <w:sz w:val="17"/>
        </w:rPr>
      </w:pPr>
      <w:r>
        <w:rPr/>
        <w:br w:type="column"/>
      </w:r>
      <w:r>
        <w:rPr>
          <w:sz w:val="17"/>
        </w:rPr>
      </w:r>
    </w:p>
    <w:p>
      <w:pPr>
        <w:spacing w:before="0"/>
        <w:ind w:left="108" w:right="0" w:firstLine="0"/>
        <w:jc w:val="left"/>
        <w:rPr>
          <w:sz w:val="18"/>
        </w:rPr>
      </w:pPr>
      <w:r>
        <w:rPr>
          <w:sz w:val="18"/>
        </w:rPr>
        <w:t>japan</w:t>
      </w:r>
    </w:p>
    <w:p>
      <w:pPr>
        <w:spacing w:line="277" w:lineRule="exact" w:before="0"/>
        <w:ind w:left="106" w:right="0" w:firstLine="0"/>
        <w:jc w:val="left"/>
        <w:rPr>
          <w:sz w:val="18"/>
        </w:rPr>
      </w:pPr>
      <w:r>
        <w:rPr/>
        <w:br w:type="column"/>
      </w:r>
      <w:r>
        <w:rPr>
          <w:spacing w:val="6"/>
          <w:w w:val="101"/>
          <w:sz w:val="18"/>
        </w:rPr>
        <w:t>s</w:t>
      </w:r>
      <w:r>
        <w:rPr>
          <w:spacing w:val="-6"/>
          <w:w w:val="101"/>
          <w:sz w:val="18"/>
        </w:rPr>
        <w:t>w</w:t>
      </w:r>
      <w:r>
        <w:rPr>
          <w:spacing w:val="2"/>
          <w:w w:val="101"/>
          <w:sz w:val="18"/>
        </w:rPr>
        <w:t>i</w:t>
      </w:r>
      <w:r>
        <w:rPr>
          <w:spacing w:val="5"/>
          <w:w w:val="101"/>
          <w:sz w:val="18"/>
        </w:rPr>
        <w:t>t</w:t>
      </w:r>
      <w:r>
        <w:rPr>
          <w:spacing w:val="-53"/>
          <w:w w:val="101"/>
          <w:sz w:val="18"/>
        </w:rPr>
        <w:t>z</w:t>
      </w:r>
      <w:r>
        <w:rPr>
          <w:spacing w:val="-44"/>
          <w:w w:val="101"/>
          <w:position w:val="7"/>
          <w:sz w:val="18"/>
        </w:rPr>
        <w:t>d</w:t>
      </w:r>
      <w:r>
        <w:rPr>
          <w:spacing w:val="-63"/>
          <w:w w:val="101"/>
          <w:sz w:val="18"/>
        </w:rPr>
        <w:t>e</w:t>
      </w:r>
      <w:r>
        <w:rPr>
          <w:spacing w:val="-44"/>
          <w:w w:val="101"/>
          <w:position w:val="7"/>
          <w:sz w:val="18"/>
        </w:rPr>
        <w:t>e</w:t>
      </w:r>
      <w:r>
        <w:rPr>
          <w:spacing w:val="-8"/>
          <w:w w:val="101"/>
          <w:sz w:val="18"/>
        </w:rPr>
        <w:t>r</w:t>
      </w:r>
      <w:r>
        <w:rPr>
          <w:spacing w:val="-100"/>
          <w:w w:val="101"/>
          <w:position w:val="7"/>
          <w:sz w:val="18"/>
        </w:rPr>
        <w:t>n</w:t>
      </w:r>
      <w:r>
        <w:rPr>
          <w:spacing w:val="1"/>
          <w:w w:val="101"/>
          <w:sz w:val="18"/>
        </w:rPr>
        <w:t>l</w:t>
      </w:r>
      <w:r>
        <w:rPr>
          <w:spacing w:val="-47"/>
          <w:w w:val="101"/>
          <w:sz w:val="18"/>
        </w:rPr>
        <w:t>a</w:t>
      </w:r>
      <w:r>
        <w:rPr>
          <w:spacing w:val="-94"/>
          <w:w w:val="101"/>
          <w:position w:val="7"/>
          <w:sz w:val="18"/>
        </w:rPr>
        <w:t>m</w:t>
      </w:r>
      <w:r>
        <w:rPr>
          <w:spacing w:val="-7"/>
          <w:w w:val="101"/>
          <w:sz w:val="18"/>
        </w:rPr>
        <w:t>n</w:t>
      </w:r>
      <w:r>
        <w:rPr>
          <w:spacing w:val="-100"/>
          <w:w w:val="101"/>
          <w:position w:val="7"/>
          <w:sz w:val="18"/>
        </w:rPr>
        <w:t>a</w:t>
      </w:r>
      <w:r>
        <w:rPr>
          <w:spacing w:val="8"/>
          <w:w w:val="101"/>
          <w:sz w:val="18"/>
        </w:rPr>
        <w:t>d</w:t>
      </w:r>
      <w:r>
        <w:rPr>
          <w:spacing w:val="-5"/>
          <w:w w:val="101"/>
          <w:position w:val="7"/>
          <w:sz w:val="18"/>
        </w:rPr>
        <w:t>r</w:t>
      </w:r>
      <w:r>
        <w:rPr>
          <w:w w:val="101"/>
          <w:position w:val="7"/>
          <w:sz w:val="18"/>
        </w:rPr>
        <w:t>k</w:t>
      </w:r>
    </w:p>
    <w:p>
      <w:pPr>
        <w:spacing w:after="0" w:line="277" w:lineRule="exact"/>
        <w:jc w:val="left"/>
        <w:rPr>
          <w:sz w:val="18"/>
        </w:rPr>
        <w:sectPr>
          <w:type w:val="continuous"/>
          <w:pgSz w:w="12240" w:h="15840"/>
          <w:pgMar w:top="1120" w:bottom="1440" w:left="1200" w:right="1060"/>
          <w:cols w:num="3" w:equalWidth="0">
            <w:col w:w="4009" w:space="40"/>
            <w:col w:w="563" w:space="39"/>
            <w:col w:w="5329"/>
          </w:cols>
        </w:sectPr>
      </w:pPr>
    </w:p>
    <w:p>
      <w:pPr>
        <w:tabs>
          <w:tab w:pos="3435" w:val="left" w:leader="none"/>
          <w:tab w:pos="4384" w:val="left" w:leader="none"/>
          <w:tab w:pos="5793" w:val="left" w:leader="none"/>
          <w:tab w:pos="6837" w:val="left" w:leader="none"/>
        </w:tabs>
        <w:spacing w:before="141"/>
        <w:ind w:left="1366" w:right="0" w:firstLine="0"/>
        <w:jc w:val="left"/>
        <w:rPr>
          <w:sz w:val="18"/>
        </w:rPr>
      </w:pPr>
      <w:r>
        <w:rPr/>
        <w:drawing>
          <wp:anchor distT="0" distB="0" distL="0" distR="0" allowOverlap="1" layoutInCell="1" locked="0" behindDoc="0" simplePos="0" relativeHeight="251755520">
            <wp:simplePos x="0" y="0"/>
            <wp:positionH relativeFrom="page">
              <wp:posOffset>1370838</wp:posOffset>
            </wp:positionH>
            <wp:positionV relativeFrom="paragraph">
              <wp:posOffset>128929</wp:posOffset>
            </wp:positionV>
            <wp:extent cx="232409" cy="53339"/>
            <wp:effectExtent l="0" t="0" r="0" b="0"/>
            <wp:wrapNone/>
            <wp:docPr id="29" name="image31.png"/>
            <wp:cNvGraphicFramePr>
              <a:graphicFrameLocks noChangeAspect="1"/>
            </wp:cNvGraphicFramePr>
            <a:graphic>
              <a:graphicData uri="http://schemas.openxmlformats.org/drawingml/2006/picture">
                <pic:pic>
                  <pic:nvPicPr>
                    <pic:cNvPr id="30" name="image31.png"/>
                    <pic:cNvPicPr/>
                  </pic:nvPicPr>
                  <pic:blipFill>
                    <a:blip r:embed="rId40" cstate="print"/>
                    <a:stretch>
                      <a:fillRect/>
                    </a:stretch>
                  </pic:blipFill>
                  <pic:spPr>
                    <a:xfrm>
                      <a:off x="0" y="0"/>
                      <a:ext cx="232409" cy="53339"/>
                    </a:xfrm>
                    <a:prstGeom prst="rect">
                      <a:avLst/>
                    </a:prstGeom>
                  </pic:spPr>
                </pic:pic>
              </a:graphicData>
            </a:graphic>
          </wp:anchor>
        </w:drawing>
      </w:r>
      <w:r>
        <w:rPr/>
        <w:drawing>
          <wp:anchor distT="0" distB="0" distL="0" distR="0" allowOverlap="1" layoutInCell="1" locked="0" behindDoc="1" simplePos="0" relativeHeight="248419328">
            <wp:simplePos x="0" y="0"/>
            <wp:positionH relativeFrom="page">
              <wp:posOffset>2687573</wp:posOffset>
            </wp:positionH>
            <wp:positionV relativeFrom="paragraph">
              <wp:posOffset>128929</wp:posOffset>
            </wp:positionV>
            <wp:extent cx="224027" cy="53339"/>
            <wp:effectExtent l="0" t="0" r="0" b="0"/>
            <wp:wrapNone/>
            <wp:docPr id="31" name="image32.png"/>
            <wp:cNvGraphicFramePr>
              <a:graphicFrameLocks noChangeAspect="1"/>
            </wp:cNvGraphicFramePr>
            <a:graphic>
              <a:graphicData uri="http://schemas.openxmlformats.org/drawingml/2006/picture">
                <pic:pic>
                  <pic:nvPicPr>
                    <pic:cNvPr id="32" name="image32.png"/>
                    <pic:cNvPicPr/>
                  </pic:nvPicPr>
                  <pic:blipFill>
                    <a:blip r:embed="rId41" cstate="print"/>
                    <a:stretch>
                      <a:fillRect/>
                    </a:stretch>
                  </pic:blipFill>
                  <pic:spPr>
                    <a:xfrm>
                      <a:off x="0" y="0"/>
                      <a:ext cx="224027" cy="53339"/>
                    </a:xfrm>
                    <a:prstGeom prst="rect">
                      <a:avLst/>
                    </a:prstGeom>
                  </pic:spPr>
                </pic:pic>
              </a:graphicData>
            </a:graphic>
          </wp:anchor>
        </w:drawing>
      </w:r>
      <w:r>
        <w:rPr/>
        <w:drawing>
          <wp:anchor distT="0" distB="0" distL="0" distR="0" allowOverlap="1" layoutInCell="1" locked="0" behindDoc="1" simplePos="0" relativeHeight="248420352">
            <wp:simplePos x="0" y="0"/>
            <wp:positionH relativeFrom="page">
              <wp:posOffset>3288029</wp:posOffset>
            </wp:positionH>
            <wp:positionV relativeFrom="paragraph">
              <wp:posOffset>128929</wp:posOffset>
            </wp:positionV>
            <wp:extent cx="233172" cy="53339"/>
            <wp:effectExtent l="0" t="0" r="0" b="0"/>
            <wp:wrapNone/>
            <wp:docPr id="33" name="image23.png"/>
            <wp:cNvGraphicFramePr>
              <a:graphicFrameLocks noChangeAspect="1"/>
            </wp:cNvGraphicFramePr>
            <a:graphic>
              <a:graphicData uri="http://schemas.openxmlformats.org/drawingml/2006/picture">
                <pic:pic>
                  <pic:nvPicPr>
                    <pic:cNvPr id="34" name="image23.png"/>
                    <pic:cNvPicPr/>
                  </pic:nvPicPr>
                  <pic:blipFill>
                    <a:blip r:embed="rId32" cstate="print"/>
                    <a:stretch>
                      <a:fillRect/>
                    </a:stretch>
                  </pic:blipFill>
                  <pic:spPr>
                    <a:xfrm>
                      <a:off x="0" y="0"/>
                      <a:ext cx="233172" cy="53339"/>
                    </a:xfrm>
                    <a:prstGeom prst="rect">
                      <a:avLst/>
                    </a:prstGeom>
                  </pic:spPr>
                </pic:pic>
              </a:graphicData>
            </a:graphic>
          </wp:anchor>
        </w:drawing>
      </w:r>
      <w:r>
        <w:rPr/>
        <w:drawing>
          <wp:anchor distT="0" distB="0" distL="0" distR="0" allowOverlap="1" layoutInCell="1" locked="0" behindDoc="1" simplePos="0" relativeHeight="248421376">
            <wp:simplePos x="0" y="0"/>
            <wp:positionH relativeFrom="page">
              <wp:posOffset>4184141</wp:posOffset>
            </wp:positionH>
            <wp:positionV relativeFrom="paragraph">
              <wp:posOffset>128929</wp:posOffset>
            </wp:positionV>
            <wp:extent cx="224027" cy="53339"/>
            <wp:effectExtent l="0" t="0" r="0" b="0"/>
            <wp:wrapNone/>
            <wp:docPr id="35" name="image24.png"/>
            <wp:cNvGraphicFramePr>
              <a:graphicFrameLocks noChangeAspect="1"/>
            </wp:cNvGraphicFramePr>
            <a:graphic>
              <a:graphicData uri="http://schemas.openxmlformats.org/drawingml/2006/picture">
                <pic:pic>
                  <pic:nvPicPr>
                    <pic:cNvPr id="36" name="image24.png"/>
                    <pic:cNvPicPr/>
                  </pic:nvPicPr>
                  <pic:blipFill>
                    <a:blip r:embed="rId33" cstate="print"/>
                    <a:stretch>
                      <a:fillRect/>
                    </a:stretch>
                  </pic:blipFill>
                  <pic:spPr>
                    <a:xfrm>
                      <a:off x="0" y="0"/>
                      <a:ext cx="224027" cy="53339"/>
                    </a:xfrm>
                    <a:prstGeom prst="rect">
                      <a:avLst/>
                    </a:prstGeom>
                  </pic:spPr>
                </pic:pic>
              </a:graphicData>
            </a:graphic>
          </wp:anchor>
        </w:drawing>
      </w:r>
      <w:r>
        <w:rPr/>
        <w:pict>
          <v:group style="position:absolute;margin-left:380.940002pt;margin-top:9.971901pt;width:19.1pt;height:4.5pt;mso-position-horizontal-relative:page;mso-position-vertical-relative:paragraph;z-index:-254894080" coordorigin="7619,199" coordsize="382,90">
            <v:line style="position:absolute" from="7619,245" to="8000,245" stroked="true" strokeweight="1.44pt" strokecolor="#000099">
              <v:stroke dashstyle="solid"/>
            </v:line>
            <v:shape style="position:absolute;left:7765;top:199;width:92;height:90" coordorigin="7765,199" coordsize="92,90" path="m7856,243l7854,239,7826,211,7816,202,7813,199,7808,199,7765,243,7765,246,7808,289,7813,289,7816,287,7826,277,7854,250,7856,246,7856,243e" filled="true" fillcolor="#000099" stroked="false">
              <v:path arrowok="t"/>
              <v:fill type="solid"/>
            </v:shape>
            <w10:wrap type="none"/>
          </v:group>
        </w:pict>
      </w:r>
      <w:r>
        <w:rPr>
          <w:spacing w:val="2"/>
          <w:sz w:val="18"/>
        </w:rPr>
        <w:t>95%</w:t>
      </w:r>
      <w:r>
        <w:rPr>
          <w:spacing w:val="7"/>
          <w:sz w:val="18"/>
        </w:rPr>
        <w:t> </w:t>
      </w:r>
      <w:r>
        <w:rPr>
          <w:spacing w:val="3"/>
          <w:sz w:val="18"/>
        </w:rPr>
        <w:t>conf.</w:t>
      </w:r>
      <w:r>
        <w:rPr>
          <w:spacing w:val="7"/>
          <w:sz w:val="18"/>
        </w:rPr>
        <w:t> </w:t>
      </w:r>
      <w:r>
        <w:rPr>
          <w:sz w:val="18"/>
        </w:rPr>
        <w:t>interval</w:t>
        <w:tab/>
      </w:r>
      <w:r>
        <w:rPr>
          <w:spacing w:val="2"/>
          <w:sz w:val="18"/>
        </w:rPr>
        <w:t>EEA</w:t>
        <w:tab/>
        <w:t>G10</w:t>
      </w:r>
      <w:r>
        <w:rPr>
          <w:spacing w:val="11"/>
          <w:sz w:val="18"/>
        </w:rPr>
        <w:t> </w:t>
      </w:r>
      <w:r>
        <w:rPr>
          <w:sz w:val="18"/>
        </w:rPr>
        <w:t>other</w:t>
        <w:tab/>
        <w:t>Other</w:t>
        <w:tab/>
        <w:t>country</w:t>
      </w:r>
      <w:r>
        <w:rPr>
          <w:spacing w:val="-1"/>
          <w:sz w:val="18"/>
        </w:rPr>
        <w:t> </w:t>
      </w:r>
      <w:r>
        <w:rPr>
          <w:spacing w:val="3"/>
          <w:sz w:val="18"/>
        </w:rPr>
        <w:t>beta</w:t>
      </w:r>
    </w:p>
    <w:p>
      <w:pPr>
        <w:pStyle w:val="BodyText"/>
        <w:spacing w:before="9"/>
        <w:rPr>
          <w:sz w:val="20"/>
        </w:rPr>
      </w:pPr>
    </w:p>
    <w:p>
      <w:pPr>
        <w:spacing w:before="105"/>
        <w:ind w:left="429" w:right="0" w:firstLine="0"/>
        <w:jc w:val="left"/>
        <w:rPr>
          <w:sz w:val="15"/>
        </w:rPr>
      </w:pPr>
      <w:r>
        <w:rPr>
          <w:b/>
          <w:i/>
          <w:w w:val="105"/>
          <w:sz w:val="15"/>
        </w:rPr>
        <w:t>Source </w:t>
      </w:r>
      <w:r>
        <w:rPr>
          <w:b/>
          <w:w w:val="105"/>
          <w:sz w:val="15"/>
        </w:rPr>
        <w:t>: </w:t>
      </w:r>
      <w:r>
        <w:rPr>
          <w:w w:val="105"/>
          <w:sz w:val="15"/>
        </w:rPr>
        <w:t>Bank of England, OECD, ONS, IMF International Financial Statistics, Bloomberg</w:t>
      </w:r>
    </w:p>
    <w:p>
      <w:pPr>
        <w:pStyle w:val="BodyText"/>
        <w:rPr>
          <w:sz w:val="20"/>
        </w:rPr>
      </w:pPr>
    </w:p>
    <w:p>
      <w:pPr>
        <w:pStyle w:val="BodyText"/>
        <w:spacing w:before="5"/>
        <w:rPr>
          <w:sz w:val="17"/>
        </w:rPr>
      </w:pPr>
    </w:p>
    <w:p>
      <w:pPr>
        <w:pStyle w:val="BodyText"/>
        <w:spacing w:line="357" w:lineRule="auto" w:before="93"/>
        <w:ind w:left="386" w:right="517"/>
      </w:pPr>
      <w:r>
        <w:rPr/>
        <w:t>Table</w:t>
      </w:r>
      <w:r>
        <w:rPr>
          <w:spacing w:val="-8"/>
        </w:rPr>
        <w:t> </w:t>
      </w:r>
      <w:r>
        <w:rPr/>
        <w:t>3</w:t>
      </w:r>
      <w:r>
        <w:rPr>
          <w:spacing w:val="-9"/>
        </w:rPr>
        <w:t> </w:t>
      </w:r>
      <w:r>
        <w:rPr/>
        <w:t>shows</w:t>
      </w:r>
      <w:r>
        <w:rPr>
          <w:spacing w:val="-6"/>
        </w:rPr>
        <w:t> </w:t>
      </w:r>
      <w:r>
        <w:rPr/>
        <w:t>a</w:t>
      </w:r>
      <w:r>
        <w:rPr>
          <w:spacing w:val="-8"/>
        </w:rPr>
        <w:t> </w:t>
      </w:r>
      <w:r>
        <w:rPr/>
        <w:t>summary</w:t>
      </w:r>
      <w:r>
        <w:rPr>
          <w:spacing w:val="-8"/>
        </w:rPr>
        <w:t> </w:t>
      </w:r>
      <w:r>
        <w:rPr/>
        <w:t>of</w:t>
      </w:r>
      <w:r>
        <w:rPr>
          <w:spacing w:val="-6"/>
        </w:rPr>
        <w:t> </w:t>
      </w:r>
      <w:r>
        <w:rPr/>
        <w:t>results</w:t>
      </w:r>
      <w:r>
        <w:rPr>
          <w:spacing w:val="-7"/>
        </w:rPr>
        <w:t> </w:t>
      </w:r>
      <w:r>
        <w:rPr/>
        <w:t>for</w:t>
      </w:r>
      <w:r>
        <w:rPr>
          <w:spacing w:val="-9"/>
        </w:rPr>
        <w:t> </w:t>
      </w:r>
      <w:r>
        <w:rPr/>
        <w:t>headline</w:t>
      </w:r>
      <w:r>
        <w:rPr>
          <w:spacing w:val="-8"/>
        </w:rPr>
        <w:t> </w:t>
      </w:r>
      <w:r>
        <w:rPr/>
        <w:t>inflation,</w:t>
      </w:r>
      <w:r>
        <w:rPr>
          <w:spacing w:val="-4"/>
        </w:rPr>
        <w:t> </w:t>
      </w:r>
      <w:r>
        <w:rPr/>
        <w:t>and</w:t>
      </w:r>
      <w:r>
        <w:rPr>
          <w:spacing w:val="-8"/>
        </w:rPr>
        <w:t> </w:t>
      </w:r>
      <w:r>
        <w:rPr/>
        <w:t>Table</w:t>
      </w:r>
      <w:r>
        <w:rPr>
          <w:spacing w:val="-8"/>
        </w:rPr>
        <w:t> </w:t>
      </w:r>
      <w:r>
        <w:rPr/>
        <w:t>4</w:t>
      </w:r>
      <w:r>
        <w:rPr>
          <w:spacing w:val="-7"/>
        </w:rPr>
        <w:t> </w:t>
      </w:r>
      <w:r>
        <w:rPr/>
        <w:t>for</w:t>
      </w:r>
      <w:r>
        <w:rPr>
          <w:spacing w:val="-8"/>
        </w:rPr>
        <w:t> </w:t>
      </w:r>
      <w:r>
        <w:rPr/>
        <w:t>core</w:t>
      </w:r>
      <w:r>
        <w:rPr>
          <w:spacing w:val="-8"/>
        </w:rPr>
        <w:t> </w:t>
      </w:r>
      <w:r>
        <w:rPr/>
        <w:t>inflation.</w:t>
      </w:r>
      <w:r>
        <w:rPr>
          <w:spacing w:val="-7"/>
        </w:rPr>
        <w:t> </w:t>
      </w:r>
      <w:r>
        <w:rPr/>
        <w:t>UK</w:t>
      </w:r>
      <w:r>
        <w:rPr>
          <w:spacing w:val="-8"/>
        </w:rPr>
        <w:t> </w:t>
      </w:r>
      <w:r>
        <w:rPr/>
        <w:t>headline</w:t>
      </w:r>
      <w:r>
        <w:rPr>
          <w:spacing w:val="-8"/>
        </w:rPr>
        <w:t> </w:t>
      </w:r>
      <w:r>
        <w:rPr/>
        <w:t>inflation tends</w:t>
      </w:r>
      <w:r>
        <w:rPr>
          <w:spacing w:val="-7"/>
        </w:rPr>
        <w:t> </w:t>
      </w:r>
      <w:r>
        <w:rPr/>
        <w:t>to</w:t>
      </w:r>
      <w:r>
        <w:rPr>
          <w:spacing w:val="-6"/>
        </w:rPr>
        <w:t> </w:t>
      </w:r>
      <w:r>
        <w:rPr/>
        <w:t>comove</w:t>
      </w:r>
      <w:r>
        <w:rPr>
          <w:spacing w:val="-6"/>
        </w:rPr>
        <w:t> </w:t>
      </w:r>
      <w:r>
        <w:rPr/>
        <w:t>more</w:t>
      </w:r>
      <w:r>
        <w:rPr>
          <w:spacing w:val="-6"/>
        </w:rPr>
        <w:t> </w:t>
      </w:r>
      <w:r>
        <w:rPr/>
        <w:t>with</w:t>
      </w:r>
      <w:r>
        <w:rPr>
          <w:spacing w:val="-7"/>
        </w:rPr>
        <w:t> </w:t>
      </w:r>
      <w:r>
        <w:rPr/>
        <w:t>headline</w:t>
      </w:r>
      <w:r>
        <w:rPr>
          <w:spacing w:val="-7"/>
        </w:rPr>
        <w:t> </w:t>
      </w:r>
      <w:r>
        <w:rPr/>
        <w:t>inflation</w:t>
      </w:r>
      <w:r>
        <w:rPr>
          <w:spacing w:val="-6"/>
        </w:rPr>
        <w:t> </w:t>
      </w:r>
      <w:r>
        <w:rPr/>
        <w:t>rates</w:t>
      </w:r>
      <w:r>
        <w:rPr>
          <w:spacing w:val="-6"/>
        </w:rPr>
        <w:t> </w:t>
      </w:r>
      <w:r>
        <w:rPr/>
        <w:t>in</w:t>
      </w:r>
      <w:r>
        <w:rPr>
          <w:spacing w:val="-7"/>
        </w:rPr>
        <w:t> </w:t>
      </w:r>
      <w:r>
        <w:rPr/>
        <w:t>countries</w:t>
      </w:r>
      <w:r>
        <w:rPr>
          <w:spacing w:val="-6"/>
        </w:rPr>
        <w:t> </w:t>
      </w:r>
      <w:r>
        <w:rPr/>
        <w:t>which</w:t>
      </w:r>
      <w:r>
        <w:rPr>
          <w:spacing w:val="-7"/>
        </w:rPr>
        <w:t> </w:t>
      </w:r>
      <w:r>
        <w:rPr/>
        <w:t>constitute</w:t>
      </w:r>
      <w:r>
        <w:rPr>
          <w:spacing w:val="-8"/>
        </w:rPr>
        <w:t> </w:t>
      </w:r>
      <w:r>
        <w:rPr/>
        <w:t>a</w:t>
      </w:r>
      <w:r>
        <w:rPr>
          <w:spacing w:val="-7"/>
        </w:rPr>
        <w:t> </w:t>
      </w:r>
      <w:r>
        <w:rPr/>
        <w:t>larger</w:t>
      </w:r>
      <w:r>
        <w:rPr>
          <w:spacing w:val="-7"/>
        </w:rPr>
        <w:t> </w:t>
      </w:r>
      <w:r>
        <w:rPr/>
        <w:t>share</w:t>
      </w:r>
      <w:r>
        <w:rPr>
          <w:spacing w:val="-8"/>
        </w:rPr>
        <w:t> </w:t>
      </w:r>
      <w:r>
        <w:rPr/>
        <w:t>of</w:t>
      </w:r>
      <w:r>
        <w:rPr>
          <w:spacing w:val="-7"/>
        </w:rPr>
        <w:t> </w:t>
      </w:r>
      <w:r>
        <w:rPr/>
        <w:t>UK</w:t>
      </w:r>
      <w:r>
        <w:rPr>
          <w:spacing w:val="-8"/>
        </w:rPr>
        <w:t> </w:t>
      </w:r>
      <w:r>
        <w:rPr/>
        <w:t>imports and that have more households connected to the internet. No individual variables are significant (at the 5% level), however, when attempting to explain the relationship for core inflation rates. Moreover, when multiple variables are included simultaneously in either set of regressions, coefficient estimates fluctuate in sign and significance (with two examples in columns 7 and 8 in each table). This makes it difficult to draw any strong conclusions. This challenge explaining which countries inflation rates could have greater spillover effects on UK inflation is not surprising given the limited spillover effects that appear to</w:t>
      </w:r>
      <w:r>
        <w:rPr>
          <w:spacing w:val="-37"/>
        </w:rPr>
        <w:t> </w:t>
      </w:r>
      <w:r>
        <w:rPr/>
        <w:t>exist.</w:t>
      </w:r>
    </w:p>
    <w:p>
      <w:pPr>
        <w:spacing w:after="0" w:line="357" w:lineRule="auto"/>
        <w:sectPr>
          <w:type w:val="continuous"/>
          <w:pgSz w:w="12240" w:h="15840"/>
          <w:pgMar w:top="1120" w:bottom="1440" w:left="1200" w:right="1060"/>
        </w:sectPr>
      </w:pPr>
    </w:p>
    <w:p>
      <w:pPr>
        <w:pStyle w:val="Heading1"/>
        <w:spacing w:before="78"/>
      </w:pPr>
      <w:r>
        <w:rPr/>
        <w:pict>
          <v:shape style="position:absolute;margin-left:65.940002pt;margin-top:20.606773pt;width:434.6pt;height:.1pt;mso-position-horizontal-relative:page;mso-position-vertical-relative:paragraph;z-index:-251555840;mso-wrap-distance-left:0;mso-wrap-distance-right:0" coordorigin="1319,412" coordsize="8692,0" path="m1319,412l10010,412e" filled="false" stroked="true" strokeweight=".48pt" strokecolor="#000000">
            <v:path arrowok="t"/>
            <v:stroke dashstyle="solid"/>
            <w10:wrap type="topAndBottom"/>
          </v:shape>
        </w:pict>
      </w:r>
      <w:r>
        <w:rPr/>
        <w:t>Table 3: Explaining the betas linking country headline inflation rates to UK inflation</w:t>
      </w:r>
    </w:p>
    <w:p>
      <w:pPr>
        <w:spacing w:before="0" w:after="109"/>
        <w:ind w:left="1396" w:right="46" w:firstLine="0"/>
        <w:jc w:val="center"/>
        <w:rPr>
          <w:b/>
          <w:sz w:val="19"/>
        </w:rPr>
      </w:pPr>
      <w:r>
        <w:rPr>
          <w:b/>
          <w:sz w:val="19"/>
        </w:rPr>
        <w:t>HEADLINE INFLATION</w:t>
      </w:r>
    </w:p>
    <w:p>
      <w:pPr>
        <w:pStyle w:val="BodyText"/>
        <w:spacing w:line="20" w:lineRule="exact"/>
        <w:ind w:left="2515"/>
        <w:rPr>
          <w:sz w:val="2"/>
        </w:rPr>
      </w:pPr>
      <w:r>
        <w:rPr>
          <w:sz w:val="2"/>
        </w:rPr>
        <w:pict>
          <v:group style="width:314.55pt;height:.45pt;mso-position-horizontal-relative:char;mso-position-vertical-relative:line" coordorigin="0,0" coordsize="6291,9">
            <v:line style="position:absolute" from="0,4" to="6290,4" stroked="true" strokeweight=".42pt" strokecolor="#000000">
              <v:stroke dashstyle="solid"/>
            </v:line>
          </v:group>
        </w:pict>
      </w:r>
      <w:r>
        <w:rPr>
          <w:sz w:val="2"/>
        </w:rPr>
      </w:r>
    </w:p>
    <w:p>
      <w:pPr>
        <w:tabs>
          <w:tab w:pos="2137" w:val="left" w:leader="none"/>
          <w:tab w:pos="2938" w:val="left" w:leader="none"/>
          <w:tab w:pos="3673" w:val="left" w:leader="none"/>
          <w:tab w:pos="4404" w:val="left" w:leader="none"/>
          <w:tab w:pos="5163" w:val="left" w:leader="none"/>
          <w:tab w:pos="5964" w:val="left" w:leader="none"/>
          <w:tab w:pos="6816" w:val="left" w:leader="none"/>
        </w:tabs>
        <w:spacing w:before="0"/>
        <w:ind w:left="1338" w:right="0" w:firstLine="0"/>
        <w:jc w:val="center"/>
        <w:rPr>
          <w:b/>
          <w:sz w:val="19"/>
        </w:rPr>
      </w:pPr>
      <w:r>
        <w:rPr/>
        <w:pict>
          <v:shape style="position:absolute;margin-left:186pt;margin-top:16.650879pt;width:314.55pt;height:.1pt;mso-position-horizontal-relative:page;mso-position-vertical-relative:paragraph;z-index:-251553792;mso-wrap-distance-left:0;mso-wrap-distance-right:0" coordorigin="3720,333" coordsize="6291,0" path="m3720,333l10010,333e" filled="false" stroked="true" strokeweight=".48pt" strokecolor="#000000">
            <v:path arrowok="t"/>
            <v:stroke dashstyle="solid"/>
            <w10:wrap type="topAndBottom"/>
          </v:shape>
        </w:pict>
      </w:r>
      <w:r>
        <w:rPr>
          <w:b/>
          <w:sz w:val="19"/>
        </w:rPr>
        <w:t>1</w:t>
        <w:tab/>
        <w:t>2</w:t>
        <w:tab/>
        <w:t>3</w:t>
        <w:tab/>
        <w:t>4</w:t>
        <w:tab/>
        <w:t>5</w:t>
        <w:tab/>
        <w:t>6</w:t>
        <w:tab/>
        <w:t>7</w:t>
        <w:tab/>
        <w:t>8</w:t>
      </w:r>
    </w:p>
    <w:p>
      <w:pPr>
        <w:pStyle w:val="BodyText"/>
        <w:tabs>
          <w:tab w:pos="2628" w:val="left" w:leader="none"/>
          <w:tab w:pos="7253" w:val="left" w:leader="none"/>
        </w:tabs>
        <w:ind w:left="220"/>
      </w:pPr>
      <w:r>
        <w:rPr/>
        <w:t>Share in</w:t>
      </w:r>
      <w:r>
        <w:rPr>
          <w:spacing w:val="-12"/>
        </w:rPr>
        <w:t> </w:t>
      </w:r>
      <w:r>
        <w:rPr/>
        <w:t>UK</w:t>
      </w:r>
      <w:r>
        <w:rPr>
          <w:spacing w:val="-4"/>
        </w:rPr>
        <w:t> </w:t>
      </w:r>
      <w:r>
        <w:rPr/>
        <w:t>imports</w:t>
        <w:tab/>
        <w:t>0.03***</w:t>
        <w:tab/>
        <w:t>0.03***</w:t>
      </w:r>
    </w:p>
    <w:p>
      <w:pPr>
        <w:pStyle w:val="BodyText"/>
        <w:tabs>
          <w:tab w:pos="3537" w:val="left" w:leader="none"/>
          <w:tab w:pos="7221" w:val="left" w:leader="none"/>
          <w:tab w:pos="8215" w:val="left" w:leader="none"/>
        </w:tabs>
        <w:spacing w:line="355" w:lineRule="auto" w:before="105"/>
        <w:ind w:left="220" w:right="1398"/>
      </w:pPr>
      <w:r>
        <w:rPr/>
        <w:pict>
          <v:shape style="position:absolute;margin-left:65.610001pt;margin-top:29.920244pt;width:434.95pt;height:138.950pt;mso-position-horizontal-relative:page;mso-position-vertical-relative:paragraph;z-index:25176678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53"/>
                    <w:gridCol w:w="716"/>
                    <w:gridCol w:w="973"/>
                    <w:gridCol w:w="629"/>
                    <w:gridCol w:w="716"/>
                    <w:gridCol w:w="764"/>
                    <w:gridCol w:w="798"/>
                    <w:gridCol w:w="786"/>
                    <w:gridCol w:w="859"/>
                  </w:tblGrid>
                  <w:tr>
                    <w:trPr>
                      <w:trHeight w:val="163" w:hRule="atLeast"/>
                    </w:trPr>
                    <w:tc>
                      <w:tcPr>
                        <w:tcW w:w="4771" w:type="dxa"/>
                        <w:gridSpan w:val="4"/>
                      </w:tcPr>
                      <w:p>
                        <w:pPr>
                          <w:pStyle w:val="TableParagraph"/>
                          <w:spacing w:line="143" w:lineRule="exact"/>
                          <w:ind w:right="148"/>
                          <w:jc w:val="right"/>
                          <w:rPr>
                            <w:sz w:val="19"/>
                          </w:rPr>
                        </w:pPr>
                        <w:r>
                          <w:rPr>
                            <w:w w:val="95"/>
                            <w:sz w:val="19"/>
                          </w:rPr>
                          <w:t>-0.03</w:t>
                        </w:r>
                      </w:p>
                    </w:tc>
                    <w:tc>
                      <w:tcPr>
                        <w:tcW w:w="3064" w:type="dxa"/>
                        <w:gridSpan w:val="4"/>
                      </w:tcPr>
                      <w:p>
                        <w:pPr>
                          <w:pStyle w:val="TableParagraph"/>
                          <w:spacing w:line="143" w:lineRule="exact"/>
                          <w:ind w:right="217"/>
                          <w:jc w:val="right"/>
                          <w:rPr>
                            <w:sz w:val="19"/>
                          </w:rPr>
                        </w:pPr>
                        <w:r>
                          <w:rPr>
                            <w:w w:val="95"/>
                            <w:sz w:val="19"/>
                          </w:rPr>
                          <w:t>0.02</w:t>
                        </w:r>
                      </w:p>
                    </w:tc>
                    <w:tc>
                      <w:tcPr>
                        <w:tcW w:w="859" w:type="dxa"/>
                      </w:tcPr>
                      <w:p>
                        <w:pPr>
                          <w:pStyle w:val="TableParagraph"/>
                          <w:spacing w:line="143" w:lineRule="exact"/>
                          <w:ind w:left="236"/>
                          <w:rPr>
                            <w:sz w:val="19"/>
                          </w:rPr>
                        </w:pPr>
                        <w:r>
                          <w:rPr>
                            <w:sz w:val="19"/>
                          </w:rPr>
                          <w:t>-0.03</w:t>
                        </w:r>
                      </w:p>
                    </w:tc>
                  </w:tr>
                  <w:tr>
                    <w:trPr>
                      <w:trHeight w:val="267" w:hRule="atLeast"/>
                    </w:trPr>
                    <w:tc>
                      <w:tcPr>
                        <w:tcW w:w="2453" w:type="dxa"/>
                      </w:tcPr>
                      <w:p>
                        <w:pPr>
                          <w:pStyle w:val="TableParagraph"/>
                          <w:spacing w:line="211" w:lineRule="exact"/>
                          <w:ind w:left="108"/>
                          <w:rPr>
                            <w:sz w:val="19"/>
                          </w:rPr>
                        </w:pPr>
                        <w:r>
                          <w:rPr>
                            <w:sz w:val="19"/>
                          </w:rPr>
                          <w:t>countries' capitals</w:t>
                        </w:r>
                      </w:p>
                    </w:tc>
                    <w:tc>
                      <w:tcPr>
                        <w:tcW w:w="716" w:type="dxa"/>
                      </w:tcPr>
                      <w:p>
                        <w:pPr>
                          <w:pStyle w:val="TableParagraph"/>
                          <w:rPr>
                            <w:rFonts w:ascii="Times New Roman"/>
                            <w:sz w:val="18"/>
                          </w:rPr>
                        </w:pPr>
                      </w:p>
                    </w:tc>
                    <w:tc>
                      <w:tcPr>
                        <w:tcW w:w="973" w:type="dxa"/>
                      </w:tcPr>
                      <w:p>
                        <w:pPr>
                          <w:pStyle w:val="TableParagraph"/>
                          <w:rPr>
                            <w:rFonts w:ascii="Times New Roman"/>
                            <w:sz w:val="18"/>
                          </w:rPr>
                        </w:pPr>
                      </w:p>
                    </w:tc>
                    <w:tc>
                      <w:tcPr>
                        <w:tcW w:w="629" w:type="dxa"/>
                      </w:tcPr>
                      <w:p>
                        <w:pPr>
                          <w:pStyle w:val="TableParagraph"/>
                          <w:rPr>
                            <w:rFonts w:ascii="Times New Roman"/>
                            <w:sz w:val="18"/>
                          </w:rPr>
                        </w:pPr>
                      </w:p>
                    </w:tc>
                    <w:tc>
                      <w:tcPr>
                        <w:tcW w:w="716" w:type="dxa"/>
                      </w:tcPr>
                      <w:p>
                        <w:pPr>
                          <w:pStyle w:val="TableParagraph"/>
                          <w:rPr>
                            <w:rFonts w:ascii="Times New Roman"/>
                            <w:sz w:val="18"/>
                          </w:rPr>
                        </w:pPr>
                      </w:p>
                    </w:tc>
                    <w:tc>
                      <w:tcPr>
                        <w:tcW w:w="764" w:type="dxa"/>
                      </w:tcPr>
                      <w:p>
                        <w:pPr>
                          <w:pStyle w:val="TableParagraph"/>
                          <w:rPr>
                            <w:rFonts w:ascii="Times New Roman"/>
                            <w:sz w:val="18"/>
                          </w:rPr>
                        </w:pPr>
                      </w:p>
                    </w:tc>
                    <w:tc>
                      <w:tcPr>
                        <w:tcW w:w="798" w:type="dxa"/>
                      </w:tcPr>
                      <w:p>
                        <w:pPr>
                          <w:pStyle w:val="TableParagraph"/>
                          <w:rPr>
                            <w:rFonts w:ascii="Times New Roman"/>
                            <w:sz w:val="18"/>
                          </w:rPr>
                        </w:pPr>
                      </w:p>
                    </w:tc>
                    <w:tc>
                      <w:tcPr>
                        <w:tcW w:w="786" w:type="dxa"/>
                      </w:tcPr>
                      <w:p>
                        <w:pPr>
                          <w:pStyle w:val="TableParagraph"/>
                          <w:rPr>
                            <w:rFonts w:ascii="Times New Roman"/>
                            <w:sz w:val="18"/>
                          </w:rPr>
                        </w:pPr>
                      </w:p>
                    </w:tc>
                    <w:tc>
                      <w:tcPr>
                        <w:tcW w:w="859" w:type="dxa"/>
                      </w:tcPr>
                      <w:p>
                        <w:pPr>
                          <w:pStyle w:val="TableParagraph"/>
                          <w:rPr>
                            <w:rFonts w:ascii="Times New Roman"/>
                            <w:sz w:val="18"/>
                          </w:rPr>
                        </w:pPr>
                      </w:p>
                    </w:tc>
                  </w:tr>
                  <w:tr>
                    <w:trPr>
                      <w:trHeight w:val="323" w:hRule="atLeast"/>
                    </w:trPr>
                    <w:tc>
                      <w:tcPr>
                        <w:tcW w:w="2453" w:type="dxa"/>
                      </w:tcPr>
                      <w:p>
                        <w:pPr>
                          <w:pStyle w:val="TableParagraph"/>
                          <w:spacing w:before="49"/>
                          <w:ind w:left="108"/>
                          <w:rPr>
                            <w:sz w:val="19"/>
                          </w:rPr>
                        </w:pPr>
                        <w:r>
                          <w:rPr>
                            <w:sz w:val="19"/>
                          </w:rPr>
                          <w:t>Former colony</w:t>
                        </w:r>
                      </w:p>
                    </w:tc>
                    <w:tc>
                      <w:tcPr>
                        <w:tcW w:w="716" w:type="dxa"/>
                      </w:tcPr>
                      <w:p>
                        <w:pPr>
                          <w:pStyle w:val="TableParagraph"/>
                          <w:rPr>
                            <w:rFonts w:ascii="Times New Roman"/>
                            <w:sz w:val="18"/>
                          </w:rPr>
                        </w:pPr>
                      </w:p>
                    </w:tc>
                    <w:tc>
                      <w:tcPr>
                        <w:tcW w:w="973" w:type="dxa"/>
                      </w:tcPr>
                      <w:p>
                        <w:pPr>
                          <w:pStyle w:val="TableParagraph"/>
                          <w:rPr>
                            <w:rFonts w:ascii="Times New Roman"/>
                            <w:sz w:val="18"/>
                          </w:rPr>
                        </w:pPr>
                      </w:p>
                    </w:tc>
                    <w:tc>
                      <w:tcPr>
                        <w:tcW w:w="629" w:type="dxa"/>
                      </w:tcPr>
                      <w:p>
                        <w:pPr>
                          <w:pStyle w:val="TableParagraph"/>
                          <w:rPr>
                            <w:rFonts w:ascii="Times New Roman"/>
                            <w:sz w:val="18"/>
                          </w:rPr>
                        </w:pPr>
                      </w:p>
                    </w:tc>
                    <w:tc>
                      <w:tcPr>
                        <w:tcW w:w="716" w:type="dxa"/>
                      </w:tcPr>
                      <w:p>
                        <w:pPr>
                          <w:pStyle w:val="TableParagraph"/>
                          <w:spacing w:before="49"/>
                          <w:ind w:left="127" w:right="101"/>
                          <w:jc w:val="center"/>
                          <w:rPr>
                            <w:sz w:val="19"/>
                          </w:rPr>
                        </w:pPr>
                        <w:r>
                          <w:rPr>
                            <w:sz w:val="19"/>
                          </w:rPr>
                          <w:t>0.04</w:t>
                        </w:r>
                      </w:p>
                    </w:tc>
                    <w:tc>
                      <w:tcPr>
                        <w:tcW w:w="764" w:type="dxa"/>
                      </w:tcPr>
                      <w:p>
                        <w:pPr>
                          <w:pStyle w:val="TableParagraph"/>
                          <w:rPr>
                            <w:rFonts w:ascii="Times New Roman"/>
                            <w:sz w:val="18"/>
                          </w:rPr>
                        </w:pPr>
                      </w:p>
                    </w:tc>
                    <w:tc>
                      <w:tcPr>
                        <w:tcW w:w="798" w:type="dxa"/>
                      </w:tcPr>
                      <w:p>
                        <w:pPr>
                          <w:pStyle w:val="TableParagraph"/>
                          <w:rPr>
                            <w:rFonts w:ascii="Times New Roman"/>
                            <w:sz w:val="18"/>
                          </w:rPr>
                        </w:pPr>
                      </w:p>
                    </w:tc>
                    <w:tc>
                      <w:tcPr>
                        <w:tcW w:w="786" w:type="dxa"/>
                      </w:tcPr>
                      <w:p>
                        <w:pPr>
                          <w:pStyle w:val="TableParagraph"/>
                          <w:spacing w:before="49"/>
                          <w:ind w:left="147" w:right="162"/>
                          <w:jc w:val="center"/>
                          <w:rPr>
                            <w:sz w:val="19"/>
                          </w:rPr>
                        </w:pPr>
                        <w:r>
                          <w:rPr>
                            <w:sz w:val="19"/>
                          </w:rPr>
                          <w:t>0.03</w:t>
                        </w:r>
                      </w:p>
                    </w:tc>
                    <w:tc>
                      <w:tcPr>
                        <w:tcW w:w="859" w:type="dxa"/>
                      </w:tcPr>
                      <w:p>
                        <w:pPr>
                          <w:pStyle w:val="TableParagraph"/>
                          <w:spacing w:before="49"/>
                          <w:ind w:left="196"/>
                          <w:rPr>
                            <w:sz w:val="19"/>
                          </w:rPr>
                        </w:pPr>
                        <w:r>
                          <w:rPr>
                            <w:sz w:val="19"/>
                          </w:rPr>
                          <w:t>0.08**</w:t>
                        </w:r>
                      </w:p>
                    </w:tc>
                  </w:tr>
                  <w:tr>
                    <w:trPr>
                      <w:trHeight w:val="324" w:hRule="atLeast"/>
                    </w:trPr>
                    <w:tc>
                      <w:tcPr>
                        <w:tcW w:w="2453" w:type="dxa"/>
                      </w:tcPr>
                      <w:p>
                        <w:pPr>
                          <w:pStyle w:val="TableParagraph"/>
                          <w:spacing w:before="49"/>
                          <w:ind w:left="108"/>
                          <w:rPr>
                            <w:sz w:val="19"/>
                          </w:rPr>
                        </w:pPr>
                        <w:r>
                          <w:rPr>
                            <w:sz w:val="19"/>
                          </w:rPr>
                          <w:t>Common official language</w:t>
                        </w:r>
                      </w:p>
                    </w:tc>
                    <w:tc>
                      <w:tcPr>
                        <w:tcW w:w="716" w:type="dxa"/>
                      </w:tcPr>
                      <w:p>
                        <w:pPr>
                          <w:pStyle w:val="TableParagraph"/>
                          <w:rPr>
                            <w:rFonts w:ascii="Times New Roman"/>
                            <w:sz w:val="18"/>
                          </w:rPr>
                        </w:pPr>
                      </w:p>
                    </w:tc>
                    <w:tc>
                      <w:tcPr>
                        <w:tcW w:w="973" w:type="dxa"/>
                      </w:tcPr>
                      <w:p>
                        <w:pPr>
                          <w:pStyle w:val="TableParagraph"/>
                          <w:rPr>
                            <w:rFonts w:ascii="Times New Roman"/>
                            <w:sz w:val="18"/>
                          </w:rPr>
                        </w:pPr>
                      </w:p>
                    </w:tc>
                    <w:tc>
                      <w:tcPr>
                        <w:tcW w:w="629" w:type="dxa"/>
                      </w:tcPr>
                      <w:p>
                        <w:pPr>
                          <w:pStyle w:val="TableParagraph"/>
                          <w:rPr>
                            <w:rFonts w:ascii="Times New Roman"/>
                            <w:sz w:val="18"/>
                          </w:rPr>
                        </w:pPr>
                      </w:p>
                    </w:tc>
                    <w:tc>
                      <w:tcPr>
                        <w:tcW w:w="716" w:type="dxa"/>
                      </w:tcPr>
                      <w:p>
                        <w:pPr>
                          <w:pStyle w:val="TableParagraph"/>
                          <w:rPr>
                            <w:rFonts w:ascii="Times New Roman"/>
                            <w:sz w:val="18"/>
                          </w:rPr>
                        </w:pPr>
                      </w:p>
                    </w:tc>
                    <w:tc>
                      <w:tcPr>
                        <w:tcW w:w="764" w:type="dxa"/>
                      </w:tcPr>
                      <w:p>
                        <w:pPr>
                          <w:pStyle w:val="TableParagraph"/>
                          <w:spacing w:before="49"/>
                          <w:ind w:left="107" w:right="98"/>
                          <w:jc w:val="center"/>
                          <w:rPr>
                            <w:sz w:val="19"/>
                          </w:rPr>
                        </w:pPr>
                        <w:r>
                          <w:rPr>
                            <w:sz w:val="19"/>
                          </w:rPr>
                          <w:t>0.02</w:t>
                        </w:r>
                      </w:p>
                    </w:tc>
                    <w:tc>
                      <w:tcPr>
                        <w:tcW w:w="798" w:type="dxa"/>
                      </w:tcPr>
                      <w:p>
                        <w:pPr>
                          <w:pStyle w:val="TableParagraph"/>
                          <w:rPr>
                            <w:rFonts w:ascii="Times New Roman"/>
                            <w:sz w:val="18"/>
                          </w:rPr>
                        </w:pPr>
                      </w:p>
                    </w:tc>
                    <w:tc>
                      <w:tcPr>
                        <w:tcW w:w="786" w:type="dxa"/>
                      </w:tcPr>
                      <w:p>
                        <w:pPr>
                          <w:pStyle w:val="TableParagraph"/>
                          <w:spacing w:before="49"/>
                          <w:ind w:left="146" w:right="164"/>
                          <w:jc w:val="center"/>
                          <w:rPr>
                            <w:sz w:val="19"/>
                          </w:rPr>
                        </w:pPr>
                        <w:r>
                          <w:rPr>
                            <w:sz w:val="19"/>
                          </w:rPr>
                          <w:t>-0.01</w:t>
                        </w:r>
                      </w:p>
                    </w:tc>
                    <w:tc>
                      <w:tcPr>
                        <w:tcW w:w="859" w:type="dxa"/>
                      </w:tcPr>
                      <w:p>
                        <w:pPr>
                          <w:pStyle w:val="TableParagraph"/>
                          <w:spacing w:before="49"/>
                          <w:ind w:left="235"/>
                          <w:rPr>
                            <w:sz w:val="19"/>
                          </w:rPr>
                        </w:pPr>
                        <w:r>
                          <w:rPr>
                            <w:sz w:val="19"/>
                          </w:rPr>
                          <w:t>-0.03</w:t>
                        </w:r>
                      </w:p>
                    </w:tc>
                  </w:tr>
                  <w:tr>
                    <w:trPr>
                      <w:trHeight w:val="324" w:hRule="atLeast"/>
                    </w:trPr>
                    <w:tc>
                      <w:tcPr>
                        <w:tcW w:w="2453" w:type="dxa"/>
                      </w:tcPr>
                      <w:p>
                        <w:pPr>
                          <w:pStyle w:val="TableParagraph"/>
                          <w:spacing w:before="49"/>
                          <w:ind w:left="108"/>
                          <w:rPr>
                            <w:sz w:val="19"/>
                          </w:rPr>
                        </w:pPr>
                        <w:r>
                          <w:rPr>
                            <w:sz w:val="19"/>
                          </w:rPr>
                          <w:t>% of households with</w:t>
                        </w:r>
                      </w:p>
                    </w:tc>
                    <w:tc>
                      <w:tcPr>
                        <w:tcW w:w="716" w:type="dxa"/>
                      </w:tcPr>
                      <w:p>
                        <w:pPr>
                          <w:pStyle w:val="TableParagraph"/>
                          <w:rPr>
                            <w:rFonts w:ascii="Times New Roman"/>
                            <w:sz w:val="18"/>
                          </w:rPr>
                        </w:pPr>
                      </w:p>
                    </w:tc>
                    <w:tc>
                      <w:tcPr>
                        <w:tcW w:w="973" w:type="dxa"/>
                      </w:tcPr>
                      <w:p>
                        <w:pPr>
                          <w:pStyle w:val="TableParagraph"/>
                          <w:rPr>
                            <w:rFonts w:ascii="Times New Roman"/>
                            <w:sz w:val="18"/>
                          </w:rPr>
                        </w:pPr>
                      </w:p>
                    </w:tc>
                    <w:tc>
                      <w:tcPr>
                        <w:tcW w:w="629" w:type="dxa"/>
                      </w:tcPr>
                      <w:p>
                        <w:pPr>
                          <w:pStyle w:val="TableParagraph"/>
                          <w:rPr>
                            <w:rFonts w:ascii="Times New Roman"/>
                            <w:sz w:val="18"/>
                          </w:rPr>
                        </w:pPr>
                      </w:p>
                    </w:tc>
                    <w:tc>
                      <w:tcPr>
                        <w:tcW w:w="716" w:type="dxa"/>
                      </w:tcPr>
                      <w:p>
                        <w:pPr>
                          <w:pStyle w:val="TableParagraph"/>
                          <w:rPr>
                            <w:rFonts w:ascii="Times New Roman"/>
                            <w:sz w:val="18"/>
                          </w:rPr>
                        </w:pPr>
                      </w:p>
                    </w:tc>
                    <w:tc>
                      <w:tcPr>
                        <w:tcW w:w="764" w:type="dxa"/>
                      </w:tcPr>
                      <w:p>
                        <w:pPr>
                          <w:pStyle w:val="TableParagraph"/>
                          <w:rPr>
                            <w:rFonts w:ascii="Times New Roman"/>
                            <w:sz w:val="18"/>
                          </w:rPr>
                        </w:pPr>
                      </w:p>
                    </w:tc>
                    <w:tc>
                      <w:tcPr>
                        <w:tcW w:w="798" w:type="dxa"/>
                      </w:tcPr>
                      <w:p>
                        <w:pPr>
                          <w:pStyle w:val="TableParagraph"/>
                          <w:rPr>
                            <w:rFonts w:ascii="Times New Roman"/>
                            <w:sz w:val="18"/>
                          </w:rPr>
                        </w:pPr>
                      </w:p>
                    </w:tc>
                    <w:tc>
                      <w:tcPr>
                        <w:tcW w:w="786" w:type="dxa"/>
                      </w:tcPr>
                      <w:p>
                        <w:pPr>
                          <w:pStyle w:val="TableParagraph"/>
                          <w:rPr>
                            <w:rFonts w:ascii="Times New Roman"/>
                            <w:sz w:val="18"/>
                          </w:rPr>
                        </w:pPr>
                      </w:p>
                    </w:tc>
                    <w:tc>
                      <w:tcPr>
                        <w:tcW w:w="859" w:type="dxa"/>
                      </w:tcPr>
                      <w:p>
                        <w:pPr>
                          <w:pStyle w:val="TableParagraph"/>
                          <w:rPr>
                            <w:rFonts w:ascii="Times New Roman"/>
                            <w:sz w:val="18"/>
                          </w:rPr>
                        </w:pPr>
                      </w:p>
                    </w:tc>
                  </w:tr>
                  <w:tr>
                    <w:trPr>
                      <w:trHeight w:val="324" w:hRule="atLeast"/>
                    </w:trPr>
                    <w:tc>
                      <w:tcPr>
                        <w:tcW w:w="2453" w:type="dxa"/>
                      </w:tcPr>
                      <w:p>
                        <w:pPr>
                          <w:pStyle w:val="TableParagraph"/>
                          <w:spacing w:before="49"/>
                          <w:ind w:left="108"/>
                          <w:rPr>
                            <w:sz w:val="19"/>
                          </w:rPr>
                        </w:pPr>
                        <w:r>
                          <w:rPr>
                            <w:sz w:val="19"/>
                          </w:rPr>
                          <w:t>access to the internet in</w:t>
                        </w:r>
                      </w:p>
                    </w:tc>
                    <w:tc>
                      <w:tcPr>
                        <w:tcW w:w="716" w:type="dxa"/>
                      </w:tcPr>
                      <w:p>
                        <w:pPr>
                          <w:pStyle w:val="TableParagraph"/>
                          <w:rPr>
                            <w:rFonts w:ascii="Times New Roman"/>
                            <w:sz w:val="18"/>
                          </w:rPr>
                        </w:pPr>
                      </w:p>
                    </w:tc>
                    <w:tc>
                      <w:tcPr>
                        <w:tcW w:w="973" w:type="dxa"/>
                      </w:tcPr>
                      <w:p>
                        <w:pPr>
                          <w:pStyle w:val="TableParagraph"/>
                          <w:rPr>
                            <w:rFonts w:ascii="Times New Roman"/>
                            <w:sz w:val="18"/>
                          </w:rPr>
                        </w:pPr>
                      </w:p>
                    </w:tc>
                    <w:tc>
                      <w:tcPr>
                        <w:tcW w:w="629" w:type="dxa"/>
                      </w:tcPr>
                      <w:p>
                        <w:pPr>
                          <w:pStyle w:val="TableParagraph"/>
                          <w:rPr>
                            <w:rFonts w:ascii="Times New Roman"/>
                            <w:sz w:val="18"/>
                          </w:rPr>
                        </w:pPr>
                      </w:p>
                    </w:tc>
                    <w:tc>
                      <w:tcPr>
                        <w:tcW w:w="716" w:type="dxa"/>
                      </w:tcPr>
                      <w:p>
                        <w:pPr>
                          <w:pStyle w:val="TableParagraph"/>
                          <w:rPr>
                            <w:rFonts w:ascii="Times New Roman"/>
                            <w:sz w:val="18"/>
                          </w:rPr>
                        </w:pPr>
                      </w:p>
                    </w:tc>
                    <w:tc>
                      <w:tcPr>
                        <w:tcW w:w="764" w:type="dxa"/>
                      </w:tcPr>
                      <w:p>
                        <w:pPr>
                          <w:pStyle w:val="TableParagraph"/>
                          <w:rPr>
                            <w:rFonts w:ascii="Times New Roman"/>
                            <w:sz w:val="18"/>
                          </w:rPr>
                        </w:pPr>
                      </w:p>
                    </w:tc>
                    <w:tc>
                      <w:tcPr>
                        <w:tcW w:w="798" w:type="dxa"/>
                      </w:tcPr>
                      <w:p>
                        <w:pPr>
                          <w:pStyle w:val="TableParagraph"/>
                          <w:spacing w:before="49"/>
                          <w:ind w:left="126"/>
                          <w:rPr>
                            <w:sz w:val="19"/>
                          </w:rPr>
                        </w:pPr>
                        <w:r>
                          <w:rPr>
                            <w:sz w:val="19"/>
                          </w:rPr>
                          <w:t>0.01**</w:t>
                        </w:r>
                      </w:p>
                    </w:tc>
                    <w:tc>
                      <w:tcPr>
                        <w:tcW w:w="786" w:type="dxa"/>
                      </w:tcPr>
                      <w:p>
                        <w:pPr>
                          <w:pStyle w:val="TableParagraph"/>
                          <w:spacing w:before="49"/>
                          <w:ind w:left="147" w:right="163"/>
                          <w:jc w:val="center"/>
                          <w:rPr>
                            <w:sz w:val="19"/>
                          </w:rPr>
                        </w:pPr>
                        <w:r>
                          <w:rPr>
                            <w:sz w:val="19"/>
                          </w:rPr>
                          <w:t>0.00</w:t>
                        </w:r>
                      </w:p>
                    </w:tc>
                    <w:tc>
                      <w:tcPr>
                        <w:tcW w:w="859" w:type="dxa"/>
                      </w:tcPr>
                      <w:p>
                        <w:pPr>
                          <w:pStyle w:val="TableParagraph"/>
                          <w:rPr>
                            <w:rFonts w:ascii="Times New Roman"/>
                            <w:sz w:val="18"/>
                          </w:rPr>
                        </w:pPr>
                      </w:p>
                    </w:tc>
                  </w:tr>
                  <w:tr>
                    <w:trPr>
                      <w:trHeight w:val="324" w:hRule="atLeast"/>
                    </w:trPr>
                    <w:tc>
                      <w:tcPr>
                        <w:tcW w:w="2453" w:type="dxa"/>
                      </w:tcPr>
                      <w:p>
                        <w:pPr>
                          <w:pStyle w:val="TableParagraph"/>
                          <w:spacing w:before="49"/>
                          <w:ind w:left="108"/>
                          <w:rPr>
                            <w:sz w:val="19"/>
                          </w:rPr>
                        </w:pPr>
                        <w:r>
                          <w:rPr>
                            <w:sz w:val="19"/>
                          </w:rPr>
                          <w:t>country j</w:t>
                        </w:r>
                      </w:p>
                    </w:tc>
                    <w:tc>
                      <w:tcPr>
                        <w:tcW w:w="716" w:type="dxa"/>
                      </w:tcPr>
                      <w:p>
                        <w:pPr>
                          <w:pStyle w:val="TableParagraph"/>
                          <w:rPr>
                            <w:rFonts w:ascii="Times New Roman"/>
                            <w:sz w:val="18"/>
                          </w:rPr>
                        </w:pPr>
                      </w:p>
                    </w:tc>
                    <w:tc>
                      <w:tcPr>
                        <w:tcW w:w="973" w:type="dxa"/>
                      </w:tcPr>
                      <w:p>
                        <w:pPr>
                          <w:pStyle w:val="TableParagraph"/>
                          <w:rPr>
                            <w:rFonts w:ascii="Times New Roman"/>
                            <w:sz w:val="18"/>
                          </w:rPr>
                        </w:pPr>
                      </w:p>
                    </w:tc>
                    <w:tc>
                      <w:tcPr>
                        <w:tcW w:w="629" w:type="dxa"/>
                      </w:tcPr>
                      <w:p>
                        <w:pPr>
                          <w:pStyle w:val="TableParagraph"/>
                          <w:rPr>
                            <w:rFonts w:ascii="Times New Roman"/>
                            <w:sz w:val="18"/>
                          </w:rPr>
                        </w:pPr>
                      </w:p>
                    </w:tc>
                    <w:tc>
                      <w:tcPr>
                        <w:tcW w:w="716" w:type="dxa"/>
                      </w:tcPr>
                      <w:p>
                        <w:pPr>
                          <w:pStyle w:val="TableParagraph"/>
                          <w:rPr>
                            <w:rFonts w:ascii="Times New Roman"/>
                            <w:sz w:val="18"/>
                          </w:rPr>
                        </w:pPr>
                      </w:p>
                    </w:tc>
                    <w:tc>
                      <w:tcPr>
                        <w:tcW w:w="764" w:type="dxa"/>
                      </w:tcPr>
                      <w:p>
                        <w:pPr>
                          <w:pStyle w:val="TableParagraph"/>
                          <w:rPr>
                            <w:rFonts w:ascii="Times New Roman"/>
                            <w:sz w:val="18"/>
                          </w:rPr>
                        </w:pPr>
                      </w:p>
                    </w:tc>
                    <w:tc>
                      <w:tcPr>
                        <w:tcW w:w="798" w:type="dxa"/>
                      </w:tcPr>
                      <w:p>
                        <w:pPr>
                          <w:pStyle w:val="TableParagraph"/>
                          <w:rPr>
                            <w:rFonts w:ascii="Times New Roman"/>
                            <w:sz w:val="18"/>
                          </w:rPr>
                        </w:pPr>
                      </w:p>
                    </w:tc>
                    <w:tc>
                      <w:tcPr>
                        <w:tcW w:w="786" w:type="dxa"/>
                      </w:tcPr>
                      <w:p>
                        <w:pPr>
                          <w:pStyle w:val="TableParagraph"/>
                          <w:rPr>
                            <w:rFonts w:ascii="Times New Roman"/>
                            <w:sz w:val="18"/>
                          </w:rPr>
                        </w:pPr>
                      </w:p>
                    </w:tc>
                    <w:tc>
                      <w:tcPr>
                        <w:tcW w:w="859" w:type="dxa"/>
                      </w:tcPr>
                      <w:p>
                        <w:pPr>
                          <w:pStyle w:val="TableParagraph"/>
                          <w:rPr>
                            <w:rFonts w:ascii="Times New Roman"/>
                            <w:sz w:val="18"/>
                          </w:rPr>
                        </w:pPr>
                      </w:p>
                    </w:tc>
                  </w:tr>
                  <w:tr>
                    <w:trPr>
                      <w:trHeight w:val="377" w:hRule="atLeast"/>
                    </w:trPr>
                    <w:tc>
                      <w:tcPr>
                        <w:tcW w:w="2453" w:type="dxa"/>
                        <w:tcBorders>
                          <w:bottom w:val="single" w:sz="4" w:space="0" w:color="000000"/>
                        </w:tcBorders>
                      </w:tcPr>
                      <w:p>
                        <w:pPr>
                          <w:pStyle w:val="TableParagraph"/>
                          <w:spacing w:before="49"/>
                          <w:ind w:left="108"/>
                          <w:rPr>
                            <w:sz w:val="19"/>
                          </w:rPr>
                        </w:pPr>
                        <w:r>
                          <w:rPr>
                            <w:sz w:val="19"/>
                          </w:rPr>
                          <w:t>Constant</w:t>
                        </w:r>
                      </w:p>
                    </w:tc>
                    <w:tc>
                      <w:tcPr>
                        <w:tcW w:w="716" w:type="dxa"/>
                        <w:tcBorders>
                          <w:bottom w:val="single" w:sz="4" w:space="0" w:color="000000"/>
                        </w:tcBorders>
                      </w:tcPr>
                      <w:p>
                        <w:pPr>
                          <w:pStyle w:val="TableParagraph"/>
                          <w:spacing w:before="49"/>
                          <w:ind w:left="171"/>
                          <w:rPr>
                            <w:sz w:val="19"/>
                          </w:rPr>
                        </w:pPr>
                        <w:r>
                          <w:rPr>
                            <w:sz w:val="19"/>
                          </w:rPr>
                          <w:t>0.02</w:t>
                        </w:r>
                      </w:p>
                    </w:tc>
                    <w:tc>
                      <w:tcPr>
                        <w:tcW w:w="973" w:type="dxa"/>
                        <w:tcBorders>
                          <w:bottom w:val="single" w:sz="4" w:space="0" w:color="000000"/>
                        </w:tcBorders>
                      </w:tcPr>
                      <w:p>
                        <w:pPr>
                          <w:pStyle w:val="TableParagraph"/>
                          <w:spacing w:before="49"/>
                          <w:ind w:left="182"/>
                          <w:rPr>
                            <w:sz w:val="19"/>
                          </w:rPr>
                        </w:pPr>
                        <w:r>
                          <w:rPr>
                            <w:sz w:val="19"/>
                          </w:rPr>
                          <w:t>0.06**</w:t>
                        </w:r>
                      </w:p>
                    </w:tc>
                    <w:tc>
                      <w:tcPr>
                        <w:tcW w:w="629" w:type="dxa"/>
                        <w:tcBorders>
                          <w:bottom w:val="single" w:sz="4" w:space="0" w:color="000000"/>
                        </w:tcBorders>
                      </w:tcPr>
                      <w:p>
                        <w:pPr>
                          <w:pStyle w:val="TableParagraph"/>
                          <w:spacing w:before="49"/>
                          <w:ind w:left="82"/>
                          <w:rPr>
                            <w:sz w:val="19"/>
                          </w:rPr>
                        </w:pPr>
                        <w:r>
                          <w:rPr>
                            <w:sz w:val="19"/>
                          </w:rPr>
                          <w:t>0.24</w:t>
                        </w:r>
                      </w:p>
                    </w:tc>
                    <w:tc>
                      <w:tcPr>
                        <w:tcW w:w="716" w:type="dxa"/>
                        <w:tcBorders>
                          <w:bottom w:val="single" w:sz="4" w:space="0" w:color="000000"/>
                        </w:tcBorders>
                      </w:tcPr>
                      <w:p>
                        <w:pPr>
                          <w:pStyle w:val="TableParagraph"/>
                          <w:spacing w:before="49"/>
                          <w:ind w:left="127" w:right="104"/>
                          <w:jc w:val="center"/>
                          <w:rPr>
                            <w:sz w:val="19"/>
                          </w:rPr>
                        </w:pPr>
                        <w:r>
                          <w:rPr>
                            <w:sz w:val="19"/>
                          </w:rPr>
                          <w:t>0.06*</w:t>
                        </w:r>
                      </w:p>
                    </w:tc>
                    <w:tc>
                      <w:tcPr>
                        <w:tcW w:w="764" w:type="dxa"/>
                        <w:tcBorders>
                          <w:bottom w:val="single" w:sz="4" w:space="0" w:color="000000"/>
                        </w:tcBorders>
                      </w:tcPr>
                      <w:p>
                        <w:pPr>
                          <w:pStyle w:val="TableParagraph"/>
                          <w:spacing w:before="49"/>
                          <w:ind w:left="108" w:right="98"/>
                          <w:jc w:val="center"/>
                          <w:rPr>
                            <w:sz w:val="19"/>
                          </w:rPr>
                        </w:pPr>
                        <w:r>
                          <w:rPr>
                            <w:sz w:val="19"/>
                          </w:rPr>
                          <w:t>0.07**</w:t>
                        </w:r>
                      </w:p>
                    </w:tc>
                    <w:tc>
                      <w:tcPr>
                        <w:tcW w:w="798" w:type="dxa"/>
                        <w:tcBorders>
                          <w:bottom w:val="single" w:sz="4" w:space="0" w:color="000000"/>
                        </w:tcBorders>
                      </w:tcPr>
                      <w:p>
                        <w:pPr>
                          <w:pStyle w:val="TableParagraph"/>
                          <w:spacing w:before="49"/>
                          <w:ind w:left="167"/>
                          <w:rPr>
                            <w:sz w:val="19"/>
                          </w:rPr>
                        </w:pPr>
                        <w:r>
                          <w:rPr>
                            <w:sz w:val="19"/>
                          </w:rPr>
                          <w:t>-0.05</w:t>
                        </w:r>
                      </w:p>
                    </w:tc>
                    <w:tc>
                      <w:tcPr>
                        <w:tcW w:w="786" w:type="dxa"/>
                        <w:tcBorders>
                          <w:bottom w:val="single" w:sz="4" w:space="0" w:color="000000"/>
                        </w:tcBorders>
                      </w:tcPr>
                      <w:p>
                        <w:pPr>
                          <w:pStyle w:val="TableParagraph"/>
                          <w:spacing w:before="49"/>
                          <w:ind w:left="147" w:right="164"/>
                          <w:jc w:val="center"/>
                          <w:rPr>
                            <w:sz w:val="19"/>
                          </w:rPr>
                        </w:pPr>
                        <w:r>
                          <w:rPr>
                            <w:sz w:val="19"/>
                          </w:rPr>
                          <w:t>-0.25</w:t>
                        </w:r>
                      </w:p>
                    </w:tc>
                    <w:tc>
                      <w:tcPr>
                        <w:tcW w:w="859" w:type="dxa"/>
                        <w:tcBorders>
                          <w:bottom w:val="single" w:sz="4" w:space="0" w:color="000000"/>
                        </w:tcBorders>
                      </w:tcPr>
                      <w:p>
                        <w:pPr>
                          <w:pStyle w:val="TableParagraph"/>
                          <w:spacing w:before="49"/>
                          <w:ind w:left="268"/>
                          <w:rPr>
                            <w:sz w:val="19"/>
                          </w:rPr>
                        </w:pPr>
                        <w:r>
                          <w:rPr>
                            <w:sz w:val="19"/>
                          </w:rPr>
                          <w:t>0.31</w:t>
                        </w:r>
                      </w:p>
                    </w:tc>
                  </w:tr>
                  <w:tr>
                    <w:trPr>
                      <w:trHeight w:val="324" w:hRule="atLeast"/>
                    </w:trPr>
                    <w:tc>
                      <w:tcPr>
                        <w:tcW w:w="2453" w:type="dxa"/>
                        <w:tcBorders>
                          <w:top w:val="single" w:sz="4" w:space="0" w:color="000000"/>
                          <w:bottom w:val="single" w:sz="4" w:space="0" w:color="000000"/>
                        </w:tcBorders>
                      </w:tcPr>
                      <w:p>
                        <w:pPr>
                          <w:pStyle w:val="TableParagraph"/>
                          <w:spacing w:line="215" w:lineRule="exact"/>
                          <w:ind w:left="108"/>
                          <w:rPr>
                            <w:b/>
                            <w:i/>
                            <w:sz w:val="19"/>
                          </w:rPr>
                        </w:pPr>
                        <w:r>
                          <w:rPr>
                            <w:b/>
                            <w:i/>
                            <w:sz w:val="19"/>
                          </w:rPr>
                          <w:t>Number of countries</w:t>
                        </w:r>
                      </w:p>
                    </w:tc>
                    <w:tc>
                      <w:tcPr>
                        <w:tcW w:w="716" w:type="dxa"/>
                        <w:tcBorders>
                          <w:top w:val="single" w:sz="4" w:space="0" w:color="000000"/>
                          <w:bottom w:val="single" w:sz="4" w:space="0" w:color="000000"/>
                        </w:tcBorders>
                      </w:tcPr>
                      <w:p>
                        <w:pPr>
                          <w:pStyle w:val="TableParagraph"/>
                          <w:rPr>
                            <w:rFonts w:ascii="Times New Roman"/>
                            <w:sz w:val="18"/>
                          </w:rPr>
                        </w:pPr>
                      </w:p>
                    </w:tc>
                    <w:tc>
                      <w:tcPr>
                        <w:tcW w:w="973" w:type="dxa"/>
                        <w:tcBorders>
                          <w:top w:val="single" w:sz="4" w:space="0" w:color="000000"/>
                          <w:bottom w:val="single" w:sz="4" w:space="0" w:color="000000"/>
                        </w:tcBorders>
                      </w:tcPr>
                      <w:p>
                        <w:pPr>
                          <w:pStyle w:val="TableParagraph"/>
                          <w:rPr>
                            <w:rFonts w:ascii="Times New Roman"/>
                            <w:sz w:val="18"/>
                          </w:rPr>
                        </w:pPr>
                      </w:p>
                    </w:tc>
                    <w:tc>
                      <w:tcPr>
                        <w:tcW w:w="629" w:type="dxa"/>
                        <w:tcBorders>
                          <w:top w:val="single" w:sz="4" w:space="0" w:color="000000"/>
                          <w:bottom w:val="single" w:sz="4" w:space="0" w:color="000000"/>
                        </w:tcBorders>
                      </w:tcPr>
                      <w:p>
                        <w:pPr>
                          <w:pStyle w:val="TableParagraph"/>
                          <w:rPr>
                            <w:rFonts w:ascii="Times New Roman"/>
                            <w:sz w:val="18"/>
                          </w:rPr>
                        </w:pPr>
                      </w:p>
                    </w:tc>
                    <w:tc>
                      <w:tcPr>
                        <w:tcW w:w="716" w:type="dxa"/>
                        <w:tcBorders>
                          <w:top w:val="single" w:sz="4" w:space="0" w:color="000000"/>
                          <w:bottom w:val="single" w:sz="4" w:space="0" w:color="000000"/>
                        </w:tcBorders>
                      </w:tcPr>
                      <w:p>
                        <w:pPr>
                          <w:pStyle w:val="TableParagraph"/>
                          <w:rPr>
                            <w:rFonts w:ascii="Times New Roman"/>
                            <w:sz w:val="18"/>
                          </w:rPr>
                        </w:pPr>
                      </w:p>
                    </w:tc>
                    <w:tc>
                      <w:tcPr>
                        <w:tcW w:w="764" w:type="dxa"/>
                        <w:tcBorders>
                          <w:top w:val="single" w:sz="4" w:space="0" w:color="000000"/>
                          <w:bottom w:val="single" w:sz="4" w:space="0" w:color="000000"/>
                        </w:tcBorders>
                      </w:tcPr>
                      <w:p>
                        <w:pPr>
                          <w:pStyle w:val="TableParagraph"/>
                          <w:rPr>
                            <w:rFonts w:ascii="Times New Roman"/>
                            <w:sz w:val="18"/>
                          </w:rPr>
                        </w:pPr>
                      </w:p>
                    </w:tc>
                    <w:tc>
                      <w:tcPr>
                        <w:tcW w:w="798" w:type="dxa"/>
                        <w:tcBorders>
                          <w:top w:val="single" w:sz="4" w:space="0" w:color="000000"/>
                          <w:bottom w:val="single" w:sz="4" w:space="0" w:color="000000"/>
                        </w:tcBorders>
                      </w:tcPr>
                      <w:p>
                        <w:pPr>
                          <w:pStyle w:val="TableParagraph"/>
                          <w:rPr>
                            <w:rFonts w:ascii="Times New Roman"/>
                            <w:sz w:val="18"/>
                          </w:rPr>
                        </w:pPr>
                      </w:p>
                    </w:tc>
                    <w:tc>
                      <w:tcPr>
                        <w:tcW w:w="786" w:type="dxa"/>
                        <w:tcBorders>
                          <w:top w:val="single" w:sz="4" w:space="0" w:color="000000"/>
                          <w:bottom w:val="single" w:sz="4" w:space="0" w:color="000000"/>
                        </w:tcBorders>
                      </w:tcPr>
                      <w:p>
                        <w:pPr>
                          <w:pStyle w:val="TableParagraph"/>
                          <w:rPr>
                            <w:rFonts w:ascii="Times New Roman"/>
                            <w:sz w:val="18"/>
                          </w:rPr>
                        </w:pPr>
                      </w:p>
                    </w:tc>
                    <w:tc>
                      <w:tcPr>
                        <w:tcW w:w="859" w:type="dxa"/>
                        <w:tcBorders>
                          <w:top w:val="single" w:sz="4" w:space="0" w:color="000000"/>
                          <w:bottom w:val="single" w:sz="4" w:space="0" w:color="000000"/>
                        </w:tcBorders>
                      </w:tcPr>
                      <w:p>
                        <w:pPr>
                          <w:pStyle w:val="TableParagraph"/>
                          <w:spacing w:line="215" w:lineRule="exact"/>
                          <w:ind w:left="324" w:right="283"/>
                          <w:jc w:val="center"/>
                          <w:rPr>
                            <w:b/>
                            <w:i/>
                            <w:sz w:val="19"/>
                          </w:rPr>
                        </w:pPr>
                        <w:r>
                          <w:rPr>
                            <w:b/>
                            <w:i/>
                            <w:sz w:val="19"/>
                          </w:rPr>
                          <w:t>47</w:t>
                        </w:r>
                      </w:p>
                    </w:tc>
                  </w:tr>
                </w:tbl>
                <w:p>
                  <w:pPr>
                    <w:pStyle w:val="BodyText"/>
                  </w:pPr>
                </w:p>
              </w:txbxContent>
            </v:textbox>
            <w10:wrap type="none"/>
          </v:shape>
        </w:pict>
      </w:r>
      <w:r>
        <w:rPr/>
        <w:t>World</w:t>
      </w:r>
      <w:r>
        <w:rPr>
          <w:spacing w:val="-6"/>
        </w:rPr>
        <w:t> </w:t>
      </w:r>
      <w:r>
        <w:rPr/>
        <w:t>PPP</w:t>
      </w:r>
      <w:r>
        <w:rPr>
          <w:spacing w:val="-4"/>
        </w:rPr>
        <w:t> </w:t>
      </w:r>
      <w:r>
        <w:rPr/>
        <w:t>share</w:t>
        <w:tab/>
        <w:t>0.01</w:t>
        <w:tab/>
        <w:t>-0.01***</w:t>
        <w:tab/>
      </w:r>
      <w:r>
        <w:rPr>
          <w:spacing w:val="-6"/>
        </w:rPr>
        <w:t>0.01 </w:t>
      </w:r>
      <w:r>
        <w:rPr/>
        <w:t>Log of distance</w:t>
      </w:r>
      <w:r>
        <w:rPr>
          <w:spacing w:val="-2"/>
        </w:rPr>
        <w:t> </w:t>
      </w:r>
      <w:r>
        <w:rPr/>
        <w:t>between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4"/>
        </w:rPr>
      </w:pPr>
    </w:p>
    <w:p>
      <w:pPr>
        <w:pStyle w:val="Heading1"/>
      </w:pPr>
      <w:r>
        <w:rPr/>
        <w:pict>
          <v:shape style="position:absolute;margin-left:65.940002pt;margin-top:16.683741pt;width:433.6pt;height:.1pt;mso-position-horizontal-relative:page;mso-position-vertical-relative:paragraph;z-index:-251552768;mso-wrap-distance-left:0;mso-wrap-distance-right:0" coordorigin="1319,334" coordsize="8672,0" path="m1319,334l9990,334e" filled="false" stroked="true" strokeweight=".42pt" strokecolor="#000000">
            <v:path arrowok="t"/>
            <v:stroke dashstyle="solid"/>
            <w10:wrap type="topAndBottom"/>
          </v:shape>
        </w:pict>
      </w:r>
      <w:r>
        <w:rPr/>
        <w:t>Table 4: Explaining the betas linking country core inflation rates to UK inflation</w:t>
      </w:r>
    </w:p>
    <w:p>
      <w:pPr>
        <w:spacing w:before="0" w:after="111"/>
        <w:ind w:left="1396" w:right="66" w:firstLine="0"/>
        <w:jc w:val="center"/>
        <w:rPr>
          <w:b/>
          <w:sz w:val="19"/>
        </w:rPr>
      </w:pPr>
      <w:r>
        <w:rPr>
          <w:b/>
          <w:sz w:val="19"/>
        </w:rPr>
        <w:t>CORE INFLATION</w:t>
      </w:r>
    </w:p>
    <w:p>
      <w:pPr>
        <w:pStyle w:val="BodyText"/>
        <w:spacing w:line="20" w:lineRule="exact"/>
        <w:ind w:left="2515"/>
        <w:rPr>
          <w:sz w:val="2"/>
        </w:rPr>
      </w:pPr>
      <w:r>
        <w:rPr>
          <w:sz w:val="2"/>
        </w:rPr>
        <w:pict>
          <v:group style="width:313.5pt;height:.5pt;mso-position-horizontal-relative:char;mso-position-vertical-relative:line" coordorigin="0,0" coordsize="6270,10">
            <v:line style="position:absolute" from="0,5" to="6270,5" stroked="true" strokeweight=".48pt" strokecolor="#000000">
              <v:stroke dashstyle="solid"/>
            </v:line>
          </v:group>
        </w:pict>
      </w:r>
      <w:r>
        <w:rPr>
          <w:sz w:val="2"/>
        </w:rPr>
      </w:r>
    </w:p>
    <w:p>
      <w:pPr>
        <w:tabs>
          <w:tab w:pos="2195" w:val="left" w:leader="none"/>
          <w:tab w:pos="2995" w:val="left" w:leader="none"/>
          <w:tab w:pos="3796" w:val="left" w:leader="none"/>
          <w:tab w:pos="4596" w:val="left" w:leader="none"/>
          <w:tab w:pos="5330" w:val="left" w:leader="none"/>
          <w:tab w:pos="6131" w:val="left" w:leader="none"/>
          <w:tab w:pos="6931" w:val="left" w:leader="none"/>
        </w:tabs>
        <w:spacing w:before="0"/>
        <w:ind w:left="1396" w:right="0" w:firstLine="0"/>
        <w:jc w:val="center"/>
        <w:rPr>
          <w:b/>
          <w:sz w:val="19"/>
        </w:rPr>
      </w:pPr>
      <w:r>
        <w:rPr/>
        <w:pict>
          <v:shape style="position:absolute;margin-left:186pt;margin-top:16.740887pt;width:313.5pt;height:.1pt;mso-position-horizontal-relative:page;mso-position-vertical-relative:paragraph;z-index:-251550720;mso-wrap-distance-left:0;mso-wrap-distance-right:0" coordorigin="3720,335" coordsize="6270,0" path="m3720,335l9990,335e" filled="false" stroked="true" strokeweight=".42pt" strokecolor="#000000">
            <v:path arrowok="t"/>
            <v:stroke dashstyle="solid"/>
            <w10:wrap type="topAndBottom"/>
          </v:shape>
        </w:pict>
      </w:r>
      <w:r>
        <w:rPr>
          <w:b/>
          <w:sz w:val="19"/>
        </w:rPr>
        <w:t>1</w:t>
        <w:tab/>
        <w:t>2</w:t>
        <w:tab/>
        <w:t>3</w:t>
        <w:tab/>
        <w:t>4</w:t>
        <w:tab/>
        <w:t>5</w:t>
        <w:tab/>
        <w:t>6</w:t>
        <w:tab/>
        <w:t>7</w:t>
        <w:tab/>
        <w:t>8</w:t>
      </w:r>
    </w:p>
    <w:p>
      <w:pPr>
        <w:pStyle w:val="BodyText"/>
        <w:tabs>
          <w:tab w:pos="2736" w:val="left" w:leader="none"/>
          <w:tab w:pos="7398" w:val="left" w:leader="none"/>
        </w:tabs>
        <w:ind w:left="220"/>
      </w:pPr>
      <w:r>
        <w:rPr/>
        <w:t>Share in</w:t>
      </w:r>
      <w:r>
        <w:rPr>
          <w:spacing w:val="-12"/>
        </w:rPr>
        <w:t> </w:t>
      </w:r>
      <w:r>
        <w:rPr/>
        <w:t>UK</w:t>
      </w:r>
      <w:r>
        <w:rPr>
          <w:spacing w:val="-3"/>
        </w:rPr>
        <w:t> </w:t>
      </w:r>
      <w:r>
        <w:rPr/>
        <w:t>imports</w:t>
        <w:tab/>
        <w:t>0.01</w:t>
        <w:tab/>
        <w:t>0.02**</w:t>
      </w:r>
    </w:p>
    <w:p>
      <w:pPr>
        <w:pStyle w:val="BodyText"/>
        <w:tabs>
          <w:tab w:pos="3506" w:val="left" w:leader="none"/>
          <w:tab w:pos="7329" w:val="left" w:leader="none"/>
          <w:tab w:pos="8240" w:val="left" w:leader="none"/>
        </w:tabs>
        <w:spacing w:line="357" w:lineRule="auto" w:before="105"/>
        <w:ind w:left="220" w:right="1308"/>
      </w:pPr>
      <w:r>
        <w:rPr/>
        <w:pict>
          <v:shape style="position:absolute;margin-left:65.610001pt;margin-top:29.986242pt;width:433.9pt;height:138.950pt;mso-position-horizontal-relative:page;mso-position-vertical-relative:paragraph;z-index:25176780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38"/>
                    <w:gridCol w:w="770"/>
                    <w:gridCol w:w="966"/>
                    <w:gridCol w:w="614"/>
                    <w:gridCol w:w="820"/>
                    <w:gridCol w:w="764"/>
                    <w:gridCol w:w="712"/>
                    <w:gridCol w:w="910"/>
                    <w:gridCol w:w="680"/>
                  </w:tblGrid>
                  <w:tr>
                    <w:trPr>
                      <w:trHeight w:val="161" w:hRule="atLeast"/>
                    </w:trPr>
                    <w:tc>
                      <w:tcPr>
                        <w:tcW w:w="4788" w:type="dxa"/>
                        <w:gridSpan w:val="4"/>
                      </w:tcPr>
                      <w:p>
                        <w:pPr>
                          <w:pStyle w:val="TableParagraph"/>
                          <w:spacing w:line="142" w:lineRule="exact"/>
                          <w:ind w:right="196"/>
                          <w:jc w:val="right"/>
                          <w:rPr>
                            <w:sz w:val="19"/>
                          </w:rPr>
                        </w:pPr>
                        <w:r>
                          <w:rPr>
                            <w:w w:val="95"/>
                            <w:sz w:val="19"/>
                          </w:rPr>
                          <w:t>0.04</w:t>
                        </w:r>
                      </w:p>
                    </w:tc>
                    <w:tc>
                      <w:tcPr>
                        <w:tcW w:w="3206" w:type="dxa"/>
                        <w:gridSpan w:val="4"/>
                      </w:tcPr>
                      <w:p>
                        <w:pPr>
                          <w:pStyle w:val="TableParagraph"/>
                          <w:spacing w:line="142" w:lineRule="exact"/>
                          <w:ind w:right="229"/>
                          <w:jc w:val="right"/>
                          <w:rPr>
                            <w:sz w:val="19"/>
                          </w:rPr>
                        </w:pPr>
                        <w:r>
                          <w:rPr>
                            <w:w w:val="95"/>
                            <w:sz w:val="19"/>
                          </w:rPr>
                          <w:t>0.08*</w:t>
                        </w:r>
                      </w:p>
                    </w:tc>
                    <w:tc>
                      <w:tcPr>
                        <w:tcW w:w="680" w:type="dxa"/>
                      </w:tcPr>
                      <w:p>
                        <w:pPr>
                          <w:pStyle w:val="TableParagraph"/>
                          <w:spacing w:line="142" w:lineRule="exact"/>
                          <w:ind w:left="110" w:right="94"/>
                          <w:jc w:val="center"/>
                          <w:rPr>
                            <w:sz w:val="19"/>
                          </w:rPr>
                        </w:pPr>
                        <w:r>
                          <w:rPr>
                            <w:sz w:val="19"/>
                          </w:rPr>
                          <w:t>0.04</w:t>
                        </w:r>
                      </w:p>
                    </w:tc>
                  </w:tr>
                  <w:tr>
                    <w:trPr>
                      <w:trHeight w:val="267" w:hRule="atLeast"/>
                    </w:trPr>
                    <w:tc>
                      <w:tcPr>
                        <w:tcW w:w="2438" w:type="dxa"/>
                      </w:tcPr>
                      <w:p>
                        <w:pPr>
                          <w:pStyle w:val="TableParagraph"/>
                          <w:spacing w:line="211" w:lineRule="exact"/>
                          <w:ind w:left="108"/>
                          <w:rPr>
                            <w:sz w:val="19"/>
                          </w:rPr>
                        </w:pPr>
                        <w:r>
                          <w:rPr>
                            <w:sz w:val="19"/>
                          </w:rPr>
                          <w:t>countries' capitals</w:t>
                        </w:r>
                      </w:p>
                    </w:tc>
                    <w:tc>
                      <w:tcPr>
                        <w:tcW w:w="770" w:type="dxa"/>
                      </w:tcPr>
                      <w:p>
                        <w:pPr>
                          <w:pStyle w:val="TableParagraph"/>
                          <w:rPr>
                            <w:rFonts w:ascii="Times New Roman"/>
                            <w:sz w:val="18"/>
                          </w:rPr>
                        </w:pPr>
                      </w:p>
                    </w:tc>
                    <w:tc>
                      <w:tcPr>
                        <w:tcW w:w="966" w:type="dxa"/>
                      </w:tcPr>
                      <w:p>
                        <w:pPr>
                          <w:pStyle w:val="TableParagraph"/>
                          <w:rPr>
                            <w:rFonts w:ascii="Times New Roman"/>
                            <w:sz w:val="18"/>
                          </w:rPr>
                        </w:pPr>
                      </w:p>
                    </w:tc>
                    <w:tc>
                      <w:tcPr>
                        <w:tcW w:w="614" w:type="dxa"/>
                      </w:tcPr>
                      <w:p>
                        <w:pPr>
                          <w:pStyle w:val="TableParagraph"/>
                          <w:rPr>
                            <w:rFonts w:ascii="Times New Roman"/>
                            <w:sz w:val="18"/>
                          </w:rPr>
                        </w:pPr>
                      </w:p>
                    </w:tc>
                    <w:tc>
                      <w:tcPr>
                        <w:tcW w:w="820" w:type="dxa"/>
                      </w:tcPr>
                      <w:p>
                        <w:pPr>
                          <w:pStyle w:val="TableParagraph"/>
                          <w:rPr>
                            <w:rFonts w:ascii="Times New Roman"/>
                            <w:sz w:val="18"/>
                          </w:rPr>
                        </w:pPr>
                      </w:p>
                    </w:tc>
                    <w:tc>
                      <w:tcPr>
                        <w:tcW w:w="764" w:type="dxa"/>
                      </w:tcPr>
                      <w:p>
                        <w:pPr>
                          <w:pStyle w:val="TableParagraph"/>
                          <w:rPr>
                            <w:rFonts w:ascii="Times New Roman"/>
                            <w:sz w:val="18"/>
                          </w:rPr>
                        </w:pPr>
                      </w:p>
                    </w:tc>
                    <w:tc>
                      <w:tcPr>
                        <w:tcW w:w="712" w:type="dxa"/>
                      </w:tcPr>
                      <w:p>
                        <w:pPr>
                          <w:pStyle w:val="TableParagraph"/>
                          <w:rPr>
                            <w:rFonts w:ascii="Times New Roman"/>
                            <w:sz w:val="18"/>
                          </w:rPr>
                        </w:pPr>
                      </w:p>
                    </w:tc>
                    <w:tc>
                      <w:tcPr>
                        <w:tcW w:w="910" w:type="dxa"/>
                      </w:tcPr>
                      <w:p>
                        <w:pPr>
                          <w:pStyle w:val="TableParagraph"/>
                          <w:rPr>
                            <w:rFonts w:ascii="Times New Roman"/>
                            <w:sz w:val="18"/>
                          </w:rPr>
                        </w:pPr>
                      </w:p>
                    </w:tc>
                    <w:tc>
                      <w:tcPr>
                        <w:tcW w:w="680" w:type="dxa"/>
                      </w:tcPr>
                      <w:p>
                        <w:pPr>
                          <w:pStyle w:val="TableParagraph"/>
                          <w:rPr>
                            <w:rFonts w:ascii="Times New Roman"/>
                            <w:sz w:val="18"/>
                          </w:rPr>
                        </w:pPr>
                      </w:p>
                    </w:tc>
                  </w:tr>
                  <w:tr>
                    <w:trPr>
                      <w:trHeight w:val="324" w:hRule="atLeast"/>
                    </w:trPr>
                    <w:tc>
                      <w:tcPr>
                        <w:tcW w:w="2438" w:type="dxa"/>
                      </w:tcPr>
                      <w:p>
                        <w:pPr>
                          <w:pStyle w:val="TableParagraph"/>
                          <w:spacing w:before="49"/>
                          <w:ind w:left="108"/>
                          <w:rPr>
                            <w:sz w:val="19"/>
                          </w:rPr>
                        </w:pPr>
                        <w:r>
                          <w:rPr>
                            <w:sz w:val="19"/>
                          </w:rPr>
                          <w:t>Former colony</w:t>
                        </w:r>
                      </w:p>
                    </w:tc>
                    <w:tc>
                      <w:tcPr>
                        <w:tcW w:w="770" w:type="dxa"/>
                      </w:tcPr>
                      <w:p>
                        <w:pPr>
                          <w:pStyle w:val="TableParagraph"/>
                          <w:rPr>
                            <w:rFonts w:ascii="Times New Roman"/>
                            <w:sz w:val="18"/>
                          </w:rPr>
                        </w:pPr>
                      </w:p>
                    </w:tc>
                    <w:tc>
                      <w:tcPr>
                        <w:tcW w:w="966" w:type="dxa"/>
                      </w:tcPr>
                      <w:p>
                        <w:pPr>
                          <w:pStyle w:val="TableParagraph"/>
                          <w:rPr>
                            <w:rFonts w:ascii="Times New Roman"/>
                            <w:sz w:val="18"/>
                          </w:rPr>
                        </w:pPr>
                      </w:p>
                    </w:tc>
                    <w:tc>
                      <w:tcPr>
                        <w:tcW w:w="614" w:type="dxa"/>
                      </w:tcPr>
                      <w:p>
                        <w:pPr>
                          <w:pStyle w:val="TableParagraph"/>
                          <w:rPr>
                            <w:rFonts w:ascii="Times New Roman"/>
                            <w:sz w:val="18"/>
                          </w:rPr>
                        </w:pPr>
                      </w:p>
                    </w:tc>
                    <w:tc>
                      <w:tcPr>
                        <w:tcW w:w="820" w:type="dxa"/>
                      </w:tcPr>
                      <w:p>
                        <w:pPr>
                          <w:pStyle w:val="TableParagraph"/>
                          <w:spacing w:before="49"/>
                          <w:ind w:left="177" w:right="158"/>
                          <w:jc w:val="center"/>
                          <w:rPr>
                            <w:sz w:val="19"/>
                          </w:rPr>
                        </w:pPr>
                        <w:r>
                          <w:rPr>
                            <w:sz w:val="19"/>
                          </w:rPr>
                          <w:t>0.08*</w:t>
                        </w:r>
                      </w:p>
                    </w:tc>
                    <w:tc>
                      <w:tcPr>
                        <w:tcW w:w="764" w:type="dxa"/>
                      </w:tcPr>
                      <w:p>
                        <w:pPr>
                          <w:pStyle w:val="TableParagraph"/>
                          <w:rPr>
                            <w:rFonts w:ascii="Times New Roman"/>
                            <w:sz w:val="18"/>
                          </w:rPr>
                        </w:pPr>
                      </w:p>
                    </w:tc>
                    <w:tc>
                      <w:tcPr>
                        <w:tcW w:w="712" w:type="dxa"/>
                      </w:tcPr>
                      <w:p>
                        <w:pPr>
                          <w:pStyle w:val="TableParagraph"/>
                          <w:rPr>
                            <w:rFonts w:ascii="Times New Roman"/>
                            <w:sz w:val="18"/>
                          </w:rPr>
                        </w:pPr>
                      </w:p>
                    </w:tc>
                    <w:tc>
                      <w:tcPr>
                        <w:tcW w:w="910" w:type="dxa"/>
                      </w:tcPr>
                      <w:p>
                        <w:pPr>
                          <w:pStyle w:val="TableParagraph"/>
                          <w:spacing w:before="49"/>
                          <w:ind w:left="110" w:right="102"/>
                          <w:jc w:val="center"/>
                          <w:rPr>
                            <w:sz w:val="19"/>
                          </w:rPr>
                        </w:pPr>
                        <w:r>
                          <w:rPr>
                            <w:sz w:val="19"/>
                          </w:rPr>
                          <w:t>0.38***</w:t>
                        </w:r>
                      </w:p>
                    </w:tc>
                    <w:tc>
                      <w:tcPr>
                        <w:tcW w:w="680" w:type="dxa"/>
                      </w:tcPr>
                      <w:p>
                        <w:pPr>
                          <w:pStyle w:val="TableParagraph"/>
                          <w:spacing w:before="49"/>
                          <w:ind w:left="109" w:right="94"/>
                          <w:jc w:val="center"/>
                          <w:rPr>
                            <w:sz w:val="19"/>
                          </w:rPr>
                        </w:pPr>
                        <w:r>
                          <w:rPr>
                            <w:sz w:val="19"/>
                          </w:rPr>
                          <w:t>0.20</w:t>
                        </w:r>
                      </w:p>
                    </w:tc>
                  </w:tr>
                  <w:tr>
                    <w:trPr>
                      <w:trHeight w:val="324" w:hRule="atLeast"/>
                    </w:trPr>
                    <w:tc>
                      <w:tcPr>
                        <w:tcW w:w="2438" w:type="dxa"/>
                      </w:tcPr>
                      <w:p>
                        <w:pPr>
                          <w:pStyle w:val="TableParagraph"/>
                          <w:spacing w:before="49"/>
                          <w:ind w:left="108"/>
                          <w:rPr>
                            <w:sz w:val="19"/>
                          </w:rPr>
                        </w:pPr>
                        <w:r>
                          <w:rPr>
                            <w:sz w:val="19"/>
                          </w:rPr>
                          <w:t>Common official language</w:t>
                        </w:r>
                      </w:p>
                    </w:tc>
                    <w:tc>
                      <w:tcPr>
                        <w:tcW w:w="770" w:type="dxa"/>
                      </w:tcPr>
                      <w:p>
                        <w:pPr>
                          <w:pStyle w:val="TableParagraph"/>
                          <w:rPr>
                            <w:rFonts w:ascii="Times New Roman"/>
                            <w:sz w:val="18"/>
                          </w:rPr>
                        </w:pPr>
                      </w:p>
                    </w:tc>
                    <w:tc>
                      <w:tcPr>
                        <w:tcW w:w="966" w:type="dxa"/>
                      </w:tcPr>
                      <w:p>
                        <w:pPr>
                          <w:pStyle w:val="TableParagraph"/>
                          <w:rPr>
                            <w:rFonts w:ascii="Times New Roman"/>
                            <w:sz w:val="18"/>
                          </w:rPr>
                        </w:pPr>
                      </w:p>
                    </w:tc>
                    <w:tc>
                      <w:tcPr>
                        <w:tcW w:w="614" w:type="dxa"/>
                      </w:tcPr>
                      <w:p>
                        <w:pPr>
                          <w:pStyle w:val="TableParagraph"/>
                          <w:rPr>
                            <w:rFonts w:ascii="Times New Roman"/>
                            <w:sz w:val="18"/>
                          </w:rPr>
                        </w:pPr>
                      </w:p>
                    </w:tc>
                    <w:tc>
                      <w:tcPr>
                        <w:tcW w:w="820" w:type="dxa"/>
                      </w:tcPr>
                      <w:p>
                        <w:pPr>
                          <w:pStyle w:val="TableParagraph"/>
                          <w:rPr>
                            <w:rFonts w:ascii="Times New Roman"/>
                            <w:sz w:val="18"/>
                          </w:rPr>
                        </w:pPr>
                      </w:p>
                    </w:tc>
                    <w:tc>
                      <w:tcPr>
                        <w:tcW w:w="764" w:type="dxa"/>
                      </w:tcPr>
                      <w:p>
                        <w:pPr>
                          <w:pStyle w:val="TableParagraph"/>
                          <w:spacing w:before="49"/>
                          <w:ind w:left="108" w:right="75"/>
                          <w:jc w:val="center"/>
                          <w:rPr>
                            <w:sz w:val="19"/>
                          </w:rPr>
                        </w:pPr>
                        <w:r>
                          <w:rPr>
                            <w:sz w:val="19"/>
                          </w:rPr>
                          <w:t>0.04</w:t>
                        </w:r>
                      </w:p>
                    </w:tc>
                    <w:tc>
                      <w:tcPr>
                        <w:tcW w:w="712" w:type="dxa"/>
                      </w:tcPr>
                      <w:p>
                        <w:pPr>
                          <w:pStyle w:val="TableParagraph"/>
                          <w:rPr>
                            <w:rFonts w:ascii="Times New Roman"/>
                            <w:sz w:val="18"/>
                          </w:rPr>
                        </w:pPr>
                      </w:p>
                    </w:tc>
                    <w:tc>
                      <w:tcPr>
                        <w:tcW w:w="910" w:type="dxa"/>
                      </w:tcPr>
                      <w:p>
                        <w:pPr>
                          <w:pStyle w:val="TableParagraph"/>
                          <w:spacing w:before="49"/>
                          <w:ind w:left="110" w:right="105"/>
                          <w:jc w:val="center"/>
                          <w:rPr>
                            <w:sz w:val="19"/>
                          </w:rPr>
                        </w:pPr>
                        <w:r>
                          <w:rPr>
                            <w:sz w:val="19"/>
                          </w:rPr>
                          <w:t>-0.38***</w:t>
                        </w:r>
                      </w:p>
                    </w:tc>
                    <w:tc>
                      <w:tcPr>
                        <w:tcW w:w="680" w:type="dxa"/>
                      </w:tcPr>
                      <w:p>
                        <w:pPr>
                          <w:pStyle w:val="TableParagraph"/>
                          <w:spacing w:before="49"/>
                          <w:ind w:left="111" w:right="94"/>
                          <w:jc w:val="center"/>
                          <w:rPr>
                            <w:sz w:val="19"/>
                          </w:rPr>
                        </w:pPr>
                        <w:r>
                          <w:rPr>
                            <w:sz w:val="19"/>
                          </w:rPr>
                          <w:t>-0.17</w:t>
                        </w:r>
                      </w:p>
                    </w:tc>
                  </w:tr>
                  <w:tr>
                    <w:trPr>
                      <w:trHeight w:val="324" w:hRule="atLeast"/>
                    </w:trPr>
                    <w:tc>
                      <w:tcPr>
                        <w:tcW w:w="2438" w:type="dxa"/>
                      </w:tcPr>
                      <w:p>
                        <w:pPr>
                          <w:pStyle w:val="TableParagraph"/>
                          <w:spacing w:before="49"/>
                          <w:ind w:left="108"/>
                          <w:rPr>
                            <w:sz w:val="19"/>
                          </w:rPr>
                        </w:pPr>
                        <w:r>
                          <w:rPr>
                            <w:sz w:val="19"/>
                          </w:rPr>
                          <w:t>% of households with</w:t>
                        </w:r>
                      </w:p>
                    </w:tc>
                    <w:tc>
                      <w:tcPr>
                        <w:tcW w:w="770" w:type="dxa"/>
                      </w:tcPr>
                      <w:p>
                        <w:pPr>
                          <w:pStyle w:val="TableParagraph"/>
                          <w:rPr>
                            <w:rFonts w:ascii="Times New Roman"/>
                            <w:sz w:val="18"/>
                          </w:rPr>
                        </w:pPr>
                      </w:p>
                    </w:tc>
                    <w:tc>
                      <w:tcPr>
                        <w:tcW w:w="966" w:type="dxa"/>
                      </w:tcPr>
                      <w:p>
                        <w:pPr>
                          <w:pStyle w:val="TableParagraph"/>
                          <w:rPr>
                            <w:rFonts w:ascii="Times New Roman"/>
                            <w:sz w:val="18"/>
                          </w:rPr>
                        </w:pPr>
                      </w:p>
                    </w:tc>
                    <w:tc>
                      <w:tcPr>
                        <w:tcW w:w="614" w:type="dxa"/>
                      </w:tcPr>
                      <w:p>
                        <w:pPr>
                          <w:pStyle w:val="TableParagraph"/>
                          <w:rPr>
                            <w:rFonts w:ascii="Times New Roman"/>
                            <w:sz w:val="18"/>
                          </w:rPr>
                        </w:pPr>
                      </w:p>
                    </w:tc>
                    <w:tc>
                      <w:tcPr>
                        <w:tcW w:w="820" w:type="dxa"/>
                      </w:tcPr>
                      <w:p>
                        <w:pPr>
                          <w:pStyle w:val="TableParagraph"/>
                          <w:rPr>
                            <w:rFonts w:ascii="Times New Roman"/>
                            <w:sz w:val="18"/>
                          </w:rPr>
                        </w:pPr>
                      </w:p>
                    </w:tc>
                    <w:tc>
                      <w:tcPr>
                        <w:tcW w:w="764" w:type="dxa"/>
                      </w:tcPr>
                      <w:p>
                        <w:pPr>
                          <w:pStyle w:val="TableParagraph"/>
                          <w:rPr>
                            <w:rFonts w:ascii="Times New Roman"/>
                            <w:sz w:val="18"/>
                          </w:rPr>
                        </w:pPr>
                      </w:p>
                    </w:tc>
                    <w:tc>
                      <w:tcPr>
                        <w:tcW w:w="712" w:type="dxa"/>
                      </w:tcPr>
                      <w:p>
                        <w:pPr>
                          <w:pStyle w:val="TableParagraph"/>
                          <w:rPr>
                            <w:rFonts w:ascii="Times New Roman"/>
                            <w:sz w:val="18"/>
                          </w:rPr>
                        </w:pPr>
                      </w:p>
                    </w:tc>
                    <w:tc>
                      <w:tcPr>
                        <w:tcW w:w="910" w:type="dxa"/>
                      </w:tcPr>
                      <w:p>
                        <w:pPr>
                          <w:pStyle w:val="TableParagraph"/>
                          <w:rPr>
                            <w:rFonts w:ascii="Times New Roman"/>
                            <w:sz w:val="18"/>
                          </w:rPr>
                        </w:pPr>
                      </w:p>
                    </w:tc>
                    <w:tc>
                      <w:tcPr>
                        <w:tcW w:w="680" w:type="dxa"/>
                      </w:tcPr>
                      <w:p>
                        <w:pPr>
                          <w:pStyle w:val="TableParagraph"/>
                          <w:rPr>
                            <w:rFonts w:ascii="Times New Roman"/>
                            <w:sz w:val="18"/>
                          </w:rPr>
                        </w:pPr>
                      </w:p>
                    </w:tc>
                  </w:tr>
                  <w:tr>
                    <w:trPr>
                      <w:trHeight w:val="324" w:hRule="atLeast"/>
                    </w:trPr>
                    <w:tc>
                      <w:tcPr>
                        <w:tcW w:w="2438" w:type="dxa"/>
                      </w:tcPr>
                      <w:p>
                        <w:pPr>
                          <w:pStyle w:val="TableParagraph"/>
                          <w:spacing w:before="49"/>
                          <w:ind w:left="108"/>
                          <w:rPr>
                            <w:sz w:val="19"/>
                          </w:rPr>
                        </w:pPr>
                        <w:r>
                          <w:rPr>
                            <w:sz w:val="19"/>
                          </w:rPr>
                          <w:t>access to the internet in</w:t>
                        </w:r>
                      </w:p>
                    </w:tc>
                    <w:tc>
                      <w:tcPr>
                        <w:tcW w:w="770" w:type="dxa"/>
                      </w:tcPr>
                      <w:p>
                        <w:pPr>
                          <w:pStyle w:val="TableParagraph"/>
                          <w:rPr>
                            <w:rFonts w:ascii="Times New Roman"/>
                            <w:sz w:val="18"/>
                          </w:rPr>
                        </w:pPr>
                      </w:p>
                    </w:tc>
                    <w:tc>
                      <w:tcPr>
                        <w:tcW w:w="966" w:type="dxa"/>
                      </w:tcPr>
                      <w:p>
                        <w:pPr>
                          <w:pStyle w:val="TableParagraph"/>
                          <w:rPr>
                            <w:rFonts w:ascii="Times New Roman"/>
                            <w:sz w:val="18"/>
                          </w:rPr>
                        </w:pPr>
                      </w:p>
                    </w:tc>
                    <w:tc>
                      <w:tcPr>
                        <w:tcW w:w="614" w:type="dxa"/>
                      </w:tcPr>
                      <w:p>
                        <w:pPr>
                          <w:pStyle w:val="TableParagraph"/>
                          <w:rPr>
                            <w:rFonts w:ascii="Times New Roman"/>
                            <w:sz w:val="18"/>
                          </w:rPr>
                        </w:pPr>
                      </w:p>
                    </w:tc>
                    <w:tc>
                      <w:tcPr>
                        <w:tcW w:w="820" w:type="dxa"/>
                      </w:tcPr>
                      <w:p>
                        <w:pPr>
                          <w:pStyle w:val="TableParagraph"/>
                          <w:rPr>
                            <w:rFonts w:ascii="Times New Roman"/>
                            <w:sz w:val="18"/>
                          </w:rPr>
                        </w:pPr>
                      </w:p>
                    </w:tc>
                    <w:tc>
                      <w:tcPr>
                        <w:tcW w:w="764" w:type="dxa"/>
                      </w:tcPr>
                      <w:p>
                        <w:pPr>
                          <w:pStyle w:val="TableParagraph"/>
                          <w:rPr>
                            <w:rFonts w:ascii="Times New Roman"/>
                            <w:sz w:val="18"/>
                          </w:rPr>
                        </w:pPr>
                      </w:p>
                    </w:tc>
                    <w:tc>
                      <w:tcPr>
                        <w:tcW w:w="712" w:type="dxa"/>
                      </w:tcPr>
                      <w:p>
                        <w:pPr>
                          <w:pStyle w:val="TableParagraph"/>
                          <w:spacing w:before="49"/>
                          <w:ind w:left="132" w:right="106"/>
                          <w:jc w:val="center"/>
                          <w:rPr>
                            <w:sz w:val="19"/>
                          </w:rPr>
                        </w:pPr>
                        <w:r>
                          <w:rPr>
                            <w:sz w:val="19"/>
                          </w:rPr>
                          <w:t>-0.01</w:t>
                        </w:r>
                      </w:p>
                    </w:tc>
                    <w:tc>
                      <w:tcPr>
                        <w:tcW w:w="910" w:type="dxa"/>
                      </w:tcPr>
                      <w:p>
                        <w:pPr>
                          <w:pStyle w:val="TableParagraph"/>
                          <w:spacing w:before="49"/>
                          <w:ind w:left="109" w:right="105"/>
                          <w:jc w:val="center"/>
                          <w:rPr>
                            <w:sz w:val="19"/>
                          </w:rPr>
                        </w:pPr>
                        <w:r>
                          <w:rPr>
                            <w:sz w:val="19"/>
                          </w:rPr>
                          <w:t>0.00</w:t>
                        </w:r>
                      </w:p>
                    </w:tc>
                    <w:tc>
                      <w:tcPr>
                        <w:tcW w:w="680" w:type="dxa"/>
                      </w:tcPr>
                      <w:p>
                        <w:pPr>
                          <w:pStyle w:val="TableParagraph"/>
                          <w:rPr>
                            <w:rFonts w:ascii="Times New Roman"/>
                            <w:sz w:val="18"/>
                          </w:rPr>
                        </w:pPr>
                      </w:p>
                    </w:tc>
                  </w:tr>
                  <w:tr>
                    <w:trPr>
                      <w:trHeight w:val="324" w:hRule="atLeast"/>
                    </w:trPr>
                    <w:tc>
                      <w:tcPr>
                        <w:tcW w:w="2438" w:type="dxa"/>
                      </w:tcPr>
                      <w:p>
                        <w:pPr>
                          <w:pStyle w:val="TableParagraph"/>
                          <w:spacing w:before="49"/>
                          <w:ind w:left="108"/>
                          <w:rPr>
                            <w:sz w:val="19"/>
                          </w:rPr>
                        </w:pPr>
                        <w:r>
                          <w:rPr>
                            <w:sz w:val="19"/>
                          </w:rPr>
                          <w:t>country j</w:t>
                        </w:r>
                      </w:p>
                    </w:tc>
                    <w:tc>
                      <w:tcPr>
                        <w:tcW w:w="770" w:type="dxa"/>
                      </w:tcPr>
                      <w:p>
                        <w:pPr>
                          <w:pStyle w:val="TableParagraph"/>
                          <w:rPr>
                            <w:rFonts w:ascii="Times New Roman"/>
                            <w:sz w:val="18"/>
                          </w:rPr>
                        </w:pPr>
                      </w:p>
                    </w:tc>
                    <w:tc>
                      <w:tcPr>
                        <w:tcW w:w="966" w:type="dxa"/>
                      </w:tcPr>
                      <w:p>
                        <w:pPr>
                          <w:pStyle w:val="TableParagraph"/>
                          <w:rPr>
                            <w:rFonts w:ascii="Times New Roman"/>
                            <w:sz w:val="18"/>
                          </w:rPr>
                        </w:pPr>
                      </w:p>
                    </w:tc>
                    <w:tc>
                      <w:tcPr>
                        <w:tcW w:w="614" w:type="dxa"/>
                      </w:tcPr>
                      <w:p>
                        <w:pPr>
                          <w:pStyle w:val="TableParagraph"/>
                          <w:rPr>
                            <w:rFonts w:ascii="Times New Roman"/>
                            <w:sz w:val="18"/>
                          </w:rPr>
                        </w:pPr>
                      </w:p>
                    </w:tc>
                    <w:tc>
                      <w:tcPr>
                        <w:tcW w:w="820" w:type="dxa"/>
                      </w:tcPr>
                      <w:p>
                        <w:pPr>
                          <w:pStyle w:val="TableParagraph"/>
                          <w:rPr>
                            <w:rFonts w:ascii="Times New Roman"/>
                            <w:sz w:val="18"/>
                          </w:rPr>
                        </w:pPr>
                      </w:p>
                    </w:tc>
                    <w:tc>
                      <w:tcPr>
                        <w:tcW w:w="764" w:type="dxa"/>
                      </w:tcPr>
                      <w:p>
                        <w:pPr>
                          <w:pStyle w:val="TableParagraph"/>
                          <w:rPr>
                            <w:rFonts w:ascii="Times New Roman"/>
                            <w:sz w:val="18"/>
                          </w:rPr>
                        </w:pPr>
                      </w:p>
                    </w:tc>
                    <w:tc>
                      <w:tcPr>
                        <w:tcW w:w="712" w:type="dxa"/>
                      </w:tcPr>
                      <w:p>
                        <w:pPr>
                          <w:pStyle w:val="TableParagraph"/>
                          <w:rPr>
                            <w:rFonts w:ascii="Times New Roman"/>
                            <w:sz w:val="18"/>
                          </w:rPr>
                        </w:pPr>
                      </w:p>
                    </w:tc>
                    <w:tc>
                      <w:tcPr>
                        <w:tcW w:w="910" w:type="dxa"/>
                      </w:tcPr>
                      <w:p>
                        <w:pPr>
                          <w:pStyle w:val="TableParagraph"/>
                          <w:rPr>
                            <w:rFonts w:ascii="Times New Roman"/>
                            <w:sz w:val="18"/>
                          </w:rPr>
                        </w:pPr>
                      </w:p>
                    </w:tc>
                    <w:tc>
                      <w:tcPr>
                        <w:tcW w:w="680" w:type="dxa"/>
                      </w:tcPr>
                      <w:p>
                        <w:pPr>
                          <w:pStyle w:val="TableParagraph"/>
                          <w:rPr>
                            <w:rFonts w:ascii="Times New Roman"/>
                            <w:sz w:val="18"/>
                          </w:rPr>
                        </w:pPr>
                      </w:p>
                    </w:tc>
                  </w:tr>
                  <w:tr>
                    <w:trPr>
                      <w:trHeight w:val="377" w:hRule="atLeast"/>
                    </w:trPr>
                    <w:tc>
                      <w:tcPr>
                        <w:tcW w:w="2438" w:type="dxa"/>
                        <w:tcBorders>
                          <w:bottom w:val="single" w:sz="4" w:space="0" w:color="000000"/>
                        </w:tcBorders>
                      </w:tcPr>
                      <w:p>
                        <w:pPr>
                          <w:pStyle w:val="TableParagraph"/>
                          <w:spacing w:before="49"/>
                          <w:ind w:left="108"/>
                          <w:rPr>
                            <w:sz w:val="19"/>
                          </w:rPr>
                        </w:pPr>
                        <w:r>
                          <w:rPr>
                            <w:sz w:val="19"/>
                          </w:rPr>
                          <w:t>Constant</w:t>
                        </w:r>
                      </w:p>
                    </w:tc>
                    <w:tc>
                      <w:tcPr>
                        <w:tcW w:w="770" w:type="dxa"/>
                        <w:tcBorders>
                          <w:bottom w:val="single" w:sz="4" w:space="0" w:color="000000"/>
                        </w:tcBorders>
                      </w:tcPr>
                      <w:p>
                        <w:pPr>
                          <w:pStyle w:val="TableParagraph"/>
                          <w:spacing w:before="49"/>
                          <w:ind w:left="156"/>
                          <w:rPr>
                            <w:sz w:val="19"/>
                          </w:rPr>
                        </w:pPr>
                        <w:r>
                          <w:rPr>
                            <w:sz w:val="19"/>
                          </w:rPr>
                          <w:t>-0.02</w:t>
                        </w:r>
                      </w:p>
                    </w:tc>
                    <w:tc>
                      <w:tcPr>
                        <w:tcW w:w="966" w:type="dxa"/>
                        <w:tcBorders>
                          <w:bottom w:val="single" w:sz="4" w:space="0" w:color="000000"/>
                        </w:tcBorders>
                      </w:tcPr>
                      <w:p>
                        <w:pPr>
                          <w:pStyle w:val="TableParagraph"/>
                          <w:spacing w:before="49"/>
                          <w:ind w:left="186"/>
                          <w:rPr>
                            <w:sz w:val="19"/>
                          </w:rPr>
                        </w:pPr>
                        <w:r>
                          <w:rPr>
                            <w:sz w:val="19"/>
                          </w:rPr>
                          <w:t>-0.02</w:t>
                        </w:r>
                      </w:p>
                    </w:tc>
                    <w:tc>
                      <w:tcPr>
                        <w:tcW w:w="614" w:type="dxa"/>
                        <w:tcBorders>
                          <w:bottom w:val="single" w:sz="4" w:space="0" w:color="000000"/>
                        </w:tcBorders>
                      </w:tcPr>
                      <w:p>
                        <w:pPr>
                          <w:pStyle w:val="TableParagraph"/>
                          <w:spacing w:before="49"/>
                          <w:ind w:left="71"/>
                          <w:rPr>
                            <w:sz w:val="19"/>
                          </w:rPr>
                        </w:pPr>
                        <w:r>
                          <w:rPr>
                            <w:sz w:val="19"/>
                          </w:rPr>
                          <w:t>-0.3</w:t>
                        </w:r>
                      </w:p>
                    </w:tc>
                    <w:tc>
                      <w:tcPr>
                        <w:tcW w:w="820" w:type="dxa"/>
                        <w:tcBorders>
                          <w:bottom w:val="single" w:sz="4" w:space="0" w:color="000000"/>
                        </w:tcBorders>
                      </w:tcPr>
                      <w:p>
                        <w:pPr>
                          <w:pStyle w:val="TableParagraph"/>
                          <w:spacing w:before="49"/>
                          <w:ind w:left="177" w:right="157"/>
                          <w:jc w:val="center"/>
                          <w:rPr>
                            <w:sz w:val="19"/>
                          </w:rPr>
                        </w:pPr>
                        <w:r>
                          <w:rPr>
                            <w:sz w:val="19"/>
                          </w:rPr>
                          <w:t>-0.04</w:t>
                        </w:r>
                      </w:p>
                    </w:tc>
                    <w:tc>
                      <w:tcPr>
                        <w:tcW w:w="764" w:type="dxa"/>
                        <w:tcBorders>
                          <w:bottom w:val="single" w:sz="4" w:space="0" w:color="000000"/>
                        </w:tcBorders>
                      </w:tcPr>
                      <w:p>
                        <w:pPr>
                          <w:pStyle w:val="TableParagraph"/>
                          <w:spacing w:before="49"/>
                          <w:ind w:left="108" w:right="74"/>
                          <w:jc w:val="center"/>
                          <w:rPr>
                            <w:sz w:val="19"/>
                          </w:rPr>
                        </w:pPr>
                        <w:r>
                          <w:rPr>
                            <w:sz w:val="19"/>
                          </w:rPr>
                          <w:t>-0.03</w:t>
                        </w:r>
                      </w:p>
                    </w:tc>
                    <w:tc>
                      <w:tcPr>
                        <w:tcW w:w="712" w:type="dxa"/>
                        <w:tcBorders>
                          <w:bottom w:val="single" w:sz="4" w:space="0" w:color="000000"/>
                        </w:tcBorders>
                      </w:tcPr>
                      <w:p>
                        <w:pPr>
                          <w:pStyle w:val="TableParagraph"/>
                          <w:spacing w:before="49"/>
                          <w:ind w:left="132" w:right="106"/>
                          <w:jc w:val="center"/>
                          <w:rPr>
                            <w:sz w:val="19"/>
                          </w:rPr>
                        </w:pPr>
                        <w:r>
                          <w:rPr>
                            <w:sz w:val="19"/>
                          </w:rPr>
                          <w:t>0.01</w:t>
                        </w:r>
                      </w:p>
                    </w:tc>
                    <w:tc>
                      <w:tcPr>
                        <w:tcW w:w="910" w:type="dxa"/>
                        <w:tcBorders>
                          <w:bottom w:val="single" w:sz="4" w:space="0" w:color="000000"/>
                        </w:tcBorders>
                      </w:tcPr>
                      <w:p>
                        <w:pPr>
                          <w:pStyle w:val="TableParagraph"/>
                          <w:spacing w:before="49"/>
                          <w:ind w:left="110" w:right="105"/>
                          <w:jc w:val="center"/>
                          <w:rPr>
                            <w:sz w:val="19"/>
                          </w:rPr>
                        </w:pPr>
                        <w:r>
                          <w:rPr>
                            <w:sz w:val="19"/>
                          </w:rPr>
                          <w:t>-0.65*</w:t>
                        </w:r>
                      </w:p>
                    </w:tc>
                    <w:tc>
                      <w:tcPr>
                        <w:tcW w:w="680" w:type="dxa"/>
                        <w:tcBorders>
                          <w:bottom w:val="single" w:sz="4" w:space="0" w:color="000000"/>
                        </w:tcBorders>
                      </w:tcPr>
                      <w:p>
                        <w:pPr>
                          <w:pStyle w:val="TableParagraph"/>
                          <w:spacing w:before="49"/>
                          <w:ind w:left="110" w:right="94"/>
                          <w:jc w:val="center"/>
                          <w:rPr>
                            <w:sz w:val="19"/>
                          </w:rPr>
                        </w:pPr>
                        <w:r>
                          <w:rPr>
                            <w:sz w:val="19"/>
                          </w:rPr>
                          <w:t>-0.29</w:t>
                        </w:r>
                      </w:p>
                    </w:tc>
                  </w:tr>
                  <w:tr>
                    <w:trPr>
                      <w:trHeight w:val="323" w:hRule="atLeast"/>
                    </w:trPr>
                    <w:tc>
                      <w:tcPr>
                        <w:tcW w:w="2438" w:type="dxa"/>
                        <w:tcBorders>
                          <w:top w:val="single" w:sz="4" w:space="0" w:color="000000"/>
                          <w:bottom w:val="single" w:sz="4" w:space="0" w:color="000000"/>
                        </w:tcBorders>
                      </w:tcPr>
                      <w:p>
                        <w:pPr>
                          <w:pStyle w:val="TableParagraph"/>
                          <w:spacing w:line="214" w:lineRule="exact"/>
                          <w:ind w:left="108"/>
                          <w:rPr>
                            <w:b/>
                            <w:i/>
                            <w:sz w:val="19"/>
                          </w:rPr>
                        </w:pPr>
                        <w:r>
                          <w:rPr>
                            <w:b/>
                            <w:i/>
                            <w:sz w:val="19"/>
                          </w:rPr>
                          <w:t>Number of countries</w:t>
                        </w:r>
                      </w:p>
                    </w:tc>
                    <w:tc>
                      <w:tcPr>
                        <w:tcW w:w="770" w:type="dxa"/>
                        <w:tcBorders>
                          <w:top w:val="single" w:sz="4" w:space="0" w:color="000000"/>
                          <w:bottom w:val="single" w:sz="4" w:space="0" w:color="000000"/>
                        </w:tcBorders>
                      </w:tcPr>
                      <w:p>
                        <w:pPr>
                          <w:pStyle w:val="TableParagraph"/>
                          <w:rPr>
                            <w:rFonts w:ascii="Times New Roman"/>
                            <w:sz w:val="18"/>
                          </w:rPr>
                        </w:pPr>
                      </w:p>
                    </w:tc>
                    <w:tc>
                      <w:tcPr>
                        <w:tcW w:w="966" w:type="dxa"/>
                        <w:tcBorders>
                          <w:top w:val="single" w:sz="4" w:space="0" w:color="000000"/>
                          <w:bottom w:val="single" w:sz="4" w:space="0" w:color="000000"/>
                        </w:tcBorders>
                      </w:tcPr>
                      <w:p>
                        <w:pPr>
                          <w:pStyle w:val="TableParagraph"/>
                          <w:rPr>
                            <w:rFonts w:ascii="Times New Roman"/>
                            <w:sz w:val="18"/>
                          </w:rPr>
                        </w:pPr>
                      </w:p>
                    </w:tc>
                    <w:tc>
                      <w:tcPr>
                        <w:tcW w:w="614" w:type="dxa"/>
                        <w:tcBorders>
                          <w:top w:val="single" w:sz="4" w:space="0" w:color="000000"/>
                          <w:bottom w:val="single" w:sz="4" w:space="0" w:color="000000"/>
                        </w:tcBorders>
                      </w:tcPr>
                      <w:p>
                        <w:pPr>
                          <w:pStyle w:val="TableParagraph"/>
                          <w:rPr>
                            <w:rFonts w:ascii="Times New Roman"/>
                            <w:sz w:val="18"/>
                          </w:rPr>
                        </w:pPr>
                      </w:p>
                    </w:tc>
                    <w:tc>
                      <w:tcPr>
                        <w:tcW w:w="820" w:type="dxa"/>
                        <w:tcBorders>
                          <w:top w:val="single" w:sz="4" w:space="0" w:color="000000"/>
                          <w:bottom w:val="single" w:sz="4" w:space="0" w:color="000000"/>
                        </w:tcBorders>
                      </w:tcPr>
                      <w:p>
                        <w:pPr>
                          <w:pStyle w:val="TableParagraph"/>
                          <w:rPr>
                            <w:rFonts w:ascii="Times New Roman"/>
                            <w:sz w:val="18"/>
                          </w:rPr>
                        </w:pPr>
                      </w:p>
                    </w:tc>
                    <w:tc>
                      <w:tcPr>
                        <w:tcW w:w="764" w:type="dxa"/>
                        <w:tcBorders>
                          <w:top w:val="single" w:sz="4" w:space="0" w:color="000000"/>
                          <w:bottom w:val="single" w:sz="4" w:space="0" w:color="000000"/>
                        </w:tcBorders>
                      </w:tcPr>
                      <w:p>
                        <w:pPr>
                          <w:pStyle w:val="TableParagraph"/>
                          <w:rPr>
                            <w:rFonts w:ascii="Times New Roman"/>
                            <w:sz w:val="18"/>
                          </w:rPr>
                        </w:pPr>
                      </w:p>
                    </w:tc>
                    <w:tc>
                      <w:tcPr>
                        <w:tcW w:w="712" w:type="dxa"/>
                        <w:tcBorders>
                          <w:top w:val="single" w:sz="4" w:space="0" w:color="000000"/>
                          <w:bottom w:val="single" w:sz="4" w:space="0" w:color="000000"/>
                        </w:tcBorders>
                      </w:tcPr>
                      <w:p>
                        <w:pPr>
                          <w:pStyle w:val="TableParagraph"/>
                          <w:rPr>
                            <w:rFonts w:ascii="Times New Roman"/>
                            <w:sz w:val="18"/>
                          </w:rPr>
                        </w:pPr>
                      </w:p>
                    </w:tc>
                    <w:tc>
                      <w:tcPr>
                        <w:tcW w:w="910" w:type="dxa"/>
                        <w:tcBorders>
                          <w:top w:val="single" w:sz="4" w:space="0" w:color="000000"/>
                          <w:bottom w:val="single" w:sz="4" w:space="0" w:color="000000"/>
                        </w:tcBorders>
                      </w:tcPr>
                      <w:p>
                        <w:pPr>
                          <w:pStyle w:val="TableParagraph"/>
                          <w:rPr>
                            <w:rFonts w:ascii="Times New Roman"/>
                            <w:sz w:val="18"/>
                          </w:rPr>
                        </w:pPr>
                      </w:p>
                    </w:tc>
                    <w:tc>
                      <w:tcPr>
                        <w:tcW w:w="680" w:type="dxa"/>
                        <w:tcBorders>
                          <w:top w:val="single" w:sz="4" w:space="0" w:color="000000"/>
                          <w:bottom w:val="single" w:sz="4" w:space="0" w:color="000000"/>
                        </w:tcBorders>
                      </w:tcPr>
                      <w:p>
                        <w:pPr>
                          <w:pStyle w:val="TableParagraph"/>
                          <w:spacing w:line="214" w:lineRule="exact"/>
                          <w:ind w:left="111" w:right="94"/>
                          <w:jc w:val="center"/>
                          <w:rPr>
                            <w:b/>
                            <w:i/>
                            <w:sz w:val="19"/>
                          </w:rPr>
                        </w:pPr>
                        <w:r>
                          <w:rPr>
                            <w:b/>
                            <w:i/>
                            <w:sz w:val="19"/>
                          </w:rPr>
                          <w:t>45</w:t>
                        </w:r>
                      </w:p>
                    </w:tc>
                  </w:tr>
                </w:tbl>
                <w:p>
                  <w:pPr>
                    <w:pStyle w:val="BodyText"/>
                  </w:pPr>
                </w:p>
              </w:txbxContent>
            </v:textbox>
            <w10:wrap type="none"/>
          </v:shape>
        </w:pict>
      </w:r>
      <w:r>
        <w:rPr/>
        <w:t>World</w:t>
      </w:r>
      <w:r>
        <w:rPr>
          <w:spacing w:val="-7"/>
        </w:rPr>
        <w:t> </w:t>
      </w:r>
      <w:r>
        <w:rPr/>
        <w:t>PPP</w:t>
      </w:r>
      <w:r>
        <w:rPr>
          <w:spacing w:val="-5"/>
        </w:rPr>
        <w:t> </w:t>
      </w:r>
      <w:r>
        <w:rPr/>
        <w:t>share</w:t>
        <w:tab/>
        <w:t>-0.01</w:t>
        <w:tab/>
        <w:t>-0.02***</w:t>
        <w:tab/>
      </w:r>
      <w:r>
        <w:rPr>
          <w:spacing w:val="-4"/>
        </w:rPr>
        <w:t>-0.01 </w:t>
      </w:r>
      <w:r>
        <w:rPr/>
        <w:t>Log of distance</w:t>
      </w:r>
      <w:r>
        <w:rPr>
          <w:spacing w:val="-2"/>
        </w:rPr>
        <w:t> </w:t>
      </w:r>
      <w:r>
        <w:rPr/>
        <w:t>between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1"/>
        <w:spacing w:before="177"/>
      </w:pPr>
      <w:r>
        <w:rPr>
          <w:u w:val="thick"/>
        </w:rPr>
        <w:t>Conclusions</w:t>
      </w:r>
    </w:p>
    <w:p>
      <w:pPr>
        <w:pStyle w:val="BodyText"/>
        <w:spacing w:before="6"/>
        <w:rPr>
          <w:b/>
          <w:sz w:val="29"/>
        </w:rPr>
      </w:pPr>
    </w:p>
    <w:p>
      <w:pPr>
        <w:pStyle w:val="BodyText"/>
        <w:spacing w:line="357" w:lineRule="auto" w:before="93"/>
        <w:ind w:left="386" w:right="628"/>
      </w:pPr>
      <w:r>
        <w:rPr/>
        <w:t>So</w:t>
      </w:r>
      <w:r>
        <w:rPr>
          <w:spacing w:val="-7"/>
        </w:rPr>
        <w:t> </w:t>
      </w:r>
      <w:r>
        <w:rPr/>
        <w:t>where</w:t>
      </w:r>
      <w:r>
        <w:rPr>
          <w:spacing w:val="-8"/>
        </w:rPr>
        <w:t> </w:t>
      </w:r>
      <w:r>
        <w:rPr/>
        <w:t>does</w:t>
      </w:r>
      <w:r>
        <w:rPr>
          <w:spacing w:val="-6"/>
        </w:rPr>
        <w:t> </w:t>
      </w:r>
      <w:r>
        <w:rPr/>
        <w:t>this</w:t>
      </w:r>
      <w:r>
        <w:rPr>
          <w:spacing w:val="-8"/>
        </w:rPr>
        <w:t> </w:t>
      </w:r>
      <w:r>
        <w:rPr/>
        <w:t>leave</w:t>
      </w:r>
      <w:r>
        <w:rPr>
          <w:spacing w:val="-8"/>
        </w:rPr>
        <w:t> </w:t>
      </w:r>
      <w:r>
        <w:rPr/>
        <w:t>us?</w:t>
      </w:r>
      <w:r>
        <w:rPr>
          <w:spacing w:val="-8"/>
        </w:rPr>
        <w:t> </w:t>
      </w:r>
      <w:r>
        <w:rPr/>
        <w:t>You</w:t>
      </w:r>
      <w:r>
        <w:rPr>
          <w:spacing w:val="-8"/>
        </w:rPr>
        <w:t> </w:t>
      </w:r>
      <w:r>
        <w:rPr/>
        <w:t>are</w:t>
      </w:r>
      <w:r>
        <w:rPr>
          <w:spacing w:val="-8"/>
        </w:rPr>
        <w:t> </w:t>
      </w:r>
      <w:r>
        <w:rPr/>
        <w:t>probably</w:t>
      </w:r>
      <w:r>
        <w:rPr>
          <w:spacing w:val="-7"/>
        </w:rPr>
        <w:t> </w:t>
      </w:r>
      <w:r>
        <w:rPr/>
        <w:t>feeling</w:t>
      </w:r>
      <w:r>
        <w:rPr>
          <w:spacing w:val="-8"/>
        </w:rPr>
        <w:t> </w:t>
      </w:r>
      <w:r>
        <w:rPr/>
        <w:t>as</w:t>
      </w:r>
      <w:r>
        <w:rPr>
          <w:spacing w:val="-6"/>
        </w:rPr>
        <w:t> </w:t>
      </w:r>
      <w:r>
        <w:rPr/>
        <w:t>if</w:t>
      </w:r>
      <w:r>
        <w:rPr>
          <w:spacing w:val="-8"/>
        </w:rPr>
        <w:t> </w:t>
      </w:r>
      <w:r>
        <w:rPr/>
        <w:t>our</w:t>
      </w:r>
      <w:r>
        <w:rPr>
          <w:spacing w:val="-8"/>
        </w:rPr>
        <w:t> </w:t>
      </w:r>
      <w:r>
        <w:rPr/>
        <w:t>journey</w:t>
      </w:r>
      <w:r>
        <w:rPr>
          <w:spacing w:val="-8"/>
        </w:rPr>
        <w:t> </w:t>
      </w:r>
      <w:r>
        <w:rPr/>
        <w:t>tonight</w:t>
      </w:r>
      <w:r>
        <w:rPr>
          <w:spacing w:val="-6"/>
        </w:rPr>
        <w:t> </w:t>
      </w:r>
      <w:r>
        <w:rPr/>
        <w:t>to</w:t>
      </w:r>
      <w:r>
        <w:rPr>
          <w:spacing w:val="-8"/>
        </w:rPr>
        <w:t> </w:t>
      </w:r>
      <w:r>
        <w:rPr/>
        <w:t>better</w:t>
      </w:r>
      <w:r>
        <w:rPr>
          <w:spacing w:val="-8"/>
        </w:rPr>
        <w:t> </w:t>
      </w:r>
      <w:r>
        <w:rPr/>
        <w:t>understand</w:t>
      </w:r>
      <w:r>
        <w:rPr>
          <w:spacing w:val="-8"/>
        </w:rPr>
        <w:t> </w:t>
      </w:r>
      <w:r>
        <w:rPr/>
        <w:t>today’s low</w:t>
      </w:r>
      <w:r>
        <w:rPr>
          <w:spacing w:val="-6"/>
        </w:rPr>
        <w:t> </w:t>
      </w:r>
      <w:r>
        <w:rPr/>
        <w:t>inflation</w:t>
      </w:r>
      <w:r>
        <w:rPr>
          <w:spacing w:val="-5"/>
        </w:rPr>
        <w:t> </w:t>
      </w:r>
      <w:r>
        <w:rPr/>
        <w:t>rate</w:t>
      </w:r>
      <w:r>
        <w:rPr>
          <w:spacing w:val="-4"/>
        </w:rPr>
        <w:t> </w:t>
      </w:r>
      <w:r>
        <w:rPr/>
        <w:t>in</w:t>
      </w:r>
      <w:r>
        <w:rPr>
          <w:spacing w:val="-5"/>
        </w:rPr>
        <w:t> </w:t>
      </w:r>
      <w:r>
        <w:rPr/>
        <w:t>the</w:t>
      </w:r>
      <w:r>
        <w:rPr>
          <w:spacing w:val="-5"/>
        </w:rPr>
        <w:t> </w:t>
      </w:r>
      <w:r>
        <w:rPr/>
        <w:t>UK</w:t>
      </w:r>
      <w:r>
        <w:rPr>
          <w:spacing w:val="-4"/>
        </w:rPr>
        <w:t> </w:t>
      </w:r>
      <w:r>
        <w:rPr/>
        <w:t>has</w:t>
      </w:r>
      <w:r>
        <w:rPr>
          <w:spacing w:val="-4"/>
        </w:rPr>
        <w:t> </w:t>
      </w:r>
      <w:r>
        <w:rPr/>
        <w:t>taken</w:t>
      </w:r>
      <w:r>
        <w:rPr>
          <w:spacing w:val="-5"/>
        </w:rPr>
        <w:t> </w:t>
      </w:r>
      <w:r>
        <w:rPr/>
        <w:t>us</w:t>
      </w:r>
      <w:r>
        <w:rPr>
          <w:spacing w:val="-4"/>
        </w:rPr>
        <w:t> </w:t>
      </w:r>
      <w:r>
        <w:rPr/>
        <w:t>on</w:t>
      </w:r>
      <w:r>
        <w:rPr>
          <w:spacing w:val="-6"/>
        </w:rPr>
        <w:t> </w:t>
      </w:r>
      <w:r>
        <w:rPr/>
        <w:t>as</w:t>
      </w:r>
      <w:r>
        <w:rPr>
          <w:spacing w:val="-4"/>
        </w:rPr>
        <w:t> </w:t>
      </w:r>
      <w:r>
        <w:rPr/>
        <w:t>many</w:t>
      </w:r>
      <w:r>
        <w:rPr>
          <w:spacing w:val="-4"/>
        </w:rPr>
        <w:t> </w:t>
      </w:r>
      <w:r>
        <w:rPr/>
        <w:t>twists</w:t>
      </w:r>
      <w:r>
        <w:rPr>
          <w:spacing w:val="-4"/>
        </w:rPr>
        <w:t> </w:t>
      </w:r>
      <w:r>
        <w:rPr/>
        <w:t>and</w:t>
      </w:r>
      <w:r>
        <w:rPr>
          <w:spacing w:val="-5"/>
        </w:rPr>
        <w:t> </w:t>
      </w:r>
      <w:r>
        <w:rPr/>
        <w:t>turns</w:t>
      </w:r>
      <w:r>
        <w:rPr>
          <w:spacing w:val="-3"/>
        </w:rPr>
        <w:t> </w:t>
      </w:r>
      <w:r>
        <w:rPr/>
        <w:t>as</w:t>
      </w:r>
      <w:r>
        <w:rPr>
          <w:spacing w:val="-4"/>
        </w:rPr>
        <w:t> </w:t>
      </w:r>
      <w:r>
        <w:rPr/>
        <w:t>Dorothy’s</w:t>
      </w:r>
      <w:r>
        <w:rPr>
          <w:spacing w:val="-3"/>
        </w:rPr>
        <w:t> </w:t>
      </w:r>
      <w:r>
        <w:rPr/>
        <w:t>yellow</w:t>
      </w:r>
      <w:r>
        <w:rPr>
          <w:spacing w:val="-6"/>
        </w:rPr>
        <w:t> </w:t>
      </w:r>
      <w:r>
        <w:rPr/>
        <w:t>brick</w:t>
      </w:r>
      <w:r>
        <w:rPr>
          <w:spacing w:val="-4"/>
        </w:rPr>
        <w:t> </w:t>
      </w:r>
      <w:r>
        <w:rPr/>
        <w:t>road.</w:t>
      </w:r>
    </w:p>
    <w:p>
      <w:pPr>
        <w:pStyle w:val="BodyText"/>
        <w:spacing w:line="357" w:lineRule="auto"/>
        <w:ind w:left="386" w:right="628"/>
      </w:pPr>
      <w:r>
        <w:rPr/>
        <w:t>Hopefully you did not have the experience that Dorothy and her friends had when they entered the field of poppies</w:t>
      </w:r>
      <w:r>
        <w:rPr>
          <w:spacing w:val="-7"/>
        </w:rPr>
        <w:t> </w:t>
      </w:r>
      <w:r>
        <w:rPr/>
        <w:t>(i.e.,</w:t>
      </w:r>
      <w:r>
        <w:rPr>
          <w:spacing w:val="-7"/>
        </w:rPr>
        <w:t> </w:t>
      </w:r>
      <w:r>
        <w:rPr/>
        <w:t>being</w:t>
      </w:r>
      <w:r>
        <w:rPr>
          <w:spacing w:val="-8"/>
        </w:rPr>
        <w:t> </w:t>
      </w:r>
      <w:r>
        <w:rPr/>
        <w:t>unable</w:t>
      </w:r>
      <w:r>
        <w:rPr>
          <w:spacing w:val="-7"/>
        </w:rPr>
        <w:t> </w:t>
      </w:r>
      <w:r>
        <w:rPr/>
        <w:t>to</w:t>
      </w:r>
      <w:r>
        <w:rPr>
          <w:spacing w:val="-8"/>
        </w:rPr>
        <w:t> </w:t>
      </w:r>
      <w:r>
        <w:rPr/>
        <w:t>keep</w:t>
      </w:r>
      <w:r>
        <w:rPr>
          <w:spacing w:val="-7"/>
        </w:rPr>
        <w:t> </w:t>
      </w:r>
      <w:r>
        <w:rPr/>
        <w:t>your</w:t>
      </w:r>
      <w:r>
        <w:rPr>
          <w:spacing w:val="-7"/>
        </w:rPr>
        <w:t> </w:t>
      </w:r>
      <w:r>
        <w:rPr/>
        <w:t>eyes</w:t>
      </w:r>
      <w:r>
        <w:rPr>
          <w:spacing w:val="-7"/>
        </w:rPr>
        <w:t> </w:t>
      </w:r>
      <w:r>
        <w:rPr/>
        <w:t>open).</w:t>
      </w:r>
      <w:r>
        <w:rPr>
          <w:spacing w:val="-8"/>
        </w:rPr>
        <w:t> </w:t>
      </w:r>
      <w:r>
        <w:rPr/>
        <w:t>But,</w:t>
      </w:r>
      <w:r>
        <w:rPr>
          <w:spacing w:val="-8"/>
        </w:rPr>
        <w:t> </w:t>
      </w:r>
      <w:r>
        <w:rPr/>
        <w:t>just</w:t>
      </w:r>
      <w:r>
        <w:rPr>
          <w:spacing w:val="-8"/>
        </w:rPr>
        <w:t> </w:t>
      </w:r>
      <w:r>
        <w:rPr/>
        <w:t>as</w:t>
      </w:r>
      <w:r>
        <w:rPr>
          <w:spacing w:val="-6"/>
        </w:rPr>
        <w:t> </w:t>
      </w:r>
      <w:r>
        <w:rPr/>
        <w:t>Dorothy</w:t>
      </w:r>
      <w:r>
        <w:rPr>
          <w:spacing w:val="-7"/>
        </w:rPr>
        <w:t> </w:t>
      </w:r>
      <w:r>
        <w:rPr/>
        <w:t>and</w:t>
      </w:r>
      <w:r>
        <w:rPr>
          <w:spacing w:val="-9"/>
        </w:rPr>
        <w:t> </w:t>
      </w:r>
      <w:r>
        <w:rPr/>
        <w:t>her</w:t>
      </w:r>
      <w:r>
        <w:rPr>
          <w:spacing w:val="-7"/>
        </w:rPr>
        <w:t> </w:t>
      </w:r>
      <w:r>
        <w:rPr/>
        <w:t>friends</w:t>
      </w:r>
      <w:r>
        <w:rPr>
          <w:spacing w:val="-7"/>
        </w:rPr>
        <w:t> </w:t>
      </w:r>
      <w:r>
        <w:rPr/>
        <w:t>each</w:t>
      </w:r>
      <w:r>
        <w:rPr>
          <w:spacing w:val="-7"/>
        </w:rPr>
        <w:t> </w:t>
      </w:r>
      <w:r>
        <w:rPr/>
        <w:t>learned</w:t>
      </w:r>
      <w:r>
        <w:rPr>
          <w:spacing w:val="-8"/>
        </w:rPr>
        <w:t> </w:t>
      </w:r>
      <w:r>
        <w:rPr/>
        <w:t>more</w:t>
      </w:r>
    </w:p>
    <w:p>
      <w:pPr>
        <w:spacing w:after="0" w:line="357" w:lineRule="auto"/>
        <w:sectPr>
          <w:pgSz w:w="12240" w:h="15840"/>
          <w:pgMar w:header="0" w:footer="1240" w:top="1440" w:bottom="1440" w:left="1200" w:right="1060"/>
        </w:sectPr>
      </w:pPr>
    </w:p>
    <w:p>
      <w:pPr>
        <w:pStyle w:val="BodyText"/>
        <w:spacing w:line="357" w:lineRule="auto" w:before="79"/>
        <w:ind w:left="386" w:right="628"/>
      </w:pPr>
      <w:r>
        <w:rPr/>
        <w:t>about</w:t>
      </w:r>
      <w:r>
        <w:rPr>
          <w:spacing w:val="-8"/>
        </w:rPr>
        <w:t> </w:t>
      </w:r>
      <w:r>
        <w:rPr/>
        <w:t>their</w:t>
      </w:r>
      <w:r>
        <w:rPr>
          <w:spacing w:val="-8"/>
        </w:rPr>
        <w:t> </w:t>
      </w:r>
      <w:r>
        <w:rPr/>
        <w:t>abilities</w:t>
      </w:r>
      <w:r>
        <w:rPr>
          <w:spacing w:val="-8"/>
        </w:rPr>
        <w:t> </w:t>
      </w:r>
      <w:r>
        <w:rPr/>
        <w:t>and</w:t>
      </w:r>
      <w:r>
        <w:rPr>
          <w:spacing w:val="-9"/>
        </w:rPr>
        <w:t> </w:t>
      </w:r>
      <w:r>
        <w:rPr/>
        <w:t>strengths</w:t>
      </w:r>
      <w:r>
        <w:rPr>
          <w:spacing w:val="-7"/>
        </w:rPr>
        <w:t> </w:t>
      </w:r>
      <w:r>
        <w:rPr/>
        <w:t>on</w:t>
      </w:r>
      <w:r>
        <w:rPr>
          <w:spacing w:val="-9"/>
        </w:rPr>
        <w:t> </w:t>
      </w:r>
      <w:r>
        <w:rPr/>
        <w:t>their</w:t>
      </w:r>
      <w:r>
        <w:rPr>
          <w:spacing w:val="-8"/>
        </w:rPr>
        <w:t> </w:t>
      </w:r>
      <w:r>
        <w:rPr/>
        <w:t>voyage,</w:t>
      </w:r>
      <w:r>
        <w:rPr>
          <w:spacing w:val="-7"/>
        </w:rPr>
        <w:t> </w:t>
      </w:r>
      <w:r>
        <w:rPr/>
        <w:t>hopefully</w:t>
      </w:r>
      <w:r>
        <w:rPr>
          <w:spacing w:val="-8"/>
        </w:rPr>
        <w:t> </w:t>
      </w:r>
      <w:r>
        <w:rPr/>
        <w:t>this</w:t>
      </w:r>
      <w:r>
        <w:rPr>
          <w:spacing w:val="-8"/>
        </w:rPr>
        <w:t> </w:t>
      </w:r>
      <w:r>
        <w:rPr/>
        <w:t>discussion</w:t>
      </w:r>
      <w:r>
        <w:rPr>
          <w:spacing w:val="-9"/>
        </w:rPr>
        <w:t> </w:t>
      </w:r>
      <w:r>
        <w:rPr/>
        <w:t>has</w:t>
      </w:r>
      <w:r>
        <w:rPr>
          <w:spacing w:val="-8"/>
        </w:rPr>
        <w:t> </w:t>
      </w:r>
      <w:r>
        <w:rPr/>
        <w:t>also</w:t>
      </w:r>
      <w:r>
        <w:rPr>
          <w:spacing w:val="-9"/>
        </w:rPr>
        <w:t> </w:t>
      </w:r>
      <w:r>
        <w:rPr/>
        <w:t>provided</w:t>
      </w:r>
      <w:r>
        <w:rPr>
          <w:spacing w:val="-9"/>
        </w:rPr>
        <w:t> </w:t>
      </w:r>
      <w:r>
        <w:rPr/>
        <w:t>you</w:t>
      </w:r>
      <w:r>
        <w:rPr>
          <w:spacing w:val="-7"/>
        </w:rPr>
        <w:t> </w:t>
      </w:r>
      <w:r>
        <w:rPr/>
        <w:t>with</w:t>
      </w:r>
      <w:r>
        <w:rPr>
          <w:spacing w:val="-8"/>
        </w:rPr>
        <w:t> </w:t>
      </w:r>
      <w:r>
        <w:rPr/>
        <w:t>a better</w:t>
      </w:r>
      <w:r>
        <w:rPr>
          <w:spacing w:val="-4"/>
        </w:rPr>
        <w:t> </w:t>
      </w:r>
      <w:r>
        <w:rPr/>
        <w:t>understanding</w:t>
      </w:r>
      <w:r>
        <w:rPr>
          <w:spacing w:val="-4"/>
        </w:rPr>
        <w:t> </w:t>
      </w:r>
      <w:r>
        <w:rPr/>
        <w:t>of</w:t>
      </w:r>
      <w:r>
        <w:rPr>
          <w:spacing w:val="-2"/>
        </w:rPr>
        <w:t> </w:t>
      </w:r>
      <w:r>
        <w:rPr/>
        <w:t>the</w:t>
      </w:r>
      <w:r>
        <w:rPr>
          <w:spacing w:val="-4"/>
        </w:rPr>
        <w:t> </w:t>
      </w:r>
      <w:r>
        <w:rPr/>
        <w:t>drivers</w:t>
      </w:r>
      <w:r>
        <w:rPr>
          <w:spacing w:val="-3"/>
        </w:rPr>
        <w:t> </w:t>
      </w:r>
      <w:r>
        <w:rPr/>
        <w:t>of</w:t>
      </w:r>
      <w:r>
        <w:rPr>
          <w:spacing w:val="-4"/>
        </w:rPr>
        <w:t> </w:t>
      </w:r>
      <w:r>
        <w:rPr/>
        <w:t>low</w:t>
      </w:r>
      <w:r>
        <w:rPr>
          <w:spacing w:val="-4"/>
        </w:rPr>
        <w:t> </w:t>
      </w:r>
      <w:r>
        <w:rPr/>
        <w:t>inflation</w:t>
      </w:r>
      <w:r>
        <w:rPr>
          <w:spacing w:val="-4"/>
        </w:rPr>
        <w:t> </w:t>
      </w:r>
      <w:r>
        <w:rPr/>
        <w:t>today</w:t>
      </w:r>
      <w:r>
        <w:rPr>
          <w:spacing w:val="-4"/>
        </w:rPr>
        <w:t> </w:t>
      </w:r>
      <w:r>
        <w:rPr/>
        <w:t>and</w:t>
      </w:r>
      <w:r>
        <w:rPr>
          <w:spacing w:val="-3"/>
        </w:rPr>
        <w:t> </w:t>
      </w:r>
      <w:r>
        <w:rPr/>
        <w:t>what</w:t>
      </w:r>
      <w:r>
        <w:rPr>
          <w:spacing w:val="-3"/>
        </w:rPr>
        <w:t> </w:t>
      </w:r>
      <w:r>
        <w:rPr/>
        <w:t>to</w:t>
      </w:r>
      <w:r>
        <w:rPr>
          <w:spacing w:val="-5"/>
        </w:rPr>
        <w:t> </w:t>
      </w:r>
      <w:r>
        <w:rPr/>
        <w:t>expect</w:t>
      </w:r>
      <w:r>
        <w:rPr>
          <w:spacing w:val="-2"/>
        </w:rPr>
        <w:t> </w:t>
      </w:r>
      <w:r>
        <w:rPr/>
        <w:t>in</w:t>
      </w:r>
      <w:r>
        <w:rPr>
          <w:spacing w:val="-4"/>
        </w:rPr>
        <w:t> </w:t>
      </w:r>
      <w:r>
        <w:rPr/>
        <w:t>the</w:t>
      </w:r>
      <w:r>
        <w:rPr>
          <w:spacing w:val="-3"/>
        </w:rPr>
        <w:t> </w:t>
      </w:r>
      <w:r>
        <w:rPr/>
        <w:t>future.</w:t>
      </w:r>
    </w:p>
    <w:p>
      <w:pPr>
        <w:pStyle w:val="BodyText"/>
        <w:spacing w:before="2"/>
        <w:rPr>
          <w:sz w:val="28"/>
        </w:rPr>
      </w:pPr>
    </w:p>
    <w:p>
      <w:pPr>
        <w:pStyle w:val="BodyText"/>
        <w:spacing w:line="355" w:lineRule="auto"/>
        <w:ind w:left="386" w:right="628"/>
      </w:pPr>
      <w:r>
        <w:rPr/>
        <w:t>This discussion has highlighted several points. First, today’s period of “lowflation” is not only a sharp departure from the high inflation in the 1970s and early 1980s, but unprecedented in the era of floating exchange</w:t>
      </w:r>
      <w:r>
        <w:rPr>
          <w:spacing w:val="-9"/>
        </w:rPr>
        <w:t> </w:t>
      </w:r>
      <w:r>
        <w:rPr/>
        <w:t>rates</w:t>
      </w:r>
      <w:r>
        <w:rPr>
          <w:spacing w:val="-8"/>
        </w:rPr>
        <w:t> </w:t>
      </w:r>
      <w:r>
        <w:rPr/>
        <w:t>for</w:t>
      </w:r>
      <w:r>
        <w:rPr>
          <w:spacing w:val="-9"/>
        </w:rPr>
        <w:t> </w:t>
      </w:r>
      <w:r>
        <w:rPr/>
        <w:t>the</w:t>
      </w:r>
      <w:r>
        <w:rPr>
          <w:spacing w:val="-9"/>
        </w:rPr>
        <w:t> </w:t>
      </w:r>
      <w:r>
        <w:rPr/>
        <w:t>UK.</w:t>
      </w:r>
      <w:r>
        <w:rPr>
          <w:spacing w:val="-9"/>
        </w:rPr>
        <w:t> </w:t>
      </w:r>
      <w:r>
        <w:rPr/>
        <w:t>Second,</w:t>
      </w:r>
      <w:r>
        <w:rPr>
          <w:spacing w:val="-9"/>
        </w:rPr>
        <w:t> </w:t>
      </w:r>
      <w:r>
        <w:rPr/>
        <w:t>although</w:t>
      </w:r>
      <w:r>
        <w:rPr>
          <w:spacing w:val="-9"/>
        </w:rPr>
        <w:t> </w:t>
      </w:r>
      <w:r>
        <w:rPr/>
        <w:t>there</w:t>
      </w:r>
      <w:r>
        <w:rPr>
          <w:spacing w:val="-9"/>
        </w:rPr>
        <w:t> </w:t>
      </w:r>
      <w:r>
        <w:rPr/>
        <w:t>could</w:t>
      </w:r>
      <w:r>
        <w:rPr>
          <w:spacing w:val="-9"/>
        </w:rPr>
        <w:t> </w:t>
      </w:r>
      <w:r>
        <w:rPr/>
        <w:t>be</w:t>
      </w:r>
      <w:r>
        <w:rPr>
          <w:spacing w:val="-9"/>
        </w:rPr>
        <w:t> </w:t>
      </w:r>
      <w:r>
        <w:rPr/>
        <w:t>serious</w:t>
      </w:r>
      <w:r>
        <w:rPr>
          <w:spacing w:val="-8"/>
        </w:rPr>
        <w:t> </w:t>
      </w:r>
      <w:r>
        <w:rPr/>
        <w:t>concerns</w:t>
      </w:r>
      <w:r>
        <w:rPr>
          <w:spacing w:val="-8"/>
        </w:rPr>
        <w:t> </w:t>
      </w:r>
      <w:r>
        <w:rPr/>
        <w:t>if</w:t>
      </w:r>
      <w:r>
        <w:rPr>
          <w:spacing w:val="-8"/>
        </w:rPr>
        <w:t> </w:t>
      </w:r>
      <w:r>
        <w:rPr/>
        <w:t>inflation</w:t>
      </w:r>
      <w:r>
        <w:rPr>
          <w:spacing w:val="-9"/>
        </w:rPr>
        <w:t> </w:t>
      </w:r>
      <w:r>
        <w:rPr/>
        <w:t>remained</w:t>
      </w:r>
      <w:r>
        <w:rPr>
          <w:spacing w:val="-8"/>
        </w:rPr>
        <w:t> </w:t>
      </w:r>
      <w:r>
        <w:rPr/>
        <w:t>negative or near zero for an extended period of time, none of these concerns appears to be a serious risk in the UK today.</w:t>
      </w:r>
      <w:r>
        <w:rPr>
          <w:spacing w:val="-10"/>
        </w:rPr>
        <w:t> </w:t>
      </w:r>
      <w:r>
        <w:rPr/>
        <w:t>The</w:t>
      </w:r>
      <w:r>
        <w:rPr>
          <w:spacing w:val="-10"/>
        </w:rPr>
        <w:t> </w:t>
      </w:r>
      <w:r>
        <w:rPr/>
        <w:t>evidence</w:t>
      </w:r>
      <w:r>
        <w:rPr>
          <w:spacing w:val="-9"/>
        </w:rPr>
        <w:t> </w:t>
      </w:r>
      <w:r>
        <w:rPr/>
        <w:t>on</w:t>
      </w:r>
      <w:r>
        <w:rPr>
          <w:spacing w:val="-10"/>
        </w:rPr>
        <w:t> </w:t>
      </w:r>
      <w:r>
        <w:rPr/>
        <w:t>the</w:t>
      </w:r>
      <w:r>
        <w:rPr>
          <w:spacing w:val="-9"/>
        </w:rPr>
        <w:t> </w:t>
      </w:r>
      <w:r>
        <w:rPr/>
        <w:t>negative</w:t>
      </w:r>
      <w:r>
        <w:rPr>
          <w:spacing w:val="-11"/>
        </w:rPr>
        <w:t> </w:t>
      </w:r>
      <w:r>
        <w:rPr/>
        <w:t>effects</w:t>
      </w:r>
      <w:r>
        <w:rPr>
          <w:spacing w:val="-8"/>
        </w:rPr>
        <w:t> </w:t>
      </w:r>
      <w:r>
        <w:rPr/>
        <w:t>of</w:t>
      </w:r>
      <w:r>
        <w:rPr>
          <w:spacing w:val="-8"/>
        </w:rPr>
        <w:t> </w:t>
      </w:r>
      <w:r>
        <w:rPr/>
        <w:t>deflation</w:t>
      </w:r>
      <w:r>
        <w:rPr>
          <w:spacing w:val="-9"/>
        </w:rPr>
        <w:t> </w:t>
      </w:r>
      <w:r>
        <w:rPr/>
        <w:t>and</w:t>
      </w:r>
      <w:r>
        <w:rPr>
          <w:spacing w:val="-11"/>
        </w:rPr>
        <w:t> </w:t>
      </w:r>
      <w:r>
        <w:rPr/>
        <w:t>lowflation—especially</w:t>
      </w:r>
      <w:r>
        <w:rPr>
          <w:spacing w:val="-8"/>
        </w:rPr>
        <w:t> </w:t>
      </w:r>
      <w:r>
        <w:rPr/>
        <w:t>when</w:t>
      </w:r>
      <w:r>
        <w:rPr>
          <w:spacing w:val="-9"/>
        </w:rPr>
        <w:t> </w:t>
      </w:r>
      <w:r>
        <w:rPr/>
        <w:t>caused</w:t>
      </w:r>
      <w:r>
        <w:rPr>
          <w:spacing w:val="-10"/>
        </w:rPr>
        <w:t> </w:t>
      </w:r>
      <w:r>
        <w:rPr/>
        <w:t>by</w:t>
      </w:r>
      <w:r>
        <w:rPr>
          <w:spacing w:val="-10"/>
        </w:rPr>
        <w:t> </w:t>
      </w:r>
      <w:r>
        <w:rPr/>
        <w:t>positive supply shocks—is far less convincing than the</w:t>
      </w:r>
      <w:r>
        <w:rPr>
          <w:spacing w:val="-14"/>
        </w:rPr>
        <w:t> </w:t>
      </w:r>
      <w:r>
        <w:rPr/>
        <w:t>rhetoric.</w:t>
      </w:r>
    </w:p>
    <w:p>
      <w:pPr>
        <w:pStyle w:val="BodyText"/>
        <w:spacing w:before="9"/>
        <w:rPr>
          <w:sz w:val="28"/>
        </w:rPr>
      </w:pPr>
    </w:p>
    <w:p>
      <w:pPr>
        <w:pStyle w:val="BodyText"/>
        <w:spacing w:line="357" w:lineRule="auto"/>
        <w:ind w:left="386" w:right="517"/>
      </w:pPr>
      <w:r>
        <w:rPr/>
        <w:t>Third, the main factors behind the recent sharp fall in inflation should be largely transitory: lower energy and food</w:t>
      </w:r>
      <w:r>
        <w:rPr>
          <w:spacing w:val="-10"/>
        </w:rPr>
        <w:t> </w:t>
      </w:r>
      <w:r>
        <w:rPr/>
        <w:t>prices</w:t>
      </w:r>
      <w:r>
        <w:rPr>
          <w:spacing w:val="-8"/>
        </w:rPr>
        <w:t> </w:t>
      </w:r>
      <w:r>
        <w:rPr/>
        <w:t>and</w:t>
      </w:r>
      <w:r>
        <w:rPr>
          <w:spacing w:val="-10"/>
        </w:rPr>
        <w:t> </w:t>
      </w:r>
      <w:r>
        <w:rPr/>
        <w:t>sterling’s</w:t>
      </w:r>
      <w:r>
        <w:rPr>
          <w:spacing w:val="-8"/>
        </w:rPr>
        <w:t> </w:t>
      </w:r>
      <w:r>
        <w:rPr/>
        <w:t>appreciation.</w:t>
      </w:r>
      <w:r>
        <w:rPr>
          <w:spacing w:val="-10"/>
        </w:rPr>
        <w:t> </w:t>
      </w:r>
      <w:r>
        <w:rPr/>
        <w:t>Therefore,</w:t>
      </w:r>
      <w:r>
        <w:rPr>
          <w:spacing w:val="-7"/>
        </w:rPr>
        <w:t> </w:t>
      </w:r>
      <w:r>
        <w:rPr/>
        <w:t>assuming</w:t>
      </w:r>
      <w:r>
        <w:rPr>
          <w:spacing w:val="-10"/>
        </w:rPr>
        <w:t> </w:t>
      </w:r>
      <w:r>
        <w:rPr/>
        <w:t>no</w:t>
      </w:r>
      <w:r>
        <w:rPr>
          <w:spacing w:val="-9"/>
        </w:rPr>
        <w:t> </w:t>
      </w:r>
      <w:r>
        <w:rPr/>
        <w:t>more</w:t>
      </w:r>
      <w:r>
        <w:rPr>
          <w:spacing w:val="-10"/>
        </w:rPr>
        <w:t> </w:t>
      </w:r>
      <w:r>
        <w:rPr/>
        <w:t>sharp</w:t>
      </w:r>
      <w:r>
        <w:rPr>
          <w:spacing w:val="-9"/>
        </w:rPr>
        <w:t> </w:t>
      </w:r>
      <w:r>
        <w:rPr/>
        <w:t>movements</w:t>
      </w:r>
      <w:r>
        <w:rPr>
          <w:spacing w:val="-9"/>
        </w:rPr>
        <w:t> </w:t>
      </w:r>
      <w:r>
        <w:rPr/>
        <w:t>in</w:t>
      </w:r>
      <w:r>
        <w:rPr>
          <w:spacing w:val="-11"/>
        </w:rPr>
        <w:t> </w:t>
      </w:r>
      <w:r>
        <w:rPr/>
        <w:t>the</w:t>
      </w:r>
      <w:r>
        <w:rPr>
          <w:spacing w:val="-9"/>
        </w:rPr>
        <w:t> </w:t>
      </w:r>
      <w:r>
        <w:rPr/>
        <w:t>exchange</w:t>
      </w:r>
      <w:r>
        <w:rPr>
          <w:spacing w:val="-9"/>
        </w:rPr>
        <w:t> </w:t>
      </w:r>
      <w:r>
        <w:rPr/>
        <w:t>rate or</w:t>
      </w:r>
      <w:r>
        <w:rPr>
          <w:spacing w:val="-9"/>
        </w:rPr>
        <w:t> </w:t>
      </w:r>
      <w:r>
        <w:rPr/>
        <w:t>energy</w:t>
      </w:r>
      <w:r>
        <w:rPr>
          <w:spacing w:val="-7"/>
        </w:rPr>
        <w:t> </w:t>
      </w:r>
      <w:r>
        <w:rPr/>
        <w:t>or</w:t>
      </w:r>
      <w:r>
        <w:rPr>
          <w:spacing w:val="-8"/>
        </w:rPr>
        <w:t> </w:t>
      </w:r>
      <w:r>
        <w:rPr/>
        <w:t>food</w:t>
      </w:r>
      <w:r>
        <w:rPr>
          <w:spacing w:val="-9"/>
        </w:rPr>
        <w:t> </w:t>
      </w:r>
      <w:r>
        <w:rPr/>
        <w:t>prices,</w:t>
      </w:r>
      <w:r>
        <w:rPr>
          <w:spacing w:val="-8"/>
        </w:rPr>
        <w:t> </w:t>
      </w:r>
      <w:r>
        <w:rPr/>
        <w:t>inflation</w:t>
      </w:r>
      <w:r>
        <w:rPr>
          <w:spacing w:val="-9"/>
        </w:rPr>
        <w:t> </w:t>
      </w:r>
      <w:r>
        <w:rPr/>
        <w:t>should</w:t>
      </w:r>
      <w:r>
        <w:rPr>
          <w:spacing w:val="-7"/>
        </w:rPr>
        <w:t> </w:t>
      </w:r>
      <w:r>
        <w:rPr/>
        <w:t>bounce</w:t>
      </w:r>
      <w:r>
        <w:rPr>
          <w:spacing w:val="-8"/>
        </w:rPr>
        <w:t> </w:t>
      </w:r>
      <w:r>
        <w:rPr/>
        <w:t>back</w:t>
      </w:r>
      <w:r>
        <w:rPr>
          <w:spacing w:val="-8"/>
        </w:rPr>
        <w:t> </w:t>
      </w:r>
      <w:r>
        <w:rPr/>
        <w:t>fairly</w:t>
      </w:r>
      <w:r>
        <w:rPr>
          <w:spacing w:val="-7"/>
        </w:rPr>
        <w:t> </w:t>
      </w:r>
      <w:r>
        <w:rPr/>
        <w:t>quickly</w:t>
      </w:r>
      <w:r>
        <w:rPr>
          <w:spacing w:val="-9"/>
        </w:rPr>
        <w:t> </w:t>
      </w:r>
      <w:r>
        <w:rPr/>
        <w:t>from</w:t>
      </w:r>
      <w:r>
        <w:rPr>
          <w:spacing w:val="-8"/>
        </w:rPr>
        <w:t> </w:t>
      </w:r>
      <w:r>
        <w:rPr/>
        <w:t>today’s</w:t>
      </w:r>
      <w:r>
        <w:rPr>
          <w:spacing w:val="-7"/>
        </w:rPr>
        <w:t> </w:t>
      </w:r>
      <w:r>
        <w:rPr/>
        <w:t>low</w:t>
      </w:r>
      <w:r>
        <w:rPr>
          <w:spacing w:val="-10"/>
        </w:rPr>
        <w:t> </w:t>
      </w:r>
      <w:r>
        <w:rPr/>
        <w:t>levels</w:t>
      </w:r>
      <w:r>
        <w:rPr>
          <w:spacing w:val="-7"/>
        </w:rPr>
        <w:t> </w:t>
      </w:r>
      <w:r>
        <w:rPr/>
        <w:t>(although</w:t>
      </w:r>
      <w:r>
        <w:rPr>
          <w:spacing w:val="-8"/>
        </w:rPr>
        <w:t> </w:t>
      </w:r>
      <w:r>
        <w:rPr/>
        <w:t>the</w:t>
      </w:r>
      <w:r>
        <w:rPr>
          <w:spacing w:val="-9"/>
        </w:rPr>
        <w:t> </w:t>
      </w:r>
      <w:r>
        <w:rPr/>
        <w:t>drag from sterling’s appreciation will take longer to fade than the year or so from the drag from lower energy and food</w:t>
      </w:r>
      <w:r>
        <w:rPr>
          <w:spacing w:val="-10"/>
        </w:rPr>
        <w:t> </w:t>
      </w:r>
      <w:r>
        <w:rPr/>
        <w:t>prices).</w:t>
      </w:r>
      <w:r>
        <w:rPr>
          <w:spacing w:val="-9"/>
        </w:rPr>
        <w:t> </w:t>
      </w:r>
      <w:r>
        <w:rPr/>
        <w:t>The</w:t>
      </w:r>
      <w:r>
        <w:rPr>
          <w:spacing w:val="-10"/>
        </w:rPr>
        <w:t> </w:t>
      </w:r>
      <w:r>
        <w:rPr/>
        <w:t>stability</w:t>
      </w:r>
      <w:r>
        <w:rPr>
          <w:spacing w:val="-8"/>
        </w:rPr>
        <w:t> </w:t>
      </w:r>
      <w:r>
        <w:rPr/>
        <w:t>in</w:t>
      </w:r>
      <w:r>
        <w:rPr>
          <w:spacing w:val="-10"/>
        </w:rPr>
        <w:t> </w:t>
      </w:r>
      <w:r>
        <w:rPr/>
        <w:t>the</w:t>
      </w:r>
      <w:r>
        <w:rPr>
          <w:spacing w:val="-8"/>
        </w:rPr>
        <w:t> </w:t>
      </w:r>
      <w:r>
        <w:rPr/>
        <w:t>index</w:t>
      </w:r>
      <w:r>
        <w:rPr>
          <w:spacing w:val="-8"/>
        </w:rPr>
        <w:t> </w:t>
      </w:r>
      <w:r>
        <w:rPr/>
        <w:t>of</w:t>
      </w:r>
      <w:r>
        <w:rPr>
          <w:spacing w:val="-6"/>
        </w:rPr>
        <w:t> </w:t>
      </w:r>
      <w:r>
        <w:rPr/>
        <w:t>domestically-generated</w:t>
      </w:r>
      <w:r>
        <w:rPr>
          <w:spacing w:val="-9"/>
        </w:rPr>
        <w:t> </w:t>
      </w:r>
      <w:r>
        <w:rPr/>
        <w:t>inflation,</w:t>
      </w:r>
      <w:r>
        <w:rPr>
          <w:spacing w:val="-9"/>
        </w:rPr>
        <w:t> </w:t>
      </w:r>
      <w:r>
        <w:rPr/>
        <w:t>combined</w:t>
      </w:r>
      <w:r>
        <w:rPr>
          <w:spacing w:val="-8"/>
        </w:rPr>
        <w:t> </w:t>
      </w:r>
      <w:r>
        <w:rPr/>
        <w:t>with</w:t>
      </w:r>
      <w:r>
        <w:rPr>
          <w:spacing w:val="-9"/>
        </w:rPr>
        <w:t> </w:t>
      </w:r>
      <w:r>
        <w:rPr/>
        <w:t>growing</w:t>
      </w:r>
      <w:r>
        <w:rPr>
          <w:spacing w:val="-10"/>
        </w:rPr>
        <w:t> </w:t>
      </w:r>
      <w:r>
        <w:rPr/>
        <w:t>evidence</w:t>
      </w:r>
      <w:r>
        <w:rPr>
          <w:spacing w:val="-9"/>
        </w:rPr>
        <w:t> </w:t>
      </w:r>
      <w:r>
        <w:rPr/>
        <w:t>of wage</w:t>
      </w:r>
      <w:r>
        <w:rPr>
          <w:spacing w:val="-9"/>
        </w:rPr>
        <w:t> </w:t>
      </w:r>
      <w:r>
        <w:rPr/>
        <w:t>and</w:t>
      </w:r>
      <w:r>
        <w:rPr>
          <w:spacing w:val="-8"/>
        </w:rPr>
        <w:t> </w:t>
      </w:r>
      <w:r>
        <w:rPr/>
        <w:t>unit</w:t>
      </w:r>
      <w:r>
        <w:rPr>
          <w:spacing w:val="-7"/>
        </w:rPr>
        <w:t> </w:t>
      </w:r>
      <w:r>
        <w:rPr/>
        <w:t>labour</w:t>
      </w:r>
      <w:r>
        <w:rPr>
          <w:spacing w:val="-8"/>
        </w:rPr>
        <w:t> </w:t>
      </w:r>
      <w:r>
        <w:rPr/>
        <w:t>costs</w:t>
      </w:r>
      <w:r>
        <w:rPr>
          <w:spacing w:val="-8"/>
        </w:rPr>
        <w:t> </w:t>
      </w:r>
      <w:r>
        <w:rPr/>
        <w:t>picking</w:t>
      </w:r>
      <w:r>
        <w:rPr>
          <w:spacing w:val="-9"/>
        </w:rPr>
        <w:t> </w:t>
      </w:r>
      <w:r>
        <w:rPr/>
        <w:t>up</w:t>
      </w:r>
      <w:r>
        <w:rPr>
          <w:spacing w:val="-8"/>
        </w:rPr>
        <w:t> </w:t>
      </w:r>
      <w:r>
        <w:rPr/>
        <w:t>(albeit</w:t>
      </w:r>
      <w:r>
        <w:rPr>
          <w:spacing w:val="-8"/>
        </w:rPr>
        <w:t> </w:t>
      </w:r>
      <w:r>
        <w:rPr/>
        <w:t>from</w:t>
      </w:r>
      <w:r>
        <w:rPr>
          <w:spacing w:val="-8"/>
        </w:rPr>
        <w:t> </w:t>
      </w:r>
      <w:r>
        <w:rPr/>
        <w:t>low</w:t>
      </w:r>
      <w:r>
        <w:rPr>
          <w:spacing w:val="-9"/>
        </w:rPr>
        <w:t> </w:t>
      </w:r>
      <w:r>
        <w:rPr/>
        <w:t>levels),</w:t>
      </w:r>
      <w:r>
        <w:rPr>
          <w:spacing w:val="-8"/>
        </w:rPr>
        <w:t> </w:t>
      </w:r>
      <w:r>
        <w:rPr/>
        <w:t>supports</w:t>
      </w:r>
      <w:r>
        <w:rPr>
          <w:spacing w:val="-8"/>
        </w:rPr>
        <w:t> </w:t>
      </w:r>
      <w:r>
        <w:rPr/>
        <w:t>this</w:t>
      </w:r>
      <w:r>
        <w:rPr>
          <w:spacing w:val="-7"/>
        </w:rPr>
        <w:t> </w:t>
      </w:r>
      <w:r>
        <w:rPr/>
        <w:t>underlying</w:t>
      </w:r>
      <w:r>
        <w:rPr>
          <w:spacing w:val="-8"/>
        </w:rPr>
        <w:t> </w:t>
      </w:r>
      <w:r>
        <w:rPr/>
        <w:t>positive</w:t>
      </w:r>
      <w:r>
        <w:rPr>
          <w:spacing w:val="-8"/>
        </w:rPr>
        <w:t> </w:t>
      </w:r>
      <w:r>
        <w:rPr/>
        <w:t>momentum</w:t>
      </w:r>
      <w:r>
        <w:rPr>
          <w:spacing w:val="-8"/>
        </w:rPr>
        <w:t> </w:t>
      </w:r>
      <w:r>
        <w:rPr/>
        <w:t>in the inflation-generating</w:t>
      </w:r>
      <w:r>
        <w:rPr>
          <w:spacing w:val="-3"/>
        </w:rPr>
        <w:t> </w:t>
      </w:r>
      <w:r>
        <w:rPr/>
        <w:t>process.</w:t>
      </w:r>
    </w:p>
    <w:p>
      <w:pPr>
        <w:pStyle w:val="BodyText"/>
        <w:spacing w:before="7"/>
        <w:rPr>
          <w:sz w:val="27"/>
        </w:rPr>
      </w:pPr>
    </w:p>
    <w:p>
      <w:pPr>
        <w:pStyle w:val="BodyText"/>
        <w:spacing w:line="357" w:lineRule="auto"/>
        <w:ind w:left="386" w:right="533"/>
      </w:pPr>
      <w:r>
        <w:rPr/>
        <w:t>Fourth, even if the recent fall in inflation was largely due to changes in energy and food prices and sterling, there are still risks that inflation could be slow to recover to the 2% target. Inflation expectations will need to remain consistent with the target. Low inflation today could also have second-round effects. It will remain critically important to monitor developments in inflation expectations, core, and domestically-generated inflation to see if any such drags continue after the transitory effects of oil shocks and sterling’s past appreciation begin to fade. Simulations using new results prepared for this talk, however, suggest that even after</w:t>
      </w:r>
      <w:r>
        <w:rPr>
          <w:spacing w:val="-10"/>
        </w:rPr>
        <w:t> </w:t>
      </w:r>
      <w:r>
        <w:rPr/>
        <w:t>explicitly</w:t>
      </w:r>
      <w:r>
        <w:rPr>
          <w:spacing w:val="-10"/>
        </w:rPr>
        <w:t> </w:t>
      </w:r>
      <w:r>
        <w:rPr/>
        <w:t>accounting</w:t>
      </w:r>
      <w:r>
        <w:rPr>
          <w:spacing w:val="-10"/>
        </w:rPr>
        <w:t> </w:t>
      </w:r>
      <w:r>
        <w:rPr/>
        <w:t>for</w:t>
      </w:r>
      <w:r>
        <w:rPr>
          <w:spacing w:val="-10"/>
        </w:rPr>
        <w:t> </w:t>
      </w:r>
      <w:r>
        <w:rPr/>
        <w:t>these</w:t>
      </w:r>
      <w:r>
        <w:rPr>
          <w:spacing w:val="-10"/>
        </w:rPr>
        <w:t> </w:t>
      </w:r>
      <w:r>
        <w:rPr/>
        <w:t>additional</w:t>
      </w:r>
      <w:r>
        <w:rPr>
          <w:spacing w:val="-9"/>
        </w:rPr>
        <w:t> </w:t>
      </w:r>
      <w:r>
        <w:rPr/>
        <w:t>drags</w:t>
      </w:r>
      <w:r>
        <w:rPr>
          <w:spacing w:val="-8"/>
        </w:rPr>
        <w:t> </w:t>
      </w:r>
      <w:r>
        <w:rPr/>
        <w:t>from</w:t>
      </w:r>
      <w:r>
        <w:rPr>
          <w:spacing w:val="-9"/>
        </w:rPr>
        <w:t> </w:t>
      </w:r>
      <w:r>
        <w:rPr/>
        <w:t>lagged</w:t>
      </w:r>
      <w:r>
        <w:rPr>
          <w:spacing w:val="-10"/>
        </w:rPr>
        <w:t> </w:t>
      </w:r>
      <w:r>
        <w:rPr/>
        <w:t>inflation</w:t>
      </w:r>
      <w:r>
        <w:rPr>
          <w:spacing w:val="-10"/>
        </w:rPr>
        <w:t> </w:t>
      </w:r>
      <w:r>
        <w:rPr/>
        <w:t>and</w:t>
      </w:r>
      <w:r>
        <w:rPr>
          <w:spacing w:val="-10"/>
        </w:rPr>
        <w:t> </w:t>
      </w:r>
      <w:r>
        <w:rPr/>
        <w:t>the</w:t>
      </w:r>
      <w:r>
        <w:rPr>
          <w:spacing w:val="-10"/>
        </w:rPr>
        <w:t> </w:t>
      </w:r>
      <w:r>
        <w:rPr/>
        <w:t>simultaneous</w:t>
      </w:r>
      <w:r>
        <w:rPr>
          <w:spacing w:val="-10"/>
        </w:rPr>
        <w:t> </w:t>
      </w:r>
      <w:r>
        <w:rPr/>
        <w:t>fall</w:t>
      </w:r>
      <w:r>
        <w:rPr>
          <w:spacing w:val="-10"/>
        </w:rPr>
        <w:t> </w:t>
      </w:r>
      <w:r>
        <w:rPr/>
        <w:t>in</w:t>
      </w:r>
      <w:r>
        <w:rPr>
          <w:spacing w:val="-10"/>
        </w:rPr>
        <w:t> </w:t>
      </w:r>
      <w:r>
        <w:rPr/>
        <w:t>inflation around the world, inflation should still rebound quickly by early</w:t>
      </w:r>
      <w:r>
        <w:rPr>
          <w:spacing w:val="-20"/>
        </w:rPr>
        <w:t> </w:t>
      </w:r>
      <w:r>
        <w:rPr/>
        <w:t>2016.</w:t>
      </w:r>
    </w:p>
    <w:p>
      <w:pPr>
        <w:pStyle w:val="BodyText"/>
        <w:spacing w:before="6"/>
        <w:rPr>
          <w:sz w:val="27"/>
        </w:rPr>
      </w:pPr>
    </w:p>
    <w:p>
      <w:pPr>
        <w:pStyle w:val="BodyText"/>
        <w:spacing w:line="357" w:lineRule="auto"/>
        <w:ind w:left="386" w:right="533"/>
      </w:pPr>
      <w:r>
        <w:rPr/>
        <w:t>Finally,</w:t>
      </w:r>
      <w:r>
        <w:rPr>
          <w:spacing w:val="-8"/>
        </w:rPr>
        <w:t> </w:t>
      </w:r>
      <w:r>
        <w:rPr/>
        <w:t>an</w:t>
      </w:r>
      <w:r>
        <w:rPr>
          <w:spacing w:val="-8"/>
        </w:rPr>
        <w:t> </w:t>
      </w:r>
      <w:r>
        <w:rPr/>
        <w:t>analysis</w:t>
      </w:r>
      <w:r>
        <w:rPr>
          <w:spacing w:val="-7"/>
        </w:rPr>
        <w:t> </w:t>
      </w:r>
      <w:r>
        <w:rPr/>
        <w:t>of</w:t>
      </w:r>
      <w:r>
        <w:rPr>
          <w:spacing w:val="-7"/>
        </w:rPr>
        <w:t> </w:t>
      </w:r>
      <w:r>
        <w:rPr/>
        <w:t>spillovers</w:t>
      </w:r>
      <w:r>
        <w:rPr>
          <w:spacing w:val="-7"/>
        </w:rPr>
        <w:t> </w:t>
      </w:r>
      <w:r>
        <w:rPr/>
        <w:t>to</w:t>
      </w:r>
      <w:r>
        <w:rPr>
          <w:spacing w:val="-8"/>
        </w:rPr>
        <w:t> </w:t>
      </w:r>
      <w:r>
        <w:rPr/>
        <w:t>the</w:t>
      </w:r>
      <w:r>
        <w:rPr>
          <w:spacing w:val="-8"/>
        </w:rPr>
        <w:t> </w:t>
      </w:r>
      <w:r>
        <w:rPr/>
        <w:t>UK</w:t>
      </w:r>
      <w:r>
        <w:rPr>
          <w:spacing w:val="-8"/>
        </w:rPr>
        <w:t> </w:t>
      </w:r>
      <w:r>
        <w:rPr/>
        <w:t>from</w:t>
      </w:r>
      <w:r>
        <w:rPr>
          <w:spacing w:val="-8"/>
        </w:rPr>
        <w:t> </w:t>
      </w:r>
      <w:r>
        <w:rPr/>
        <w:t>inflation</w:t>
      </w:r>
      <w:r>
        <w:rPr>
          <w:spacing w:val="-8"/>
        </w:rPr>
        <w:t> </w:t>
      </w:r>
      <w:r>
        <w:rPr/>
        <w:t>in</w:t>
      </w:r>
      <w:r>
        <w:rPr>
          <w:spacing w:val="-7"/>
        </w:rPr>
        <w:t> </w:t>
      </w:r>
      <w:r>
        <w:rPr/>
        <w:t>other</w:t>
      </w:r>
      <w:r>
        <w:rPr>
          <w:spacing w:val="-8"/>
        </w:rPr>
        <w:t> </w:t>
      </w:r>
      <w:r>
        <w:rPr/>
        <w:t>countries</w:t>
      </w:r>
      <w:r>
        <w:rPr>
          <w:spacing w:val="-6"/>
        </w:rPr>
        <w:t> </w:t>
      </w:r>
      <w:r>
        <w:rPr/>
        <w:t>found</w:t>
      </w:r>
      <w:r>
        <w:rPr>
          <w:spacing w:val="-9"/>
        </w:rPr>
        <w:t> </w:t>
      </w:r>
      <w:r>
        <w:rPr/>
        <w:t>that</w:t>
      </w:r>
      <w:r>
        <w:rPr>
          <w:spacing w:val="-7"/>
        </w:rPr>
        <w:t> </w:t>
      </w:r>
      <w:r>
        <w:rPr/>
        <w:t>low</w:t>
      </w:r>
      <w:r>
        <w:rPr>
          <w:spacing w:val="-9"/>
        </w:rPr>
        <w:t> </w:t>
      </w:r>
      <w:r>
        <w:rPr/>
        <w:t>global</w:t>
      </w:r>
      <w:r>
        <w:rPr>
          <w:spacing w:val="-8"/>
        </w:rPr>
        <w:t> </w:t>
      </w:r>
      <w:r>
        <w:rPr/>
        <w:t>inflation</w:t>
      </w:r>
      <w:r>
        <w:rPr>
          <w:spacing w:val="-7"/>
        </w:rPr>
        <w:t> </w:t>
      </w:r>
      <w:r>
        <w:rPr/>
        <w:t>and low</w:t>
      </w:r>
      <w:r>
        <w:rPr>
          <w:spacing w:val="-10"/>
        </w:rPr>
        <w:t> </w:t>
      </w:r>
      <w:r>
        <w:rPr/>
        <w:t>inflation</w:t>
      </w:r>
      <w:r>
        <w:rPr>
          <w:spacing w:val="-9"/>
        </w:rPr>
        <w:t> </w:t>
      </w:r>
      <w:r>
        <w:rPr/>
        <w:t>in</w:t>
      </w:r>
      <w:r>
        <w:rPr>
          <w:spacing w:val="-10"/>
        </w:rPr>
        <w:t> </w:t>
      </w:r>
      <w:r>
        <w:rPr/>
        <w:t>individual</w:t>
      </w:r>
      <w:r>
        <w:rPr>
          <w:spacing w:val="-8"/>
        </w:rPr>
        <w:t> </w:t>
      </w:r>
      <w:r>
        <w:rPr/>
        <w:t>countries</w:t>
      </w:r>
      <w:r>
        <w:rPr>
          <w:spacing w:val="-6"/>
        </w:rPr>
        <w:t> </w:t>
      </w:r>
      <w:r>
        <w:rPr/>
        <w:t>with</w:t>
      </w:r>
      <w:r>
        <w:rPr>
          <w:spacing w:val="-9"/>
        </w:rPr>
        <w:t> </w:t>
      </w:r>
      <w:r>
        <w:rPr/>
        <w:t>stronger</w:t>
      </w:r>
      <w:r>
        <w:rPr>
          <w:spacing w:val="-9"/>
        </w:rPr>
        <w:t> </w:t>
      </w:r>
      <w:r>
        <w:rPr/>
        <w:t>links</w:t>
      </w:r>
      <w:r>
        <w:rPr>
          <w:spacing w:val="-9"/>
        </w:rPr>
        <w:t> </w:t>
      </w:r>
      <w:r>
        <w:rPr/>
        <w:t>to</w:t>
      </w:r>
      <w:r>
        <w:rPr>
          <w:spacing w:val="-10"/>
        </w:rPr>
        <w:t> </w:t>
      </w:r>
      <w:r>
        <w:rPr/>
        <w:t>the</w:t>
      </w:r>
      <w:r>
        <w:rPr>
          <w:spacing w:val="-9"/>
        </w:rPr>
        <w:t> </w:t>
      </w:r>
      <w:r>
        <w:rPr/>
        <w:t>UK</w:t>
      </w:r>
      <w:r>
        <w:rPr>
          <w:spacing w:val="-9"/>
        </w:rPr>
        <w:t> </w:t>
      </w:r>
      <w:r>
        <w:rPr/>
        <w:t>should</w:t>
      </w:r>
      <w:r>
        <w:rPr>
          <w:spacing w:val="-9"/>
        </w:rPr>
        <w:t> </w:t>
      </w:r>
      <w:r>
        <w:rPr/>
        <w:t>not</w:t>
      </w:r>
      <w:r>
        <w:rPr>
          <w:spacing w:val="-9"/>
        </w:rPr>
        <w:t> </w:t>
      </w:r>
      <w:r>
        <w:rPr/>
        <w:t>create</w:t>
      </w:r>
      <w:r>
        <w:rPr>
          <w:spacing w:val="-8"/>
        </w:rPr>
        <w:t> </w:t>
      </w:r>
      <w:r>
        <w:rPr/>
        <w:t>significant</w:t>
      </w:r>
      <w:r>
        <w:rPr>
          <w:spacing w:val="-8"/>
        </w:rPr>
        <w:t> </w:t>
      </w:r>
      <w:r>
        <w:rPr/>
        <w:t>additional</w:t>
      </w:r>
      <w:r>
        <w:rPr>
          <w:spacing w:val="-8"/>
        </w:rPr>
        <w:t> </w:t>
      </w:r>
      <w:r>
        <w:rPr/>
        <w:t>drags on UK inflation. Although headline inflation rates in different countries often move together, this appears to primarily be driven by global shocks (such as changes in oil prices). Inflation in some of the UK’s more important</w:t>
      </w:r>
      <w:r>
        <w:rPr>
          <w:spacing w:val="-7"/>
        </w:rPr>
        <w:t> </w:t>
      </w:r>
      <w:r>
        <w:rPr/>
        <w:t>trading</w:t>
      </w:r>
      <w:r>
        <w:rPr>
          <w:spacing w:val="-9"/>
        </w:rPr>
        <w:t> </w:t>
      </w:r>
      <w:r>
        <w:rPr/>
        <w:t>partners</w:t>
      </w:r>
      <w:r>
        <w:rPr>
          <w:spacing w:val="-7"/>
        </w:rPr>
        <w:t> </w:t>
      </w:r>
      <w:r>
        <w:rPr/>
        <w:t>(such</w:t>
      </w:r>
      <w:r>
        <w:rPr>
          <w:spacing w:val="-8"/>
        </w:rPr>
        <w:t> </w:t>
      </w:r>
      <w:r>
        <w:rPr/>
        <w:t>as</w:t>
      </w:r>
      <w:r>
        <w:rPr>
          <w:spacing w:val="-7"/>
        </w:rPr>
        <w:t> </w:t>
      </w:r>
      <w:r>
        <w:rPr/>
        <w:t>Germany)</w:t>
      </w:r>
      <w:r>
        <w:rPr>
          <w:spacing w:val="-8"/>
        </w:rPr>
        <w:t> </w:t>
      </w:r>
      <w:r>
        <w:rPr/>
        <w:t>may</w:t>
      </w:r>
      <w:r>
        <w:rPr>
          <w:spacing w:val="-7"/>
        </w:rPr>
        <w:t> </w:t>
      </w:r>
      <w:r>
        <w:rPr/>
        <w:t>have</w:t>
      </w:r>
      <w:r>
        <w:rPr>
          <w:spacing w:val="-8"/>
        </w:rPr>
        <w:t> </w:t>
      </w:r>
      <w:r>
        <w:rPr/>
        <w:t>some</w:t>
      </w:r>
      <w:r>
        <w:rPr>
          <w:spacing w:val="-8"/>
        </w:rPr>
        <w:t> </w:t>
      </w:r>
      <w:r>
        <w:rPr/>
        <w:t>small</w:t>
      </w:r>
      <w:r>
        <w:rPr>
          <w:spacing w:val="-7"/>
        </w:rPr>
        <w:t> </w:t>
      </w:r>
      <w:r>
        <w:rPr/>
        <w:t>additional</w:t>
      </w:r>
      <w:r>
        <w:rPr>
          <w:spacing w:val="-7"/>
        </w:rPr>
        <w:t> </w:t>
      </w:r>
      <w:r>
        <w:rPr/>
        <w:t>effects</w:t>
      </w:r>
      <w:r>
        <w:rPr>
          <w:spacing w:val="-8"/>
        </w:rPr>
        <w:t> </w:t>
      </w:r>
      <w:r>
        <w:rPr/>
        <w:t>on</w:t>
      </w:r>
      <w:r>
        <w:rPr>
          <w:spacing w:val="-8"/>
        </w:rPr>
        <w:t> </w:t>
      </w:r>
      <w:r>
        <w:rPr/>
        <w:t>UK</w:t>
      </w:r>
      <w:r>
        <w:rPr>
          <w:spacing w:val="-7"/>
        </w:rPr>
        <w:t> </w:t>
      </w:r>
      <w:r>
        <w:rPr/>
        <w:t>inflation</w:t>
      </w:r>
      <w:r>
        <w:rPr>
          <w:spacing w:val="-8"/>
        </w:rPr>
        <w:t> </w:t>
      </w:r>
      <w:r>
        <w:rPr/>
        <w:t>rates. But inflation in many economies with strong ties to the UK—whether through location, colonial linkages, language, or other variables — does not exert any significant effect on UK inflation. Even key trading partners’</w:t>
      </w:r>
      <w:r>
        <w:rPr>
          <w:spacing w:val="-9"/>
        </w:rPr>
        <w:t> </w:t>
      </w:r>
      <w:r>
        <w:rPr/>
        <w:t>inflation</w:t>
      </w:r>
      <w:r>
        <w:rPr>
          <w:spacing w:val="-10"/>
        </w:rPr>
        <w:t> </w:t>
      </w:r>
      <w:r>
        <w:rPr/>
        <w:t>rates</w:t>
      </w:r>
      <w:r>
        <w:rPr>
          <w:spacing w:val="-7"/>
        </w:rPr>
        <w:t> </w:t>
      </w:r>
      <w:r>
        <w:rPr/>
        <w:t>do</w:t>
      </w:r>
      <w:r>
        <w:rPr>
          <w:spacing w:val="-8"/>
        </w:rPr>
        <w:t> </w:t>
      </w:r>
      <w:r>
        <w:rPr/>
        <w:t>not</w:t>
      </w:r>
      <w:r>
        <w:rPr>
          <w:spacing w:val="-8"/>
        </w:rPr>
        <w:t> </w:t>
      </w:r>
      <w:r>
        <w:rPr/>
        <w:t>seem</w:t>
      </w:r>
      <w:r>
        <w:rPr>
          <w:spacing w:val="-7"/>
        </w:rPr>
        <w:t> </w:t>
      </w:r>
      <w:r>
        <w:rPr/>
        <w:t>to</w:t>
      </w:r>
      <w:r>
        <w:rPr>
          <w:spacing w:val="-10"/>
        </w:rPr>
        <w:t> </w:t>
      </w:r>
      <w:r>
        <w:rPr/>
        <w:t>generate</w:t>
      </w:r>
      <w:r>
        <w:rPr>
          <w:spacing w:val="-8"/>
        </w:rPr>
        <w:t> </w:t>
      </w:r>
      <w:r>
        <w:rPr/>
        <w:t>any</w:t>
      </w:r>
      <w:r>
        <w:rPr>
          <w:spacing w:val="-9"/>
        </w:rPr>
        <w:t> </w:t>
      </w:r>
      <w:r>
        <w:rPr/>
        <w:t>consistent</w:t>
      </w:r>
      <w:r>
        <w:rPr>
          <w:spacing w:val="-9"/>
        </w:rPr>
        <w:t> </w:t>
      </w:r>
      <w:r>
        <w:rPr/>
        <w:t>and</w:t>
      </w:r>
      <w:r>
        <w:rPr>
          <w:spacing w:val="-8"/>
        </w:rPr>
        <w:t> </w:t>
      </w:r>
      <w:r>
        <w:rPr/>
        <w:t>significant</w:t>
      </w:r>
      <w:r>
        <w:rPr>
          <w:spacing w:val="-10"/>
        </w:rPr>
        <w:t> </w:t>
      </w:r>
      <w:r>
        <w:rPr/>
        <w:t>spillovers</w:t>
      </w:r>
      <w:r>
        <w:rPr>
          <w:spacing w:val="-7"/>
        </w:rPr>
        <w:t> </w:t>
      </w:r>
      <w:r>
        <w:rPr/>
        <w:t>to</w:t>
      </w:r>
      <w:r>
        <w:rPr>
          <w:spacing w:val="-9"/>
        </w:rPr>
        <w:t> </w:t>
      </w:r>
      <w:r>
        <w:rPr/>
        <w:t>UK</w:t>
      </w:r>
      <w:r>
        <w:rPr>
          <w:spacing w:val="-8"/>
        </w:rPr>
        <w:t> </w:t>
      </w:r>
      <w:r>
        <w:rPr/>
        <w:t>core</w:t>
      </w:r>
      <w:r>
        <w:rPr>
          <w:spacing w:val="-9"/>
        </w:rPr>
        <w:t> </w:t>
      </w:r>
      <w:r>
        <w:rPr/>
        <w:t>inflation rates.</w:t>
      </w:r>
    </w:p>
    <w:p>
      <w:pPr>
        <w:pStyle w:val="BodyText"/>
        <w:spacing w:before="5"/>
        <w:rPr>
          <w:sz w:val="27"/>
        </w:rPr>
      </w:pPr>
    </w:p>
    <w:p>
      <w:pPr>
        <w:pStyle w:val="BodyText"/>
        <w:spacing w:line="355" w:lineRule="auto" w:before="1"/>
        <w:ind w:left="386"/>
      </w:pPr>
      <w:r>
        <w:rPr/>
        <w:t>The</w:t>
      </w:r>
      <w:r>
        <w:rPr>
          <w:spacing w:val="-9"/>
        </w:rPr>
        <w:t> </w:t>
      </w:r>
      <w:r>
        <w:rPr/>
        <w:t>past</w:t>
      </w:r>
      <w:r>
        <w:rPr>
          <w:spacing w:val="-8"/>
        </w:rPr>
        <w:t> </w:t>
      </w:r>
      <w:r>
        <w:rPr/>
        <w:t>few</w:t>
      </w:r>
      <w:r>
        <w:rPr>
          <w:spacing w:val="-9"/>
        </w:rPr>
        <w:t> </w:t>
      </w:r>
      <w:r>
        <w:rPr/>
        <w:t>years—from</w:t>
      </w:r>
      <w:r>
        <w:rPr>
          <w:spacing w:val="-8"/>
        </w:rPr>
        <w:t> </w:t>
      </w:r>
      <w:r>
        <w:rPr/>
        <w:t>the</w:t>
      </w:r>
      <w:r>
        <w:rPr>
          <w:spacing w:val="-8"/>
        </w:rPr>
        <w:t> </w:t>
      </w:r>
      <w:r>
        <w:rPr/>
        <w:t>global</w:t>
      </w:r>
      <w:r>
        <w:rPr>
          <w:spacing w:val="-8"/>
        </w:rPr>
        <w:t> </w:t>
      </w:r>
      <w:r>
        <w:rPr/>
        <w:t>financial</w:t>
      </w:r>
      <w:r>
        <w:rPr>
          <w:spacing w:val="-8"/>
        </w:rPr>
        <w:t> </w:t>
      </w:r>
      <w:r>
        <w:rPr/>
        <w:t>crisis,</w:t>
      </w:r>
      <w:r>
        <w:rPr>
          <w:spacing w:val="-8"/>
        </w:rPr>
        <w:t> </w:t>
      </w:r>
      <w:r>
        <w:rPr/>
        <w:t>to</w:t>
      </w:r>
      <w:r>
        <w:rPr>
          <w:spacing w:val="-9"/>
        </w:rPr>
        <w:t> </w:t>
      </w:r>
      <w:r>
        <w:rPr/>
        <w:t>a</w:t>
      </w:r>
      <w:r>
        <w:rPr>
          <w:spacing w:val="-8"/>
        </w:rPr>
        <w:t> </w:t>
      </w:r>
      <w:r>
        <w:rPr/>
        <w:t>sharp</w:t>
      </w:r>
      <w:r>
        <w:rPr>
          <w:spacing w:val="-8"/>
        </w:rPr>
        <w:t> </w:t>
      </w:r>
      <w:r>
        <w:rPr/>
        <w:t>recession,</w:t>
      </w:r>
      <w:r>
        <w:rPr>
          <w:spacing w:val="-7"/>
        </w:rPr>
        <w:t> </w:t>
      </w:r>
      <w:r>
        <w:rPr/>
        <w:t>to</w:t>
      </w:r>
      <w:r>
        <w:rPr>
          <w:spacing w:val="-9"/>
        </w:rPr>
        <w:t> </w:t>
      </w:r>
      <w:r>
        <w:rPr/>
        <w:t>the</w:t>
      </w:r>
      <w:r>
        <w:rPr>
          <w:spacing w:val="-9"/>
        </w:rPr>
        <w:t> </w:t>
      </w:r>
      <w:r>
        <w:rPr/>
        <w:t>rapid</w:t>
      </w:r>
      <w:r>
        <w:rPr>
          <w:spacing w:val="-8"/>
        </w:rPr>
        <w:t> </w:t>
      </w:r>
      <w:r>
        <w:rPr/>
        <w:t>depreciation</w:t>
      </w:r>
      <w:r>
        <w:rPr>
          <w:spacing w:val="-9"/>
        </w:rPr>
        <w:t> </w:t>
      </w:r>
      <w:r>
        <w:rPr/>
        <w:t>and</w:t>
      </w:r>
      <w:r>
        <w:rPr>
          <w:spacing w:val="-8"/>
        </w:rPr>
        <w:t> </w:t>
      </w:r>
      <w:r>
        <w:rPr/>
        <w:t>then appreciation</w:t>
      </w:r>
      <w:r>
        <w:rPr>
          <w:spacing w:val="-8"/>
        </w:rPr>
        <w:t> </w:t>
      </w:r>
      <w:r>
        <w:rPr/>
        <w:t>of</w:t>
      </w:r>
      <w:r>
        <w:rPr>
          <w:spacing w:val="-6"/>
        </w:rPr>
        <w:t> </w:t>
      </w:r>
      <w:r>
        <w:rPr/>
        <w:t>sterling,</w:t>
      </w:r>
      <w:r>
        <w:rPr>
          <w:spacing w:val="-9"/>
        </w:rPr>
        <w:t> </w:t>
      </w:r>
      <w:r>
        <w:rPr/>
        <w:t>to</w:t>
      </w:r>
      <w:r>
        <w:rPr>
          <w:spacing w:val="-9"/>
        </w:rPr>
        <w:t> </w:t>
      </w:r>
      <w:r>
        <w:rPr/>
        <w:t>the</w:t>
      </w:r>
      <w:r>
        <w:rPr>
          <w:spacing w:val="-8"/>
        </w:rPr>
        <w:t> </w:t>
      </w:r>
      <w:r>
        <w:rPr/>
        <w:t>collapse</w:t>
      </w:r>
      <w:r>
        <w:rPr>
          <w:spacing w:val="-7"/>
        </w:rPr>
        <w:t> </w:t>
      </w:r>
      <w:r>
        <w:rPr/>
        <w:t>in</w:t>
      </w:r>
      <w:r>
        <w:rPr>
          <w:spacing w:val="-8"/>
        </w:rPr>
        <w:t> </w:t>
      </w:r>
      <w:r>
        <w:rPr/>
        <w:t>global</w:t>
      </w:r>
      <w:r>
        <w:rPr>
          <w:spacing w:val="-7"/>
        </w:rPr>
        <w:t> </w:t>
      </w:r>
      <w:r>
        <w:rPr/>
        <w:t>oil</w:t>
      </w:r>
      <w:r>
        <w:rPr>
          <w:spacing w:val="-8"/>
        </w:rPr>
        <w:t> </w:t>
      </w:r>
      <w:r>
        <w:rPr/>
        <w:t>prices—have</w:t>
      </w:r>
      <w:r>
        <w:rPr>
          <w:spacing w:val="-8"/>
        </w:rPr>
        <w:t> </w:t>
      </w:r>
      <w:r>
        <w:rPr/>
        <w:t>been</w:t>
      </w:r>
      <w:r>
        <w:rPr>
          <w:spacing w:val="-8"/>
        </w:rPr>
        <w:t> </w:t>
      </w:r>
      <w:r>
        <w:rPr/>
        <w:t>as</w:t>
      </w:r>
      <w:r>
        <w:rPr>
          <w:spacing w:val="-7"/>
        </w:rPr>
        <w:t> </w:t>
      </w:r>
      <w:r>
        <w:rPr/>
        <w:t>tumultuous</w:t>
      </w:r>
      <w:r>
        <w:rPr>
          <w:spacing w:val="-7"/>
        </w:rPr>
        <w:t> </w:t>
      </w:r>
      <w:r>
        <w:rPr/>
        <w:t>for</w:t>
      </w:r>
      <w:r>
        <w:rPr>
          <w:spacing w:val="-7"/>
        </w:rPr>
        <w:t> </w:t>
      </w:r>
      <w:r>
        <w:rPr/>
        <w:t>UK</w:t>
      </w:r>
      <w:r>
        <w:rPr>
          <w:spacing w:val="-8"/>
        </w:rPr>
        <w:t> </w:t>
      </w:r>
      <w:r>
        <w:rPr/>
        <w:t>inflation</w:t>
      </w:r>
      <w:r>
        <w:rPr>
          <w:spacing w:val="-8"/>
        </w:rPr>
        <w:t> </w:t>
      </w:r>
      <w:r>
        <w:rPr/>
        <w:t>as</w:t>
      </w:r>
      <w:r>
        <w:rPr>
          <w:spacing w:val="-7"/>
        </w:rPr>
        <w:t> </w:t>
      </w:r>
      <w:r>
        <w:rPr/>
        <w:t>the</w:t>
      </w:r>
    </w:p>
    <w:p>
      <w:pPr>
        <w:spacing w:after="0" w:line="355" w:lineRule="auto"/>
        <w:sectPr>
          <w:pgSz w:w="12240" w:h="15840"/>
          <w:pgMar w:header="0" w:footer="1240" w:top="1440" w:bottom="1440" w:left="1200" w:right="1060"/>
        </w:sectPr>
      </w:pPr>
    </w:p>
    <w:p>
      <w:pPr>
        <w:pStyle w:val="BodyText"/>
        <w:spacing w:line="357" w:lineRule="auto" w:before="79"/>
        <w:ind w:left="386" w:right="543"/>
      </w:pPr>
      <w:r>
        <w:rPr/>
        <w:t>cyclone that whisked Dorothy to the land of Oz. Just as Dorothy had to continually watch for traps and witches</w:t>
      </w:r>
      <w:r>
        <w:rPr>
          <w:spacing w:val="-7"/>
        </w:rPr>
        <w:t> </w:t>
      </w:r>
      <w:r>
        <w:rPr/>
        <w:t>while</w:t>
      </w:r>
      <w:r>
        <w:rPr>
          <w:spacing w:val="-8"/>
        </w:rPr>
        <w:t> </w:t>
      </w:r>
      <w:r>
        <w:rPr/>
        <w:t>following</w:t>
      </w:r>
      <w:r>
        <w:rPr>
          <w:spacing w:val="-8"/>
        </w:rPr>
        <w:t> </w:t>
      </w:r>
      <w:r>
        <w:rPr/>
        <w:t>her</w:t>
      </w:r>
      <w:r>
        <w:rPr>
          <w:spacing w:val="-8"/>
        </w:rPr>
        <w:t> </w:t>
      </w:r>
      <w:r>
        <w:rPr/>
        <w:t>yellow</w:t>
      </w:r>
      <w:r>
        <w:rPr>
          <w:spacing w:val="-9"/>
        </w:rPr>
        <w:t> </w:t>
      </w:r>
      <w:r>
        <w:rPr/>
        <w:t>brick</w:t>
      </w:r>
      <w:r>
        <w:rPr>
          <w:spacing w:val="-7"/>
        </w:rPr>
        <w:t> </w:t>
      </w:r>
      <w:r>
        <w:rPr/>
        <w:t>road,</w:t>
      </w:r>
      <w:r>
        <w:rPr>
          <w:spacing w:val="-8"/>
        </w:rPr>
        <w:t> </w:t>
      </w:r>
      <w:r>
        <w:rPr/>
        <w:t>we</w:t>
      </w:r>
      <w:r>
        <w:rPr>
          <w:spacing w:val="-8"/>
        </w:rPr>
        <w:t> </w:t>
      </w:r>
      <w:r>
        <w:rPr/>
        <w:t>are</w:t>
      </w:r>
      <w:r>
        <w:rPr>
          <w:spacing w:val="-8"/>
        </w:rPr>
        <w:t> </w:t>
      </w:r>
      <w:r>
        <w:rPr/>
        <w:t>also</w:t>
      </w:r>
      <w:r>
        <w:rPr>
          <w:spacing w:val="-8"/>
        </w:rPr>
        <w:t> </w:t>
      </w:r>
      <w:r>
        <w:rPr/>
        <w:t>continually</w:t>
      </w:r>
      <w:r>
        <w:rPr>
          <w:spacing w:val="-8"/>
        </w:rPr>
        <w:t> </w:t>
      </w:r>
      <w:r>
        <w:rPr/>
        <w:t>assessing</w:t>
      </w:r>
      <w:r>
        <w:rPr>
          <w:spacing w:val="-8"/>
        </w:rPr>
        <w:t> </w:t>
      </w:r>
      <w:r>
        <w:rPr/>
        <w:t>risks</w:t>
      </w:r>
      <w:r>
        <w:rPr>
          <w:spacing w:val="-8"/>
        </w:rPr>
        <w:t> </w:t>
      </w:r>
      <w:r>
        <w:rPr/>
        <w:t>and</w:t>
      </w:r>
      <w:r>
        <w:rPr>
          <w:spacing w:val="-8"/>
        </w:rPr>
        <w:t> </w:t>
      </w:r>
      <w:r>
        <w:rPr/>
        <w:t>ready</w:t>
      </w:r>
      <w:r>
        <w:rPr>
          <w:spacing w:val="-8"/>
        </w:rPr>
        <w:t> </w:t>
      </w:r>
      <w:r>
        <w:rPr/>
        <w:t>to</w:t>
      </w:r>
      <w:r>
        <w:rPr>
          <w:spacing w:val="-8"/>
        </w:rPr>
        <w:t> </w:t>
      </w:r>
      <w:r>
        <w:rPr/>
        <w:t>respond</w:t>
      </w:r>
      <w:r>
        <w:rPr>
          <w:spacing w:val="-8"/>
        </w:rPr>
        <w:t> </w:t>
      </w:r>
      <w:r>
        <w:rPr/>
        <w:t>to surprises.</w:t>
      </w:r>
      <w:r>
        <w:rPr>
          <w:spacing w:val="-8"/>
        </w:rPr>
        <w:t> </w:t>
      </w:r>
      <w:r>
        <w:rPr/>
        <w:t>But</w:t>
      </w:r>
      <w:r>
        <w:rPr>
          <w:spacing w:val="-9"/>
        </w:rPr>
        <w:t> </w:t>
      </w:r>
      <w:r>
        <w:rPr/>
        <w:t>this</w:t>
      </w:r>
      <w:r>
        <w:rPr>
          <w:spacing w:val="-8"/>
        </w:rPr>
        <w:t> </w:t>
      </w:r>
      <w:r>
        <w:rPr/>
        <w:t>analysis</w:t>
      </w:r>
      <w:r>
        <w:rPr>
          <w:spacing w:val="-8"/>
        </w:rPr>
        <w:t> </w:t>
      </w:r>
      <w:r>
        <w:rPr/>
        <w:t>suggests</w:t>
      </w:r>
      <w:r>
        <w:rPr>
          <w:spacing w:val="-9"/>
        </w:rPr>
        <w:t> </w:t>
      </w:r>
      <w:r>
        <w:rPr/>
        <w:t>that</w:t>
      </w:r>
      <w:r>
        <w:rPr>
          <w:spacing w:val="-8"/>
        </w:rPr>
        <w:t> </w:t>
      </w:r>
      <w:r>
        <w:rPr/>
        <w:t>transitory</w:t>
      </w:r>
      <w:r>
        <w:rPr>
          <w:spacing w:val="-9"/>
        </w:rPr>
        <w:t> </w:t>
      </w:r>
      <w:r>
        <w:rPr/>
        <w:t>factors</w:t>
      </w:r>
      <w:r>
        <w:rPr>
          <w:spacing w:val="-7"/>
        </w:rPr>
        <w:t> </w:t>
      </w:r>
      <w:r>
        <w:rPr/>
        <w:t>have</w:t>
      </w:r>
      <w:r>
        <w:rPr>
          <w:spacing w:val="-8"/>
        </w:rPr>
        <w:t> </w:t>
      </w:r>
      <w:r>
        <w:rPr/>
        <w:t>driven</w:t>
      </w:r>
      <w:r>
        <w:rPr>
          <w:spacing w:val="-9"/>
        </w:rPr>
        <w:t> </w:t>
      </w:r>
      <w:r>
        <w:rPr/>
        <w:t>most</w:t>
      </w:r>
      <w:r>
        <w:rPr>
          <w:spacing w:val="-7"/>
        </w:rPr>
        <w:t> </w:t>
      </w:r>
      <w:r>
        <w:rPr/>
        <w:t>of</w:t>
      </w:r>
      <w:r>
        <w:rPr>
          <w:spacing w:val="-8"/>
        </w:rPr>
        <w:t> </w:t>
      </w:r>
      <w:r>
        <w:rPr/>
        <w:t>the</w:t>
      </w:r>
      <w:r>
        <w:rPr>
          <w:spacing w:val="-9"/>
        </w:rPr>
        <w:t> </w:t>
      </w:r>
      <w:r>
        <w:rPr/>
        <w:t>recent</w:t>
      </w:r>
      <w:r>
        <w:rPr>
          <w:spacing w:val="-9"/>
        </w:rPr>
        <w:t> </w:t>
      </w:r>
      <w:r>
        <w:rPr/>
        <w:t>fall</w:t>
      </w:r>
      <w:r>
        <w:rPr>
          <w:spacing w:val="-8"/>
        </w:rPr>
        <w:t> </w:t>
      </w:r>
      <w:r>
        <w:rPr/>
        <w:t>in</w:t>
      </w:r>
      <w:r>
        <w:rPr>
          <w:spacing w:val="-9"/>
        </w:rPr>
        <w:t> </w:t>
      </w:r>
      <w:r>
        <w:rPr/>
        <w:t>inflation,</w:t>
      </w:r>
      <w:r>
        <w:rPr>
          <w:spacing w:val="-8"/>
        </w:rPr>
        <w:t> </w:t>
      </w:r>
      <w:r>
        <w:rPr/>
        <w:t>and there is no evidence that second-round effects or low global inflation are currently providing any substantive additional drags. Most important, inflation appears to be on track to rebound toward target without any need for assistance from wizards or magic</w:t>
      </w:r>
      <w:r>
        <w:rPr>
          <w:spacing w:val="-6"/>
        </w:rPr>
        <w:t> </w:t>
      </w:r>
      <w:r>
        <w:rPr/>
        <w:t>slippers.</w:t>
      </w:r>
    </w:p>
    <w:p>
      <w:pPr>
        <w:spacing w:after="0" w:line="357" w:lineRule="auto"/>
        <w:sectPr>
          <w:pgSz w:w="12240" w:h="15840"/>
          <w:pgMar w:header="0" w:footer="1240" w:top="1440" w:bottom="1440" w:left="1200" w:right="1060"/>
        </w:sectPr>
      </w:pPr>
    </w:p>
    <w:p>
      <w:pPr>
        <w:spacing w:before="87"/>
        <w:ind w:left="386" w:right="0" w:firstLine="0"/>
        <w:jc w:val="left"/>
        <w:rPr>
          <w:b/>
          <w:sz w:val="22"/>
        </w:rPr>
      </w:pPr>
      <w:r>
        <w:rPr>
          <w:b/>
          <w:w w:val="105"/>
          <w:sz w:val="22"/>
        </w:rPr>
        <w:t>References</w:t>
      </w:r>
    </w:p>
    <w:p>
      <w:pPr>
        <w:pStyle w:val="BodyText"/>
        <w:rPr>
          <w:b/>
          <w:sz w:val="31"/>
        </w:rPr>
      </w:pPr>
    </w:p>
    <w:p>
      <w:pPr>
        <w:spacing w:line="237" w:lineRule="auto" w:before="0"/>
        <w:ind w:left="386" w:right="1078" w:firstLine="0"/>
        <w:jc w:val="left"/>
        <w:rPr>
          <w:sz w:val="19"/>
        </w:rPr>
      </w:pPr>
      <w:r>
        <w:rPr>
          <w:sz w:val="19"/>
        </w:rPr>
        <w:t>Bachmann,</w:t>
      </w:r>
      <w:r>
        <w:rPr>
          <w:spacing w:val="-11"/>
          <w:sz w:val="19"/>
        </w:rPr>
        <w:t> </w:t>
      </w:r>
      <w:r>
        <w:rPr>
          <w:sz w:val="19"/>
        </w:rPr>
        <w:t>Rudiger,</w:t>
      </w:r>
      <w:r>
        <w:rPr>
          <w:spacing w:val="-10"/>
          <w:sz w:val="19"/>
        </w:rPr>
        <w:t> </w:t>
      </w:r>
      <w:r>
        <w:rPr>
          <w:sz w:val="19"/>
        </w:rPr>
        <w:t>Tim</w:t>
      </w:r>
      <w:r>
        <w:rPr>
          <w:spacing w:val="-11"/>
          <w:sz w:val="19"/>
        </w:rPr>
        <w:t> </w:t>
      </w:r>
      <w:r>
        <w:rPr>
          <w:sz w:val="19"/>
        </w:rPr>
        <w:t>Berg,</w:t>
      </w:r>
      <w:r>
        <w:rPr>
          <w:spacing w:val="-10"/>
          <w:sz w:val="19"/>
        </w:rPr>
        <w:t> </w:t>
      </w:r>
      <w:r>
        <w:rPr>
          <w:sz w:val="19"/>
        </w:rPr>
        <w:t>and</w:t>
      </w:r>
      <w:r>
        <w:rPr>
          <w:spacing w:val="-10"/>
          <w:sz w:val="19"/>
        </w:rPr>
        <w:t> </w:t>
      </w:r>
      <w:r>
        <w:rPr>
          <w:sz w:val="19"/>
        </w:rPr>
        <w:t>Eric</w:t>
      </w:r>
      <w:r>
        <w:rPr>
          <w:spacing w:val="-11"/>
          <w:sz w:val="19"/>
        </w:rPr>
        <w:t> </w:t>
      </w:r>
      <w:r>
        <w:rPr>
          <w:sz w:val="19"/>
        </w:rPr>
        <w:t>Sims</w:t>
      </w:r>
      <w:r>
        <w:rPr>
          <w:spacing w:val="-10"/>
          <w:sz w:val="19"/>
        </w:rPr>
        <w:t> </w:t>
      </w:r>
      <w:r>
        <w:rPr>
          <w:sz w:val="19"/>
        </w:rPr>
        <w:t>(2015).</w:t>
      </w:r>
      <w:r>
        <w:rPr>
          <w:spacing w:val="-10"/>
          <w:sz w:val="19"/>
        </w:rPr>
        <w:t> </w:t>
      </w:r>
      <w:r>
        <w:rPr>
          <w:sz w:val="19"/>
        </w:rPr>
        <w:t>“Inflation</w:t>
      </w:r>
      <w:r>
        <w:rPr>
          <w:spacing w:val="-10"/>
          <w:sz w:val="19"/>
        </w:rPr>
        <w:t> </w:t>
      </w:r>
      <w:r>
        <w:rPr>
          <w:sz w:val="19"/>
        </w:rPr>
        <w:t>Expectations</w:t>
      </w:r>
      <w:r>
        <w:rPr>
          <w:spacing w:val="-9"/>
          <w:sz w:val="19"/>
        </w:rPr>
        <w:t> </w:t>
      </w:r>
      <w:r>
        <w:rPr>
          <w:sz w:val="19"/>
        </w:rPr>
        <w:t>and</w:t>
      </w:r>
      <w:r>
        <w:rPr>
          <w:spacing w:val="-10"/>
          <w:sz w:val="19"/>
        </w:rPr>
        <w:t> </w:t>
      </w:r>
      <w:r>
        <w:rPr>
          <w:sz w:val="19"/>
        </w:rPr>
        <w:t>Readiness</w:t>
      </w:r>
      <w:r>
        <w:rPr>
          <w:spacing w:val="-10"/>
          <w:sz w:val="19"/>
        </w:rPr>
        <w:t> </w:t>
      </w:r>
      <w:r>
        <w:rPr>
          <w:sz w:val="19"/>
        </w:rPr>
        <w:t>to</w:t>
      </w:r>
      <w:r>
        <w:rPr>
          <w:spacing w:val="-11"/>
          <w:sz w:val="19"/>
        </w:rPr>
        <w:t> </w:t>
      </w:r>
      <w:r>
        <w:rPr>
          <w:sz w:val="19"/>
        </w:rPr>
        <w:t>Spend: Cross-Sectional Evidence.” </w:t>
      </w:r>
      <w:r>
        <w:rPr>
          <w:i/>
          <w:sz w:val="19"/>
        </w:rPr>
        <w:t>American Economic Journal: Economic Policy, </w:t>
      </w:r>
      <w:r>
        <w:rPr>
          <w:sz w:val="19"/>
        </w:rPr>
        <w:t>7(1):</w:t>
      </w:r>
      <w:r>
        <w:rPr>
          <w:spacing w:val="-28"/>
          <w:sz w:val="19"/>
        </w:rPr>
        <w:t> </w:t>
      </w:r>
      <w:r>
        <w:rPr>
          <w:sz w:val="19"/>
        </w:rPr>
        <w:t>1-35.</w:t>
      </w:r>
    </w:p>
    <w:p>
      <w:pPr>
        <w:pStyle w:val="BodyText"/>
        <w:spacing w:before="5"/>
      </w:pPr>
    </w:p>
    <w:p>
      <w:pPr>
        <w:spacing w:before="0"/>
        <w:ind w:left="386" w:right="0" w:firstLine="0"/>
        <w:jc w:val="left"/>
        <w:rPr>
          <w:sz w:val="19"/>
        </w:rPr>
      </w:pPr>
      <w:r>
        <w:rPr>
          <w:sz w:val="19"/>
        </w:rPr>
        <w:t>Bank of England (2015). </w:t>
      </w:r>
      <w:r>
        <w:rPr>
          <w:i/>
          <w:sz w:val="19"/>
        </w:rPr>
        <w:t>Inflation Report. </w:t>
      </w:r>
      <w:r>
        <w:rPr>
          <w:sz w:val="19"/>
        </w:rPr>
        <w:t>May.</w:t>
      </w:r>
    </w:p>
    <w:p>
      <w:pPr>
        <w:pStyle w:val="BodyText"/>
        <w:spacing w:before="6"/>
      </w:pPr>
    </w:p>
    <w:p>
      <w:pPr>
        <w:pStyle w:val="BodyText"/>
        <w:ind w:left="386" w:right="533"/>
      </w:pPr>
      <w:r>
        <w:rPr/>
        <w:t>Blanchard,</w:t>
      </w:r>
      <w:r>
        <w:rPr>
          <w:spacing w:val="-12"/>
        </w:rPr>
        <w:t> </w:t>
      </w:r>
      <w:r>
        <w:rPr/>
        <w:t>Olivier,</w:t>
      </w:r>
      <w:r>
        <w:rPr>
          <w:spacing w:val="-11"/>
        </w:rPr>
        <w:t> </w:t>
      </w:r>
      <w:r>
        <w:rPr/>
        <w:t>Eugenio</w:t>
      </w:r>
      <w:r>
        <w:rPr>
          <w:spacing w:val="-11"/>
        </w:rPr>
        <w:t> </w:t>
      </w:r>
      <w:r>
        <w:rPr/>
        <w:t>Cerutti</w:t>
      </w:r>
      <w:r>
        <w:rPr>
          <w:spacing w:val="-11"/>
        </w:rPr>
        <w:t> </w:t>
      </w:r>
      <w:r>
        <w:rPr/>
        <w:t>and</w:t>
      </w:r>
      <w:r>
        <w:rPr>
          <w:spacing w:val="-12"/>
        </w:rPr>
        <w:t> </w:t>
      </w:r>
      <w:r>
        <w:rPr/>
        <w:t>Lawrence</w:t>
      </w:r>
      <w:r>
        <w:rPr>
          <w:spacing w:val="-12"/>
        </w:rPr>
        <w:t> </w:t>
      </w:r>
      <w:r>
        <w:rPr/>
        <w:t>Summers</w:t>
      </w:r>
      <w:r>
        <w:rPr>
          <w:spacing w:val="-11"/>
        </w:rPr>
        <w:t> </w:t>
      </w:r>
      <w:r>
        <w:rPr/>
        <w:t>(2014).</w:t>
      </w:r>
      <w:r>
        <w:rPr>
          <w:spacing w:val="-11"/>
        </w:rPr>
        <w:t> </w:t>
      </w:r>
      <w:r>
        <w:rPr/>
        <w:t>“Inflation</w:t>
      </w:r>
      <w:r>
        <w:rPr>
          <w:spacing w:val="-12"/>
        </w:rPr>
        <w:t> </w:t>
      </w:r>
      <w:r>
        <w:rPr/>
        <w:t>and</w:t>
      </w:r>
      <w:r>
        <w:rPr>
          <w:spacing w:val="-11"/>
        </w:rPr>
        <w:t> </w:t>
      </w:r>
      <w:r>
        <w:rPr/>
        <w:t>Activity:</w:t>
      </w:r>
      <w:r>
        <w:rPr>
          <w:spacing w:val="-12"/>
        </w:rPr>
        <w:t> </w:t>
      </w:r>
      <w:r>
        <w:rPr/>
        <w:t>Two</w:t>
      </w:r>
      <w:r>
        <w:rPr>
          <w:spacing w:val="-11"/>
        </w:rPr>
        <w:t> </w:t>
      </w:r>
      <w:r>
        <w:rPr/>
        <w:t>Explorations, and</w:t>
      </w:r>
      <w:r>
        <w:rPr>
          <w:spacing w:val="-5"/>
        </w:rPr>
        <w:t> </w:t>
      </w:r>
      <w:r>
        <w:rPr/>
        <w:t>Their</w:t>
      </w:r>
      <w:r>
        <w:rPr>
          <w:spacing w:val="-5"/>
        </w:rPr>
        <w:t> </w:t>
      </w:r>
      <w:r>
        <w:rPr/>
        <w:t>Monetary</w:t>
      </w:r>
      <w:r>
        <w:rPr>
          <w:spacing w:val="-5"/>
        </w:rPr>
        <w:t> </w:t>
      </w:r>
      <w:r>
        <w:rPr/>
        <w:t>Policy</w:t>
      </w:r>
      <w:r>
        <w:rPr>
          <w:spacing w:val="-5"/>
        </w:rPr>
        <w:t> </w:t>
      </w:r>
      <w:r>
        <w:rPr/>
        <w:t>Implications.”</w:t>
      </w:r>
      <w:r>
        <w:rPr>
          <w:spacing w:val="-6"/>
        </w:rPr>
        <w:t> </w:t>
      </w:r>
      <w:r>
        <w:rPr/>
        <w:t>Paper</w:t>
      </w:r>
      <w:r>
        <w:rPr>
          <w:spacing w:val="-5"/>
        </w:rPr>
        <w:t> </w:t>
      </w:r>
      <w:r>
        <w:rPr/>
        <w:t>presented</w:t>
      </w:r>
      <w:r>
        <w:rPr>
          <w:spacing w:val="-5"/>
        </w:rPr>
        <w:t> </w:t>
      </w:r>
      <w:r>
        <w:rPr/>
        <w:t>at</w:t>
      </w:r>
      <w:r>
        <w:rPr>
          <w:spacing w:val="-5"/>
        </w:rPr>
        <w:t> </w:t>
      </w:r>
      <w:r>
        <w:rPr>
          <w:i/>
        </w:rPr>
        <w:t>ECB</w:t>
      </w:r>
      <w:r>
        <w:rPr>
          <w:i/>
          <w:spacing w:val="-7"/>
        </w:rPr>
        <w:t> </w:t>
      </w:r>
      <w:r>
        <w:rPr>
          <w:i/>
        </w:rPr>
        <w:t>Forum</w:t>
      </w:r>
      <w:r>
        <w:rPr>
          <w:i/>
          <w:spacing w:val="-6"/>
        </w:rPr>
        <w:t> </w:t>
      </w:r>
      <w:r>
        <w:rPr>
          <w:i/>
        </w:rPr>
        <w:t>on</w:t>
      </w:r>
      <w:r>
        <w:rPr>
          <w:i/>
          <w:spacing w:val="-6"/>
        </w:rPr>
        <w:t> </w:t>
      </w:r>
      <w:r>
        <w:rPr>
          <w:i/>
        </w:rPr>
        <w:t>Central</w:t>
      </w:r>
      <w:r>
        <w:rPr>
          <w:i/>
          <w:spacing w:val="-4"/>
        </w:rPr>
        <w:t> </w:t>
      </w:r>
      <w:r>
        <w:rPr>
          <w:i/>
        </w:rPr>
        <w:t>Banking,</w:t>
      </w:r>
      <w:r>
        <w:rPr>
          <w:i/>
          <w:spacing w:val="-2"/>
        </w:rPr>
        <w:t> </w:t>
      </w:r>
      <w:r>
        <w:rPr/>
        <w:t>May.</w:t>
      </w:r>
    </w:p>
    <w:p>
      <w:pPr>
        <w:pStyle w:val="BodyText"/>
        <w:spacing w:before="5"/>
      </w:pPr>
    </w:p>
    <w:p>
      <w:pPr>
        <w:pStyle w:val="BodyText"/>
        <w:spacing w:line="237" w:lineRule="auto"/>
        <w:ind w:left="386"/>
      </w:pPr>
      <w:r>
        <w:rPr/>
        <w:t>Borio,</w:t>
      </w:r>
      <w:r>
        <w:rPr>
          <w:spacing w:val="-9"/>
        </w:rPr>
        <w:t> </w:t>
      </w:r>
      <w:r>
        <w:rPr/>
        <w:t>Claudio,</w:t>
      </w:r>
      <w:r>
        <w:rPr>
          <w:spacing w:val="-8"/>
        </w:rPr>
        <w:t> </w:t>
      </w:r>
      <w:r>
        <w:rPr/>
        <w:t>Magdalena</w:t>
      </w:r>
      <w:r>
        <w:rPr>
          <w:spacing w:val="-9"/>
        </w:rPr>
        <w:t> </w:t>
      </w:r>
      <w:r>
        <w:rPr/>
        <w:t>Erdem,</w:t>
      </w:r>
      <w:r>
        <w:rPr>
          <w:spacing w:val="-9"/>
        </w:rPr>
        <w:t> </w:t>
      </w:r>
      <w:r>
        <w:rPr/>
        <w:t>Andrew</w:t>
      </w:r>
      <w:r>
        <w:rPr>
          <w:spacing w:val="-11"/>
        </w:rPr>
        <w:t> </w:t>
      </w:r>
      <w:r>
        <w:rPr/>
        <w:t>Filardo,</w:t>
      </w:r>
      <w:r>
        <w:rPr>
          <w:spacing w:val="-8"/>
        </w:rPr>
        <w:t> </w:t>
      </w:r>
      <w:r>
        <w:rPr/>
        <w:t>and</w:t>
      </w:r>
      <w:r>
        <w:rPr>
          <w:spacing w:val="-9"/>
        </w:rPr>
        <w:t> </w:t>
      </w:r>
      <w:r>
        <w:rPr/>
        <w:t>Borris</w:t>
      </w:r>
      <w:r>
        <w:rPr>
          <w:spacing w:val="-9"/>
        </w:rPr>
        <w:t> </w:t>
      </w:r>
      <w:r>
        <w:rPr/>
        <w:t>Hofmann</w:t>
      </w:r>
      <w:r>
        <w:rPr>
          <w:spacing w:val="-11"/>
        </w:rPr>
        <w:t> </w:t>
      </w:r>
      <w:r>
        <w:rPr/>
        <w:t>(2015).</w:t>
      </w:r>
      <w:r>
        <w:rPr>
          <w:spacing w:val="-10"/>
        </w:rPr>
        <w:t> </w:t>
      </w:r>
      <w:r>
        <w:rPr/>
        <w:t>“The</w:t>
      </w:r>
      <w:r>
        <w:rPr>
          <w:spacing w:val="-10"/>
        </w:rPr>
        <w:t> </w:t>
      </w:r>
      <w:r>
        <w:rPr/>
        <w:t>Costs</w:t>
      </w:r>
      <w:r>
        <w:rPr>
          <w:spacing w:val="-9"/>
        </w:rPr>
        <w:t> </w:t>
      </w:r>
      <w:r>
        <w:rPr/>
        <w:t>of</w:t>
      </w:r>
      <w:r>
        <w:rPr>
          <w:spacing w:val="-9"/>
        </w:rPr>
        <w:t> </w:t>
      </w:r>
      <w:r>
        <w:rPr/>
        <w:t>Deflations:</w:t>
      </w:r>
      <w:r>
        <w:rPr>
          <w:spacing w:val="-10"/>
        </w:rPr>
        <w:t> </w:t>
      </w:r>
      <w:r>
        <w:rPr/>
        <w:t>A Historical perspective.” </w:t>
      </w:r>
      <w:r>
        <w:rPr>
          <w:i/>
        </w:rPr>
        <w:t>BIS Quarterly Review,</w:t>
      </w:r>
      <w:r>
        <w:rPr>
          <w:i/>
          <w:spacing w:val="-7"/>
        </w:rPr>
        <w:t> </w:t>
      </w:r>
      <w:r>
        <w:rPr/>
        <w:t>March.</w:t>
      </w:r>
    </w:p>
    <w:p>
      <w:pPr>
        <w:pStyle w:val="BodyText"/>
        <w:spacing w:before="6"/>
      </w:pPr>
    </w:p>
    <w:p>
      <w:pPr>
        <w:pStyle w:val="BodyText"/>
        <w:spacing w:line="484" w:lineRule="auto"/>
        <w:ind w:left="386" w:right="2076"/>
      </w:pPr>
      <w:r>
        <w:rPr/>
        <w:t>Broadbent, Ben (2015). “The Economics of Deflation”, Bank of England Speech, March. Carney, Mark (2015). “Writing the Path Back to Target”, Bank of England Speech, March.</w:t>
      </w:r>
    </w:p>
    <w:p>
      <w:pPr>
        <w:pStyle w:val="BodyText"/>
        <w:spacing w:before="2"/>
        <w:ind w:left="386"/>
      </w:pPr>
      <w:r>
        <w:rPr/>
        <w:t>Citibank (2015). “Is Deflation (and Low-flation) a Threat to the Recovery?” UK Economics Weekly. March 27.</w:t>
      </w:r>
    </w:p>
    <w:p>
      <w:pPr>
        <w:pStyle w:val="BodyText"/>
        <w:spacing w:before="9"/>
      </w:pPr>
    </w:p>
    <w:p>
      <w:pPr>
        <w:pStyle w:val="BodyText"/>
        <w:spacing w:line="235" w:lineRule="auto" w:before="1"/>
        <w:ind w:left="386" w:right="628"/>
      </w:pPr>
      <w:r>
        <w:rPr/>
        <w:t>Cloyne,</w:t>
      </w:r>
      <w:r>
        <w:rPr>
          <w:spacing w:val="-9"/>
        </w:rPr>
        <w:t> </w:t>
      </w:r>
      <w:r>
        <w:rPr/>
        <w:t>James,</w:t>
      </w:r>
      <w:r>
        <w:rPr>
          <w:spacing w:val="-10"/>
        </w:rPr>
        <w:t> </w:t>
      </w:r>
      <w:r>
        <w:rPr/>
        <w:t>Lena</w:t>
      </w:r>
      <w:r>
        <w:rPr>
          <w:spacing w:val="-10"/>
        </w:rPr>
        <w:t> </w:t>
      </w:r>
      <w:r>
        <w:rPr/>
        <w:t>Koeber,</w:t>
      </w:r>
      <w:r>
        <w:rPr>
          <w:spacing w:val="-9"/>
        </w:rPr>
        <w:t> </w:t>
      </w:r>
      <w:r>
        <w:rPr/>
        <w:t>Martin</w:t>
      </w:r>
      <w:r>
        <w:rPr>
          <w:spacing w:val="-11"/>
        </w:rPr>
        <w:t> </w:t>
      </w:r>
      <w:r>
        <w:rPr/>
        <w:t>Weale,</w:t>
      </w:r>
      <w:r>
        <w:rPr>
          <w:spacing w:val="-8"/>
        </w:rPr>
        <w:t> </w:t>
      </w:r>
      <w:r>
        <w:rPr/>
        <w:t>and</w:t>
      </w:r>
      <w:r>
        <w:rPr>
          <w:spacing w:val="-10"/>
        </w:rPr>
        <w:t> </w:t>
      </w:r>
      <w:r>
        <w:rPr/>
        <w:t>Tomasz</w:t>
      </w:r>
      <w:r>
        <w:rPr>
          <w:spacing w:val="-9"/>
        </w:rPr>
        <w:t> </w:t>
      </w:r>
      <w:r>
        <w:rPr/>
        <w:t>Wieladek</w:t>
      </w:r>
      <w:r>
        <w:rPr>
          <w:spacing w:val="-8"/>
        </w:rPr>
        <w:t> </w:t>
      </w:r>
      <w:r>
        <w:rPr/>
        <w:t>(2015),</w:t>
      </w:r>
      <w:r>
        <w:rPr>
          <w:spacing w:val="-9"/>
        </w:rPr>
        <w:t> </w:t>
      </w:r>
      <w:r>
        <w:rPr/>
        <w:t>‘Firms’</w:t>
      </w:r>
      <w:r>
        <w:rPr>
          <w:spacing w:val="-9"/>
        </w:rPr>
        <w:t> </w:t>
      </w:r>
      <w:r>
        <w:rPr/>
        <w:t>expectations</w:t>
      </w:r>
      <w:r>
        <w:rPr>
          <w:spacing w:val="-8"/>
        </w:rPr>
        <w:t> </w:t>
      </w:r>
      <w:r>
        <w:rPr/>
        <w:t>and</w:t>
      </w:r>
      <w:r>
        <w:rPr>
          <w:spacing w:val="-10"/>
        </w:rPr>
        <w:t> </w:t>
      </w:r>
      <w:r>
        <w:rPr/>
        <w:t>price setting: evidence from micro data’, unpublished</w:t>
      </w:r>
      <w:r>
        <w:rPr>
          <w:spacing w:val="-14"/>
        </w:rPr>
        <w:t> </w:t>
      </w:r>
      <w:r>
        <w:rPr/>
        <w:t>manuscript.</w:t>
      </w:r>
    </w:p>
    <w:p>
      <w:pPr>
        <w:pStyle w:val="BodyText"/>
        <w:spacing w:before="7"/>
      </w:pPr>
    </w:p>
    <w:p>
      <w:pPr>
        <w:pStyle w:val="BodyText"/>
        <w:ind w:left="386"/>
      </w:pPr>
      <w:r>
        <w:rPr/>
        <w:t>Domit,</w:t>
      </w:r>
      <w:r>
        <w:rPr>
          <w:spacing w:val="-8"/>
        </w:rPr>
        <w:t> </w:t>
      </w:r>
      <w:r>
        <w:rPr/>
        <w:t>Silvia</w:t>
      </w:r>
      <w:r>
        <w:rPr>
          <w:spacing w:val="-10"/>
        </w:rPr>
        <w:t> </w:t>
      </w:r>
      <w:r>
        <w:rPr/>
        <w:t>and</w:t>
      </w:r>
      <w:r>
        <w:rPr>
          <w:spacing w:val="-9"/>
        </w:rPr>
        <w:t> </w:t>
      </w:r>
      <w:r>
        <w:rPr/>
        <w:t>Chris</w:t>
      </w:r>
      <w:r>
        <w:rPr>
          <w:spacing w:val="-7"/>
        </w:rPr>
        <w:t> </w:t>
      </w:r>
      <w:r>
        <w:rPr/>
        <w:t>Jackson</w:t>
      </w:r>
      <w:r>
        <w:rPr>
          <w:spacing w:val="-9"/>
        </w:rPr>
        <w:t> </w:t>
      </w:r>
      <w:r>
        <w:rPr/>
        <w:t>(2015).</w:t>
      </w:r>
      <w:r>
        <w:rPr>
          <w:spacing w:val="-7"/>
        </w:rPr>
        <w:t> </w:t>
      </w:r>
      <w:r>
        <w:rPr/>
        <w:t>“Do</w:t>
      </w:r>
      <w:r>
        <w:rPr>
          <w:spacing w:val="-9"/>
        </w:rPr>
        <w:t> </w:t>
      </w:r>
      <w:r>
        <w:rPr/>
        <w:t>inflation</w:t>
      </w:r>
      <w:r>
        <w:rPr>
          <w:spacing w:val="-8"/>
        </w:rPr>
        <w:t> </w:t>
      </w:r>
      <w:r>
        <w:rPr/>
        <w:t>expectations</w:t>
      </w:r>
      <w:r>
        <w:rPr>
          <w:spacing w:val="-8"/>
        </w:rPr>
        <w:t> </w:t>
      </w:r>
      <w:r>
        <w:rPr/>
        <w:t>currently</w:t>
      </w:r>
      <w:r>
        <w:rPr>
          <w:spacing w:val="-8"/>
        </w:rPr>
        <w:t> </w:t>
      </w:r>
      <w:r>
        <w:rPr/>
        <w:t>pose</w:t>
      </w:r>
      <w:r>
        <w:rPr>
          <w:spacing w:val="-9"/>
        </w:rPr>
        <w:t> </w:t>
      </w:r>
      <w:r>
        <w:rPr/>
        <w:t>a</w:t>
      </w:r>
      <w:r>
        <w:rPr>
          <w:spacing w:val="-9"/>
        </w:rPr>
        <w:t> </w:t>
      </w:r>
      <w:r>
        <w:rPr/>
        <w:t>risk</w:t>
      </w:r>
      <w:r>
        <w:rPr>
          <w:spacing w:val="-9"/>
        </w:rPr>
        <w:t> </w:t>
      </w:r>
      <w:r>
        <w:rPr/>
        <w:t>to</w:t>
      </w:r>
      <w:r>
        <w:rPr>
          <w:spacing w:val="-9"/>
        </w:rPr>
        <w:t> </w:t>
      </w:r>
      <w:r>
        <w:rPr/>
        <w:t>inflation?”,</w:t>
      </w:r>
      <w:r>
        <w:rPr>
          <w:spacing w:val="-9"/>
        </w:rPr>
        <w:t> </w:t>
      </w:r>
      <w:r>
        <w:rPr/>
        <w:t>Bank</w:t>
      </w:r>
      <w:r>
        <w:rPr>
          <w:spacing w:val="-8"/>
        </w:rPr>
        <w:t> </w:t>
      </w:r>
      <w:r>
        <w:rPr/>
        <w:t>of England </w:t>
      </w:r>
      <w:r>
        <w:rPr>
          <w:i/>
        </w:rPr>
        <w:t>Quarterly Bulletin </w:t>
      </w:r>
      <w:r>
        <w:rPr/>
        <w:t>2015 Q2,</w:t>
      </w:r>
      <w:r>
        <w:rPr>
          <w:spacing w:val="-9"/>
        </w:rPr>
        <w:t> </w:t>
      </w:r>
      <w:r>
        <w:rPr/>
        <w:t>forthcoming.</w:t>
      </w:r>
    </w:p>
    <w:p>
      <w:pPr>
        <w:pStyle w:val="BodyText"/>
        <w:spacing w:before="5"/>
      </w:pPr>
    </w:p>
    <w:p>
      <w:pPr>
        <w:pStyle w:val="BodyText"/>
        <w:spacing w:line="237" w:lineRule="auto"/>
        <w:ind w:left="386" w:right="628"/>
      </w:pPr>
      <w:r>
        <w:rPr/>
        <w:t>Forbes,</w:t>
      </w:r>
      <w:r>
        <w:rPr>
          <w:spacing w:val="-10"/>
        </w:rPr>
        <w:t> </w:t>
      </w:r>
      <w:r>
        <w:rPr/>
        <w:t>Kristin</w:t>
      </w:r>
      <w:r>
        <w:rPr>
          <w:spacing w:val="-10"/>
        </w:rPr>
        <w:t> </w:t>
      </w:r>
      <w:r>
        <w:rPr/>
        <w:t>(2014).</w:t>
      </w:r>
      <w:r>
        <w:rPr>
          <w:spacing w:val="-8"/>
        </w:rPr>
        <w:t> </w:t>
      </w:r>
      <w:r>
        <w:rPr/>
        <w:t>“The</w:t>
      </w:r>
      <w:r>
        <w:rPr>
          <w:spacing w:val="-10"/>
        </w:rPr>
        <w:t> </w:t>
      </w:r>
      <w:r>
        <w:rPr/>
        <w:t>Economic</w:t>
      </w:r>
      <w:r>
        <w:rPr>
          <w:spacing w:val="-9"/>
        </w:rPr>
        <w:t> </w:t>
      </w:r>
      <w:r>
        <w:rPr/>
        <w:t>Impact</w:t>
      </w:r>
      <w:r>
        <w:rPr>
          <w:spacing w:val="-9"/>
        </w:rPr>
        <w:t> </w:t>
      </w:r>
      <w:r>
        <w:rPr/>
        <w:t>of</w:t>
      </w:r>
      <w:r>
        <w:rPr>
          <w:spacing w:val="-10"/>
        </w:rPr>
        <w:t> </w:t>
      </w:r>
      <w:r>
        <w:rPr/>
        <w:t>Sterling’s</w:t>
      </w:r>
      <w:r>
        <w:rPr>
          <w:spacing w:val="-9"/>
        </w:rPr>
        <w:t> </w:t>
      </w:r>
      <w:r>
        <w:rPr/>
        <w:t>Recent</w:t>
      </w:r>
      <w:r>
        <w:rPr>
          <w:spacing w:val="-11"/>
        </w:rPr>
        <w:t> </w:t>
      </w:r>
      <w:r>
        <w:rPr/>
        <w:t>Moves:</w:t>
      </w:r>
      <w:r>
        <w:rPr>
          <w:spacing w:val="-9"/>
        </w:rPr>
        <w:t> </w:t>
      </w:r>
      <w:r>
        <w:rPr/>
        <w:t>More</w:t>
      </w:r>
      <w:r>
        <w:rPr>
          <w:spacing w:val="-10"/>
        </w:rPr>
        <w:t> </w:t>
      </w:r>
      <w:r>
        <w:rPr/>
        <w:t>than</w:t>
      </w:r>
      <w:r>
        <w:rPr>
          <w:spacing w:val="-10"/>
        </w:rPr>
        <w:t> </w:t>
      </w:r>
      <w:r>
        <w:rPr/>
        <w:t>a</w:t>
      </w:r>
      <w:r>
        <w:rPr>
          <w:spacing w:val="-10"/>
        </w:rPr>
        <w:t> </w:t>
      </w:r>
      <w:r>
        <w:rPr/>
        <w:t>Midsummer</w:t>
      </w:r>
      <w:r>
        <w:rPr>
          <w:spacing w:val="-10"/>
        </w:rPr>
        <w:t> </w:t>
      </w:r>
      <w:r>
        <w:rPr/>
        <w:t>Night’s Dream”, Bank of England Speech,</w:t>
      </w:r>
      <w:r>
        <w:rPr>
          <w:spacing w:val="-4"/>
        </w:rPr>
        <w:t> </w:t>
      </w:r>
      <w:r>
        <w:rPr/>
        <w:t>October.</w:t>
      </w:r>
    </w:p>
    <w:p>
      <w:pPr>
        <w:pStyle w:val="BodyText"/>
        <w:spacing w:before="6"/>
      </w:pPr>
    </w:p>
    <w:p>
      <w:pPr>
        <w:pStyle w:val="BodyText"/>
        <w:ind w:left="386"/>
      </w:pPr>
      <w:r>
        <w:rPr/>
        <w:t>Forbes, Kristin (2015). “Risks Around the Forecast”, Bank of England Speech, January.</w:t>
      </w:r>
    </w:p>
    <w:p>
      <w:pPr>
        <w:pStyle w:val="BodyText"/>
        <w:spacing w:before="5"/>
      </w:pPr>
    </w:p>
    <w:p>
      <w:pPr>
        <w:spacing w:before="0"/>
        <w:ind w:left="386" w:right="0" w:firstLine="0"/>
        <w:jc w:val="left"/>
        <w:rPr>
          <w:sz w:val="19"/>
        </w:rPr>
      </w:pPr>
      <w:r>
        <w:rPr>
          <w:sz w:val="19"/>
        </w:rPr>
        <w:t>Friedman,</w:t>
      </w:r>
      <w:r>
        <w:rPr>
          <w:spacing w:val="-9"/>
          <w:sz w:val="19"/>
        </w:rPr>
        <w:t> </w:t>
      </w:r>
      <w:r>
        <w:rPr>
          <w:sz w:val="19"/>
        </w:rPr>
        <w:t>Milton</w:t>
      </w:r>
      <w:r>
        <w:rPr>
          <w:spacing w:val="-10"/>
          <w:sz w:val="19"/>
        </w:rPr>
        <w:t> </w:t>
      </w:r>
      <w:r>
        <w:rPr>
          <w:sz w:val="19"/>
        </w:rPr>
        <w:t>and</w:t>
      </w:r>
      <w:r>
        <w:rPr>
          <w:spacing w:val="-10"/>
          <w:sz w:val="19"/>
        </w:rPr>
        <w:t> </w:t>
      </w:r>
      <w:r>
        <w:rPr>
          <w:sz w:val="19"/>
        </w:rPr>
        <w:t>Anna</w:t>
      </w:r>
      <w:r>
        <w:rPr>
          <w:spacing w:val="-10"/>
          <w:sz w:val="19"/>
        </w:rPr>
        <w:t> </w:t>
      </w:r>
      <w:r>
        <w:rPr>
          <w:sz w:val="19"/>
        </w:rPr>
        <w:t>Schwartz</w:t>
      </w:r>
      <w:r>
        <w:rPr>
          <w:spacing w:val="-8"/>
          <w:sz w:val="19"/>
        </w:rPr>
        <w:t> </w:t>
      </w:r>
      <w:r>
        <w:rPr>
          <w:sz w:val="19"/>
        </w:rPr>
        <w:t>(1963).</w:t>
      </w:r>
      <w:r>
        <w:rPr>
          <w:spacing w:val="-9"/>
          <w:sz w:val="19"/>
        </w:rPr>
        <w:t> </w:t>
      </w:r>
      <w:r>
        <w:rPr>
          <w:i/>
          <w:sz w:val="19"/>
        </w:rPr>
        <w:t>A</w:t>
      </w:r>
      <w:r>
        <w:rPr>
          <w:i/>
          <w:spacing w:val="-10"/>
          <w:sz w:val="19"/>
        </w:rPr>
        <w:t> </w:t>
      </w:r>
      <w:r>
        <w:rPr>
          <w:i/>
          <w:sz w:val="19"/>
        </w:rPr>
        <w:t>Monetary</w:t>
      </w:r>
      <w:r>
        <w:rPr>
          <w:i/>
          <w:spacing w:val="-8"/>
          <w:sz w:val="19"/>
        </w:rPr>
        <w:t> </w:t>
      </w:r>
      <w:r>
        <w:rPr>
          <w:i/>
          <w:sz w:val="19"/>
        </w:rPr>
        <w:t>History</w:t>
      </w:r>
      <w:r>
        <w:rPr>
          <w:i/>
          <w:spacing w:val="-9"/>
          <w:sz w:val="19"/>
        </w:rPr>
        <w:t> </w:t>
      </w:r>
      <w:r>
        <w:rPr>
          <w:i/>
          <w:sz w:val="19"/>
        </w:rPr>
        <w:t>of</w:t>
      </w:r>
      <w:r>
        <w:rPr>
          <w:i/>
          <w:spacing w:val="-10"/>
          <w:sz w:val="19"/>
        </w:rPr>
        <w:t> </w:t>
      </w:r>
      <w:r>
        <w:rPr>
          <w:i/>
          <w:sz w:val="19"/>
        </w:rPr>
        <w:t>the</w:t>
      </w:r>
      <w:r>
        <w:rPr>
          <w:i/>
          <w:spacing w:val="-10"/>
          <w:sz w:val="19"/>
        </w:rPr>
        <w:t> </w:t>
      </w:r>
      <w:r>
        <w:rPr>
          <w:i/>
          <w:sz w:val="19"/>
        </w:rPr>
        <w:t>United</w:t>
      </w:r>
      <w:r>
        <w:rPr>
          <w:i/>
          <w:spacing w:val="-11"/>
          <w:sz w:val="19"/>
        </w:rPr>
        <w:t> </w:t>
      </w:r>
      <w:r>
        <w:rPr>
          <w:i/>
          <w:sz w:val="19"/>
        </w:rPr>
        <w:t>States:</w:t>
      </w:r>
      <w:r>
        <w:rPr>
          <w:i/>
          <w:spacing w:val="-9"/>
          <w:sz w:val="19"/>
        </w:rPr>
        <w:t> </w:t>
      </w:r>
      <w:r>
        <w:rPr>
          <w:i/>
          <w:sz w:val="19"/>
        </w:rPr>
        <w:t>1867-1960.</w:t>
      </w:r>
      <w:r>
        <w:rPr>
          <w:i/>
          <w:spacing w:val="-9"/>
          <w:sz w:val="19"/>
        </w:rPr>
        <w:t> </w:t>
      </w:r>
      <w:r>
        <w:rPr>
          <w:sz w:val="19"/>
        </w:rPr>
        <w:t>Princeton University</w:t>
      </w:r>
      <w:r>
        <w:rPr>
          <w:spacing w:val="-3"/>
          <w:sz w:val="19"/>
        </w:rPr>
        <w:t> </w:t>
      </w:r>
      <w:r>
        <w:rPr>
          <w:sz w:val="19"/>
        </w:rPr>
        <w:t>Press.</w:t>
      </w:r>
    </w:p>
    <w:p>
      <w:pPr>
        <w:pStyle w:val="BodyText"/>
        <w:spacing w:before="2"/>
      </w:pPr>
    </w:p>
    <w:p>
      <w:pPr>
        <w:pStyle w:val="BodyText"/>
        <w:ind w:left="386" w:right="628"/>
      </w:pPr>
      <w:r>
        <w:rPr/>
        <w:t>Goodhart,</w:t>
      </w:r>
      <w:r>
        <w:rPr>
          <w:spacing w:val="-11"/>
        </w:rPr>
        <w:t> </w:t>
      </w:r>
      <w:r>
        <w:rPr/>
        <w:t>Charles</w:t>
      </w:r>
      <w:r>
        <w:rPr>
          <w:spacing w:val="-10"/>
        </w:rPr>
        <w:t> </w:t>
      </w:r>
      <w:r>
        <w:rPr/>
        <w:t>and</w:t>
      </w:r>
      <w:r>
        <w:rPr>
          <w:spacing w:val="-11"/>
        </w:rPr>
        <w:t> </w:t>
      </w:r>
      <w:r>
        <w:rPr/>
        <w:t>Boris</w:t>
      </w:r>
      <w:r>
        <w:rPr>
          <w:spacing w:val="-10"/>
        </w:rPr>
        <w:t> </w:t>
      </w:r>
      <w:r>
        <w:rPr/>
        <w:t>Hofmann</w:t>
      </w:r>
      <w:r>
        <w:rPr>
          <w:spacing w:val="-11"/>
        </w:rPr>
        <w:t> </w:t>
      </w:r>
      <w:r>
        <w:rPr/>
        <w:t>(2007).</w:t>
      </w:r>
      <w:r>
        <w:rPr>
          <w:spacing w:val="-9"/>
        </w:rPr>
        <w:t> </w:t>
      </w:r>
      <w:r>
        <w:rPr/>
        <w:t>“House</w:t>
      </w:r>
      <w:r>
        <w:rPr>
          <w:spacing w:val="-11"/>
        </w:rPr>
        <w:t> </w:t>
      </w:r>
      <w:r>
        <w:rPr/>
        <w:t>Prices</w:t>
      </w:r>
      <w:r>
        <w:rPr>
          <w:spacing w:val="-11"/>
        </w:rPr>
        <w:t> </w:t>
      </w:r>
      <w:r>
        <w:rPr/>
        <w:t>and</w:t>
      </w:r>
      <w:r>
        <w:rPr>
          <w:spacing w:val="-11"/>
        </w:rPr>
        <w:t> </w:t>
      </w:r>
      <w:r>
        <w:rPr/>
        <w:t>the</w:t>
      </w:r>
      <w:r>
        <w:rPr>
          <w:spacing w:val="-11"/>
        </w:rPr>
        <w:t> </w:t>
      </w:r>
      <w:r>
        <w:rPr/>
        <w:t>Macroeconomy.”</w:t>
      </w:r>
      <w:r>
        <w:rPr>
          <w:spacing w:val="-11"/>
        </w:rPr>
        <w:t> </w:t>
      </w:r>
      <w:r>
        <w:rPr/>
        <w:t>Oxford</w:t>
      </w:r>
      <w:r>
        <w:rPr>
          <w:spacing w:val="-11"/>
        </w:rPr>
        <w:t> </w:t>
      </w:r>
      <w:r>
        <w:rPr/>
        <w:t>University Press.</w:t>
      </w:r>
    </w:p>
    <w:p>
      <w:pPr>
        <w:pStyle w:val="BodyText"/>
        <w:spacing w:before="6"/>
      </w:pPr>
    </w:p>
    <w:p>
      <w:pPr>
        <w:pStyle w:val="BodyText"/>
        <w:spacing w:line="237" w:lineRule="auto"/>
        <w:ind w:left="386" w:right="628"/>
      </w:pPr>
      <w:r>
        <w:rPr/>
        <w:t>Hori, Masahiro and Satoshi Shimizutani (2005), “Price Expectations and Consumption under Deflation: Evidence</w:t>
      </w:r>
      <w:r>
        <w:rPr>
          <w:spacing w:val="-12"/>
        </w:rPr>
        <w:t> </w:t>
      </w:r>
      <w:r>
        <w:rPr/>
        <w:t>from</w:t>
      </w:r>
      <w:r>
        <w:rPr>
          <w:spacing w:val="-12"/>
        </w:rPr>
        <w:t> </w:t>
      </w:r>
      <w:r>
        <w:rPr/>
        <w:t>Japanese</w:t>
      </w:r>
      <w:r>
        <w:rPr>
          <w:spacing w:val="-12"/>
        </w:rPr>
        <w:t> </w:t>
      </w:r>
      <w:r>
        <w:rPr/>
        <w:t>Household</w:t>
      </w:r>
      <w:r>
        <w:rPr>
          <w:spacing w:val="-12"/>
        </w:rPr>
        <w:t> </w:t>
      </w:r>
      <w:r>
        <w:rPr/>
        <w:t>Survey</w:t>
      </w:r>
      <w:r>
        <w:rPr>
          <w:spacing w:val="-12"/>
        </w:rPr>
        <w:t> </w:t>
      </w:r>
      <w:r>
        <w:rPr/>
        <w:t>Data.”</w:t>
      </w:r>
      <w:r>
        <w:rPr>
          <w:spacing w:val="-12"/>
        </w:rPr>
        <w:t> </w:t>
      </w:r>
      <w:r>
        <w:rPr/>
        <w:t>Hitotsubashi</w:t>
      </w:r>
      <w:r>
        <w:rPr>
          <w:spacing w:val="-11"/>
        </w:rPr>
        <w:t> </w:t>
      </w:r>
      <w:r>
        <w:rPr/>
        <w:t>University,</w:t>
      </w:r>
      <w:r>
        <w:rPr>
          <w:spacing w:val="-13"/>
        </w:rPr>
        <w:t> </w:t>
      </w:r>
      <w:r>
        <w:rPr/>
        <w:t>Institute</w:t>
      </w:r>
      <w:r>
        <w:rPr>
          <w:spacing w:val="-12"/>
        </w:rPr>
        <w:t> </w:t>
      </w:r>
      <w:r>
        <w:rPr/>
        <w:t>of</w:t>
      </w:r>
      <w:r>
        <w:rPr>
          <w:spacing w:val="-12"/>
        </w:rPr>
        <w:t> </w:t>
      </w:r>
      <w:r>
        <w:rPr/>
        <w:t>Economic</w:t>
      </w:r>
      <w:r>
        <w:rPr>
          <w:spacing w:val="-11"/>
        </w:rPr>
        <w:t> </w:t>
      </w:r>
      <w:r>
        <w:rPr/>
        <w:t>Research, Discussion Paper Series No</w:t>
      </w:r>
      <w:r>
        <w:rPr>
          <w:spacing w:val="-5"/>
        </w:rPr>
        <w:t> </w:t>
      </w:r>
      <w:r>
        <w:rPr/>
        <w:t>98.</w:t>
      </w:r>
    </w:p>
    <w:p>
      <w:pPr>
        <w:pStyle w:val="BodyText"/>
        <w:spacing w:before="8"/>
      </w:pPr>
    </w:p>
    <w:p>
      <w:pPr>
        <w:pStyle w:val="BodyText"/>
        <w:spacing w:line="237" w:lineRule="auto"/>
        <w:ind w:left="386" w:right="914"/>
      </w:pPr>
      <w:r>
        <w:rPr/>
        <w:t>International Monetary Fund (2013). </w:t>
      </w:r>
      <w:r>
        <w:rPr>
          <w:i/>
        </w:rPr>
        <w:t>World Economic Outlook. </w:t>
      </w:r>
      <w:r>
        <w:rPr/>
        <w:t>Washington, DC: International Monetary Fund. April, Chapter 3.</w:t>
      </w:r>
    </w:p>
    <w:p>
      <w:pPr>
        <w:pStyle w:val="BodyText"/>
        <w:spacing w:before="5"/>
      </w:pPr>
    </w:p>
    <w:p>
      <w:pPr>
        <w:pStyle w:val="BodyText"/>
        <w:ind w:left="386" w:right="629"/>
      </w:pPr>
      <w:r>
        <w:rPr/>
        <w:t>McCafferty, Ian (2015). “Negative Inflation: the Implications for Monetary Policy”, Bank of England Speech, June.</w:t>
      </w:r>
    </w:p>
    <w:p>
      <w:pPr>
        <w:pStyle w:val="BodyText"/>
        <w:spacing w:before="3"/>
      </w:pPr>
    </w:p>
    <w:p>
      <w:pPr>
        <w:pStyle w:val="BodyText"/>
        <w:spacing w:line="487" w:lineRule="auto"/>
        <w:ind w:left="386" w:right="1653"/>
      </w:pPr>
      <w:r>
        <w:rPr/>
        <w:t>Miles, David (2015). “What Can Monetary Policy do”, Bank of England Speech, January. Weale, Martin (2015). “Telling Tails of Oil and Global Inflation“, Bank of England Speech, May.</w:t>
      </w:r>
    </w:p>
    <w:p>
      <w:pPr>
        <w:spacing w:after="0" w:line="487" w:lineRule="auto"/>
        <w:sectPr>
          <w:pgSz w:w="12240" w:h="15840"/>
          <w:pgMar w:header="0" w:footer="1240" w:top="1440" w:bottom="1440" w:left="1200" w:right="1060"/>
        </w:sectPr>
      </w:pPr>
    </w:p>
    <w:p>
      <w:pPr>
        <w:pStyle w:val="Heading1"/>
        <w:spacing w:before="78"/>
      </w:pPr>
      <w:r>
        <w:rPr/>
        <w:t>Appendix A: Domestically-Generated Inflation (DGI) Measures</w:t>
      </w:r>
    </w:p>
    <w:p>
      <w:pPr>
        <w:pStyle w:val="BodyText"/>
        <w:rPr>
          <w:b/>
          <w:sz w:val="20"/>
        </w:rPr>
      </w:pPr>
    </w:p>
    <w:p>
      <w:pPr>
        <w:pStyle w:val="BodyText"/>
        <w:spacing w:before="6"/>
        <w:rPr>
          <w:b/>
          <w:sz w:val="17"/>
        </w:rPr>
      </w:pPr>
    </w:p>
    <w:p>
      <w:pPr>
        <w:pStyle w:val="ListParagraph"/>
        <w:numPr>
          <w:ilvl w:val="2"/>
          <w:numId w:val="1"/>
        </w:numPr>
        <w:tabs>
          <w:tab w:pos="1064" w:val="left" w:leader="none"/>
          <w:tab w:pos="1065" w:val="left" w:leader="none"/>
        </w:tabs>
        <w:spacing w:line="348" w:lineRule="auto" w:before="0" w:after="0"/>
        <w:ind w:left="1064" w:right="525" w:hanging="340"/>
        <w:jc w:val="left"/>
        <w:rPr>
          <w:sz w:val="19"/>
        </w:rPr>
      </w:pPr>
      <w:r>
        <w:rPr>
          <w:i/>
          <w:sz w:val="19"/>
        </w:rPr>
        <w:t>Services</w:t>
      </w:r>
      <w:r>
        <w:rPr>
          <w:i/>
          <w:spacing w:val="-11"/>
          <w:sz w:val="19"/>
        </w:rPr>
        <w:t> </w:t>
      </w:r>
      <w:r>
        <w:rPr>
          <w:i/>
          <w:sz w:val="19"/>
        </w:rPr>
        <w:t>inflation</w:t>
      </w:r>
      <w:r>
        <w:rPr>
          <w:i/>
          <w:spacing w:val="-12"/>
          <w:sz w:val="19"/>
        </w:rPr>
        <w:t> </w:t>
      </w:r>
      <w:r>
        <w:rPr>
          <w:i/>
          <w:sz w:val="19"/>
        </w:rPr>
        <w:t>(Core</w:t>
      </w:r>
      <w:r>
        <w:rPr>
          <w:i/>
          <w:spacing w:val="-10"/>
          <w:sz w:val="19"/>
        </w:rPr>
        <w:t> </w:t>
      </w:r>
      <w:r>
        <w:rPr>
          <w:i/>
          <w:sz w:val="19"/>
        </w:rPr>
        <w:t>CPI</w:t>
      </w:r>
      <w:r>
        <w:rPr>
          <w:i/>
          <w:spacing w:val="-11"/>
          <w:sz w:val="19"/>
        </w:rPr>
        <w:t> </w:t>
      </w:r>
      <w:r>
        <w:rPr>
          <w:i/>
          <w:sz w:val="19"/>
        </w:rPr>
        <w:t>Services</w:t>
      </w:r>
      <w:r>
        <w:rPr>
          <w:i/>
          <w:spacing w:val="-11"/>
          <w:sz w:val="19"/>
        </w:rPr>
        <w:t> </w:t>
      </w:r>
      <w:r>
        <w:rPr>
          <w:i/>
          <w:sz w:val="19"/>
        </w:rPr>
        <w:t>measure)</w:t>
      </w:r>
      <w:r>
        <w:rPr>
          <w:sz w:val="19"/>
        </w:rPr>
        <w:t>:</w:t>
      </w:r>
      <w:r>
        <w:rPr>
          <w:spacing w:val="-10"/>
          <w:sz w:val="19"/>
        </w:rPr>
        <w:t> </w:t>
      </w:r>
      <w:r>
        <w:rPr>
          <w:sz w:val="19"/>
        </w:rPr>
        <w:t>because</w:t>
      </w:r>
      <w:r>
        <w:rPr>
          <w:spacing w:val="-11"/>
          <w:sz w:val="19"/>
        </w:rPr>
        <w:t> </w:t>
      </w:r>
      <w:r>
        <w:rPr>
          <w:sz w:val="19"/>
        </w:rPr>
        <w:t>services</w:t>
      </w:r>
      <w:r>
        <w:rPr>
          <w:spacing w:val="-10"/>
          <w:sz w:val="19"/>
        </w:rPr>
        <w:t> </w:t>
      </w:r>
      <w:r>
        <w:rPr>
          <w:sz w:val="19"/>
        </w:rPr>
        <w:t>are</w:t>
      </w:r>
      <w:r>
        <w:rPr>
          <w:spacing w:val="-11"/>
          <w:sz w:val="19"/>
        </w:rPr>
        <w:t> </w:t>
      </w:r>
      <w:r>
        <w:rPr>
          <w:sz w:val="19"/>
        </w:rPr>
        <w:t>generally</w:t>
      </w:r>
      <w:r>
        <w:rPr>
          <w:spacing w:val="-11"/>
          <w:sz w:val="19"/>
        </w:rPr>
        <w:t> </w:t>
      </w:r>
      <w:r>
        <w:rPr>
          <w:sz w:val="19"/>
        </w:rPr>
        <w:t>less</w:t>
      </w:r>
      <w:r>
        <w:rPr>
          <w:spacing w:val="-10"/>
          <w:sz w:val="19"/>
        </w:rPr>
        <w:t> </w:t>
      </w:r>
      <w:r>
        <w:rPr>
          <w:sz w:val="19"/>
        </w:rPr>
        <w:t>import</w:t>
      </w:r>
      <w:r>
        <w:rPr>
          <w:spacing w:val="-10"/>
          <w:sz w:val="19"/>
        </w:rPr>
        <w:t> </w:t>
      </w:r>
      <w:r>
        <w:rPr>
          <w:sz w:val="19"/>
        </w:rPr>
        <w:t>intensive than</w:t>
      </w:r>
      <w:r>
        <w:rPr>
          <w:spacing w:val="-2"/>
          <w:sz w:val="19"/>
        </w:rPr>
        <w:t> </w:t>
      </w:r>
      <w:r>
        <w:rPr>
          <w:sz w:val="19"/>
        </w:rPr>
        <w:t>goods.</w:t>
      </w:r>
      <w:r>
        <w:rPr>
          <w:sz w:val="19"/>
          <w:vertAlign w:val="superscript"/>
        </w:rPr>
        <w:t>24</w:t>
      </w:r>
    </w:p>
    <w:p>
      <w:pPr>
        <w:pStyle w:val="ListParagraph"/>
        <w:numPr>
          <w:ilvl w:val="2"/>
          <w:numId w:val="1"/>
        </w:numPr>
        <w:tabs>
          <w:tab w:pos="1064" w:val="left" w:leader="none"/>
          <w:tab w:pos="1065" w:val="left" w:leader="none"/>
        </w:tabs>
        <w:spacing w:line="352" w:lineRule="auto" w:before="8" w:after="0"/>
        <w:ind w:left="1064" w:right="999" w:hanging="340"/>
        <w:jc w:val="left"/>
        <w:rPr>
          <w:sz w:val="19"/>
        </w:rPr>
      </w:pPr>
      <w:r>
        <w:rPr>
          <w:i/>
          <w:sz w:val="19"/>
        </w:rPr>
        <w:t>Inverse-Import Adjusted Inflation (Inverse-import-intensity-weighted CPI)</w:t>
      </w:r>
      <w:r>
        <w:rPr>
          <w:sz w:val="19"/>
        </w:rPr>
        <w:t>: Inflation with each component</w:t>
      </w:r>
      <w:r>
        <w:rPr>
          <w:spacing w:val="-6"/>
          <w:sz w:val="19"/>
        </w:rPr>
        <w:t> </w:t>
      </w:r>
      <w:r>
        <w:rPr>
          <w:sz w:val="19"/>
        </w:rPr>
        <w:t>weighted</w:t>
      </w:r>
      <w:r>
        <w:rPr>
          <w:spacing w:val="-8"/>
          <w:sz w:val="19"/>
        </w:rPr>
        <w:t> </w:t>
      </w:r>
      <w:r>
        <w:rPr>
          <w:sz w:val="19"/>
        </w:rPr>
        <w:t>by</w:t>
      </w:r>
      <w:r>
        <w:rPr>
          <w:spacing w:val="-6"/>
          <w:sz w:val="19"/>
        </w:rPr>
        <w:t> </w:t>
      </w:r>
      <w:r>
        <w:rPr>
          <w:sz w:val="19"/>
        </w:rPr>
        <w:t>its</w:t>
      </w:r>
      <w:r>
        <w:rPr>
          <w:spacing w:val="-8"/>
          <w:sz w:val="19"/>
        </w:rPr>
        <w:t> </w:t>
      </w:r>
      <w:r>
        <w:rPr>
          <w:sz w:val="19"/>
        </w:rPr>
        <w:t>share</w:t>
      </w:r>
      <w:r>
        <w:rPr>
          <w:spacing w:val="-7"/>
          <w:sz w:val="19"/>
        </w:rPr>
        <w:t> </w:t>
      </w:r>
      <w:r>
        <w:rPr>
          <w:sz w:val="19"/>
        </w:rPr>
        <w:t>in</w:t>
      </w:r>
      <w:r>
        <w:rPr>
          <w:spacing w:val="-8"/>
          <w:sz w:val="19"/>
        </w:rPr>
        <w:t> </w:t>
      </w:r>
      <w:r>
        <w:rPr>
          <w:sz w:val="19"/>
        </w:rPr>
        <w:t>the</w:t>
      </w:r>
      <w:r>
        <w:rPr>
          <w:spacing w:val="-7"/>
          <w:sz w:val="19"/>
        </w:rPr>
        <w:t> </w:t>
      </w:r>
      <w:r>
        <w:rPr>
          <w:sz w:val="19"/>
        </w:rPr>
        <w:t>CPI</w:t>
      </w:r>
      <w:r>
        <w:rPr>
          <w:spacing w:val="-7"/>
          <w:sz w:val="19"/>
        </w:rPr>
        <w:t> </w:t>
      </w:r>
      <w:r>
        <w:rPr>
          <w:sz w:val="19"/>
        </w:rPr>
        <w:t>basket</w:t>
      </w:r>
      <w:r>
        <w:rPr>
          <w:spacing w:val="-7"/>
          <w:sz w:val="19"/>
        </w:rPr>
        <w:t> </w:t>
      </w:r>
      <w:r>
        <w:rPr>
          <w:sz w:val="19"/>
        </w:rPr>
        <w:t>and</w:t>
      </w:r>
      <w:r>
        <w:rPr>
          <w:spacing w:val="-7"/>
          <w:sz w:val="19"/>
        </w:rPr>
        <w:t> </w:t>
      </w:r>
      <w:r>
        <w:rPr>
          <w:sz w:val="19"/>
        </w:rPr>
        <w:t>then</w:t>
      </w:r>
      <w:r>
        <w:rPr>
          <w:spacing w:val="-8"/>
          <w:sz w:val="19"/>
        </w:rPr>
        <w:t> </w:t>
      </w:r>
      <w:r>
        <w:rPr>
          <w:sz w:val="19"/>
        </w:rPr>
        <w:t>inversely</w:t>
      </w:r>
      <w:r>
        <w:rPr>
          <w:spacing w:val="-6"/>
          <w:sz w:val="19"/>
        </w:rPr>
        <w:t> </w:t>
      </w:r>
      <w:r>
        <w:rPr>
          <w:sz w:val="19"/>
        </w:rPr>
        <w:t>weighted</w:t>
      </w:r>
      <w:r>
        <w:rPr>
          <w:spacing w:val="-7"/>
          <w:sz w:val="19"/>
        </w:rPr>
        <w:t> </w:t>
      </w:r>
      <w:r>
        <w:rPr>
          <w:sz w:val="19"/>
        </w:rPr>
        <w:t>by</w:t>
      </w:r>
      <w:r>
        <w:rPr>
          <w:spacing w:val="-7"/>
          <w:sz w:val="19"/>
        </w:rPr>
        <w:t> </w:t>
      </w:r>
      <w:r>
        <w:rPr>
          <w:sz w:val="19"/>
        </w:rPr>
        <w:t>the</w:t>
      </w:r>
      <w:r>
        <w:rPr>
          <w:spacing w:val="-7"/>
          <w:sz w:val="19"/>
        </w:rPr>
        <w:t> </w:t>
      </w:r>
      <w:r>
        <w:rPr>
          <w:sz w:val="19"/>
        </w:rPr>
        <w:t>share</w:t>
      </w:r>
      <w:r>
        <w:rPr>
          <w:spacing w:val="-7"/>
          <w:sz w:val="19"/>
        </w:rPr>
        <w:t> </w:t>
      </w:r>
      <w:r>
        <w:rPr>
          <w:sz w:val="19"/>
        </w:rPr>
        <w:t>of imported</w:t>
      </w:r>
      <w:r>
        <w:rPr>
          <w:spacing w:val="-2"/>
          <w:sz w:val="19"/>
        </w:rPr>
        <w:t> </w:t>
      </w:r>
      <w:r>
        <w:rPr>
          <w:sz w:val="19"/>
        </w:rPr>
        <w:t>content.</w:t>
      </w:r>
      <w:r>
        <w:rPr>
          <w:sz w:val="19"/>
          <w:vertAlign w:val="superscript"/>
        </w:rPr>
        <w:t>25</w:t>
      </w:r>
    </w:p>
    <w:p>
      <w:pPr>
        <w:pStyle w:val="ListParagraph"/>
        <w:numPr>
          <w:ilvl w:val="2"/>
          <w:numId w:val="1"/>
        </w:numPr>
        <w:tabs>
          <w:tab w:pos="1064" w:val="left" w:leader="none"/>
          <w:tab w:pos="1065" w:val="left" w:leader="none"/>
        </w:tabs>
        <w:spacing w:line="348" w:lineRule="auto" w:before="2" w:after="0"/>
        <w:ind w:left="1064" w:right="958" w:hanging="340"/>
        <w:jc w:val="left"/>
        <w:rPr>
          <w:sz w:val="19"/>
        </w:rPr>
      </w:pPr>
      <w:r>
        <w:rPr>
          <w:i/>
          <w:sz w:val="19"/>
        </w:rPr>
        <w:t>Unit</w:t>
      </w:r>
      <w:r>
        <w:rPr>
          <w:i/>
          <w:spacing w:val="-10"/>
          <w:sz w:val="19"/>
        </w:rPr>
        <w:t> </w:t>
      </w:r>
      <w:r>
        <w:rPr>
          <w:i/>
          <w:sz w:val="19"/>
        </w:rPr>
        <w:t>Labour</w:t>
      </w:r>
      <w:r>
        <w:rPr>
          <w:i/>
          <w:spacing w:val="-9"/>
          <w:sz w:val="19"/>
        </w:rPr>
        <w:t> </w:t>
      </w:r>
      <w:r>
        <w:rPr>
          <w:i/>
          <w:sz w:val="19"/>
        </w:rPr>
        <w:t>Costs</w:t>
      </w:r>
      <w:r>
        <w:rPr>
          <w:i/>
          <w:spacing w:val="-9"/>
          <w:sz w:val="19"/>
        </w:rPr>
        <w:t> </w:t>
      </w:r>
      <w:r>
        <w:rPr>
          <w:i/>
          <w:sz w:val="19"/>
        </w:rPr>
        <w:t>(ULC):</w:t>
      </w:r>
      <w:r>
        <w:rPr>
          <w:i/>
          <w:spacing w:val="-9"/>
          <w:sz w:val="19"/>
        </w:rPr>
        <w:t> </w:t>
      </w:r>
      <w:r>
        <w:rPr>
          <w:sz w:val="19"/>
        </w:rPr>
        <w:t>labour</w:t>
      </w:r>
      <w:r>
        <w:rPr>
          <w:spacing w:val="-10"/>
          <w:sz w:val="19"/>
        </w:rPr>
        <w:t> </w:t>
      </w:r>
      <w:r>
        <w:rPr>
          <w:sz w:val="19"/>
        </w:rPr>
        <w:t>costs</w:t>
      </w:r>
      <w:r>
        <w:rPr>
          <w:spacing w:val="-10"/>
          <w:sz w:val="19"/>
        </w:rPr>
        <w:t> </w:t>
      </w:r>
      <w:r>
        <w:rPr>
          <w:sz w:val="19"/>
        </w:rPr>
        <w:t>for</w:t>
      </w:r>
      <w:r>
        <w:rPr>
          <w:spacing w:val="-9"/>
          <w:sz w:val="19"/>
        </w:rPr>
        <w:t> </w:t>
      </w:r>
      <w:r>
        <w:rPr>
          <w:sz w:val="19"/>
        </w:rPr>
        <w:t>the</w:t>
      </w:r>
      <w:r>
        <w:rPr>
          <w:spacing w:val="-8"/>
          <w:sz w:val="19"/>
        </w:rPr>
        <w:t> </w:t>
      </w:r>
      <w:r>
        <w:rPr>
          <w:sz w:val="19"/>
        </w:rPr>
        <w:t>whole</w:t>
      </w:r>
      <w:r>
        <w:rPr>
          <w:spacing w:val="-9"/>
          <w:sz w:val="19"/>
        </w:rPr>
        <w:t> </w:t>
      </w:r>
      <w:r>
        <w:rPr>
          <w:sz w:val="19"/>
        </w:rPr>
        <w:t>economy,</w:t>
      </w:r>
      <w:r>
        <w:rPr>
          <w:spacing w:val="-9"/>
          <w:sz w:val="19"/>
        </w:rPr>
        <w:t> </w:t>
      </w:r>
      <w:r>
        <w:rPr>
          <w:sz w:val="19"/>
        </w:rPr>
        <w:t>including</w:t>
      </w:r>
      <w:r>
        <w:rPr>
          <w:spacing w:val="-9"/>
          <w:sz w:val="19"/>
        </w:rPr>
        <w:t> </w:t>
      </w:r>
      <w:r>
        <w:rPr>
          <w:sz w:val="19"/>
        </w:rPr>
        <w:t>National</w:t>
      </w:r>
      <w:r>
        <w:rPr>
          <w:spacing w:val="-9"/>
          <w:sz w:val="19"/>
        </w:rPr>
        <w:t> </w:t>
      </w:r>
      <w:r>
        <w:rPr>
          <w:sz w:val="19"/>
        </w:rPr>
        <w:t>Insurance</w:t>
      </w:r>
      <w:r>
        <w:rPr>
          <w:spacing w:val="-9"/>
          <w:sz w:val="19"/>
        </w:rPr>
        <w:t> </w:t>
      </w:r>
      <w:r>
        <w:rPr>
          <w:sz w:val="19"/>
        </w:rPr>
        <w:t>and pension contributions, calculated using an internal staff GDP</w:t>
      </w:r>
      <w:r>
        <w:rPr>
          <w:spacing w:val="-22"/>
          <w:sz w:val="19"/>
        </w:rPr>
        <w:t> </w:t>
      </w:r>
      <w:r>
        <w:rPr>
          <w:sz w:val="19"/>
        </w:rPr>
        <w:t>backcast.</w:t>
      </w:r>
    </w:p>
    <w:p>
      <w:pPr>
        <w:pStyle w:val="ListParagraph"/>
        <w:numPr>
          <w:ilvl w:val="2"/>
          <w:numId w:val="1"/>
        </w:numPr>
        <w:tabs>
          <w:tab w:pos="1064" w:val="left" w:leader="none"/>
          <w:tab w:pos="1065" w:val="left" w:leader="none"/>
        </w:tabs>
        <w:spacing w:line="348" w:lineRule="auto" w:before="7" w:after="0"/>
        <w:ind w:left="1064" w:right="630" w:hanging="340"/>
        <w:jc w:val="left"/>
        <w:rPr>
          <w:sz w:val="19"/>
        </w:rPr>
      </w:pPr>
      <w:r>
        <w:rPr>
          <w:i/>
          <w:sz w:val="19"/>
        </w:rPr>
        <w:t>Unit</w:t>
      </w:r>
      <w:r>
        <w:rPr>
          <w:i/>
          <w:spacing w:val="-9"/>
          <w:sz w:val="19"/>
        </w:rPr>
        <w:t> </w:t>
      </w:r>
      <w:r>
        <w:rPr>
          <w:i/>
          <w:sz w:val="19"/>
        </w:rPr>
        <w:t>Wage</w:t>
      </w:r>
      <w:r>
        <w:rPr>
          <w:i/>
          <w:spacing w:val="-8"/>
          <w:sz w:val="19"/>
        </w:rPr>
        <w:t> </w:t>
      </w:r>
      <w:r>
        <w:rPr>
          <w:i/>
          <w:sz w:val="19"/>
        </w:rPr>
        <w:t>Costs</w:t>
      </w:r>
      <w:r>
        <w:rPr>
          <w:i/>
          <w:spacing w:val="-8"/>
          <w:sz w:val="19"/>
        </w:rPr>
        <w:t> </w:t>
      </w:r>
      <w:r>
        <w:rPr>
          <w:i/>
          <w:sz w:val="19"/>
        </w:rPr>
        <w:t>(UWC):</w:t>
      </w:r>
      <w:r>
        <w:rPr>
          <w:i/>
          <w:spacing w:val="-9"/>
          <w:sz w:val="19"/>
        </w:rPr>
        <w:t> </w:t>
      </w:r>
      <w:r>
        <w:rPr>
          <w:sz w:val="19"/>
        </w:rPr>
        <w:t>wage</w:t>
      </w:r>
      <w:r>
        <w:rPr>
          <w:spacing w:val="-8"/>
          <w:sz w:val="19"/>
        </w:rPr>
        <w:t> </w:t>
      </w:r>
      <w:r>
        <w:rPr>
          <w:sz w:val="19"/>
        </w:rPr>
        <w:t>costs</w:t>
      </w:r>
      <w:r>
        <w:rPr>
          <w:spacing w:val="-9"/>
          <w:sz w:val="19"/>
        </w:rPr>
        <w:t> </w:t>
      </w:r>
      <w:r>
        <w:rPr>
          <w:sz w:val="19"/>
        </w:rPr>
        <w:t>for</w:t>
      </w:r>
      <w:r>
        <w:rPr>
          <w:spacing w:val="-9"/>
          <w:sz w:val="19"/>
        </w:rPr>
        <w:t> </w:t>
      </w:r>
      <w:r>
        <w:rPr>
          <w:sz w:val="19"/>
        </w:rPr>
        <w:t>the</w:t>
      </w:r>
      <w:r>
        <w:rPr>
          <w:spacing w:val="-8"/>
          <w:sz w:val="19"/>
        </w:rPr>
        <w:t> </w:t>
      </w:r>
      <w:r>
        <w:rPr>
          <w:sz w:val="19"/>
        </w:rPr>
        <w:t>whole</w:t>
      </w:r>
      <w:r>
        <w:rPr>
          <w:spacing w:val="-9"/>
          <w:sz w:val="19"/>
        </w:rPr>
        <w:t> </w:t>
      </w:r>
      <w:r>
        <w:rPr>
          <w:sz w:val="19"/>
        </w:rPr>
        <w:t>economy,</w:t>
      </w:r>
      <w:r>
        <w:rPr>
          <w:spacing w:val="-8"/>
          <w:sz w:val="19"/>
        </w:rPr>
        <w:t> </w:t>
      </w:r>
      <w:r>
        <w:rPr>
          <w:sz w:val="19"/>
        </w:rPr>
        <w:t>excluding</w:t>
      </w:r>
      <w:r>
        <w:rPr>
          <w:spacing w:val="-9"/>
          <w:sz w:val="19"/>
        </w:rPr>
        <w:t> </w:t>
      </w:r>
      <w:r>
        <w:rPr>
          <w:sz w:val="19"/>
        </w:rPr>
        <w:t>non-wage</w:t>
      </w:r>
      <w:r>
        <w:rPr>
          <w:spacing w:val="-8"/>
          <w:sz w:val="19"/>
        </w:rPr>
        <w:t> </w:t>
      </w:r>
      <w:r>
        <w:rPr>
          <w:sz w:val="19"/>
        </w:rPr>
        <w:t>costs</w:t>
      </w:r>
      <w:r>
        <w:rPr>
          <w:spacing w:val="-9"/>
          <w:sz w:val="19"/>
        </w:rPr>
        <w:t> </w:t>
      </w:r>
      <w:r>
        <w:rPr>
          <w:sz w:val="19"/>
        </w:rPr>
        <w:t>incurred</w:t>
      </w:r>
      <w:r>
        <w:rPr>
          <w:spacing w:val="-8"/>
          <w:sz w:val="19"/>
        </w:rPr>
        <w:t> </w:t>
      </w:r>
      <w:r>
        <w:rPr>
          <w:sz w:val="19"/>
        </w:rPr>
        <w:t>by employers, calculated using an internal staff GDP</w:t>
      </w:r>
      <w:r>
        <w:rPr>
          <w:spacing w:val="-10"/>
          <w:sz w:val="19"/>
        </w:rPr>
        <w:t> </w:t>
      </w:r>
      <w:r>
        <w:rPr>
          <w:sz w:val="19"/>
        </w:rPr>
        <w:t>backcast.</w:t>
      </w:r>
    </w:p>
    <w:p>
      <w:pPr>
        <w:pStyle w:val="ListParagraph"/>
        <w:numPr>
          <w:ilvl w:val="2"/>
          <w:numId w:val="1"/>
        </w:numPr>
        <w:tabs>
          <w:tab w:pos="1064" w:val="left" w:leader="none"/>
          <w:tab w:pos="1065" w:val="left" w:leader="none"/>
        </w:tabs>
        <w:spacing w:line="348" w:lineRule="auto" w:before="8" w:after="0"/>
        <w:ind w:left="1064" w:right="849" w:hanging="340"/>
        <w:jc w:val="left"/>
        <w:rPr>
          <w:sz w:val="19"/>
        </w:rPr>
      </w:pPr>
      <w:r>
        <w:rPr>
          <w:i/>
          <w:sz w:val="19"/>
        </w:rPr>
        <w:t>AWE</w:t>
      </w:r>
      <w:r>
        <w:rPr>
          <w:i/>
          <w:spacing w:val="-11"/>
          <w:sz w:val="19"/>
        </w:rPr>
        <w:t> </w:t>
      </w:r>
      <w:r>
        <w:rPr>
          <w:i/>
          <w:sz w:val="19"/>
        </w:rPr>
        <w:t>private-sector</w:t>
      </w:r>
      <w:r>
        <w:rPr>
          <w:i/>
          <w:spacing w:val="-10"/>
          <w:sz w:val="19"/>
        </w:rPr>
        <w:t> </w:t>
      </w:r>
      <w:r>
        <w:rPr>
          <w:i/>
          <w:sz w:val="19"/>
        </w:rPr>
        <w:t>regular-pay</w:t>
      </w:r>
      <w:r>
        <w:rPr>
          <w:i/>
          <w:spacing w:val="-9"/>
          <w:sz w:val="19"/>
        </w:rPr>
        <w:t> </w:t>
      </w:r>
      <w:r>
        <w:rPr>
          <w:i/>
          <w:sz w:val="19"/>
        </w:rPr>
        <w:t>growth:</w:t>
      </w:r>
      <w:r>
        <w:rPr>
          <w:i/>
          <w:spacing w:val="-10"/>
          <w:sz w:val="19"/>
        </w:rPr>
        <w:t> </w:t>
      </w:r>
      <w:r>
        <w:rPr>
          <w:sz w:val="19"/>
        </w:rPr>
        <w:t>Annual</w:t>
      </w:r>
      <w:r>
        <w:rPr>
          <w:spacing w:val="-10"/>
          <w:sz w:val="19"/>
        </w:rPr>
        <w:t> </w:t>
      </w:r>
      <w:r>
        <w:rPr>
          <w:sz w:val="19"/>
        </w:rPr>
        <w:t>change</w:t>
      </w:r>
      <w:r>
        <w:rPr>
          <w:spacing w:val="-10"/>
          <w:sz w:val="19"/>
        </w:rPr>
        <w:t> </w:t>
      </w:r>
      <w:r>
        <w:rPr>
          <w:sz w:val="19"/>
        </w:rPr>
        <w:t>in</w:t>
      </w:r>
      <w:r>
        <w:rPr>
          <w:spacing w:val="-11"/>
          <w:sz w:val="19"/>
        </w:rPr>
        <w:t> </w:t>
      </w:r>
      <w:r>
        <w:rPr>
          <w:sz w:val="19"/>
        </w:rPr>
        <w:t>average</w:t>
      </w:r>
      <w:r>
        <w:rPr>
          <w:spacing w:val="-9"/>
          <w:sz w:val="19"/>
        </w:rPr>
        <w:t> </w:t>
      </w:r>
      <w:r>
        <w:rPr>
          <w:sz w:val="19"/>
        </w:rPr>
        <w:t>weekly</w:t>
      </w:r>
      <w:r>
        <w:rPr>
          <w:spacing w:val="-10"/>
          <w:sz w:val="19"/>
        </w:rPr>
        <w:t> </w:t>
      </w:r>
      <w:r>
        <w:rPr>
          <w:sz w:val="19"/>
        </w:rPr>
        <w:t>earnings</w:t>
      </w:r>
      <w:r>
        <w:rPr>
          <w:spacing w:val="-9"/>
          <w:sz w:val="19"/>
        </w:rPr>
        <w:t> </w:t>
      </w:r>
      <w:r>
        <w:rPr>
          <w:sz w:val="19"/>
        </w:rPr>
        <w:t>in</w:t>
      </w:r>
      <w:r>
        <w:rPr>
          <w:spacing w:val="-10"/>
          <w:sz w:val="19"/>
        </w:rPr>
        <w:t> </w:t>
      </w:r>
      <w:r>
        <w:rPr>
          <w:sz w:val="19"/>
        </w:rPr>
        <w:t>the</w:t>
      </w:r>
      <w:r>
        <w:rPr>
          <w:spacing w:val="-10"/>
          <w:sz w:val="19"/>
        </w:rPr>
        <w:t> </w:t>
      </w:r>
      <w:r>
        <w:rPr>
          <w:sz w:val="19"/>
        </w:rPr>
        <w:t>private sector, regular pay only (excluding</w:t>
      </w:r>
      <w:r>
        <w:rPr>
          <w:spacing w:val="-8"/>
          <w:sz w:val="19"/>
        </w:rPr>
        <w:t> </w:t>
      </w:r>
      <w:r>
        <w:rPr>
          <w:sz w:val="19"/>
        </w:rPr>
        <w:t>bonuses).</w:t>
      </w:r>
    </w:p>
    <w:p>
      <w:pPr>
        <w:pStyle w:val="ListParagraph"/>
        <w:numPr>
          <w:ilvl w:val="2"/>
          <w:numId w:val="1"/>
        </w:numPr>
        <w:tabs>
          <w:tab w:pos="1064" w:val="left" w:leader="none"/>
          <w:tab w:pos="1066" w:val="left" w:leader="none"/>
        </w:tabs>
        <w:spacing w:line="352" w:lineRule="auto" w:before="7" w:after="0"/>
        <w:ind w:left="1065" w:right="880" w:hanging="340"/>
        <w:jc w:val="left"/>
        <w:rPr>
          <w:sz w:val="19"/>
        </w:rPr>
      </w:pPr>
      <w:r>
        <w:rPr>
          <w:i/>
          <w:sz w:val="19"/>
        </w:rPr>
        <w:t>Composition-adjusted</w:t>
      </w:r>
      <w:r>
        <w:rPr>
          <w:i/>
          <w:spacing w:val="-14"/>
          <w:sz w:val="19"/>
        </w:rPr>
        <w:t> </w:t>
      </w:r>
      <w:r>
        <w:rPr>
          <w:i/>
          <w:sz w:val="19"/>
        </w:rPr>
        <w:t>AWE</w:t>
      </w:r>
      <w:r>
        <w:rPr>
          <w:i/>
          <w:spacing w:val="-13"/>
          <w:sz w:val="19"/>
        </w:rPr>
        <w:t> </w:t>
      </w:r>
      <w:r>
        <w:rPr>
          <w:i/>
          <w:sz w:val="19"/>
        </w:rPr>
        <w:t>private-sector</w:t>
      </w:r>
      <w:r>
        <w:rPr>
          <w:i/>
          <w:spacing w:val="-13"/>
          <w:sz w:val="19"/>
        </w:rPr>
        <w:t> </w:t>
      </w:r>
      <w:r>
        <w:rPr>
          <w:i/>
          <w:sz w:val="19"/>
        </w:rPr>
        <w:t>regular-pay</w:t>
      </w:r>
      <w:r>
        <w:rPr>
          <w:i/>
          <w:spacing w:val="-12"/>
          <w:sz w:val="19"/>
        </w:rPr>
        <w:t> </w:t>
      </w:r>
      <w:r>
        <w:rPr>
          <w:i/>
          <w:sz w:val="19"/>
        </w:rPr>
        <w:t>growth:</w:t>
      </w:r>
      <w:r>
        <w:rPr>
          <w:i/>
          <w:spacing w:val="-12"/>
          <w:sz w:val="19"/>
        </w:rPr>
        <w:t> </w:t>
      </w:r>
      <w:r>
        <w:rPr>
          <w:sz w:val="19"/>
        </w:rPr>
        <w:t>Annual</w:t>
      </w:r>
      <w:r>
        <w:rPr>
          <w:spacing w:val="-13"/>
          <w:sz w:val="19"/>
        </w:rPr>
        <w:t> </w:t>
      </w:r>
      <w:r>
        <w:rPr>
          <w:sz w:val="19"/>
        </w:rPr>
        <w:t>change</w:t>
      </w:r>
      <w:r>
        <w:rPr>
          <w:spacing w:val="-13"/>
          <w:sz w:val="19"/>
        </w:rPr>
        <w:t> </w:t>
      </w:r>
      <w:r>
        <w:rPr>
          <w:sz w:val="19"/>
        </w:rPr>
        <w:t>in</w:t>
      </w:r>
      <w:r>
        <w:rPr>
          <w:spacing w:val="-12"/>
          <w:sz w:val="19"/>
        </w:rPr>
        <w:t> </w:t>
      </w:r>
      <w:r>
        <w:rPr>
          <w:sz w:val="19"/>
        </w:rPr>
        <w:t>average</w:t>
      </w:r>
      <w:r>
        <w:rPr>
          <w:spacing w:val="-12"/>
          <w:sz w:val="19"/>
        </w:rPr>
        <w:t> </w:t>
      </w:r>
      <w:r>
        <w:rPr>
          <w:sz w:val="19"/>
        </w:rPr>
        <w:t>weekly earnings in the private sector, regular pay only (excluding bonuses), adjusted for the changing composition</w:t>
      </w:r>
      <w:r>
        <w:rPr>
          <w:spacing w:val="-8"/>
          <w:sz w:val="19"/>
        </w:rPr>
        <w:t> </w:t>
      </w:r>
      <w:r>
        <w:rPr>
          <w:sz w:val="19"/>
        </w:rPr>
        <w:t>of</w:t>
      </w:r>
      <w:r>
        <w:rPr>
          <w:spacing w:val="-9"/>
          <w:sz w:val="19"/>
        </w:rPr>
        <w:t> </w:t>
      </w:r>
      <w:r>
        <w:rPr>
          <w:sz w:val="19"/>
        </w:rPr>
        <w:t>the</w:t>
      </w:r>
      <w:r>
        <w:rPr>
          <w:spacing w:val="-6"/>
          <w:sz w:val="19"/>
        </w:rPr>
        <w:t> </w:t>
      </w:r>
      <w:r>
        <w:rPr>
          <w:sz w:val="19"/>
        </w:rPr>
        <w:t>workforce,</w:t>
      </w:r>
      <w:r>
        <w:rPr>
          <w:spacing w:val="-8"/>
          <w:sz w:val="19"/>
        </w:rPr>
        <w:t> </w:t>
      </w:r>
      <w:r>
        <w:rPr>
          <w:sz w:val="19"/>
        </w:rPr>
        <w:t>reflecting</w:t>
      </w:r>
      <w:r>
        <w:rPr>
          <w:spacing w:val="-8"/>
          <w:sz w:val="19"/>
        </w:rPr>
        <w:t> </w:t>
      </w:r>
      <w:r>
        <w:rPr>
          <w:sz w:val="19"/>
        </w:rPr>
        <w:t>characteristics</w:t>
      </w:r>
      <w:r>
        <w:rPr>
          <w:spacing w:val="-9"/>
          <w:sz w:val="19"/>
        </w:rPr>
        <w:t> </w:t>
      </w:r>
      <w:r>
        <w:rPr>
          <w:sz w:val="19"/>
        </w:rPr>
        <w:t>such</w:t>
      </w:r>
      <w:r>
        <w:rPr>
          <w:spacing w:val="-9"/>
          <w:sz w:val="19"/>
        </w:rPr>
        <w:t> </w:t>
      </w:r>
      <w:r>
        <w:rPr>
          <w:sz w:val="19"/>
        </w:rPr>
        <w:t>as</w:t>
      </w:r>
      <w:r>
        <w:rPr>
          <w:spacing w:val="-8"/>
          <w:sz w:val="19"/>
        </w:rPr>
        <w:t> </w:t>
      </w:r>
      <w:r>
        <w:rPr>
          <w:sz w:val="19"/>
        </w:rPr>
        <w:t>tenure,</w:t>
      </w:r>
      <w:r>
        <w:rPr>
          <w:spacing w:val="-7"/>
          <w:sz w:val="19"/>
        </w:rPr>
        <w:t> </w:t>
      </w:r>
      <w:r>
        <w:rPr>
          <w:sz w:val="19"/>
        </w:rPr>
        <w:t>qualification</w:t>
      </w:r>
      <w:r>
        <w:rPr>
          <w:spacing w:val="-9"/>
          <w:sz w:val="19"/>
        </w:rPr>
        <w:t> </w:t>
      </w:r>
      <w:r>
        <w:rPr>
          <w:sz w:val="19"/>
        </w:rPr>
        <w:t>and</w:t>
      </w:r>
      <w:r>
        <w:rPr>
          <w:spacing w:val="-8"/>
          <w:sz w:val="19"/>
        </w:rPr>
        <w:t> </w:t>
      </w:r>
      <w:r>
        <w:rPr>
          <w:sz w:val="19"/>
        </w:rPr>
        <w:t>age.</w:t>
      </w:r>
      <w:r>
        <w:rPr>
          <w:sz w:val="19"/>
          <w:vertAlign w:val="superscript"/>
        </w:rPr>
        <w:t>26</w:t>
      </w:r>
    </w:p>
    <w:p>
      <w:pPr>
        <w:pStyle w:val="ListParagraph"/>
        <w:numPr>
          <w:ilvl w:val="2"/>
          <w:numId w:val="1"/>
        </w:numPr>
        <w:tabs>
          <w:tab w:pos="1064" w:val="left" w:leader="none"/>
          <w:tab w:pos="1065" w:val="left" w:leader="none"/>
        </w:tabs>
        <w:spacing w:line="348" w:lineRule="auto" w:before="2" w:after="0"/>
        <w:ind w:left="1064" w:right="1124" w:hanging="340"/>
        <w:jc w:val="left"/>
        <w:rPr>
          <w:sz w:val="19"/>
        </w:rPr>
      </w:pPr>
      <w:r>
        <w:rPr>
          <w:i/>
          <w:sz w:val="19"/>
        </w:rPr>
        <w:t>Services</w:t>
      </w:r>
      <w:r>
        <w:rPr>
          <w:i/>
          <w:spacing w:val="-11"/>
          <w:sz w:val="19"/>
        </w:rPr>
        <w:t> </w:t>
      </w:r>
      <w:r>
        <w:rPr>
          <w:i/>
          <w:sz w:val="19"/>
        </w:rPr>
        <w:t>Gross</w:t>
      </w:r>
      <w:r>
        <w:rPr>
          <w:i/>
          <w:spacing w:val="-10"/>
          <w:sz w:val="19"/>
        </w:rPr>
        <w:t> </w:t>
      </w:r>
      <w:r>
        <w:rPr>
          <w:i/>
          <w:sz w:val="19"/>
        </w:rPr>
        <w:t>Value</w:t>
      </w:r>
      <w:r>
        <w:rPr>
          <w:i/>
          <w:spacing w:val="-11"/>
          <w:sz w:val="19"/>
        </w:rPr>
        <w:t> </w:t>
      </w:r>
      <w:r>
        <w:rPr>
          <w:i/>
          <w:sz w:val="19"/>
        </w:rPr>
        <w:t>Added</w:t>
      </w:r>
      <w:r>
        <w:rPr>
          <w:i/>
          <w:spacing w:val="-10"/>
          <w:sz w:val="19"/>
        </w:rPr>
        <w:t> </w:t>
      </w:r>
      <w:r>
        <w:rPr>
          <w:i/>
          <w:sz w:val="19"/>
        </w:rPr>
        <w:t>Deflator</w:t>
      </w:r>
      <w:r>
        <w:rPr>
          <w:i/>
          <w:spacing w:val="-10"/>
          <w:sz w:val="19"/>
        </w:rPr>
        <w:t> </w:t>
      </w:r>
      <w:r>
        <w:rPr>
          <w:i/>
          <w:sz w:val="19"/>
        </w:rPr>
        <w:t>(Services</w:t>
      </w:r>
      <w:r>
        <w:rPr>
          <w:i/>
          <w:spacing w:val="-9"/>
          <w:sz w:val="19"/>
        </w:rPr>
        <w:t> </w:t>
      </w:r>
      <w:r>
        <w:rPr>
          <w:i/>
          <w:sz w:val="19"/>
        </w:rPr>
        <w:t>GVA</w:t>
      </w:r>
      <w:r>
        <w:rPr>
          <w:i/>
          <w:spacing w:val="-10"/>
          <w:sz w:val="19"/>
        </w:rPr>
        <w:t> </w:t>
      </w:r>
      <w:r>
        <w:rPr>
          <w:i/>
          <w:sz w:val="19"/>
        </w:rPr>
        <w:t>deflator):</w:t>
      </w:r>
      <w:r>
        <w:rPr>
          <w:i/>
          <w:spacing w:val="-9"/>
          <w:sz w:val="19"/>
        </w:rPr>
        <w:t> </w:t>
      </w:r>
      <w:r>
        <w:rPr>
          <w:sz w:val="19"/>
        </w:rPr>
        <w:t>to</w:t>
      </w:r>
      <w:r>
        <w:rPr>
          <w:spacing w:val="-11"/>
          <w:sz w:val="19"/>
        </w:rPr>
        <w:t> </w:t>
      </w:r>
      <w:r>
        <w:rPr>
          <w:sz w:val="19"/>
        </w:rPr>
        <w:t>capture</w:t>
      </w:r>
      <w:r>
        <w:rPr>
          <w:spacing w:val="-10"/>
          <w:sz w:val="19"/>
        </w:rPr>
        <w:t> </w:t>
      </w:r>
      <w:r>
        <w:rPr>
          <w:sz w:val="19"/>
        </w:rPr>
        <w:t>inflation</w:t>
      </w:r>
      <w:r>
        <w:rPr>
          <w:spacing w:val="-10"/>
          <w:sz w:val="19"/>
        </w:rPr>
        <w:t> </w:t>
      </w:r>
      <w:r>
        <w:rPr>
          <w:sz w:val="19"/>
        </w:rPr>
        <w:t>in</w:t>
      </w:r>
      <w:r>
        <w:rPr>
          <w:spacing w:val="-10"/>
          <w:sz w:val="19"/>
        </w:rPr>
        <w:t> </w:t>
      </w:r>
      <w:r>
        <w:rPr>
          <w:sz w:val="19"/>
        </w:rPr>
        <w:t>domestic services.</w:t>
      </w:r>
      <w:r>
        <w:rPr>
          <w:sz w:val="19"/>
          <w:vertAlign w:val="superscript"/>
        </w:rPr>
        <w:t>27</w:t>
      </w:r>
    </w:p>
    <w:p>
      <w:pPr>
        <w:pStyle w:val="ListParagraph"/>
        <w:numPr>
          <w:ilvl w:val="2"/>
          <w:numId w:val="1"/>
        </w:numPr>
        <w:tabs>
          <w:tab w:pos="1064" w:val="left" w:leader="none"/>
          <w:tab w:pos="1065" w:val="left" w:leader="none"/>
        </w:tabs>
        <w:spacing w:line="240" w:lineRule="auto" w:before="8" w:after="0"/>
        <w:ind w:left="1064" w:right="0" w:hanging="341"/>
        <w:jc w:val="left"/>
        <w:rPr>
          <w:sz w:val="19"/>
        </w:rPr>
      </w:pPr>
      <w:r>
        <w:rPr>
          <w:i/>
          <w:sz w:val="19"/>
        </w:rPr>
        <w:t>GDP</w:t>
      </w:r>
      <w:r>
        <w:rPr>
          <w:i/>
          <w:spacing w:val="-7"/>
          <w:sz w:val="19"/>
        </w:rPr>
        <w:t> </w:t>
      </w:r>
      <w:r>
        <w:rPr>
          <w:i/>
          <w:sz w:val="19"/>
        </w:rPr>
        <w:t>Deflator</w:t>
      </w:r>
      <w:r>
        <w:rPr>
          <w:i/>
          <w:spacing w:val="-6"/>
          <w:sz w:val="19"/>
        </w:rPr>
        <w:t> </w:t>
      </w:r>
      <w:r>
        <w:rPr>
          <w:i/>
          <w:sz w:val="19"/>
        </w:rPr>
        <w:t>(GDP</w:t>
      </w:r>
      <w:r>
        <w:rPr>
          <w:i/>
          <w:spacing w:val="-5"/>
          <w:sz w:val="19"/>
        </w:rPr>
        <w:t> </w:t>
      </w:r>
      <w:r>
        <w:rPr>
          <w:i/>
          <w:sz w:val="19"/>
        </w:rPr>
        <w:t>deflator</w:t>
      </w:r>
      <w:r>
        <w:rPr>
          <w:i/>
          <w:spacing w:val="-6"/>
          <w:sz w:val="19"/>
        </w:rPr>
        <w:t> </w:t>
      </w:r>
      <w:r>
        <w:rPr>
          <w:i/>
          <w:sz w:val="19"/>
        </w:rPr>
        <w:t>ex</w:t>
      </w:r>
      <w:r>
        <w:rPr>
          <w:i/>
          <w:spacing w:val="-5"/>
          <w:sz w:val="19"/>
        </w:rPr>
        <w:t> </w:t>
      </w:r>
      <w:r>
        <w:rPr>
          <w:i/>
          <w:sz w:val="19"/>
        </w:rPr>
        <w:t>exports):</w:t>
      </w:r>
      <w:r>
        <w:rPr>
          <w:i/>
          <w:spacing w:val="-5"/>
          <w:sz w:val="19"/>
        </w:rPr>
        <w:t> </w:t>
      </w:r>
      <w:r>
        <w:rPr>
          <w:sz w:val="19"/>
        </w:rPr>
        <w:t>that</w:t>
      </w:r>
      <w:r>
        <w:rPr>
          <w:spacing w:val="-4"/>
          <w:sz w:val="19"/>
        </w:rPr>
        <w:t> </w:t>
      </w:r>
      <w:r>
        <w:rPr>
          <w:sz w:val="19"/>
        </w:rPr>
        <w:t>focuses</w:t>
      </w:r>
      <w:r>
        <w:rPr>
          <w:spacing w:val="-7"/>
          <w:sz w:val="19"/>
        </w:rPr>
        <w:t> </w:t>
      </w:r>
      <w:r>
        <w:rPr>
          <w:sz w:val="19"/>
        </w:rPr>
        <w:t>on</w:t>
      </w:r>
      <w:r>
        <w:rPr>
          <w:spacing w:val="-7"/>
          <w:sz w:val="19"/>
        </w:rPr>
        <w:t> </w:t>
      </w:r>
      <w:r>
        <w:rPr>
          <w:sz w:val="19"/>
        </w:rPr>
        <w:t>expenditure</w:t>
      </w:r>
      <w:r>
        <w:rPr>
          <w:spacing w:val="-6"/>
          <w:sz w:val="19"/>
        </w:rPr>
        <w:t> </w:t>
      </w:r>
      <w:r>
        <w:rPr>
          <w:sz w:val="19"/>
        </w:rPr>
        <w:t>components</w:t>
      </w:r>
      <w:r>
        <w:rPr>
          <w:spacing w:val="-5"/>
          <w:sz w:val="19"/>
        </w:rPr>
        <w:t> </w:t>
      </w:r>
      <w:r>
        <w:rPr>
          <w:sz w:val="19"/>
        </w:rPr>
        <w:t>excluding</w:t>
      </w:r>
      <w:r>
        <w:rPr>
          <w:spacing w:val="-7"/>
          <w:sz w:val="19"/>
        </w:rPr>
        <w:t> </w:t>
      </w:r>
      <w:r>
        <w:rPr>
          <w:sz w:val="19"/>
        </w:rPr>
        <w:t>exports.</w:t>
      </w:r>
    </w:p>
    <w:p>
      <w:pPr>
        <w:pStyle w:val="ListParagraph"/>
        <w:numPr>
          <w:ilvl w:val="2"/>
          <w:numId w:val="1"/>
        </w:numPr>
        <w:tabs>
          <w:tab w:pos="1064" w:val="left" w:leader="none"/>
          <w:tab w:pos="1065" w:val="left" w:leader="none"/>
        </w:tabs>
        <w:spacing w:line="348" w:lineRule="auto" w:before="104" w:after="0"/>
        <w:ind w:left="1064" w:right="1079" w:hanging="340"/>
        <w:jc w:val="left"/>
        <w:rPr>
          <w:sz w:val="19"/>
        </w:rPr>
      </w:pPr>
      <w:r>
        <w:rPr>
          <w:i/>
          <w:sz w:val="19"/>
        </w:rPr>
        <w:t>Services-Producer</w:t>
      </w:r>
      <w:r>
        <w:rPr>
          <w:i/>
          <w:spacing w:val="-10"/>
          <w:sz w:val="19"/>
        </w:rPr>
        <w:t> </w:t>
      </w:r>
      <w:r>
        <w:rPr>
          <w:i/>
          <w:sz w:val="19"/>
        </w:rPr>
        <w:t>Price</w:t>
      </w:r>
      <w:r>
        <w:rPr>
          <w:i/>
          <w:spacing w:val="-11"/>
          <w:sz w:val="19"/>
        </w:rPr>
        <w:t> </w:t>
      </w:r>
      <w:r>
        <w:rPr>
          <w:i/>
          <w:sz w:val="19"/>
        </w:rPr>
        <w:t>Inflation</w:t>
      </w:r>
      <w:r>
        <w:rPr>
          <w:i/>
          <w:spacing w:val="-9"/>
          <w:sz w:val="19"/>
        </w:rPr>
        <w:t> </w:t>
      </w:r>
      <w:r>
        <w:rPr>
          <w:i/>
          <w:sz w:val="19"/>
        </w:rPr>
        <w:t>(SPPI</w:t>
      </w:r>
      <w:r>
        <w:rPr>
          <w:i/>
          <w:spacing w:val="-8"/>
          <w:sz w:val="19"/>
        </w:rPr>
        <w:t> </w:t>
      </w:r>
      <w:r>
        <w:rPr>
          <w:i/>
          <w:sz w:val="19"/>
        </w:rPr>
        <w:t>gross):</w:t>
      </w:r>
      <w:r>
        <w:rPr>
          <w:i/>
          <w:spacing w:val="-8"/>
          <w:sz w:val="19"/>
        </w:rPr>
        <w:t> </w:t>
      </w:r>
      <w:r>
        <w:rPr>
          <w:sz w:val="19"/>
        </w:rPr>
        <w:t>inflation</w:t>
      </w:r>
      <w:r>
        <w:rPr>
          <w:spacing w:val="-10"/>
          <w:sz w:val="19"/>
        </w:rPr>
        <w:t> </w:t>
      </w:r>
      <w:r>
        <w:rPr>
          <w:sz w:val="19"/>
        </w:rPr>
        <w:t>in</w:t>
      </w:r>
      <w:r>
        <w:rPr>
          <w:spacing w:val="-9"/>
          <w:sz w:val="19"/>
        </w:rPr>
        <w:t> </w:t>
      </w:r>
      <w:r>
        <w:rPr>
          <w:sz w:val="19"/>
        </w:rPr>
        <w:t>services</w:t>
      </w:r>
      <w:r>
        <w:rPr>
          <w:spacing w:val="-9"/>
          <w:sz w:val="19"/>
        </w:rPr>
        <w:t> </w:t>
      </w:r>
      <w:r>
        <w:rPr>
          <w:sz w:val="19"/>
        </w:rPr>
        <w:t>sold</w:t>
      </w:r>
      <w:r>
        <w:rPr>
          <w:spacing w:val="-10"/>
          <w:sz w:val="19"/>
        </w:rPr>
        <w:t> </w:t>
      </w:r>
      <w:r>
        <w:rPr>
          <w:sz w:val="19"/>
        </w:rPr>
        <w:t>to</w:t>
      </w:r>
      <w:r>
        <w:rPr>
          <w:spacing w:val="-9"/>
          <w:sz w:val="19"/>
        </w:rPr>
        <w:t> </w:t>
      </w:r>
      <w:r>
        <w:rPr>
          <w:sz w:val="19"/>
        </w:rPr>
        <w:t>businesses</w:t>
      </w:r>
      <w:r>
        <w:rPr>
          <w:spacing w:val="-9"/>
          <w:sz w:val="19"/>
        </w:rPr>
        <w:t> </w:t>
      </w:r>
      <w:r>
        <w:rPr>
          <w:sz w:val="19"/>
        </w:rPr>
        <w:t>and</w:t>
      </w:r>
      <w:r>
        <w:rPr>
          <w:spacing w:val="-10"/>
          <w:sz w:val="19"/>
        </w:rPr>
        <w:t> </w:t>
      </w:r>
      <w:r>
        <w:rPr>
          <w:sz w:val="19"/>
        </w:rPr>
        <w:t>the government.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5"/>
        </w:rPr>
      </w:pPr>
      <w:r>
        <w:rPr/>
        <w:pict>
          <v:shape style="position:absolute;margin-left:79.320pt;margin-top:16.855659pt;width:135.5pt;height:.1pt;mso-position-horizontal-relative:page;mso-position-vertical-relative:paragraph;z-index:-251547648;mso-wrap-distance-left:0;mso-wrap-distance-right:0" coordorigin="1586,337" coordsize="2710,0" path="m1586,337l4296,337e" filled="false" stroked="true" strokeweight=".48pt" strokecolor="#000000">
            <v:path arrowok="t"/>
            <v:stroke dashstyle="solid"/>
            <w10:wrap type="topAndBottom"/>
          </v:shape>
        </w:pict>
      </w:r>
    </w:p>
    <w:p>
      <w:pPr>
        <w:spacing w:line="185" w:lineRule="exact" w:before="27"/>
        <w:ind w:left="386" w:right="0" w:firstLine="0"/>
        <w:jc w:val="left"/>
        <w:rPr>
          <w:sz w:val="15"/>
        </w:rPr>
      </w:pPr>
      <w:r>
        <w:rPr>
          <w:position w:val="8"/>
          <w:sz w:val="9"/>
        </w:rPr>
        <w:t>24 </w:t>
      </w:r>
      <w:r>
        <w:rPr>
          <w:sz w:val="15"/>
        </w:rPr>
        <w:t>This measure excludes VAT effects, education, and air fares and holiday packages.</w:t>
      </w:r>
    </w:p>
    <w:p>
      <w:pPr>
        <w:spacing w:line="185" w:lineRule="exact" w:before="0"/>
        <w:ind w:left="386" w:right="0" w:hanging="1"/>
        <w:jc w:val="left"/>
        <w:rPr>
          <w:sz w:val="15"/>
        </w:rPr>
      </w:pPr>
      <w:r>
        <w:rPr>
          <w:position w:val="8"/>
          <w:sz w:val="9"/>
        </w:rPr>
        <w:t>25 </w:t>
      </w:r>
      <w:r>
        <w:rPr>
          <w:sz w:val="15"/>
        </w:rPr>
        <w:t>More specifically, each item is weighted by its traditional share in the CPI index as a fraction of the imported component in production.</w:t>
      </w:r>
    </w:p>
    <w:p>
      <w:pPr>
        <w:spacing w:before="1"/>
        <w:ind w:left="386" w:right="533" w:firstLine="0"/>
        <w:jc w:val="left"/>
        <w:rPr>
          <w:sz w:val="15"/>
        </w:rPr>
      </w:pPr>
      <w:r>
        <w:rPr>
          <w:sz w:val="15"/>
        </w:rPr>
        <w:t>To be concrete, alcoholic beverages have an imported content of 40% and CPI weight of 20, so would be weighted by (1 / 0.4) * 20 = 50 in the index (and then expressed as a fraction of the sum of all component weights).</w:t>
      </w:r>
    </w:p>
    <w:p>
      <w:pPr>
        <w:spacing w:line="173" w:lineRule="exact" w:before="0"/>
        <w:ind w:left="386" w:right="0" w:firstLine="0"/>
        <w:jc w:val="left"/>
        <w:rPr>
          <w:sz w:val="15"/>
        </w:rPr>
      </w:pPr>
      <w:r>
        <w:rPr>
          <w:position w:val="8"/>
          <w:sz w:val="9"/>
        </w:rPr>
        <w:t>26 </w:t>
      </w:r>
      <w:r>
        <w:rPr>
          <w:sz w:val="15"/>
        </w:rPr>
        <w:t>Estimates of the effect of individual and job characteristics are derived from a regression of these characteristics on the levels of</w:t>
      </w:r>
    </w:p>
    <w:p>
      <w:pPr>
        <w:spacing w:before="2"/>
        <w:ind w:left="386" w:right="628" w:firstLine="0"/>
        <w:jc w:val="left"/>
        <w:rPr>
          <w:sz w:val="15"/>
        </w:rPr>
      </w:pPr>
      <w:r>
        <w:rPr>
          <w:sz w:val="15"/>
        </w:rPr>
        <w:t>employee pay using the Labour Force Survey data. For a discussion of this adjustment applied to the whole economy total pay growth see Bank of England </w:t>
      </w:r>
      <w:r>
        <w:rPr>
          <w:i/>
          <w:sz w:val="15"/>
        </w:rPr>
        <w:t>Inflation Report </w:t>
      </w:r>
      <w:r>
        <w:rPr>
          <w:sz w:val="15"/>
        </w:rPr>
        <w:t>May 2015, pp 36-37.</w:t>
      </w:r>
    </w:p>
    <w:p>
      <w:pPr>
        <w:spacing w:line="174" w:lineRule="exact" w:before="2"/>
        <w:ind w:left="386" w:right="628" w:hanging="1"/>
        <w:jc w:val="left"/>
        <w:rPr>
          <w:sz w:val="15"/>
        </w:rPr>
      </w:pPr>
      <w:r>
        <w:rPr>
          <w:position w:val="8"/>
          <w:sz w:val="9"/>
        </w:rPr>
        <w:t>27 </w:t>
      </w:r>
      <w:r>
        <w:rPr>
          <w:sz w:val="15"/>
        </w:rPr>
        <w:t>This measure is based on the ONS’s GDP(O) low-level aggregates tables which are not balanced to match the expenditure and income GDP measures. The overall GVA deflator using these data can therefore diverge from the national accounts GVA deflator.</w:t>
      </w:r>
    </w:p>
    <w:p>
      <w:pPr>
        <w:spacing w:after="0" w:line="174" w:lineRule="exact"/>
        <w:jc w:val="left"/>
        <w:rPr>
          <w:sz w:val="15"/>
        </w:rPr>
        <w:sectPr>
          <w:pgSz w:w="12240" w:h="15840"/>
          <w:pgMar w:header="0" w:footer="1240" w:top="1440" w:bottom="1440" w:left="1200" w:right="1060"/>
        </w:sectPr>
      </w:pPr>
    </w:p>
    <w:p>
      <w:pPr>
        <w:pStyle w:val="Heading1"/>
        <w:spacing w:line="357" w:lineRule="auto" w:before="78" w:after="3"/>
        <w:ind w:right="628"/>
      </w:pPr>
      <w:r>
        <w:rPr/>
        <w:t>Appendix</w:t>
      </w:r>
      <w:r>
        <w:rPr>
          <w:spacing w:val="-12"/>
        </w:rPr>
        <w:t> </w:t>
      </w:r>
      <w:r>
        <w:rPr/>
        <w:t>B:</w:t>
      </w:r>
      <w:r>
        <w:rPr>
          <w:spacing w:val="-10"/>
        </w:rPr>
        <w:t> </w:t>
      </w:r>
      <w:r>
        <w:rPr/>
        <w:t>Coefficients</w:t>
      </w:r>
      <w:r>
        <w:rPr>
          <w:spacing w:val="-10"/>
        </w:rPr>
        <w:t> </w:t>
      </w:r>
      <w:r>
        <w:rPr/>
        <w:t>on</w:t>
      </w:r>
      <w:r>
        <w:rPr>
          <w:spacing w:val="-12"/>
        </w:rPr>
        <w:t> </w:t>
      </w:r>
      <w:r>
        <w:rPr/>
        <w:t>individual</w:t>
      </w:r>
      <w:r>
        <w:rPr>
          <w:spacing w:val="-9"/>
        </w:rPr>
        <w:t> </w:t>
      </w:r>
      <w:r>
        <w:rPr/>
        <w:t>countries’</w:t>
      </w:r>
      <w:r>
        <w:rPr>
          <w:spacing w:val="-11"/>
        </w:rPr>
        <w:t> </w:t>
      </w:r>
      <w:r>
        <w:rPr/>
        <w:t>headline</w:t>
      </w:r>
      <w:r>
        <w:rPr>
          <w:spacing w:val="-11"/>
        </w:rPr>
        <w:t> </w:t>
      </w:r>
      <w:r>
        <w:rPr/>
        <w:t>and</w:t>
      </w:r>
      <w:r>
        <w:rPr>
          <w:spacing w:val="-10"/>
        </w:rPr>
        <w:t> </w:t>
      </w:r>
      <w:r>
        <w:rPr/>
        <w:t>core</w:t>
      </w:r>
      <w:r>
        <w:rPr>
          <w:spacing w:val="-10"/>
        </w:rPr>
        <w:t> </w:t>
      </w:r>
      <w:r>
        <w:rPr/>
        <w:t>inflation</w:t>
      </w:r>
      <w:r>
        <w:rPr>
          <w:spacing w:val="-11"/>
        </w:rPr>
        <w:t> </w:t>
      </w:r>
      <w:r>
        <w:rPr/>
        <w:t>rates</w:t>
      </w:r>
      <w:r>
        <w:rPr>
          <w:spacing w:val="-11"/>
        </w:rPr>
        <w:t> </w:t>
      </w:r>
      <w:r>
        <w:rPr/>
        <w:t>by</w:t>
      </w:r>
      <w:r>
        <w:rPr>
          <w:spacing w:val="-12"/>
        </w:rPr>
        <w:t> </w:t>
      </w:r>
      <w:r>
        <w:rPr/>
        <w:t>region</w:t>
      </w:r>
      <w:r>
        <w:rPr>
          <w:spacing w:val="-9"/>
        </w:rPr>
        <w:t> </w:t>
      </w:r>
      <w:r>
        <w:rPr/>
        <w:t>(from headline and core UK Phillips</w:t>
      </w:r>
      <w:r>
        <w:rPr>
          <w:spacing w:val="-8"/>
        </w:rPr>
        <w:t> </w:t>
      </w:r>
      <w:r>
        <w:rPr/>
        <w:t>Curve)</w:t>
      </w:r>
    </w:p>
    <w:p>
      <w:pPr>
        <w:pStyle w:val="BodyText"/>
        <w:spacing w:line="20" w:lineRule="exact"/>
        <w:ind w:left="418"/>
        <w:rPr>
          <w:sz w:val="2"/>
        </w:rPr>
      </w:pPr>
      <w:r>
        <w:rPr>
          <w:sz w:val="2"/>
        </w:rPr>
        <w:pict>
          <v:group style="width:449.7pt;height:.5pt;mso-position-horizontal-relative:char;mso-position-vertical-relative:line" coordorigin="0,0" coordsize="8994,10">
            <v:line style="position:absolute" from="0,5" to="8994,5" stroked="true" strokeweight=".48pt" strokecolor="#000000">
              <v:stroke dashstyle="solid"/>
            </v:line>
          </v:group>
        </w:pict>
      </w:r>
      <w:r>
        <w:rPr>
          <w:sz w:val="2"/>
        </w:rPr>
      </w:r>
    </w:p>
    <w:p>
      <w:pPr>
        <w:tabs>
          <w:tab w:pos="4159" w:val="left" w:leader="none"/>
          <w:tab w:pos="6097" w:val="left" w:leader="none"/>
          <w:tab w:pos="6333" w:val="left" w:leader="none"/>
          <w:tab w:pos="7660" w:val="left" w:leader="none"/>
          <w:tab w:pos="9417" w:val="left" w:leader="none"/>
        </w:tabs>
        <w:spacing w:before="0"/>
        <w:ind w:left="3009" w:right="0" w:firstLine="0"/>
        <w:jc w:val="left"/>
        <w:rPr>
          <w:b/>
          <w:sz w:val="19"/>
        </w:rPr>
      </w:pPr>
      <w:r>
        <w:rPr>
          <w:b/>
          <w:w w:val="99"/>
          <w:sz w:val="19"/>
          <w:u w:val="single"/>
        </w:rPr>
        <w:t> </w:t>
      </w:r>
      <w:r>
        <w:rPr>
          <w:b/>
          <w:sz w:val="19"/>
          <w:u w:val="single"/>
        </w:rPr>
        <w:tab/>
        <w:t>Headline</w:t>
        <w:tab/>
      </w:r>
      <w:r>
        <w:rPr>
          <w:b/>
          <w:sz w:val="19"/>
        </w:rPr>
        <w:tab/>
      </w:r>
      <w:r>
        <w:rPr>
          <w:b/>
          <w:sz w:val="19"/>
          <w:u w:val="single"/>
        </w:rPr>
        <w:t> </w:t>
        <w:tab/>
        <w:t>Core</w:t>
        <w:tab/>
      </w:r>
    </w:p>
    <w:p>
      <w:pPr>
        <w:tabs>
          <w:tab w:pos="3283" w:val="left" w:leader="none"/>
          <w:tab w:pos="4217" w:val="left" w:leader="none"/>
          <w:tab w:pos="5377" w:val="left" w:leader="none"/>
          <w:tab w:pos="6333" w:val="left" w:leader="none"/>
          <w:tab w:pos="6609" w:val="left" w:leader="none"/>
          <w:tab w:pos="7502" w:val="left" w:leader="none"/>
          <w:tab w:pos="8660" w:val="left" w:leader="none"/>
        </w:tabs>
        <w:spacing w:before="9" w:after="14"/>
        <w:ind w:left="3009" w:right="0" w:firstLine="0"/>
        <w:jc w:val="left"/>
        <w:rPr>
          <w:b/>
          <w:sz w:val="17"/>
        </w:rPr>
      </w:pPr>
      <w:r>
        <w:rPr>
          <w:b/>
          <w:w w:val="99"/>
          <w:sz w:val="17"/>
          <w:u w:val="single"/>
        </w:rPr>
        <w:t> </w:t>
      </w:r>
      <w:r>
        <w:rPr>
          <w:b/>
          <w:sz w:val="17"/>
          <w:u w:val="single"/>
        </w:rPr>
        <w:tab/>
        <w:t>Coeff.</w:t>
        <w:tab/>
        <w:t>Robust</w:t>
      </w:r>
      <w:r>
        <w:rPr>
          <w:b/>
          <w:spacing w:val="-4"/>
          <w:sz w:val="17"/>
          <w:u w:val="single"/>
        </w:rPr>
        <w:t> </w:t>
      </w:r>
      <w:r>
        <w:rPr>
          <w:b/>
          <w:sz w:val="17"/>
          <w:u w:val="single"/>
        </w:rPr>
        <w:t>SE</w:t>
        <w:tab/>
        <w:t>p-value</w:t>
      </w:r>
      <w:r>
        <w:rPr>
          <w:b/>
          <w:sz w:val="17"/>
        </w:rPr>
        <w:tab/>
      </w:r>
      <w:r>
        <w:rPr>
          <w:b/>
          <w:sz w:val="17"/>
          <w:u w:val="single"/>
        </w:rPr>
        <w:t> </w:t>
        <w:tab/>
        <w:t>Coeff.</w:t>
        <w:tab/>
        <w:t>Robust</w:t>
      </w:r>
      <w:r>
        <w:rPr>
          <w:b/>
          <w:spacing w:val="-3"/>
          <w:sz w:val="17"/>
          <w:u w:val="single"/>
        </w:rPr>
        <w:t> </w:t>
      </w:r>
      <w:r>
        <w:rPr>
          <w:b/>
          <w:sz w:val="17"/>
          <w:u w:val="single"/>
        </w:rPr>
        <w:t>SE</w:t>
        <w:tab/>
        <w:t>p-value</w:t>
      </w:r>
      <w:r>
        <w:rPr>
          <w:b/>
          <w:spacing w:val="23"/>
          <w:sz w:val="17"/>
          <w:u w:val="single"/>
        </w:rPr>
        <w:t> </w:t>
      </w:r>
    </w:p>
    <w:tbl>
      <w:tblPr>
        <w:tblW w:w="0" w:type="auto"/>
        <w:jc w:val="left"/>
        <w:tblInd w:w="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9"/>
        <w:gridCol w:w="1478"/>
        <w:gridCol w:w="1081"/>
        <w:gridCol w:w="1011"/>
        <w:gridCol w:w="1039"/>
        <w:gridCol w:w="1253"/>
        <w:gridCol w:w="989"/>
        <w:gridCol w:w="977"/>
      </w:tblGrid>
      <w:tr>
        <w:trPr>
          <w:trHeight w:val="192" w:hRule="atLeast"/>
        </w:trPr>
        <w:tc>
          <w:tcPr>
            <w:tcW w:w="1169" w:type="dxa"/>
          </w:tcPr>
          <w:p>
            <w:pPr>
              <w:pStyle w:val="TableParagraph"/>
              <w:spacing w:line="173" w:lineRule="exact"/>
              <w:ind w:left="107"/>
              <w:rPr>
                <w:b/>
                <w:i/>
                <w:sz w:val="17"/>
              </w:rPr>
            </w:pPr>
            <w:r>
              <w:rPr>
                <w:b/>
                <w:i/>
                <w:sz w:val="17"/>
              </w:rPr>
              <w:t>EEA:</w:t>
            </w:r>
          </w:p>
        </w:tc>
        <w:tc>
          <w:tcPr>
            <w:tcW w:w="1478" w:type="dxa"/>
          </w:tcPr>
          <w:p>
            <w:pPr>
              <w:pStyle w:val="TableParagraph"/>
              <w:spacing w:line="173" w:lineRule="exact"/>
              <w:ind w:left="101"/>
              <w:rPr>
                <w:sz w:val="17"/>
              </w:rPr>
            </w:pPr>
            <w:r>
              <w:rPr>
                <w:sz w:val="17"/>
              </w:rPr>
              <w:t>Austria</w:t>
            </w:r>
          </w:p>
        </w:tc>
        <w:tc>
          <w:tcPr>
            <w:tcW w:w="1081" w:type="dxa"/>
          </w:tcPr>
          <w:p>
            <w:pPr>
              <w:pStyle w:val="TableParagraph"/>
              <w:spacing w:line="173" w:lineRule="exact"/>
              <w:ind w:left="145" w:right="307"/>
              <w:jc w:val="center"/>
              <w:rPr>
                <w:sz w:val="17"/>
              </w:rPr>
            </w:pPr>
            <w:r>
              <w:rPr>
                <w:sz w:val="17"/>
              </w:rPr>
              <w:t>0.36***</w:t>
            </w:r>
          </w:p>
        </w:tc>
        <w:tc>
          <w:tcPr>
            <w:tcW w:w="1011" w:type="dxa"/>
          </w:tcPr>
          <w:p>
            <w:pPr>
              <w:pStyle w:val="TableParagraph"/>
              <w:spacing w:line="173" w:lineRule="exact"/>
              <w:ind w:left="313" w:right="324"/>
              <w:jc w:val="center"/>
              <w:rPr>
                <w:sz w:val="17"/>
              </w:rPr>
            </w:pPr>
            <w:r>
              <w:rPr>
                <w:sz w:val="17"/>
              </w:rPr>
              <w:t>0.11</w:t>
            </w:r>
          </w:p>
        </w:tc>
        <w:tc>
          <w:tcPr>
            <w:tcW w:w="1039" w:type="dxa"/>
          </w:tcPr>
          <w:p>
            <w:pPr>
              <w:pStyle w:val="TableParagraph"/>
              <w:spacing w:line="173" w:lineRule="exact"/>
              <w:ind w:left="328" w:right="335"/>
              <w:jc w:val="center"/>
              <w:rPr>
                <w:sz w:val="17"/>
              </w:rPr>
            </w:pPr>
            <w:r>
              <w:rPr>
                <w:sz w:val="17"/>
              </w:rPr>
              <w:t>0.01</w:t>
            </w:r>
          </w:p>
        </w:tc>
        <w:tc>
          <w:tcPr>
            <w:tcW w:w="1253" w:type="dxa"/>
          </w:tcPr>
          <w:p>
            <w:pPr>
              <w:pStyle w:val="TableParagraph"/>
              <w:spacing w:line="173" w:lineRule="exact"/>
              <w:ind w:left="466" w:right="413"/>
              <w:jc w:val="center"/>
              <w:rPr>
                <w:sz w:val="17"/>
              </w:rPr>
            </w:pPr>
            <w:r>
              <w:rPr>
                <w:sz w:val="17"/>
              </w:rPr>
              <w:t>0.11</w:t>
            </w:r>
          </w:p>
        </w:tc>
        <w:tc>
          <w:tcPr>
            <w:tcW w:w="989" w:type="dxa"/>
          </w:tcPr>
          <w:p>
            <w:pPr>
              <w:pStyle w:val="TableParagraph"/>
              <w:spacing w:line="173" w:lineRule="exact"/>
              <w:ind w:left="314"/>
              <w:rPr>
                <w:sz w:val="17"/>
              </w:rPr>
            </w:pPr>
            <w:r>
              <w:rPr>
                <w:sz w:val="17"/>
              </w:rPr>
              <w:t>0.09</w:t>
            </w:r>
          </w:p>
        </w:tc>
        <w:tc>
          <w:tcPr>
            <w:tcW w:w="977" w:type="dxa"/>
          </w:tcPr>
          <w:p>
            <w:pPr>
              <w:pStyle w:val="TableParagraph"/>
              <w:spacing w:line="173" w:lineRule="exact"/>
              <w:ind w:left="351"/>
              <w:rPr>
                <w:sz w:val="17"/>
              </w:rPr>
            </w:pPr>
            <w:r>
              <w:rPr>
                <w:sz w:val="17"/>
              </w:rPr>
              <w:t>0.21</w:t>
            </w:r>
          </w:p>
        </w:tc>
      </w:tr>
      <w:tr>
        <w:trPr>
          <w:trHeight w:val="195" w:hRule="atLeast"/>
        </w:trPr>
        <w:tc>
          <w:tcPr>
            <w:tcW w:w="1169" w:type="dxa"/>
          </w:tcPr>
          <w:p>
            <w:pPr>
              <w:pStyle w:val="TableParagraph"/>
              <w:spacing w:line="176" w:lineRule="exact"/>
              <w:ind w:left="107"/>
              <w:rPr>
                <w:b/>
                <w:i/>
                <w:sz w:val="17"/>
              </w:rPr>
            </w:pPr>
            <w:r>
              <w:rPr>
                <w:b/>
                <w:i/>
                <w:sz w:val="17"/>
              </w:rPr>
              <w:t>Countries</w:t>
            </w:r>
          </w:p>
        </w:tc>
        <w:tc>
          <w:tcPr>
            <w:tcW w:w="1478" w:type="dxa"/>
          </w:tcPr>
          <w:p>
            <w:pPr>
              <w:pStyle w:val="TableParagraph"/>
              <w:spacing w:line="176" w:lineRule="exact"/>
              <w:ind w:left="101"/>
              <w:rPr>
                <w:sz w:val="17"/>
              </w:rPr>
            </w:pPr>
            <w:r>
              <w:rPr>
                <w:sz w:val="17"/>
              </w:rPr>
              <w:t>Belgium</w:t>
            </w:r>
          </w:p>
        </w:tc>
        <w:tc>
          <w:tcPr>
            <w:tcW w:w="1081" w:type="dxa"/>
          </w:tcPr>
          <w:p>
            <w:pPr>
              <w:pStyle w:val="TableParagraph"/>
              <w:spacing w:line="176" w:lineRule="exact"/>
              <w:ind w:left="145" w:right="307"/>
              <w:jc w:val="center"/>
              <w:rPr>
                <w:sz w:val="17"/>
              </w:rPr>
            </w:pPr>
            <w:r>
              <w:rPr>
                <w:sz w:val="17"/>
              </w:rPr>
              <w:t>0.57***</w:t>
            </w:r>
          </w:p>
        </w:tc>
        <w:tc>
          <w:tcPr>
            <w:tcW w:w="1011" w:type="dxa"/>
          </w:tcPr>
          <w:p>
            <w:pPr>
              <w:pStyle w:val="TableParagraph"/>
              <w:spacing w:line="176" w:lineRule="exact"/>
              <w:ind w:left="313" w:right="324"/>
              <w:jc w:val="center"/>
              <w:rPr>
                <w:sz w:val="17"/>
              </w:rPr>
            </w:pPr>
            <w:r>
              <w:rPr>
                <w:sz w:val="17"/>
              </w:rPr>
              <w:t>0.11</w:t>
            </w:r>
          </w:p>
        </w:tc>
        <w:tc>
          <w:tcPr>
            <w:tcW w:w="1039" w:type="dxa"/>
          </w:tcPr>
          <w:p>
            <w:pPr>
              <w:pStyle w:val="TableParagraph"/>
              <w:spacing w:line="176" w:lineRule="exact"/>
              <w:ind w:left="328" w:right="335"/>
              <w:jc w:val="center"/>
              <w:rPr>
                <w:sz w:val="17"/>
              </w:rPr>
            </w:pPr>
            <w:r>
              <w:rPr>
                <w:sz w:val="17"/>
              </w:rPr>
              <w:t>0.01</w:t>
            </w:r>
          </w:p>
        </w:tc>
        <w:tc>
          <w:tcPr>
            <w:tcW w:w="1253" w:type="dxa"/>
          </w:tcPr>
          <w:p>
            <w:pPr>
              <w:pStyle w:val="TableParagraph"/>
              <w:spacing w:line="176" w:lineRule="exact"/>
              <w:ind w:left="389"/>
              <w:rPr>
                <w:sz w:val="17"/>
              </w:rPr>
            </w:pPr>
            <w:r>
              <w:rPr>
                <w:sz w:val="17"/>
              </w:rPr>
              <w:t>0.32***</w:t>
            </w:r>
          </w:p>
        </w:tc>
        <w:tc>
          <w:tcPr>
            <w:tcW w:w="989" w:type="dxa"/>
          </w:tcPr>
          <w:p>
            <w:pPr>
              <w:pStyle w:val="TableParagraph"/>
              <w:spacing w:line="176" w:lineRule="exact"/>
              <w:ind w:left="362"/>
              <w:rPr>
                <w:sz w:val="17"/>
              </w:rPr>
            </w:pPr>
            <w:r>
              <w:rPr>
                <w:sz w:val="17"/>
              </w:rPr>
              <w:t>0.1</w:t>
            </w:r>
          </w:p>
        </w:tc>
        <w:tc>
          <w:tcPr>
            <w:tcW w:w="977" w:type="dxa"/>
          </w:tcPr>
          <w:p>
            <w:pPr>
              <w:pStyle w:val="TableParagraph"/>
              <w:spacing w:line="176" w:lineRule="exact"/>
              <w:ind w:left="352"/>
              <w:rPr>
                <w:sz w:val="17"/>
              </w:rPr>
            </w:pPr>
            <w:r>
              <w:rPr>
                <w:sz w:val="17"/>
              </w:rPr>
              <w:t>0.01</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Czech Republic</w:t>
            </w:r>
          </w:p>
        </w:tc>
        <w:tc>
          <w:tcPr>
            <w:tcW w:w="1081" w:type="dxa"/>
          </w:tcPr>
          <w:p>
            <w:pPr>
              <w:pStyle w:val="TableParagraph"/>
              <w:spacing w:line="174" w:lineRule="exact"/>
              <w:ind w:left="145" w:right="306"/>
              <w:jc w:val="center"/>
              <w:rPr>
                <w:sz w:val="17"/>
              </w:rPr>
            </w:pPr>
            <w:r>
              <w:rPr>
                <w:sz w:val="17"/>
              </w:rPr>
              <w:t>0.05</w:t>
            </w:r>
          </w:p>
        </w:tc>
        <w:tc>
          <w:tcPr>
            <w:tcW w:w="1011" w:type="dxa"/>
          </w:tcPr>
          <w:p>
            <w:pPr>
              <w:pStyle w:val="TableParagraph"/>
              <w:spacing w:line="174" w:lineRule="exact"/>
              <w:ind w:left="314" w:right="324"/>
              <w:jc w:val="center"/>
              <w:rPr>
                <w:sz w:val="17"/>
              </w:rPr>
            </w:pPr>
            <w:r>
              <w:rPr>
                <w:sz w:val="17"/>
              </w:rPr>
              <w:t>0.04</w:t>
            </w:r>
          </w:p>
        </w:tc>
        <w:tc>
          <w:tcPr>
            <w:tcW w:w="1039" w:type="dxa"/>
          </w:tcPr>
          <w:p>
            <w:pPr>
              <w:pStyle w:val="TableParagraph"/>
              <w:spacing w:line="174" w:lineRule="exact"/>
              <w:ind w:left="329" w:right="335"/>
              <w:jc w:val="center"/>
              <w:rPr>
                <w:sz w:val="17"/>
              </w:rPr>
            </w:pPr>
            <w:r>
              <w:rPr>
                <w:sz w:val="17"/>
              </w:rPr>
              <w:t>0.22</w:t>
            </w:r>
          </w:p>
        </w:tc>
        <w:tc>
          <w:tcPr>
            <w:tcW w:w="1253" w:type="dxa"/>
          </w:tcPr>
          <w:p>
            <w:pPr>
              <w:pStyle w:val="TableParagraph"/>
              <w:spacing w:line="174" w:lineRule="exact"/>
              <w:ind w:left="462"/>
              <w:rPr>
                <w:sz w:val="17"/>
              </w:rPr>
            </w:pPr>
            <w:r>
              <w:rPr>
                <w:sz w:val="17"/>
              </w:rPr>
              <w:t>-0.04</w:t>
            </w:r>
          </w:p>
        </w:tc>
        <w:tc>
          <w:tcPr>
            <w:tcW w:w="989" w:type="dxa"/>
          </w:tcPr>
          <w:p>
            <w:pPr>
              <w:pStyle w:val="TableParagraph"/>
              <w:spacing w:line="174" w:lineRule="exact"/>
              <w:ind w:left="315"/>
              <w:rPr>
                <w:sz w:val="17"/>
              </w:rPr>
            </w:pPr>
            <w:r>
              <w:rPr>
                <w:sz w:val="17"/>
              </w:rPr>
              <w:t>0.03</w:t>
            </w:r>
          </w:p>
        </w:tc>
        <w:tc>
          <w:tcPr>
            <w:tcW w:w="977" w:type="dxa"/>
          </w:tcPr>
          <w:p>
            <w:pPr>
              <w:pStyle w:val="TableParagraph"/>
              <w:spacing w:line="174" w:lineRule="exact"/>
              <w:ind w:left="352"/>
              <w:rPr>
                <w:sz w:val="17"/>
              </w:rPr>
            </w:pPr>
            <w:r>
              <w:rPr>
                <w:sz w:val="17"/>
              </w:rPr>
              <w:t>0.19</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Denmark</w:t>
            </w:r>
          </w:p>
        </w:tc>
        <w:tc>
          <w:tcPr>
            <w:tcW w:w="1081" w:type="dxa"/>
          </w:tcPr>
          <w:p>
            <w:pPr>
              <w:pStyle w:val="TableParagraph"/>
              <w:spacing w:line="174" w:lineRule="exact"/>
              <w:ind w:left="145" w:right="307"/>
              <w:jc w:val="center"/>
              <w:rPr>
                <w:sz w:val="17"/>
              </w:rPr>
            </w:pPr>
            <w:r>
              <w:rPr>
                <w:sz w:val="17"/>
              </w:rPr>
              <w:t>0.11</w:t>
            </w:r>
          </w:p>
        </w:tc>
        <w:tc>
          <w:tcPr>
            <w:tcW w:w="1011" w:type="dxa"/>
          </w:tcPr>
          <w:p>
            <w:pPr>
              <w:pStyle w:val="TableParagraph"/>
              <w:spacing w:line="174" w:lineRule="exact"/>
              <w:ind w:left="312" w:right="324"/>
              <w:jc w:val="center"/>
              <w:rPr>
                <w:sz w:val="17"/>
              </w:rPr>
            </w:pPr>
            <w:r>
              <w:rPr>
                <w:sz w:val="17"/>
              </w:rPr>
              <w:t>0.09</w:t>
            </w:r>
          </w:p>
        </w:tc>
        <w:tc>
          <w:tcPr>
            <w:tcW w:w="1039" w:type="dxa"/>
          </w:tcPr>
          <w:p>
            <w:pPr>
              <w:pStyle w:val="TableParagraph"/>
              <w:spacing w:line="174" w:lineRule="exact"/>
              <w:ind w:left="328" w:right="335"/>
              <w:jc w:val="center"/>
              <w:rPr>
                <w:sz w:val="17"/>
              </w:rPr>
            </w:pPr>
            <w:r>
              <w:rPr>
                <w:sz w:val="17"/>
              </w:rPr>
              <w:t>0.23</w:t>
            </w:r>
          </w:p>
        </w:tc>
        <w:tc>
          <w:tcPr>
            <w:tcW w:w="1253" w:type="dxa"/>
          </w:tcPr>
          <w:p>
            <w:pPr>
              <w:pStyle w:val="TableParagraph"/>
              <w:spacing w:line="174" w:lineRule="exact"/>
              <w:ind w:left="362"/>
              <w:rPr>
                <w:sz w:val="17"/>
              </w:rPr>
            </w:pPr>
            <w:r>
              <w:rPr>
                <w:sz w:val="17"/>
              </w:rPr>
              <w:t>-0.31***</w:t>
            </w:r>
          </w:p>
        </w:tc>
        <w:tc>
          <w:tcPr>
            <w:tcW w:w="989" w:type="dxa"/>
          </w:tcPr>
          <w:p>
            <w:pPr>
              <w:pStyle w:val="TableParagraph"/>
              <w:spacing w:line="174" w:lineRule="exact"/>
              <w:ind w:left="314"/>
              <w:rPr>
                <w:sz w:val="17"/>
              </w:rPr>
            </w:pPr>
            <w:r>
              <w:rPr>
                <w:sz w:val="17"/>
              </w:rPr>
              <w:t>0.09</w:t>
            </w:r>
          </w:p>
        </w:tc>
        <w:tc>
          <w:tcPr>
            <w:tcW w:w="977" w:type="dxa"/>
          </w:tcPr>
          <w:p>
            <w:pPr>
              <w:pStyle w:val="TableParagraph"/>
              <w:spacing w:line="174" w:lineRule="exact"/>
              <w:ind w:left="351"/>
              <w:rPr>
                <w:sz w:val="17"/>
              </w:rPr>
            </w:pPr>
            <w:r>
              <w:rPr>
                <w:sz w:val="17"/>
              </w:rPr>
              <w:t>0.01</w:t>
            </w:r>
          </w:p>
        </w:tc>
      </w:tr>
      <w:tr>
        <w:trPr>
          <w:trHeight w:val="194" w:hRule="atLeast"/>
        </w:trPr>
        <w:tc>
          <w:tcPr>
            <w:tcW w:w="1169" w:type="dxa"/>
          </w:tcPr>
          <w:p>
            <w:pPr>
              <w:pStyle w:val="TableParagraph"/>
              <w:rPr>
                <w:rFonts w:ascii="Times New Roman"/>
                <w:sz w:val="12"/>
              </w:rPr>
            </w:pPr>
          </w:p>
        </w:tc>
        <w:tc>
          <w:tcPr>
            <w:tcW w:w="1478" w:type="dxa"/>
            <w:tcBorders>
              <w:bottom w:val="single" w:sz="4" w:space="0" w:color="000000"/>
            </w:tcBorders>
          </w:tcPr>
          <w:p>
            <w:pPr>
              <w:pStyle w:val="TableParagraph"/>
              <w:spacing w:line="174" w:lineRule="exact"/>
              <w:ind w:left="101"/>
              <w:rPr>
                <w:sz w:val="17"/>
              </w:rPr>
            </w:pPr>
            <w:r>
              <w:rPr>
                <w:sz w:val="17"/>
              </w:rPr>
              <w:t>Estonia</w:t>
            </w:r>
          </w:p>
        </w:tc>
        <w:tc>
          <w:tcPr>
            <w:tcW w:w="1081" w:type="dxa"/>
            <w:tcBorders>
              <w:bottom w:val="single" w:sz="4" w:space="0" w:color="000000"/>
            </w:tcBorders>
          </w:tcPr>
          <w:p>
            <w:pPr>
              <w:pStyle w:val="TableParagraph"/>
              <w:spacing w:line="174" w:lineRule="exact"/>
              <w:ind w:left="145" w:right="307"/>
              <w:jc w:val="center"/>
              <w:rPr>
                <w:sz w:val="17"/>
              </w:rPr>
            </w:pPr>
            <w:r>
              <w:rPr>
                <w:sz w:val="17"/>
              </w:rPr>
              <w:t>0.11***</w:t>
            </w:r>
          </w:p>
        </w:tc>
        <w:tc>
          <w:tcPr>
            <w:tcW w:w="1011" w:type="dxa"/>
            <w:tcBorders>
              <w:bottom w:val="single" w:sz="4" w:space="0" w:color="000000"/>
            </w:tcBorders>
          </w:tcPr>
          <w:p>
            <w:pPr>
              <w:pStyle w:val="TableParagraph"/>
              <w:spacing w:line="174" w:lineRule="exact"/>
              <w:ind w:left="313" w:right="324"/>
              <w:jc w:val="center"/>
              <w:rPr>
                <w:sz w:val="17"/>
              </w:rPr>
            </w:pPr>
            <w:r>
              <w:rPr>
                <w:sz w:val="17"/>
              </w:rPr>
              <w:t>0.03</w:t>
            </w:r>
          </w:p>
        </w:tc>
        <w:tc>
          <w:tcPr>
            <w:tcW w:w="1039" w:type="dxa"/>
            <w:tcBorders>
              <w:bottom w:val="single" w:sz="4" w:space="0" w:color="000000"/>
            </w:tcBorders>
          </w:tcPr>
          <w:p>
            <w:pPr>
              <w:pStyle w:val="TableParagraph"/>
              <w:spacing w:line="174" w:lineRule="exact"/>
              <w:ind w:left="328" w:right="335"/>
              <w:jc w:val="center"/>
              <w:rPr>
                <w:sz w:val="17"/>
              </w:rPr>
            </w:pPr>
            <w:r>
              <w:rPr>
                <w:sz w:val="17"/>
              </w:rPr>
              <w:t>0.01</w:t>
            </w:r>
          </w:p>
        </w:tc>
        <w:tc>
          <w:tcPr>
            <w:tcW w:w="1253" w:type="dxa"/>
            <w:tcBorders>
              <w:bottom w:val="single" w:sz="4" w:space="0" w:color="000000"/>
            </w:tcBorders>
          </w:tcPr>
          <w:p>
            <w:pPr>
              <w:pStyle w:val="TableParagraph"/>
              <w:spacing w:line="174" w:lineRule="exact"/>
              <w:ind w:left="466" w:right="413"/>
              <w:jc w:val="center"/>
              <w:rPr>
                <w:sz w:val="17"/>
              </w:rPr>
            </w:pPr>
            <w:r>
              <w:rPr>
                <w:sz w:val="17"/>
              </w:rPr>
              <w:t>0.02</w:t>
            </w:r>
          </w:p>
        </w:tc>
        <w:tc>
          <w:tcPr>
            <w:tcW w:w="989" w:type="dxa"/>
            <w:tcBorders>
              <w:bottom w:val="single" w:sz="4" w:space="0" w:color="000000"/>
            </w:tcBorders>
          </w:tcPr>
          <w:p>
            <w:pPr>
              <w:pStyle w:val="TableParagraph"/>
              <w:spacing w:line="174" w:lineRule="exact"/>
              <w:ind w:left="314"/>
              <w:rPr>
                <w:sz w:val="17"/>
              </w:rPr>
            </w:pPr>
            <w:r>
              <w:rPr>
                <w:sz w:val="17"/>
              </w:rPr>
              <w:t>0.04</w:t>
            </w:r>
          </w:p>
        </w:tc>
        <w:tc>
          <w:tcPr>
            <w:tcW w:w="977" w:type="dxa"/>
            <w:tcBorders>
              <w:bottom w:val="single" w:sz="4" w:space="0" w:color="000000"/>
            </w:tcBorders>
          </w:tcPr>
          <w:p>
            <w:pPr>
              <w:pStyle w:val="TableParagraph"/>
              <w:spacing w:line="174" w:lineRule="exact"/>
              <w:ind w:left="351"/>
              <w:rPr>
                <w:sz w:val="17"/>
              </w:rPr>
            </w:pPr>
            <w:r>
              <w:rPr>
                <w:sz w:val="17"/>
              </w:rPr>
              <w:t>0.62</w:t>
            </w:r>
          </w:p>
        </w:tc>
      </w:tr>
      <w:tr>
        <w:trPr>
          <w:trHeight w:val="194" w:hRule="atLeast"/>
        </w:trPr>
        <w:tc>
          <w:tcPr>
            <w:tcW w:w="1169" w:type="dxa"/>
          </w:tcPr>
          <w:p>
            <w:pPr>
              <w:pStyle w:val="TableParagraph"/>
              <w:rPr>
                <w:rFonts w:ascii="Times New Roman"/>
                <w:sz w:val="12"/>
              </w:rPr>
            </w:pPr>
          </w:p>
        </w:tc>
        <w:tc>
          <w:tcPr>
            <w:tcW w:w="1478" w:type="dxa"/>
            <w:tcBorders>
              <w:top w:val="single" w:sz="4" w:space="0" w:color="000000"/>
            </w:tcBorders>
          </w:tcPr>
          <w:p>
            <w:pPr>
              <w:pStyle w:val="TableParagraph"/>
              <w:spacing w:line="174" w:lineRule="exact"/>
              <w:ind w:left="101"/>
              <w:rPr>
                <w:sz w:val="17"/>
              </w:rPr>
            </w:pPr>
            <w:r>
              <w:rPr>
                <w:sz w:val="17"/>
              </w:rPr>
              <w:t>Finland</w:t>
            </w:r>
          </w:p>
        </w:tc>
        <w:tc>
          <w:tcPr>
            <w:tcW w:w="1081" w:type="dxa"/>
            <w:tcBorders>
              <w:top w:val="single" w:sz="4" w:space="0" w:color="000000"/>
            </w:tcBorders>
          </w:tcPr>
          <w:p>
            <w:pPr>
              <w:pStyle w:val="TableParagraph"/>
              <w:spacing w:line="174" w:lineRule="exact"/>
              <w:ind w:left="145" w:right="305"/>
              <w:jc w:val="center"/>
              <w:rPr>
                <w:sz w:val="17"/>
              </w:rPr>
            </w:pPr>
            <w:r>
              <w:rPr>
                <w:sz w:val="17"/>
              </w:rPr>
              <w:t>0.1</w:t>
            </w:r>
          </w:p>
        </w:tc>
        <w:tc>
          <w:tcPr>
            <w:tcW w:w="1011" w:type="dxa"/>
            <w:tcBorders>
              <w:top w:val="single" w:sz="4" w:space="0" w:color="000000"/>
            </w:tcBorders>
          </w:tcPr>
          <w:p>
            <w:pPr>
              <w:pStyle w:val="TableParagraph"/>
              <w:spacing w:line="174" w:lineRule="exact"/>
              <w:ind w:left="314" w:right="324"/>
              <w:jc w:val="center"/>
              <w:rPr>
                <w:sz w:val="17"/>
              </w:rPr>
            </w:pPr>
            <w:r>
              <w:rPr>
                <w:sz w:val="17"/>
              </w:rPr>
              <w:t>0.06</w:t>
            </w:r>
          </w:p>
        </w:tc>
        <w:tc>
          <w:tcPr>
            <w:tcW w:w="1039" w:type="dxa"/>
            <w:tcBorders>
              <w:top w:val="single" w:sz="4" w:space="0" w:color="000000"/>
            </w:tcBorders>
          </w:tcPr>
          <w:p>
            <w:pPr>
              <w:pStyle w:val="TableParagraph"/>
              <w:spacing w:line="174" w:lineRule="exact"/>
              <w:ind w:left="330" w:right="335"/>
              <w:jc w:val="center"/>
              <w:rPr>
                <w:sz w:val="17"/>
              </w:rPr>
            </w:pPr>
            <w:r>
              <w:rPr>
                <w:sz w:val="17"/>
              </w:rPr>
              <w:t>0.12</w:t>
            </w:r>
          </w:p>
        </w:tc>
        <w:tc>
          <w:tcPr>
            <w:tcW w:w="1253" w:type="dxa"/>
            <w:tcBorders>
              <w:top w:val="single" w:sz="4" w:space="0" w:color="000000"/>
            </w:tcBorders>
          </w:tcPr>
          <w:p>
            <w:pPr>
              <w:pStyle w:val="TableParagraph"/>
              <w:spacing w:line="174" w:lineRule="exact"/>
              <w:ind w:left="467" w:right="412"/>
              <w:jc w:val="center"/>
              <w:rPr>
                <w:sz w:val="17"/>
              </w:rPr>
            </w:pPr>
            <w:r>
              <w:rPr>
                <w:sz w:val="17"/>
              </w:rPr>
              <w:t>0.04</w:t>
            </w:r>
          </w:p>
        </w:tc>
        <w:tc>
          <w:tcPr>
            <w:tcW w:w="989" w:type="dxa"/>
            <w:tcBorders>
              <w:top w:val="single" w:sz="4" w:space="0" w:color="000000"/>
            </w:tcBorders>
          </w:tcPr>
          <w:p>
            <w:pPr>
              <w:pStyle w:val="TableParagraph"/>
              <w:spacing w:line="174" w:lineRule="exact"/>
              <w:ind w:left="315"/>
              <w:rPr>
                <w:sz w:val="17"/>
              </w:rPr>
            </w:pPr>
            <w:r>
              <w:rPr>
                <w:sz w:val="17"/>
              </w:rPr>
              <w:t>0.07</w:t>
            </w:r>
          </w:p>
        </w:tc>
        <w:tc>
          <w:tcPr>
            <w:tcW w:w="977" w:type="dxa"/>
            <w:tcBorders>
              <w:top w:val="single" w:sz="4" w:space="0" w:color="000000"/>
            </w:tcBorders>
          </w:tcPr>
          <w:p>
            <w:pPr>
              <w:pStyle w:val="TableParagraph"/>
              <w:spacing w:line="174" w:lineRule="exact"/>
              <w:ind w:left="352"/>
              <w:rPr>
                <w:sz w:val="17"/>
              </w:rPr>
            </w:pPr>
            <w:r>
              <w:rPr>
                <w:sz w:val="17"/>
              </w:rPr>
              <w:t>0.62</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France</w:t>
            </w:r>
          </w:p>
        </w:tc>
        <w:tc>
          <w:tcPr>
            <w:tcW w:w="1081" w:type="dxa"/>
          </w:tcPr>
          <w:p>
            <w:pPr>
              <w:pStyle w:val="TableParagraph"/>
              <w:spacing w:line="175" w:lineRule="exact"/>
              <w:ind w:left="145" w:right="306"/>
              <w:jc w:val="center"/>
              <w:rPr>
                <w:sz w:val="17"/>
              </w:rPr>
            </w:pPr>
            <w:r>
              <w:rPr>
                <w:sz w:val="17"/>
              </w:rPr>
              <w:t>0.42***</w:t>
            </w:r>
          </w:p>
        </w:tc>
        <w:tc>
          <w:tcPr>
            <w:tcW w:w="1011" w:type="dxa"/>
          </w:tcPr>
          <w:p>
            <w:pPr>
              <w:pStyle w:val="TableParagraph"/>
              <w:spacing w:line="175" w:lineRule="exact"/>
              <w:ind w:left="313" w:right="324"/>
              <w:jc w:val="center"/>
              <w:rPr>
                <w:sz w:val="17"/>
              </w:rPr>
            </w:pPr>
            <w:r>
              <w:rPr>
                <w:sz w:val="17"/>
              </w:rPr>
              <w:t>0.15</w:t>
            </w:r>
          </w:p>
        </w:tc>
        <w:tc>
          <w:tcPr>
            <w:tcW w:w="1039" w:type="dxa"/>
          </w:tcPr>
          <w:p>
            <w:pPr>
              <w:pStyle w:val="TableParagraph"/>
              <w:spacing w:line="175" w:lineRule="exact"/>
              <w:ind w:left="330" w:right="335"/>
              <w:jc w:val="center"/>
              <w:rPr>
                <w:sz w:val="17"/>
              </w:rPr>
            </w:pPr>
            <w:r>
              <w:rPr>
                <w:sz w:val="17"/>
              </w:rPr>
              <w:t>0.01</w:t>
            </w:r>
          </w:p>
        </w:tc>
        <w:tc>
          <w:tcPr>
            <w:tcW w:w="1253" w:type="dxa"/>
          </w:tcPr>
          <w:p>
            <w:pPr>
              <w:pStyle w:val="TableParagraph"/>
              <w:spacing w:line="175" w:lineRule="exact"/>
              <w:ind w:left="395"/>
              <w:rPr>
                <w:sz w:val="17"/>
              </w:rPr>
            </w:pPr>
            <w:r>
              <w:rPr>
                <w:sz w:val="17"/>
              </w:rPr>
              <w:t>-0.21**</w:t>
            </w:r>
          </w:p>
        </w:tc>
        <w:tc>
          <w:tcPr>
            <w:tcW w:w="989" w:type="dxa"/>
          </w:tcPr>
          <w:p>
            <w:pPr>
              <w:pStyle w:val="TableParagraph"/>
              <w:spacing w:line="175" w:lineRule="exact"/>
              <w:ind w:left="361"/>
              <w:rPr>
                <w:sz w:val="17"/>
              </w:rPr>
            </w:pPr>
            <w:r>
              <w:rPr>
                <w:sz w:val="17"/>
              </w:rPr>
              <w:t>0.1</w:t>
            </w:r>
          </w:p>
        </w:tc>
        <w:tc>
          <w:tcPr>
            <w:tcW w:w="977" w:type="dxa"/>
          </w:tcPr>
          <w:p>
            <w:pPr>
              <w:pStyle w:val="TableParagraph"/>
              <w:spacing w:line="175" w:lineRule="exact"/>
              <w:ind w:left="351"/>
              <w:rPr>
                <w:sz w:val="17"/>
              </w:rPr>
            </w:pPr>
            <w:r>
              <w:rPr>
                <w:sz w:val="17"/>
              </w:rPr>
              <w:t>0.03</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Germany</w:t>
            </w:r>
          </w:p>
        </w:tc>
        <w:tc>
          <w:tcPr>
            <w:tcW w:w="1081" w:type="dxa"/>
          </w:tcPr>
          <w:p>
            <w:pPr>
              <w:pStyle w:val="TableParagraph"/>
              <w:spacing w:line="175" w:lineRule="exact"/>
              <w:ind w:left="145" w:right="307"/>
              <w:jc w:val="center"/>
              <w:rPr>
                <w:sz w:val="17"/>
              </w:rPr>
            </w:pPr>
            <w:r>
              <w:rPr>
                <w:sz w:val="17"/>
              </w:rPr>
              <w:t>0.41***</w:t>
            </w:r>
          </w:p>
        </w:tc>
        <w:tc>
          <w:tcPr>
            <w:tcW w:w="1011" w:type="dxa"/>
          </w:tcPr>
          <w:p>
            <w:pPr>
              <w:pStyle w:val="TableParagraph"/>
              <w:spacing w:line="175" w:lineRule="exact"/>
              <w:ind w:left="313" w:right="324"/>
              <w:jc w:val="center"/>
              <w:rPr>
                <w:sz w:val="17"/>
              </w:rPr>
            </w:pPr>
            <w:r>
              <w:rPr>
                <w:sz w:val="17"/>
              </w:rPr>
              <w:t>0.12</w:t>
            </w:r>
          </w:p>
        </w:tc>
        <w:tc>
          <w:tcPr>
            <w:tcW w:w="1039" w:type="dxa"/>
          </w:tcPr>
          <w:p>
            <w:pPr>
              <w:pStyle w:val="TableParagraph"/>
              <w:spacing w:line="175" w:lineRule="exact"/>
              <w:ind w:left="327" w:right="335"/>
              <w:jc w:val="center"/>
              <w:rPr>
                <w:sz w:val="17"/>
              </w:rPr>
            </w:pPr>
            <w:r>
              <w:rPr>
                <w:sz w:val="17"/>
              </w:rPr>
              <w:t>0.01</w:t>
            </w:r>
          </w:p>
        </w:tc>
        <w:tc>
          <w:tcPr>
            <w:tcW w:w="1253" w:type="dxa"/>
          </w:tcPr>
          <w:p>
            <w:pPr>
              <w:pStyle w:val="TableParagraph"/>
              <w:spacing w:line="175" w:lineRule="exact"/>
              <w:ind w:left="389"/>
              <w:rPr>
                <w:sz w:val="17"/>
              </w:rPr>
            </w:pPr>
            <w:r>
              <w:rPr>
                <w:sz w:val="17"/>
              </w:rPr>
              <w:t>0.26***</w:t>
            </w:r>
          </w:p>
        </w:tc>
        <w:tc>
          <w:tcPr>
            <w:tcW w:w="989" w:type="dxa"/>
          </w:tcPr>
          <w:p>
            <w:pPr>
              <w:pStyle w:val="TableParagraph"/>
              <w:spacing w:line="175" w:lineRule="exact"/>
              <w:ind w:left="315"/>
              <w:rPr>
                <w:sz w:val="17"/>
              </w:rPr>
            </w:pPr>
            <w:r>
              <w:rPr>
                <w:sz w:val="17"/>
              </w:rPr>
              <w:t>0.08</w:t>
            </w:r>
          </w:p>
        </w:tc>
        <w:tc>
          <w:tcPr>
            <w:tcW w:w="977" w:type="dxa"/>
          </w:tcPr>
          <w:p>
            <w:pPr>
              <w:pStyle w:val="TableParagraph"/>
              <w:spacing w:line="175" w:lineRule="exact"/>
              <w:ind w:left="352"/>
              <w:rPr>
                <w:sz w:val="17"/>
              </w:rPr>
            </w:pPr>
            <w:r>
              <w:rPr>
                <w:sz w:val="17"/>
              </w:rPr>
              <w:t>0.01</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Greece</w:t>
            </w:r>
          </w:p>
        </w:tc>
        <w:tc>
          <w:tcPr>
            <w:tcW w:w="1081" w:type="dxa"/>
          </w:tcPr>
          <w:p>
            <w:pPr>
              <w:pStyle w:val="TableParagraph"/>
              <w:spacing w:line="175" w:lineRule="exact"/>
              <w:ind w:left="145" w:right="306"/>
              <w:jc w:val="center"/>
              <w:rPr>
                <w:sz w:val="17"/>
              </w:rPr>
            </w:pPr>
            <w:r>
              <w:rPr>
                <w:sz w:val="17"/>
              </w:rPr>
              <w:t>0.02</w:t>
            </w:r>
          </w:p>
        </w:tc>
        <w:tc>
          <w:tcPr>
            <w:tcW w:w="1011" w:type="dxa"/>
          </w:tcPr>
          <w:p>
            <w:pPr>
              <w:pStyle w:val="TableParagraph"/>
              <w:spacing w:line="175" w:lineRule="exact"/>
              <w:ind w:left="313" w:right="324"/>
              <w:jc w:val="center"/>
              <w:rPr>
                <w:sz w:val="17"/>
              </w:rPr>
            </w:pPr>
            <w:r>
              <w:rPr>
                <w:sz w:val="17"/>
              </w:rPr>
              <w:t>0.04</w:t>
            </w:r>
          </w:p>
        </w:tc>
        <w:tc>
          <w:tcPr>
            <w:tcW w:w="1039" w:type="dxa"/>
          </w:tcPr>
          <w:p>
            <w:pPr>
              <w:pStyle w:val="TableParagraph"/>
              <w:spacing w:line="175" w:lineRule="exact"/>
              <w:ind w:left="329" w:right="335"/>
              <w:jc w:val="center"/>
              <w:rPr>
                <w:sz w:val="17"/>
              </w:rPr>
            </w:pPr>
            <w:r>
              <w:rPr>
                <w:sz w:val="17"/>
              </w:rPr>
              <w:t>0.77</w:t>
            </w:r>
          </w:p>
        </w:tc>
        <w:tc>
          <w:tcPr>
            <w:tcW w:w="1253" w:type="dxa"/>
          </w:tcPr>
          <w:p>
            <w:pPr>
              <w:pStyle w:val="TableParagraph"/>
              <w:spacing w:line="175" w:lineRule="exact"/>
              <w:ind w:left="362"/>
              <w:rPr>
                <w:sz w:val="17"/>
              </w:rPr>
            </w:pPr>
            <w:r>
              <w:rPr>
                <w:sz w:val="17"/>
              </w:rPr>
              <w:t>-0.09***</w:t>
            </w:r>
          </w:p>
        </w:tc>
        <w:tc>
          <w:tcPr>
            <w:tcW w:w="989" w:type="dxa"/>
          </w:tcPr>
          <w:p>
            <w:pPr>
              <w:pStyle w:val="TableParagraph"/>
              <w:spacing w:line="175" w:lineRule="exact"/>
              <w:ind w:left="315"/>
              <w:rPr>
                <w:sz w:val="17"/>
              </w:rPr>
            </w:pPr>
            <w:r>
              <w:rPr>
                <w:sz w:val="17"/>
              </w:rPr>
              <w:t>0.03</w:t>
            </w:r>
          </w:p>
        </w:tc>
        <w:tc>
          <w:tcPr>
            <w:tcW w:w="977" w:type="dxa"/>
          </w:tcPr>
          <w:p>
            <w:pPr>
              <w:pStyle w:val="TableParagraph"/>
              <w:spacing w:line="175" w:lineRule="exact"/>
              <w:ind w:left="351"/>
              <w:rPr>
                <w:sz w:val="17"/>
              </w:rPr>
            </w:pPr>
            <w:r>
              <w:rPr>
                <w:sz w:val="17"/>
              </w:rPr>
              <w:t>0.01</w:t>
            </w:r>
          </w:p>
        </w:tc>
      </w:tr>
      <w:tr>
        <w:trPr>
          <w:trHeight w:val="192" w:hRule="atLeast"/>
        </w:trPr>
        <w:tc>
          <w:tcPr>
            <w:tcW w:w="1169" w:type="dxa"/>
          </w:tcPr>
          <w:p>
            <w:pPr>
              <w:pStyle w:val="TableParagraph"/>
              <w:rPr>
                <w:rFonts w:ascii="Times New Roman"/>
                <w:sz w:val="12"/>
              </w:rPr>
            </w:pPr>
          </w:p>
        </w:tc>
        <w:tc>
          <w:tcPr>
            <w:tcW w:w="1478" w:type="dxa"/>
            <w:tcBorders>
              <w:bottom w:val="single" w:sz="4" w:space="0" w:color="000000"/>
            </w:tcBorders>
          </w:tcPr>
          <w:p>
            <w:pPr>
              <w:pStyle w:val="TableParagraph"/>
              <w:spacing w:line="173" w:lineRule="exact"/>
              <w:ind w:left="101"/>
              <w:rPr>
                <w:sz w:val="17"/>
              </w:rPr>
            </w:pPr>
            <w:r>
              <w:rPr>
                <w:sz w:val="17"/>
              </w:rPr>
              <w:t>Hungary</w:t>
            </w:r>
          </w:p>
        </w:tc>
        <w:tc>
          <w:tcPr>
            <w:tcW w:w="1081" w:type="dxa"/>
            <w:tcBorders>
              <w:bottom w:val="single" w:sz="4" w:space="0" w:color="000000"/>
            </w:tcBorders>
          </w:tcPr>
          <w:p>
            <w:pPr>
              <w:pStyle w:val="TableParagraph"/>
              <w:spacing w:line="173" w:lineRule="exact"/>
              <w:ind w:left="145" w:right="304"/>
              <w:jc w:val="center"/>
              <w:rPr>
                <w:sz w:val="17"/>
              </w:rPr>
            </w:pPr>
            <w:r>
              <w:rPr>
                <w:sz w:val="17"/>
              </w:rPr>
              <w:t>-0.04</w:t>
            </w:r>
          </w:p>
        </w:tc>
        <w:tc>
          <w:tcPr>
            <w:tcW w:w="1011" w:type="dxa"/>
            <w:tcBorders>
              <w:bottom w:val="single" w:sz="4" w:space="0" w:color="000000"/>
            </w:tcBorders>
          </w:tcPr>
          <w:p>
            <w:pPr>
              <w:pStyle w:val="TableParagraph"/>
              <w:spacing w:line="173" w:lineRule="exact"/>
              <w:ind w:left="313" w:right="324"/>
              <w:jc w:val="center"/>
              <w:rPr>
                <w:sz w:val="17"/>
              </w:rPr>
            </w:pPr>
            <w:r>
              <w:rPr>
                <w:sz w:val="17"/>
              </w:rPr>
              <w:t>0.04</w:t>
            </w:r>
          </w:p>
        </w:tc>
        <w:tc>
          <w:tcPr>
            <w:tcW w:w="1039" w:type="dxa"/>
            <w:tcBorders>
              <w:bottom w:val="single" w:sz="4" w:space="0" w:color="000000"/>
            </w:tcBorders>
          </w:tcPr>
          <w:p>
            <w:pPr>
              <w:pStyle w:val="TableParagraph"/>
              <w:spacing w:line="173" w:lineRule="exact"/>
              <w:ind w:left="328" w:right="335"/>
              <w:jc w:val="center"/>
              <w:rPr>
                <w:sz w:val="17"/>
              </w:rPr>
            </w:pPr>
            <w:r>
              <w:rPr>
                <w:sz w:val="17"/>
              </w:rPr>
              <w:t>0.29</w:t>
            </w:r>
          </w:p>
        </w:tc>
        <w:tc>
          <w:tcPr>
            <w:tcW w:w="1253" w:type="dxa"/>
            <w:tcBorders>
              <w:bottom w:val="single" w:sz="4" w:space="0" w:color="000000"/>
            </w:tcBorders>
          </w:tcPr>
          <w:p>
            <w:pPr>
              <w:pStyle w:val="TableParagraph"/>
              <w:spacing w:line="173" w:lineRule="exact"/>
              <w:ind w:left="461"/>
              <w:rPr>
                <w:sz w:val="17"/>
              </w:rPr>
            </w:pPr>
            <w:r>
              <w:rPr>
                <w:sz w:val="17"/>
              </w:rPr>
              <w:t>-0.03</w:t>
            </w:r>
          </w:p>
        </w:tc>
        <w:tc>
          <w:tcPr>
            <w:tcW w:w="989" w:type="dxa"/>
            <w:tcBorders>
              <w:bottom w:val="single" w:sz="4" w:space="0" w:color="000000"/>
            </w:tcBorders>
          </w:tcPr>
          <w:p>
            <w:pPr>
              <w:pStyle w:val="TableParagraph"/>
              <w:spacing w:line="173" w:lineRule="exact"/>
              <w:ind w:left="314"/>
              <w:rPr>
                <w:sz w:val="17"/>
              </w:rPr>
            </w:pPr>
            <w:r>
              <w:rPr>
                <w:sz w:val="17"/>
              </w:rPr>
              <w:t>0.03</w:t>
            </w:r>
          </w:p>
        </w:tc>
        <w:tc>
          <w:tcPr>
            <w:tcW w:w="977" w:type="dxa"/>
            <w:tcBorders>
              <w:bottom w:val="single" w:sz="4" w:space="0" w:color="000000"/>
            </w:tcBorders>
          </w:tcPr>
          <w:p>
            <w:pPr>
              <w:pStyle w:val="TableParagraph"/>
              <w:spacing w:line="173" w:lineRule="exact"/>
              <w:ind w:left="351"/>
              <w:rPr>
                <w:sz w:val="17"/>
              </w:rPr>
            </w:pPr>
            <w:r>
              <w:rPr>
                <w:sz w:val="17"/>
              </w:rPr>
              <w:t>0.19</w:t>
            </w:r>
          </w:p>
        </w:tc>
      </w:tr>
      <w:tr>
        <w:trPr>
          <w:trHeight w:val="196" w:hRule="atLeast"/>
        </w:trPr>
        <w:tc>
          <w:tcPr>
            <w:tcW w:w="1169" w:type="dxa"/>
          </w:tcPr>
          <w:p>
            <w:pPr>
              <w:pStyle w:val="TableParagraph"/>
              <w:rPr>
                <w:rFonts w:ascii="Times New Roman"/>
                <w:sz w:val="12"/>
              </w:rPr>
            </w:pPr>
          </w:p>
        </w:tc>
        <w:tc>
          <w:tcPr>
            <w:tcW w:w="1478" w:type="dxa"/>
            <w:tcBorders>
              <w:top w:val="single" w:sz="4" w:space="0" w:color="000000"/>
            </w:tcBorders>
          </w:tcPr>
          <w:p>
            <w:pPr>
              <w:pStyle w:val="TableParagraph"/>
              <w:spacing w:line="176" w:lineRule="exact"/>
              <w:ind w:left="101"/>
              <w:rPr>
                <w:sz w:val="17"/>
              </w:rPr>
            </w:pPr>
            <w:r>
              <w:rPr>
                <w:sz w:val="17"/>
              </w:rPr>
              <w:t>Iceland</w:t>
            </w:r>
          </w:p>
        </w:tc>
        <w:tc>
          <w:tcPr>
            <w:tcW w:w="1081" w:type="dxa"/>
            <w:tcBorders>
              <w:top w:val="single" w:sz="4" w:space="0" w:color="000000"/>
            </w:tcBorders>
          </w:tcPr>
          <w:p>
            <w:pPr>
              <w:pStyle w:val="TableParagraph"/>
              <w:spacing w:line="176" w:lineRule="exact"/>
              <w:ind w:left="145" w:right="305"/>
              <w:jc w:val="center"/>
              <w:rPr>
                <w:sz w:val="17"/>
              </w:rPr>
            </w:pPr>
            <w:r>
              <w:rPr>
                <w:sz w:val="17"/>
              </w:rPr>
              <w:t>0.19***</w:t>
            </w:r>
          </w:p>
        </w:tc>
        <w:tc>
          <w:tcPr>
            <w:tcW w:w="1011" w:type="dxa"/>
            <w:tcBorders>
              <w:top w:val="single" w:sz="4" w:space="0" w:color="000000"/>
            </w:tcBorders>
          </w:tcPr>
          <w:p>
            <w:pPr>
              <w:pStyle w:val="TableParagraph"/>
              <w:spacing w:line="176" w:lineRule="exact"/>
              <w:ind w:left="314" w:right="323"/>
              <w:jc w:val="center"/>
              <w:rPr>
                <w:sz w:val="17"/>
              </w:rPr>
            </w:pPr>
            <w:r>
              <w:rPr>
                <w:sz w:val="17"/>
              </w:rPr>
              <w:t>0.03</w:t>
            </w:r>
          </w:p>
        </w:tc>
        <w:tc>
          <w:tcPr>
            <w:tcW w:w="1039" w:type="dxa"/>
            <w:tcBorders>
              <w:top w:val="single" w:sz="4" w:space="0" w:color="000000"/>
            </w:tcBorders>
          </w:tcPr>
          <w:p>
            <w:pPr>
              <w:pStyle w:val="TableParagraph"/>
              <w:spacing w:line="176" w:lineRule="exact"/>
              <w:ind w:left="330" w:right="335"/>
              <w:jc w:val="center"/>
              <w:rPr>
                <w:sz w:val="17"/>
              </w:rPr>
            </w:pPr>
            <w:r>
              <w:rPr>
                <w:sz w:val="17"/>
              </w:rPr>
              <w:t>0.01</w:t>
            </w:r>
          </w:p>
        </w:tc>
        <w:tc>
          <w:tcPr>
            <w:tcW w:w="1253" w:type="dxa"/>
            <w:tcBorders>
              <w:top w:val="single" w:sz="4" w:space="0" w:color="000000"/>
            </w:tcBorders>
          </w:tcPr>
          <w:p>
            <w:pPr>
              <w:pStyle w:val="TableParagraph"/>
              <w:spacing w:line="176" w:lineRule="exact"/>
              <w:ind w:left="457"/>
              <w:rPr>
                <w:sz w:val="17"/>
              </w:rPr>
            </w:pPr>
            <w:r>
              <w:rPr>
                <w:sz w:val="17"/>
              </w:rPr>
              <w:t>0.04*</w:t>
            </w:r>
          </w:p>
        </w:tc>
        <w:tc>
          <w:tcPr>
            <w:tcW w:w="989" w:type="dxa"/>
            <w:tcBorders>
              <w:top w:val="single" w:sz="4" w:space="0" w:color="000000"/>
            </w:tcBorders>
          </w:tcPr>
          <w:p>
            <w:pPr>
              <w:pStyle w:val="TableParagraph"/>
              <w:spacing w:line="176" w:lineRule="exact"/>
              <w:ind w:left="315"/>
              <w:rPr>
                <w:sz w:val="17"/>
              </w:rPr>
            </w:pPr>
            <w:r>
              <w:rPr>
                <w:sz w:val="17"/>
              </w:rPr>
              <w:t>0.02</w:t>
            </w:r>
          </w:p>
        </w:tc>
        <w:tc>
          <w:tcPr>
            <w:tcW w:w="977" w:type="dxa"/>
            <w:tcBorders>
              <w:top w:val="single" w:sz="4" w:space="0" w:color="000000"/>
            </w:tcBorders>
          </w:tcPr>
          <w:p>
            <w:pPr>
              <w:pStyle w:val="TableParagraph"/>
              <w:spacing w:line="176" w:lineRule="exact"/>
              <w:ind w:left="352"/>
              <w:rPr>
                <w:sz w:val="17"/>
              </w:rPr>
            </w:pPr>
            <w:r>
              <w:rPr>
                <w:sz w:val="17"/>
              </w:rPr>
              <w:t>0.06</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Ireland</w:t>
            </w:r>
          </w:p>
        </w:tc>
        <w:tc>
          <w:tcPr>
            <w:tcW w:w="1081" w:type="dxa"/>
          </w:tcPr>
          <w:p>
            <w:pPr>
              <w:pStyle w:val="TableParagraph"/>
              <w:spacing w:line="174" w:lineRule="exact"/>
              <w:ind w:left="145" w:right="307"/>
              <w:jc w:val="center"/>
              <w:rPr>
                <w:sz w:val="17"/>
              </w:rPr>
            </w:pPr>
            <w:r>
              <w:rPr>
                <w:sz w:val="17"/>
              </w:rPr>
              <w:t>-0.09***</w:t>
            </w:r>
          </w:p>
        </w:tc>
        <w:tc>
          <w:tcPr>
            <w:tcW w:w="1011" w:type="dxa"/>
          </w:tcPr>
          <w:p>
            <w:pPr>
              <w:pStyle w:val="TableParagraph"/>
              <w:spacing w:line="174" w:lineRule="exact"/>
              <w:ind w:left="314" w:right="324"/>
              <w:jc w:val="center"/>
              <w:rPr>
                <w:sz w:val="17"/>
              </w:rPr>
            </w:pPr>
            <w:r>
              <w:rPr>
                <w:sz w:val="17"/>
              </w:rPr>
              <w:t>0.04</w:t>
            </w:r>
          </w:p>
        </w:tc>
        <w:tc>
          <w:tcPr>
            <w:tcW w:w="1039" w:type="dxa"/>
          </w:tcPr>
          <w:p>
            <w:pPr>
              <w:pStyle w:val="TableParagraph"/>
              <w:spacing w:line="174" w:lineRule="exact"/>
              <w:ind w:left="330" w:right="335"/>
              <w:jc w:val="center"/>
              <w:rPr>
                <w:sz w:val="17"/>
              </w:rPr>
            </w:pPr>
            <w:r>
              <w:rPr>
                <w:sz w:val="17"/>
              </w:rPr>
              <w:t>0.01</w:t>
            </w:r>
          </w:p>
        </w:tc>
        <w:tc>
          <w:tcPr>
            <w:tcW w:w="1253" w:type="dxa"/>
          </w:tcPr>
          <w:p>
            <w:pPr>
              <w:pStyle w:val="TableParagraph"/>
              <w:spacing w:line="174" w:lineRule="exact"/>
              <w:ind w:left="428"/>
              <w:rPr>
                <w:sz w:val="17"/>
              </w:rPr>
            </w:pPr>
            <w:r>
              <w:rPr>
                <w:sz w:val="17"/>
              </w:rPr>
              <w:t>-0.06*</w:t>
            </w:r>
          </w:p>
        </w:tc>
        <w:tc>
          <w:tcPr>
            <w:tcW w:w="989" w:type="dxa"/>
          </w:tcPr>
          <w:p>
            <w:pPr>
              <w:pStyle w:val="TableParagraph"/>
              <w:spacing w:line="174" w:lineRule="exact"/>
              <w:ind w:left="316"/>
              <w:rPr>
                <w:sz w:val="17"/>
              </w:rPr>
            </w:pPr>
            <w:r>
              <w:rPr>
                <w:sz w:val="17"/>
              </w:rPr>
              <w:t>0.04</w:t>
            </w:r>
          </w:p>
        </w:tc>
        <w:tc>
          <w:tcPr>
            <w:tcW w:w="977" w:type="dxa"/>
          </w:tcPr>
          <w:p>
            <w:pPr>
              <w:pStyle w:val="TableParagraph"/>
              <w:spacing w:line="174" w:lineRule="exact"/>
              <w:ind w:left="351"/>
              <w:rPr>
                <w:sz w:val="17"/>
              </w:rPr>
            </w:pPr>
            <w:r>
              <w:rPr>
                <w:sz w:val="17"/>
              </w:rPr>
              <w:t>0.07</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Italy</w:t>
            </w:r>
          </w:p>
        </w:tc>
        <w:tc>
          <w:tcPr>
            <w:tcW w:w="1081" w:type="dxa"/>
          </w:tcPr>
          <w:p>
            <w:pPr>
              <w:pStyle w:val="TableParagraph"/>
              <w:spacing w:line="174" w:lineRule="exact"/>
              <w:ind w:left="145" w:right="304"/>
              <w:jc w:val="center"/>
              <w:rPr>
                <w:sz w:val="17"/>
              </w:rPr>
            </w:pPr>
            <w:r>
              <w:rPr>
                <w:sz w:val="17"/>
              </w:rPr>
              <w:t>-0.07</w:t>
            </w:r>
          </w:p>
        </w:tc>
        <w:tc>
          <w:tcPr>
            <w:tcW w:w="1011" w:type="dxa"/>
          </w:tcPr>
          <w:p>
            <w:pPr>
              <w:pStyle w:val="TableParagraph"/>
              <w:spacing w:line="174" w:lineRule="exact"/>
              <w:ind w:left="313" w:right="324"/>
              <w:jc w:val="center"/>
              <w:rPr>
                <w:sz w:val="17"/>
              </w:rPr>
            </w:pPr>
            <w:r>
              <w:rPr>
                <w:sz w:val="17"/>
              </w:rPr>
              <w:t>0.09</w:t>
            </w:r>
          </w:p>
        </w:tc>
        <w:tc>
          <w:tcPr>
            <w:tcW w:w="1039" w:type="dxa"/>
          </w:tcPr>
          <w:p>
            <w:pPr>
              <w:pStyle w:val="TableParagraph"/>
              <w:spacing w:line="174" w:lineRule="exact"/>
              <w:ind w:left="329" w:right="335"/>
              <w:jc w:val="center"/>
              <w:rPr>
                <w:sz w:val="17"/>
              </w:rPr>
            </w:pPr>
            <w:r>
              <w:rPr>
                <w:sz w:val="17"/>
              </w:rPr>
              <w:t>0.48</w:t>
            </w:r>
          </w:p>
        </w:tc>
        <w:tc>
          <w:tcPr>
            <w:tcW w:w="1253" w:type="dxa"/>
          </w:tcPr>
          <w:p>
            <w:pPr>
              <w:pStyle w:val="TableParagraph"/>
              <w:spacing w:line="174" w:lineRule="exact"/>
              <w:ind w:left="428"/>
              <w:rPr>
                <w:sz w:val="17"/>
              </w:rPr>
            </w:pPr>
            <w:r>
              <w:rPr>
                <w:sz w:val="17"/>
              </w:rPr>
              <w:t>-0.23*</w:t>
            </w:r>
          </w:p>
        </w:tc>
        <w:tc>
          <w:tcPr>
            <w:tcW w:w="989" w:type="dxa"/>
          </w:tcPr>
          <w:p>
            <w:pPr>
              <w:pStyle w:val="TableParagraph"/>
              <w:spacing w:line="174" w:lineRule="exact"/>
              <w:ind w:left="315"/>
              <w:rPr>
                <w:sz w:val="17"/>
              </w:rPr>
            </w:pPr>
            <w:r>
              <w:rPr>
                <w:sz w:val="17"/>
              </w:rPr>
              <w:t>0.12</w:t>
            </w:r>
          </w:p>
        </w:tc>
        <w:tc>
          <w:tcPr>
            <w:tcW w:w="977" w:type="dxa"/>
          </w:tcPr>
          <w:p>
            <w:pPr>
              <w:pStyle w:val="TableParagraph"/>
              <w:spacing w:line="174" w:lineRule="exact"/>
              <w:ind w:left="352"/>
              <w:rPr>
                <w:sz w:val="17"/>
              </w:rPr>
            </w:pPr>
            <w:r>
              <w:rPr>
                <w:sz w:val="17"/>
              </w:rPr>
              <w:t>0.06</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Latvia</w:t>
            </w:r>
          </w:p>
        </w:tc>
        <w:tc>
          <w:tcPr>
            <w:tcW w:w="1081" w:type="dxa"/>
          </w:tcPr>
          <w:p>
            <w:pPr>
              <w:pStyle w:val="TableParagraph"/>
              <w:spacing w:line="175" w:lineRule="exact"/>
              <w:ind w:left="145" w:right="305"/>
              <w:jc w:val="center"/>
              <w:rPr>
                <w:sz w:val="17"/>
              </w:rPr>
            </w:pPr>
            <w:r>
              <w:rPr>
                <w:sz w:val="17"/>
              </w:rPr>
              <w:t>0.03</w:t>
            </w:r>
          </w:p>
        </w:tc>
        <w:tc>
          <w:tcPr>
            <w:tcW w:w="1011" w:type="dxa"/>
          </w:tcPr>
          <w:p>
            <w:pPr>
              <w:pStyle w:val="TableParagraph"/>
              <w:spacing w:line="175" w:lineRule="exact"/>
              <w:ind w:left="314" w:right="323"/>
              <w:jc w:val="center"/>
              <w:rPr>
                <w:sz w:val="17"/>
              </w:rPr>
            </w:pPr>
            <w:r>
              <w:rPr>
                <w:sz w:val="17"/>
              </w:rPr>
              <w:t>0.03</w:t>
            </w:r>
          </w:p>
        </w:tc>
        <w:tc>
          <w:tcPr>
            <w:tcW w:w="1039" w:type="dxa"/>
          </w:tcPr>
          <w:p>
            <w:pPr>
              <w:pStyle w:val="TableParagraph"/>
              <w:spacing w:line="175" w:lineRule="exact"/>
              <w:ind w:left="330" w:right="335"/>
              <w:jc w:val="center"/>
              <w:rPr>
                <w:sz w:val="17"/>
              </w:rPr>
            </w:pPr>
            <w:r>
              <w:rPr>
                <w:sz w:val="17"/>
              </w:rPr>
              <w:t>0.28</w:t>
            </w:r>
          </w:p>
        </w:tc>
        <w:tc>
          <w:tcPr>
            <w:tcW w:w="1253" w:type="dxa"/>
          </w:tcPr>
          <w:p>
            <w:pPr>
              <w:pStyle w:val="TableParagraph"/>
              <w:spacing w:line="175" w:lineRule="exact"/>
              <w:ind w:left="462"/>
              <w:rPr>
                <w:sz w:val="17"/>
              </w:rPr>
            </w:pPr>
            <w:r>
              <w:rPr>
                <w:sz w:val="17"/>
              </w:rPr>
              <w:t>-0.02</w:t>
            </w:r>
          </w:p>
        </w:tc>
        <w:tc>
          <w:tcPr>
            <w:tcW w:w="989" w:type="dxa"/>
          </w:tcPr>
          <w:p>
            <w:pPr>
              <w:pStyle w:val="TableParagraph"/>
              <w:spacing w:line="175" w:lineRule="exact"/>
              <w:ind w:left="315"/>
              <w:rPr>
                <w:sz w:val="17"/>
              </w:rPr>
            </w:pPr>
            <w:r>
              <w:rPr>
                <w:sz w:val="17"/>
              </w:rPr>
              <w:t>0.02</w:t>
            </w:r>
          </w:p>
        </w:tc>
        <w:tc>
          <w:tcPr>
            <w:tcW w:w="977" w:type="dxa"/>
          </w:tcPr>
          <w:p>
            <w:pPr>
              <w:pStyle w:val="TableParagraph"/>
              <w:spacing w:line="175" w:lineRule="exact"/>
              <w:ind w:left="352"/>
              <w:rPr>
                <w:sz w:val="17"/>
              </w:rPr>
            </w:pPr>
            <w:r>
              <w:rPr>
                <w:sz w:val="17"/>
              </w:rPr>
              <w:t>0.32</w:t>
            </w:r>
          </w:p>
        </w:tc>
      </w:tr>
      <w:tr>
        <w:trPr>
          <w:trHeight w:val="193" w:hRule="atLeast"/>
        </w:trPr>
        <w:tc>
          <w:tcPr>
            <w:tcW w:w="1169" w:type="dxa"/>
          </w:tcPr>
          <w:p>
            <w:pPr>
              <w:pStyle w:val="TableParagraph"/>
              <w:rPr>
                <w:rFonts w:ascii="Times New Roman"/>
                <w:sz w:val="12"/>
              </w:rPr>
            </w:pPr>
          </w:p>
        </w:tc>
        <w:tc>
          <w:tcPr>
            <w:tcW w:w="1478" w:type="dxa"/>
            <w:tcBorders>
              <w:bottom w:val="single" w:sz="4" w:space="0" w:color="000000"/>
            </w:tcBorders>
          </w:tcPr>
          <w:p>
            <w:pPr>
              <w:pStyle w:val="TableParagraph"/>
              <w:spacing w:line="173" w:lineRule="exact"/>
              <w:ind w:left="101"/>
              <w:rPr>
                <w:sz w:val="17"/>
              </w:rPr>
            </w:pPr>
            <w:r>
              <w:rPr>
                <w:sz w:val="17"/>
              </w:rPr>
              <w:t>Luxembourg</w:t>
            </w:r>
          </w:p>
        </w:tc>
        <w:tc>
          <w:tcPr>
            <w:tcW w:w="1081" w:type="dxa"/>
            <w:tcBorders>
              <w:bottom w:val="single" w:sz="4" w:space="0" w:color="000000"/>
            </w:tcBorders>
          </w:tcPr>
          <w:p>
            <w:pPr>
              <w:pStyle w:val="TableParagraph"/>
              <w:spacing w:line="173" w:lineRule="exact"/>
              <w:ind w:left="145" w:right="304"/>
              <w:jc w:val="center"/>
              <w:rPr>
                <w:sz w:val="17"/>
              </w:rPr>
            </w:pPr>
            <w:r>
              <w:rPr>
                <w:sz w:val="17"/>
              </w:rPr>
              <w:t>-0.07</w:t>
            </w:r>
          </w:p>
        </w:tc>
        <w:tc>
          <w:tcPr>
            <w:tcW w:w="1011" w:type="dxa"/>
            <w:tcBorders>
              <w:bottom w:val="single" w:sz="4" w:space="0" w:color="000000"/>
            </w:tcBorders>
          </w:tcPr>
          <w:p>
            <w:pPr>
              <w:pStyle w:val="TableParagraph"/>
              <w:spacing w:line="173" w:lineRule="exact"/>
              <w:ind w:left="314" w:right="324"/>
              <w:jc w:val="center"/>
              <w:rPr>
                <w:sz w:val="17"/>
              </w:rPr>
            </w:pPr>
            <w:r>
              <w:rPr>
                <w:sz w:val="17"/>
              </w:rPr>
              <w:t>0.11</w:t>
            </w:r>
          </w:p>
        </w:tc>
        <w:tc>
          <w:tcPr>
            <w:tcW w:w="1039" w:type="dxa"/>
            <w:tcBorders>
              <w:bottom w:val="single" w:sz="4" w:space="0" w:color="000000"/>
            </w:tcBorders>
          </w:tcPr>
          <w:p>
            <w:pPr>
              <w:pStyle w:val="TableParagraph"/>
              <w:spacing w:line="173" w:lineRule="exact"/>
              <w:ind w:left="330" w:right="335"/>
              <w:jc w:val="center"/>
              <w:rPr>
                <w:sz w:val="17"/>
              </w:rPr>
            </w:pPr>
            <w:r>
              <w:rPr>
                <w:sz w:val="17"/>
              </w:rPr>
              <w:t>0.53</w:t>
            </w:r>
          </w:p>
        </w:tc>
        <w:tc>
          <w:tcPr>
            <w:tcW w:w="1253" w:type="dxa"/>
            <w:tcBorders>
              <w:bottom w:val="single" w:sz="4" w:space="0" w:color="000000"/>
            </w:tcBorders>
          </w:tcPr>
          <w:p>
            <w:pPr>
              <w:pStyle w:val="TableParagraph"/>
              <w:spacing w:line="173" w:lineRule="exact"/>
              <w:ind w:left="362"/>
              <w:rPr>
                <w:sz w:val="17"/>
              </w:rPr>
            </w:pPr>
            <w:r>
              <w:rPr>
                <w:sz w:val="17"/>
              </w:rPr>
              <w:t>-0.23***</w:t>
            </w:r>
          </w:p>
        </w:tc>
        <w:tc>
          <w:tcPr>
            <w:tcW w:w="989" w:type="dxa"/>
            <w:tcBorders>
              <w:bottom w:val="single" w:sz="4" w:space="0" w:color="000000"/>
            </w:tcBorders>
          </w:tcPr>
          <w:p>
            <w:pPr>
              <w:pStyle w:val="TableParagraph"/>
              <w:spacing w:line="173" w:lineRule="exact"/>
              <w:ind w:left="314"/>
              <w:rPr>
                <w:sz w:val="17"/>
              </w:rPr>
            </w:pPr>
            <w:r>
              <w:rPr>
                <w:sz w:val="17"/>
              </w:rPr>
              <w:t>0.07</w:t>
            </w:r>
          </w:p>
        </w:tc>
        <w:tc>
          <w:tcPr>
            <w:tcW w:w="977" w:type="dxa"/>
            <w:tcBorders>
              <w:bottom w:val="single" w:sz="4" w:space="0" w:color="000000"/>
            </w:tcBorders>
          </w:tcPr>
          <w:p>
            <w:pPr>
              <w:pStyle w:val="TableParagraph"/>
              <w:spacing w:line="173" w:lineRule="exact"/>
              <w:ind w:left="351"/>
              <w:rPr>
                <w:sz w:val="17"/>
              </w:rPr>
            </w:pPr>
            <w:r>
              <w:rPr>
                <w:sz w:val="17"/>
              </w:rPr>
              <w:t>0.01</w:t>
            </w:r>
          </w:p>
        </w:tc>
      </w:tr>
      <w:tr>
        <w:trPr>
          <w:trHeight w:val="195" w:hRule="atLeast"/>
        </w:trPr>
        <w:tc>
          <w:tcPr>
            <w:tcW w:w="1169" w:type="dxa"/>
          </w:tcPr>
          <w:p>
            <w:pPr>
              <w:pStyle w:val="TableParagraph"/>
              <w:rPr>
                <w:rFonts w:ascii="Times New Roman"/>
                <w:sz w:val="12"/>
              </w:rPr>
            </w:pPr>
          </w:p>
        </w:tc>
        <w:tc>
          <w:tcPr>
            <w:tcW w:w="1478" w:type="dxa"/>
            <w:tcBorders>
              <w:top w:val="single" w:sz="4" w:space="0" w:color="000000"/>
            </w:tcBorders>
          </w:tcPr>
          <w:p>
            <w:pPr>
              <w:pStyle w:val="TableParagraph"/>
              <w:spacing w:line="176" w:lineRule="exact"/>
              <w:ind w:left="101"/>
              <w:rPr>
                <w:sz w:val="17"/>
              </w:rPr>
            </w:pPr>
            <w:r>
              <w:rPr>
                <w:sz w:val="17"/>
              </w:rPr>
              <w:t>Netherlands</w:t>
            </w:r>
          </w:p>
        </w:tc>
        <w:tc>
          <w:tcPr>
            <w:tcW w:w="1081" w:type="dxa"/>
            <w:tcBorders>
              <w:top w:val="single" w:sz="4" w:space="0" w:color="000000"/>
            </w:tcBorders>
          </w:tcPr>
          <w:p>
            <w:pPr>
              <w:pStyle w:val="TableParagraph"/>
              <w:spacing w:line="176" w:lineRule="exact"/>
              <w:ind w:left="145" w:right="307"/>
              <w:jc w:val="center"/>
              <w:rPr>
                <w:sz w:val="17"/>
              </w:rPr>
            </w:pPr>
            <w:r>
              <w:rPr>
                <w:sz w:val="17"/>
              </w:rPr>
              <w:t>0.18**</w:t>
            </w:r>
          </w:p>
        </w:tc>
        <w:tc>
          <w:tcPr>
            <w:tcW w:w="1011" w:type="dxa"/>
            <w:tcBorders>
              <w:top w:val="single" w:sz="4" w:space="0" w:color="000000"/>
            </w:tcBorders>
          </w:tcPr>
          <w:p>
            <w:pPr>
              <w:pStyle w:val="TableParagraph"/>
              <w:spacing w:line="176" w:lineRule="exact"/>
              <w:ind w:left="313" w:right="324"/>
              <w:jc w:val="center"/>
              <w:rPr>
                <w:sz w:val="17"/>
              </w:rPr>
            </w:pPr>
            <w:r>
              <w:rPr>
                <w:sz w:val="17"/>
              </w:rPr>
              <w:t>0.08</w:t>
            </w:r>
          </w:p>
        </w:tc>
        <w:tc>
          <w:tcPr>
            <w:tcW w:w="1039" w:type="dxa"/>
            <w:tcBorders>
              <w:top w:val="single" w:sz="4" w:space="0" w:color="000000"/>
            </w:tcBorders>
          </w:tcPr>
          <w:p>
            <w:pPr>
              <w:pStyle w:val="TableParagraph"/>
              <w:spacing w:line="176" w:lineRule="exact"/>
              <w:ind w:left="328" w:right="335"/>
              <w:jc w:val="center"/>
              <w:rPr>
                <w:sz w:val="17"/>
              </w:rPr>
            </w:pPr>
            <w:r>
              <w:rPr>
                <w:sz w:val="17"/>
              </w:rPr>
              <w:t>0.02</w:t>
            </w:r>
          </w:p>
        </w:tc>
        <w:tc>
          <w:tcPr>
            <w:tcW w:w="1253" w:type="dxa"/>
            <w:tcBorders>
              <w:top w:val="single" w:sz="4" w:space="0" w:color="000000"/>
            </w:tcBorders>
          </w:tcPr>
          <w:p>
            <w:pPr>
              <w:pStyle w:val="TableParagraph"/>
              <w:spacing w:line="176" w:lineRule="exact"/>
              <w:ind w:left="461"/>
              <w:rPr>
                <w:sz w:val="17"/>
              </w:rPr>
            </w:pPr>
            <w:r>
              <w:rPr>
                <w:sz w:val="17"/>
              </w:rPr>
              <w:t>-0.06</w:t>
            </w:r>
          </w:p>
        </w:tc>
        <w:tc>
          <w:tcPr>
            <w:tcW w:w="989" w:type="dxa"/>
            <w:tcBorders>
              <w:top w:val="single" w:sz="4" w:space="0" w:color="000000"/>
            </w:tcBorders>
          </w:tcPr>
          <w:p>
            <w:pPr>
              <w:pStyle w:val="TableParagraph"/>
              <w:spacing w:line="176" w:lineRule="exact"/>
              <w:ind w:left="314"/>
              <w:rPr>
                <w:sz w:val="17"/>
              </w:rPr>
            </w:pPr>
            <w:r>
              <w:rPr>
                <w:sz w:val="17"/>
              </w:rPr>
              <w:t>0.06</w:t>
            </w:r>
          </w:p>
        </w:tc>
        <w:tc>
          <w:tcPr>
            <w:tcW w:w="977" w:type="dxa"/>
            <w:tcBorders>
              <w:top w:val="single" w:sz="4" w:space="0" w:color="000000"/>
            </w:tcBorders>
          </w:tcPr>
          <w:p>
            <w:pPr>
              <w:pStyle w:val="TableParagraph"/>
              <w:spacing w:line="176" w:lineRule="exact"/>
              <w:ind w:left="351"/>
              <w:rPr>
                <w:sz w:val="17"/>
              </w:rPr>
            </w:pPr>
            <w:r>
              <w:rPr>
                <w:sz w:val="17"/>
              </w:rPr>
              <w:t>0.36</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Norway</w:t>
            </w:r>
          </w:p>
        </w:tc>
        <w:tc>
          <w:tcPr>
            <w:tcW w:w="1081" w:type="dxa"/>
          </w:tcPr>
          <w:p>
            <w:pPr>
              <w:pStyle w:val="TableParagraph"/>
              <w:spacing w:line="174" w:lineRule="exact"/>
              <w:ind w:left="145" w:right="305"/>
              <w:jc w:val="center"/>
              <w:rPr>
                <w:sz w:val="17"/>
              </w:rPr>
            </w:pPr>
            <w:r>
              <w:rPr>
                <w:sz w:val="17"/>
              </w:rPr>
              <w:t>0.12*</w:t>
            </w:r>
          </w:p>
        </w:tc>
        <w:tc>
          <w:tcPr>
            <w:tcW w:w="1011" w:type="dxa"/>
          </w:tcPr>
          <w:p>
            <w:pPr>
              <w:pStyle w:val="TableParagraph"/>
              <w:spacing w:line="174" w:lineRule="exact"/>
              <w:ind w:left="313" w:right="324"/>
              <w:jc w:val="center"/>
              <w:rPr>
                <w:sz w:val="17"/>
              </w:rPr>
            </w:pPr>
            <w:r>
              <w:rPr>
                <w:sz w:val="17"/>
              </w:rPr>
              <w:t>0.06</w:t>
            </w:r>
          </w:p>
        </w:tc>
        <w:tc>
          <w:tcPr>
            <w:tcW w:w="1039" w:type="dxa"/>
          </w:tcPr>
          <w:p>
            <w:pPr>
              <w:pStyle w:val="TableParagraph"/>
              <w:spacing w:line="174" w:lineRule="exact"/>
              <w:ind w:left="328" w:right="335"/>
              <w:jc w:val="center"/>
              <w:rPr>
                <w:sz w:val="17"/>
              </w:rPr>
            </w:pPr>
            <w:r>
              <w:rPr>
                <w:sz w:val="17"/>
              </w:rPr>
              <w:t>0.06</w:t>
            </w:r>
          </w:p>
        </w:tc>
        <w:tc>
          <w:tcPr>
            <w:tcW w:w="1253" w:type="dxa"/>
          </w:tcPr>
          <w:p>
            <w:pPr>
              <w:pStyle w:val="TableParagraph"/>
              <w:spacing w:line="174" w:lineRule="exact"/>
              <w:ind w:left="428"/>
              <w:rPr>
                <w:sz w:val="17"/>
              </w:rPr>
            </w:pPr>
            <w:r>
              <w:rPr>
                <w:sz w:val="17"/>
              </w:rPr>
              <w:t>-0.12*</w:t>
            </w:r>
          </w:p>
        </w:tc>
        <w:tc>
          <w:tcPr>
            <w:tcW w:w="989" w:type="dxa"/>
          </w:tcPr>
          <w:p>
            <w:pPr>
              <w:pStyle w:val="TableParagraph"/>
              <w:spacing w:line="174" w:lineRule="exact"/>
              <w:ind w:left="314"/>
              <w:rPr>
                <w:sz w:val="17"/>
              </w:rPr>
            </w:pPr>
            <w:r>
              <w:rPr>
                <w:sz w:val="17"/>
              </w:rPr>
              <w:t>0.07</w:t>
            </w:r>
          </w:p>
        </w:tc>
        <w:tc>
          <w:tcPr>
            <w:tcW w:w="977" w:type="dxa"/>
          </w:tcPr>
          <w:p>
            <w:pPr>
              <w:pStyle w:val="TableParagraph"/>
              <w:spacing w:line="174" w:lineRule="exact"/>
              <w:ind w:left="351"/>
              <w:rPr>
                <w:sz w:val="17"/>
              </w:rPr>
            </w:pPr>
            <w:r>
              <w:rPr>
                <w:sz w:val="17"/>
              </w:rPr>
              <w:t>0.08</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Poland</w:t>
            </w:r>
          </w:p>
        </w:tc>
        <w:tc>
          <w:tcPr>
            <w:tcW w:w="1081" w:type="dxa"/>
          </w:tcPr>
          <w:p>
            <w:pPr>
              <w:pStyle w:val="TableParagraph"/>
              <w:spacing w:line="175" w:lineRule="exact"/>
              <w:ind w:left="145" w:right="304"/>
              <w:jc w:val="center"/>
              <w:rPr>
                <w:sz w:val="17"/>
              </w:rPr>
            </w:pPr>
            <w:r>
              <w:rPr>
                <w:sz w:val="17"/>
              </w:rPr>
              <w:t>-0.02</w:t>
            </w:r>
          </w:p>
        </w:tc>
        <w:tc>
          <w:tcPr>
            <w:tcW w:w="1011" w:type="dxa"/>
          </w:tcPr>
          <w:p>
            <w:pPr>
              <w:pStyle w:val="TableParagraph"/>
              <w:spacing w:line="175" w:lineRule="exact"/>
              <w:ind w:left="313" w:right="324"/>
              <w:jc w:val="center"/>
              <w:rPr>
                <w:sz w:val="17"/>
              </w:rPr>
            </w:pPr>
            <w:r>
              <w:rPr>
                <w:sz w:val="17"/>
              </w:rPr>
              <w:t>0.04</w:t>
            </w:r>
          </w:p>
        </w:tc>
        <w:tc>
          <w:tcPr>
            <w:tcW w:w="1039" w:type="dxa"/>
          </w:tcPr>
          <w:p>
            <w:pPr>
              <w:pStyle w:val="TableParagraph"/>
              <w:spacing w:line="175" w:lineRule="exact"/>
              <w:ind w:left="328" w:right="335"/>
              <w:jc w:val="center"/>
              <w:rPr>
                <w:sz w:val="17"/>
              </w:rPr>
            </w:pPr>
            <w:r>
              <w:rPr>
                <w:sz w:val="17"/>
              </w:rPr>
              <w:t>0.55</w:t>
            </w:r>
          </w:p>
        </w:tc>
        <w:tc>
          <w:tcPr>
            <w:tcW w:w="1253" w:type="dxa"/>
          </w:tcPr>
          <w:p>
            <w:pPr>
              <w:pStyle w:val="TableParagraph"/>
              <w:spacing w:line="175" w:lineRule="exact"/>
              <w:ind w:left="428"/>
              <w:rPr>
                <w:sz w:val="17"/>
              </w:rPr>
            </w:pPr>
            <w:r>
              <w:rPr>
                <w:sz w:val="17"/>
              </w:rPr>
              <w:t>-0.03*</w:t>
            </w:r>
          </w:p>
        </w:tc>
        <w:tc>
          <w:tcPr>
            <w:tcW w:w="989" w:type="dxa"/>
          </w:tcPr>
          <w:p>
            <w:pPr>
              <w:pStyle w:val="TableParagraph"/>
              <w:spacing w:line="175" w:lineRule="exact"/>
              <w:ind w:left="314"/>
              <w:rPr>
                <w:sz w:val="17"/>
              </w:rPr>
            </w:pPr>
            <w:r>
              <w:rPr>
                <w:sz w:val="17"/>
              </w:rPr>
              <w:t>0.02</w:t>
            </w:r>
          </w:p>
        </w:tc>
        <w:tc>
          <w:tcPr>
            <w:tcW w:w="977" w:type="dxa"/>
          </w:tcPr>
          <w:p>
            <w:pPr>
              <w:pStyle w:val="TableParagraph"/>
              <w:spacing w:line="175" w:lineRule="exact"/>
              <w:ind w:left="351"/>
              <w:rPr>
                <w:sz w:val="17"/>
              </w:rPr>
            </w:pPr>
            <w:r>
              <w:rPr>
                <w:sz w:val="17"/>
              </w:rPr>
              <w:t>0.07</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Portugal</w:t>
            </w:r>
          </w:p>
        </w:tc>
        <w:tc>
          <w:tcPr>
            <w:tcW w:w="1081" w:type="dxa"/>
          </w:tcPr>
          <w:p>
            <w:pPr>
              <w:pStyle w:val="TableParagraph"/>
              <w:spacing w:line="175" w:lineRule="exact"/>
              <w:ind w:left="145" w:right="307"/>
              <w:jc w:val="center"/>
              <w:rPr>
                <w:sz w:val="17"/>
              </w:rPr>
            </w:pPr>
            <w:r>
              <w:rPr>
                <w:sz w:val="17"/>
              </w:rPr>
              <w:t>-0.11*</w:t>
            </w:r>
          </w:p>
        </w:tc>
        <w:tc>
          <w:tcPr>
            <w:tcW w:w="1011" w:type="dxa"/>
          </w:tcPr>
          <w:p>
            <w:pPr>
              <w:pStyle w:val="TableParagraph"/>
              <w:spacing w:line="175" w:lineRule="exact"/>
              <w:ind w:left="314" w:right="324"/>
              <w:jc w:val="center"/>
              <w:rPr>
                <w:sz w:val="17"/>
              </w:rPr>
            </w:pPr>
            <w:r>
              <w:rPr>
                <w:sz w:val="17"/>
              </w:rPr>
              <w:t>0.06</w:t>
            </w:r>
          </w:p>
        </w:tc>
        <w:tc>
          <w:tcPr>
            <w:tcW w:w="1039" w:type="dxa"/>
          </w:tcPr>
          <w:p>
            <w:pPr>
              <w:pStyle w:val="TableParagraph"/>
              <w:spacing w:line="175" w:lineRule="exact"/>
              <w:ind w:left="329" w:right="335"/>
              <w:jc w:val="center"/>
              <w:rPr>
                <w:sz w:val="17"/>
              </w:rPr>
            </w:pPr>
            <w:r>
              <w:rPr>
                <w:sz w:val="17"/>
              </w:rPr>
              <w:t>0.09</w:t>
            </w:r>
          </w:p>
        </w:tc>
        <w:tc>
          <w:tcPr>
            <w:tcW w:w="1253" w:type="dxa"/>
          </w:tcPr>
          <w:p>
            <w:pPr>
              <w:pStyle w:val="TableParagraph"/>
              <w:spacing w:line="175" w:lineRule="exact"/>
              <w:ind w:left="362"/>
              <w:rPr>
                <w:sz w:val="17"/>
              </w:rPr>
            </w:pPr>
            <w:r>
              <w:rPr>
                <w:sz w:val="17"/>
              </w:rPr>
              <w:t>-0.19***</w:t>
            </w:r>
          </w:p>
        </w:tc>
        <w:tc>
          <w:tcPr>
            <w:tcW w:w="989" w:type="dxa"/>
          </w:tcPr>
          <w:p>
            <w:pPr>
              <w:pStyle w:val="TableParagraph"/>
              <w:spacing w:line="175" w:lineRule="exact"/>
              <w:ind w:left="315"/>
              <w:rPr>
                <w:sz w:val="17"/>
              </w:rPr>
            </w:pPr>
            <w:r>
              <w:rPr>
                <w:sz w:val="17"/>
              </w:rPr>
              <w:t>0.05</w:t>
            </w:r>
          </w:p>
        </w:tc>
        <w:tc>
          <w:tcPr>
            <w:tcW w:w="977" w:type="dxa"/>
          </w:tcPr>
          <w:p>
            <w:pPr>
              <w:pStyle w:val="TableParagraph"/>
              <w:spacing w:line="175" w:lineRule="exact"/>
              <w:ind w:left="351"/>
              <w:rPr>
                <w:sz w:val="17"/>
              </w:rPr>
            </w:pPr>
            <w:r>
              <w:rPr>
                <w:sz w:val="17"/>
              </w:rPr>
              <w:t>0.01</w:t>
            </w:r>
          </w:p>
        </w:tc>
      </w:tr>
      <w:tr>
        <w:trPr>
          <w:trHeight w:val="193" w:hRule="atLeast"/>
        </w:trPr>
        <w:tc>
          <w:tcPr>
            <w:tcW w:w="1169" w:type="dxa"/>
          </w:tcPr>
          <w:p>
            <w:pPr>
              <w:pStyle w:val="TableParagraph"/>
              <w:rPr>
                <w:rFonts w:ascii="Times New Roman"/>
                <w:sz w:val="12"/>
              </w:rPr>
            </w:pPr>
          </w:p>
        </w:tc>
        <w:tc>
          <w:tcPr>
            <w:tcW w:w="1478" w:type="dxa"/>
            <w:tcBorders>
              <w:bottom w:val="single" w:sz="4" w:space="0" w:color="000000"/>
            </w:tcBorders>
          </w:tcPr>
          <w:p>
            <w:pPr>
              <w:pStyle w:val="TableParagraph"/>
              <w:spacing w:line="173" w:lineRule="exact"/>
              <w:ind w:left="101"/>
              <w:rPr>
                <w:sz w:val="17"/>
              </w:rPr>
            </w:pPr>
            <w:r>
              <w:rPr>
                <w:sz w:val="17"/>
              </w:rPr>
              <w:t>Slovak Republic</w:t>
            </w:r>
          </w:p>
        </w:tc>
        <w:tc>
          <w:tcPr>
            <w:tcW w:w="1081" w:type="dxa"/>
            <w:tcBorders>
              <w:bottom w:val="single" w:sz="4" w:space="0" w:color="000000"/>
            </w:tcBorders>
          </w:tcPr>
          <w:p>
            <w:pPr>
              <w:pStyle w:val="TableParagraph"/>
              <w:spacing w:line="173" w:lineRule="exact"/>
              <w:ind w:left="144" w:right="308"/>
              <w:jc w:val="center"/>
              <w:rPr>
                <w:sz w:val="17"/>
              </w:rPr>
            </w:pPr>
            <w:r>
              <w:rPr>
                <w:sz w:val="17"/>
              </w:rPr>
              <w:t>-0.08***</w:t>
            </w:r>
          </w:p>
        </w:tc>
        <w:tc>
          <w:tcPr>
            <w:tcW w:w="1011" w:type="dxa"/>
            <w:tcBorders>
              <w:bottom w:val="single" w:sz="4" w:space="0" w:color="000000"/>
            </w:tcBorders>
          </w:tcPr>
          <w:p>
            <w:pPr>
              <w:pStyle w:val="TableParagraph"/>
              <w:spacing w:line="173" w:lineRule="exact"/>
              <w:ind w:left="312" w:right="324"/>
              <w:jc w:val="center"/>
              <w:rPr>
                <w:sz w:val="17"/>
              </w:rPr>
            </w:pPr>
            <w:r>
              <w:rPr>
                <w:sz w:val="17"/>
              </w:rPr>
              <w:t>0.02</w:t>
            </w:r>
          </w:p>
        </w:tc>
        <w:tc>
          <w:tcPr>
            <w:tcW w:w="1039" w:type="dxa"/>
            <w:tcBorders>
              <w:bottom w:val="single" w:sz="4" w:space="0" w:color="000000"/>
            </w:tcBorders>
          </w:tcPr>
          <w:p>
            <w:pPr>
              <w:pStyle w:val="TableParagraph"/>
              <w:spacing w:line="173" w:lineRule="exact"/>
              <w:ind w:left="330" w:right="333"/>
              <w:jc w:val="center"/>
              <w:rPr>
                <w:sz w:val="17"/>
              </w:rPr>
            </w:pPr>
            <w:r>
              <w:rPr>
                <w:sz w:val="17"/>
              </w:rPr>
              <w:t>0.01</w:t>
            </w:r>
          </w:p>
        </w:tc>
        <w:tc>
          <w:tcPr>
            <w:tcW w:w="1253" w:type="dxa"/>
            <w:tcBorders>
              <w:bottom w:val="single" w:sz="4" w:space="0" w:color="000000"/>
            </w:tcBorders>
          </w:tcPr>
          <w:p>
            <w:pPr>
              <w:pStyle w:val="TableParagraph"/>
              <w:spacing w:line="173" w:lineRule="exact"/>
              <w:ind w:left="363"/>
              <w:rPr>
                <w:sz w:val="17"/>
              </w:rPr>
            </w:pPr>
            <w:r>
              <w:rPr>
                <w:sz w:val="17"/>
              </w:rPr>
              <w:t>-0.04***</w:t>
            </w:r>
          </w:p>
        </w:tc>
        <w:tc>
          <w:tcPr>
            <w:tcW w:w="989" w:type="dxa"/>
            <w:tcBorders>
              <w:bottom w:val="single" w:sz="4" w:space="0" w:color="000000"/>
            </w:tcBorders>
          </w:tcPr>
          <w:p>
            <w:pPr>
              <w:pStyle w:val="TableParagraph"/>
              <w:spacing w:line="173" w:lineRule="exact"/>
              <w:ind w:left="315"/>
              <w:rPr>
                <w:sz w:val="17"/>
              </w:rPr>
            </w:pPr>
            <w:r>
              <w:rPr>
                <w:sz w:val="17"/>
              </w:rPr>
              <w:t>0.02</w:t>
            </w:r>
          </w:p>
        </w:tc>
        <w:tc>
          <w:tcPr>
            <w:tcW w:w="977" w:type="dxa"/>
            <w:tcBorders>
              <w:bottom w:val="single" w:sz="4" w:space="0" w:color="000000"/>
            </w:tcBorders>
          </w:tcPr>
          <w:p>
            <w:pPr>
              <w:pStyle w:val="TableParagraph"/>
              <w:spacing w:line="173" w:lineRule="exact"/>
              <w:ind w:left="351"/>
              <w:rPr>
                <w:sz w:val="17"/>
              </w:rPr>
            </w:pPr>
            <w:r>
              <w:rPr>
                <w:sz w:val="17"/>
              </w:rPr>
              <w:t>0.01</w:t>
            </w:r>
          </w:p>
        </w:tc>
      </w:tr>
      <w:tr>
        <w:trPr>
          <w:trHeight w:val="195" w:hRule="atLeast"/>
        </w:trPr>
        <w:tc>
          <w:tcPr>
            <w:tcW w:w="1169" w:type="dxa"/>
          </w:tcPr>
          <w:p>
            <w:pPr>
              <w:pStyle w:val="TableParagraph"/>
              <w:rPr>
                <w:rFonts w:ascii="Times New Roman"/>
                <w:sz w:val="12"/>
              </w:rPr>
            </w:pPr>
          </w:p>
        </w:tc>
        <w:tc>
          <w:tcPr>
            <w:tcW w:w="1478" w:type="dxa"/>
            <w:tcBorders>
              <w:top w:val="single" w:sz="4" w:space="0" w:color="000000"/>
            </w:tcBorders>
          </w:tcPr>
          <w:p>
            <w:pPr>
              <w:pStyle w:val="TableParagraph"/>
              <w:spacing w:line="176" w:lineRule="exact"/>
              <w:ind w:left="101"/>
              <w:rPr>
                <w:sz w:val="17"/>
              </w:rPr>
            </w:pPr>
            <w:r>
              <w:rPr>
                <w:sz w:val="17"/>
              </w:rPr>
              <w:t>Slovenia</w:t>
            </w:r>
          </w:p>
        </w:tc>
        <w:tc>
          <w:tcPr>
            <w:tcW w:w="1081" w:type="dxa"/>
            <w:tcBorders>
              <w:top w:val="single" w:sz="4" w:space="0" w:color="000000"/>
            </w:tcBorders>
          </w:tcPr>
          <w:p>
            <w:pPr>
              <w:pStyle w:val="TableParagraph"/>
              <w:spacing w:line="176" w:lineRule="exact"/>
              <w:ind w:left="145" w:right="307"/>
              <w:jc w:val="center"/>
              <w:rPr>
                <w:sz w:val="17"/>
              </w:rPr>
            </w:pPr>
            <w:r>
              <w:rPr>
                <w:sz w:val="17"/>
              </w:rPr>
              <w:t>-0.08**</w:t>
            </w:r>
          </w:p>
        </w:tc>
        <w:tc>
          <w:tcPr>
            <w:tcW w:w="1011" w:type="dxa"/>
            <w:tcBorders>
              <w:top w:val="single" w:sz="4" w:space="0" w:color="000000"/>
            </w:tcBorders>
          </w:tcPr>
          <w:p>
            <w:pPr>
              <w:pStyle w:val="TableParagraph"/>
              <w:spacing w:line="176" w:lineRule="exact"/>
              <w:ind w:left="313" w:right="324"/>
              <w:jc w:val="center"/>
              <w:rPr>
                <w:sz w:val="17"/>
              </w:rPr>
            </w:pPr>
            <w:r>
              <w:rPr>
                <w:sz w:val="17"/>
              </w:rPr>
              <w:t>0.04</w:t>
            </w:r>
          </w:p>
        </w:tc>
        <w:tc>
          <w:tcPr>
            <w:tcW w:w="1039" w:type="dxa"/>
            <w:tcBorders>
              <w:top w:val="single" w:sz="4" w:space="0" w:color="000000"/>
            </w:tcBorders>
          </w:tcPr>
          <w:p>
            <w:pPr>
              <w:pStyle w:val="TableParagraph"/>
              <w:spacing w:line="176" w:lineRule="exact"/>
              <w:ind w:left="330" w:right="335"/>
              <w:jc w:val="center"/>
              <w:rPr>
                <w:sz w:val="17"/>
              </w:rPr>
            </w:pPr>
            <w:r>
              <w:rPr>
                <w:sz w:val="17"/>
              </w:rPr>
              <w:t>0.03</w:t>
            </w:r>
          </w:p>
        </w:tc>
        <w:tc>
          <w:tcPr>
            <w:tcW w:w="1253" w:type="dxa"/>
            <w:tcBorders>
              <w:top w:val="single" w:sz="4" w:space="0" w:color="000000"/>
            </w:tcBorders>
          </w:tcPr>
          <w:p>
            <w:pPr>
              <w:pStyle w:val="TableParagraph"/>
              <w:spacing w:line="176" w:lineRule="exact"/>
              <w:ind w:left="362"/>
              <w:rPr>
                <w:sz w:val="17"/>
              </w:rPr>
            </w:pPr>
            <w:r>
              <w:rPr>
                <w:sz w:val="17"/>
              </w:rPr>
              <w:t>-0.11***</w:t>
            </w:r>
          </w:p>
        </w:tc>
        <w:tc>
          <w:tcPr>
            <w:tcW w:w="989" w:type="dxa"/>
            <w:tcBorders>
              <w:top w:val="single" w:sz="4" w:space="0" w:color="000000"/>
            </w:tcBorders>
          </w:tcPr>
          <w:p>
            <w:pPr>
              <w:pStyle w:val="TableParagraph"/>
              <w:spacing w:line="176" w:lineRule="exact"/>
              <w:ind w:left="315"/>
              <w:rPr>
                <w:sz w:val="17"/>
              </w:rPr>
            </w:pPr>
            <w:r>
              <w:rPr>
                <w:sz w:val="17"/>
              </w:rPr>
              <w:t>0.03</w:t>
            </w:r>
          </w:p>
        </w:tc>
        <w:tc>
          <w:tcPr>
            <w:tcW w:w="977" w:type="dxa"/>
            <w:tcBorders>
              <w:top w:val="single" w:sz="4" w:space="0" w:color="000000"/>
            </w:tcBorders>
          </w:tcPr>
          <w:p>
            <w:pPr>
              <w:pStyle w:val="TableParagraph"/>
              <w:spacing w:line="176" w:lineRule="exact"/>
              <w:ind w:left="351"/>
              <w:rPr>
                <w:sz w:val="17"/>
              </w:rPr>
            </w:pPr>
            <w:r>
              <w:rPr>
                <w:sz w:val="17"/>
              </w:rPr>
              <w:t>0.01</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Spain</w:t>
            </w:r>
          </w:p>
        </w:tc>
        <w:tc>
          <w:tcPr>
            <w:tcW w:w="1081" w:type="dxa"/>
          </w:tcPr>
          <w:p>
            <w:pPr>
              <w:pStyle w:val="TableParagraph"/>
              <w:spacing w:line="174" w:lineRule="exact"/>
              <w:ind w:left="145" w:right="304"/>
              <w:jc w:val="center"/>
              <w:rPr>
                <w:sz w:val="17"/>
              </w:rPr>
            </w:pPr>
            <w:r>
              <w:rPr>
                <w:sz w:val="17"/>
              </w:rPr>
              <w:t>-0.03</w:t>
            </w:r>
          </w:p>
        </w:tc>
        <w:tc>
          <w:tcPr>
            <w:tcW w:w="1011" w:type="dxa"/>
          </w:tcPr>
          <w:p>
            <w:pPr>
              <w:pStyle w:val="TableParagraph"/>
              <w:spacing w:line="174" w:lineRule="exact"/>
              <w:ind w:left="314" w:right="324"/>
              <w:jc w:val="center"/>
              <w:rPr>
                <w:sz w:val="17"/>
              </w:rPr>
            </w:pPr>
            <w:r>
              <w:rPr>
                <w:sz w:val="17"/>
              </w:rPr>
              <w:t>0.07</w:t>
            </w:r>
          </w:p>
        </w:tc>
        <w:tc>
          <w:tcPr>
            <w:tcW w:w="1039" w:type="dxa"/>
          </w:tcPr>
          <w:p>
            <w:pPr>
              <w:pStyle w:val="TableParagraph"/>
              <w:spacing w:line="174" w:lineRule="exact"/>
              <w:ind w:left="329" w:right="335"/>
              <w:jc w:val="center"/>
              <w:rPr>
                <w:sz w:val="17"/>
              </w:rPr>
            </w:pPr>
            <w:r>
              <w:rPr>
                <w:sz w:val="17"/>
              </w:rPr>
              <w:t>0.66</w:t>
            </w:r>
          </w:p>
        </w:tc>
        <w:tc>
          <w:tcPr>
            <w:tcW w:w="1253" w:type="dxa"/>
          </w:tcPr>
          <w:p>
            <w:pPr>
              <w:pStyle w:val="TableParagraph"/>
              <w:spacing w:line="174" w:lineRule="exact"/>
              <w:ind w:left="394"/>
              <w:rPr>
                <w:sz w:val="17"/>
              </w:rPr>
            </w:pPr>
            <w:r>
              <w:rPr>
                <w:sz w:val="17"/>
              </w:rPr>
              <w:t>-0.14**</w:t>
            </w:r>
          </w:p>
        </w:tc>
        <w:tc>
          <w:tcPr>
            <w:tcW w:w="989" w:type="dxa"/>
          </w:tcPr>
          <w:p>
            <w:pPr>
              <w:pStyle w:val="TableParagraph"/>
              <w:spacing w:line="174" w:lineRule="exact"/>
              <w:ind w:left="314"/>
              <w:rPr>
                <w:sz w:val="17"/>
              </w:rPr>
            </w:pPr>
            <w:r>
              <w:rPr>
                <w:sz w:val="17"/>
              </w:rPr>
              <w:t>0.05</w:t>
            </w:r>
          </w:p>
        </w:tc>
        <w:tc>
          <w:tcPr>
            <w:tcW w:w="977" w:type="dxa"/>
          </w:tcPr>
          <w:p>
            <w:pPr>
              <w:pStyle w:val="TableParagraph"/>
              <w:spacing w:line="174" w:lineRule="exact"/>
              <w:ind w:left="351"/>
              <w:rPr>
                <w:sz w:val="17"/>
              </w:rPr>
            </w:pPr>
            <w:r>
              <w:rPr>
                <w:sz w:val="17"/>
              </w:rPr>
              <w:t>0.02</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Sweden</w:t>
            </w:r>
          </w:p>
        </w:tc>
        <w:tc>
          <w:tcPr>
            <w:tcW w:w="1081" w:type="dxa"/>
          </w:tcPr>
          <w:p>
            <w:pPr>
              <w:pStyle w:val="TableParagraph"/>
              <w:spacing w:line="174" w:lineRule="exact"/>
              <w:ind w:left="145" w:right="305"/>
              <w:jc w:val="center"/>
              <w:rPr>
                <w:sz w:val="17"/>
              </w:rPr>
            </w:pPr>
            <w:r>
              <w:rPr>
                <w:sz w:val="17"/>
              </w:rPr>
              <w:t>0.16***</w:t>
            </w:r>
          </w:p>
        </w:tc>
        <w:tc>
          <w:tcPr>
            <w:tcW w:w="1011" w:type="dxa"/>
          </w:tcPr>
          <w:p>
            <w:pPr>
              <w:pStyle w:val="TableParagraph"/>
              <w:spacing w:line="174" w:lineRule="exact"/>
              <w:ind w:left="314" w:right="324"/>
              <w:jc w:val="center"/>
              <w:rPr>
                <w:sz w:val="17"/>
              </w:rPr>
            </w:pPr>
            <w:r>
              <w:rPr>
                <w:sz w:val="17"/>
              </w:rPr>
              <w:t>0.06</w:t>
            </w:r>
          </w:p>
        </w:tc>
        <w:tc>
          <w:tcPr>
            <w:tcW w:w="1039" w:type="dxa"/>
          </w:tcPr>
          <w:p>
            <w:pPr>
              <w:pStyle w:val="TableParagraph"/>
              <w:spacing w:line="174" w:lineRule="exact"/>
              <w:ind w:left="329" w:right="335"/>
              <w:jc w:val="center"/>
              <w:rPr>
                <w:sz w:val="17"/>
              </w:rPr>
            </w:pPr>
            <w:r>
              <w:rPr>
                <w:sz w:val="17"/>
              </w:rPr>
              <w:t>0.01</w:t>
            </w:r>
          </w:p>
        </w:tc>
        <w:tc>
          <w:tcPr>
            <w:tcW w:w="1253" w:type="dxa"/>
          </w:tcPr>
          <w:p>
            <w:pPr>
              <w:pStyle w:val="TableParagraph"/>
              <w:spacing w:line="174" w:lineRule="exact"/>
              <w:ind w:left="467" w:right="412"/>
              <w:jc w:val="center"/>
              <w:rPr>
                <w:sz w:val="17"/>
              </w:rPr>
            </w:pPr>
            <w:r>
              <w:rPr>
                <w:sz w:val="17"/>
              </w:rPr>
              <w:t>0.07</w:t>
            </w:r>
          </w:p>
        </w:tc>
        <w:tc>
          <w:tcPr>
            <w:tcW w:w="989" w:type="dxa"/>
          </w:tcPr>
          <w:p>
            <w:pPr>
              <w:pStyle w:val="TableParagraph"/>
              <w:spacing w:line="174" w:lineRule="exact"/>
              <w:ind w:left="315"/>
              <w:rPr>
                <w:sz w:val="17"/>
              </w:rPr>
            </w:pPr>
            <w:r>
              <w:rPr>
                <w:sz w:val="17"/>
              </w:rPr>
              <w:t>0.05</w:t>
            </w:r>
          </w:p>
        </w:tc>
        <w:tc>
          <w:tcPr>
            <w:tcW w:w="977" w:type="dxa"/>
          </w:tcPr>
          <w:p>
            <w:pPr>
              <w:pStyle w:val="TableParagraph"/>
              <w:spacing w:line="174" w:lineRule="exact"/>
              <w:ind w:left="352"/>
              <w:rPr>
                <w:sz w:val="17"/>
              </w:rPr>
            </w:pPr>
            <w:r>
              <w:rPr>
                <w:sz w:val="17"/>
              </w:rPr>
              <w:t>0.17</w:t>
            </w:r>
          </w:p>
        </w:tc>
      </w:tr>
      <w:tr>
        <w:trPr>
          <w:trHeight w:val="193" w:hRule="atLeast"/>
        </w:trPr>
        <w:tc>
          <w:tcPr>
            <w:tcW w:w="1169" w:type="dxa"/>
            <w:tcBorders>
              <w:bottom w:val="single" w:sz="4" w:space="0" w:color="000000"/>
            </w:tcBorders>
          </w:tcPr>
          <w:p>
            <w:pPr>
              <w:pStyle w:val="TableParagraph"/>
              <w:rPr>
                <w:rFonts w:ascii="Times New Roman"/>
                <w:sz w:val="12"/>
              </w:rPr>
            </w:pPr>
          </w:p>
        </w:tc>
        <w:tc>
          <w:tcPr>
            <w:tcW w:w="1478" w:type="dxa"/>
            <w:tcBorders>
              <w:bottom w:val="single" w:sz="4" w:space="0" w:color="000000"/>
            </w:tcBorders>
          </w:tcPr>
          <w:p>
            <w:pPr>
              <w:pStyle w:val="TableParagraph"/>
              <w:spacing w:line="173" w:lineRule="exact"/>
              <w:ind w:left="101"/>
              <w:rPr>
                <w:sz w:val="17"/>
              </w:rPr>
            </w:pPr>
            <w:r>
              <w:rPr>
                <w:sz w:val="17"/>
              </w:rPr>
              <w:t>Switzerland</w:t>
            </w:r>
          </w:p>
        </w:tc>
        <w:tc>
          <w:tcPr>
            <w:tcW w:w="1081" w:type="dxa"/>
            <w:tcBorders>
              <w:bottom w:val="single" w:sz="4" w:space="0" w:color="000000"/>
            </w:tcBorders>
          </w:tcPr>
          <w:p>
            <w:pPr>
              <w:pStyle w:val="TableParagraph"/>
              <w:spacing w:line="173" w:lineRule="exact"/>
              <w:ind w:left="145" w:right="307"/>
              <w:jc w:val="center"/>
              <w:rPr>
                <w:sz w:val="17"/>
              </w:rPr>
            </w:pPr>
            <w:r>
              <w:rPr>
                <w:sz w:val="17"/>
              </w:rPr>
              <w:t>-0.42***</w:t>
            </w:r>
          </w:p>
        </w:tc>
        <w:tc>
          <w:tcPr>
            <w:tcW w:w="1011" w:type="dxa"/>
            <w:tcBorders>
              <w:bottom w:val="single" w:sz="4" w:space="0" w:color="000000"/>
            </w:tcBorders>
          </w:tcPr>
          <w:p>
            <w:pPr>
              <w:pStyle w:val="TableParagraph"/>
              <w:spacing w:line="173" w:lineRule="exact"/>
              <w:ind w:left="314" w:right="323"/>
              <w:jc w:val="center"/>
              <w:rPr>
                <w:sz w:val="17"/>
              </w:rPr>
            </w:pPr>
            <w:r>
              <w:rPr>
                <w:sz w:val="17"/>
              </w:rPr>
              <w:t>0.09</w:t>
            </w:r>
          </w:p>
        </w:tc>
        <w:tc>
          <w:tcPr>
            <w:tcW w:w="1039" w:type="dxa"/>
            <w:tcBorders>
              <w:bottom w:val="single" w:sz="4" w:space="0" w:color="000000"/>
            </w:tcBorders>
          </w:tcPr>
          <w:p>
            <w:pPr>
              <w:pStyle w:val="TableParagraph"/>
              <w:spacing w:line="173" w:lineRule="exact"/>
              <w:ind w:left="330" w:right="334"/>
              <w:jc w:val="center"/>
              <w:rPr>
                <w:sz w:val="17"/>
              </w:rPr>
            </w:pPr>
            <w:r>
              <w:rPr>
                <w:sz w:val="17"/>
              </w:rPr>
              <w:t>0.01</w:t>
            </w:r>
          </w:p>
        </w:tc>
        <w:tc>
          <w:tcPr>
            <w:tcW w:w="1253" w:type="dxa"/>
            <w:tcBorders>
              <w:bottom w:val="single" w:sz="4" w:space="0" w:color="000000"/>
            </w:tcBorders>
          </w:tcPr>
          <w:p>
            <w:pPr>
              <w:pStyle w:val="TableParagraph"/>
              <w:spacing w:line="173" w:lineRule="exact"/>
              <w:ind w:left="362"/>
              <w:rPr>
                <w:sz w:val="17"/>
              </w:rPr>
            </w:pPr>
            <w:r>
              <w:rPr>
                <w:sz w:val="17"/>
              </w:rPr>
              <w:t>-0.36***</w:t>
            </w:r>
          </w:p>
        </w:tc>
        <w:tc>
          <w:tcPr>
            <w:tcW w:w="989" w:type="dxa"/>
            <w:tcBorders>
              <w:bottom w:val="single" w:sz="4" w:space="0" w:color="000000"/>
            </w:tcBorders>
          </w:tcPr>
          <w:p>
            <w:pPr>
              <w:pStyle w:val="TableParagraph"/>
              <w:spacing w:line="173" w:lineRule="exact"/>
              <w:ind w:left="315"/>
              <w:rPr>
                <w:sz w:val="17"/>
              </w:rPr>
            </w:pPr>
            <w:r>
              <w:rPr>
                <w:sz w:val="17"/>
              </w:rPr>
              <w:t>0.11</w:t>
            </w:r>
          </w:p>
        </w:tc>
        <w:tc>
          <w:tcPr>
            <w:tcW w:w="977" w:type="dxa"/>
            <w:tcBorders>
              <w:bottom w:val="single" w:sz="4" w:space="0" w:color="000000"/>
            </w:tcBorders>
          </w:tcPr>
          <w:p>
            <w:pPr>
              <w:pStyle w:val="TableParagraph"/>
              <w:spacing w:line="173" w:lineRule="exact"/>
              <w:ind w:left="351"/>
              <w:rPr>
                <w:sz w:val="17"/>
              </w:rPr>
            </w:pPr>
            <w:r>
              <w:rPr>
                <w:sz w:val="17"/>
              </w:rPr>
              <w:t>0.01</w:t>
            </w:r>
          </w:p>
        </w:tc>
      </w:tr>
      <w:tr>
        <w:trPr>
          <w:trHeight w:val="389" w:hRule="atLeast"/>
        </w:trPr>
        <w:tc>
          <w:tcPr>
            <w:tcW w:w="1169" w:type="dxa"/>
            <w:tcBorders>
              <w:top w:val="single" w:sz="4" w:space="0" w:color="000000"/>
            </w:tcBorders>
          </w:tcPr>
          <w:p>
            <w:pPr>
              <w:pStyle w:val="TableParagraph"/>
              <w:spacing w:before="6"/>
              <w:rPr>
                <w:b/>
                <w:sz w:val="16"/>
              </w:rPr>
            </w:pPr>
          </w:p>
          <w:p>
            <w:pPr>
              <w:pStyle w:val="TableParagraph"/>
              <w:spacing w:line="179" w:lineRule="exact"/>
              <w:ind w:left="107"/>
              <w:rPr>
                <w:b/>
                <w:i/>
                <w:sz w:val="17"/>
              </w:rPr>
            </w:pPr>
            <w:r>
              <w:rPr>
                <w:b/>
                <w:i/>
                <w:sz w:val="17"/>
              </w:rPr>
              <w:t>Other G-10</w:t>
            </w:r>
          </w:p>
        </w:tc>
        <w:tc>
          <w:tcPr>
            <w:tcW w:w="1478" w:type="dxa"/>
            <w:tcBorders>
              <w:top w:val="single" w:sz="4" w:space="0" w:color="000000"/>
            </w:tcBorders>
          </w:tcPr>
          <w:p>
            <w:pPr>
              <w:pStyle w:val="TableParagraph"/>
              <w:spacing w:before="7"/>
              <w:rPr>
                <w:b/>
                <w:sz w:val="16"/>
              </w:rPr>
            </w:pPr>
          </w:p>
          <w:p>
            <w:pPr>
              <w:pStyle w:val="TableParagraph"/>
              <w:spacing w:line="178" w:lineRule="exact" w:before="1"/>
              <w:ind w:left="101"/>
              <w:rPr>
                <w:sz w:val="17"/>
              </w:rPr>
            </w:pPr>
            <w:r>
              <w:rPr>
                <w:sz w:val="17"/>
              </w:rPr>
              <w:t>Canada</w:t>
            </w:r>
          </w:p>
        </w:tc>
        <w:tc>
          <w:tcPr>
            <w:tcW w:w="1081" w:type="dxa"/>
            <w:tcBorders>
              <w:top w:val="single" w:sz="4" w:space="0" w:color="000000"/>
            </w:tcBorders>
          </w:tcPr>
          <w:p>
            <w:pPr>
              <w:pStyle w:val="TableParagraph"/>
              <w:spacing w:before="7"/>
              <w:rPr>
                <w:b/>
                <w:sz w:val="16"/>
              </w:rPr>
            </w:pPr>
          </w:p>
          <w:p>
            <w:pPr>
              <w:pStyle w:val="TableParagraph"/>
              <w:spacing w:line="178" w:lineRule="exact" w:before="1"/>
              <w:ind w:left="145" w:right="308"/>
              <w:jc w:val="center"/>
              <w:rPr>
                <w:sz w:val="17"/>
              </w:rPr>
            </w:pPr>
            <w:r>
              <w:rPr>
                <w:sz w:val="17"/>
              </w:rPr>
              <w:t>0.39***</w:t>
            </w:r>
          </w:p>
        </w:tc>
        <w:tc>
          <w:tcPr>
            <w:tcW w:w="1011" w:type="dxa"/>
            <w:tcBorders>
              <w:top w:val="single" w:sz="4" w:space="0" w:color="000000"/>
            </w:tcBorders>
          </w:tcPr>
          <w:p>
            <w:pPr>
              <w:pStyle w:val="TableParagraph"/>
              <w:spacing w:before="7"/>
              <w:rPr>
                <w:b/>
                <w:sz w:val="16"/>
              </w:rPr>
            </w:pPr>
          </w:p>
          <w:p>
            <w:pPr>
              <w:pStyle w:val="TableParagraph"/>
              <w:spacing w:line="178" w:lineRule="exact" w:before="1"/>
              <w:ind w:left="313" w:right="324"/>
              <w:jc w:val="center"/>
              <w:rPr>
                <w:sz w:val="17"/>
              </w:rPr>
            </w:pPr>
            <w:r>
              <w:rPr>
                <w:sz w:val="17"/>
              </w:rPr>
              <w:t>0.11</w:t>
            </w:r>
          </w:p>
        </w:tc>
        <w:tc>
          <w:tcPr>
            <w:tcW w:w="1039" w:type="dxa"/>
            <w:tcBorders>
              <w:top w:val="single" w:sz="4" w:space="0" w:color="000000"/>
            </w:tcBorders>
          </w:tcPr>
          <w:p>
            <w:pPr>
              <w:pStyle w:val="TableParagraph"/>
              <w:spacing w:before="7"/>
              <w:rPr>
                <w:b/>
                <w:sz w:val="16"/>
              </w:rPr>
            </w:pPr>
          </w:p>
          <w:p>
            <w:pPr>
              <w:pStyle w:val="TableParagraph"/>
              <w:spacing w:line="178" w:lineRule="exact" w:before="1"/>
              <w:ind w:left="328" w:right="335"/>
              <w:jc w:val="center"/>
              <w:rPr>
                <w:sz w:val="17"/>
              </w:rPr>
            </w:pPr>
            <w:r>
              <w:rPr>
                <w:sz w:val="17"/>
              </w:rPr>
              <w:t>0.01</w:t>
            </w:r>
          </w:p>
        </w:tc>
        <w:tc>
          <w:tcPr>
            <w:tcW w:w="1253" w:type="dxa"/>
            <w:tcBorders>
              <w:top w:val="single" w:sz="4" w:space="0" w:color="000000"/>
            </w:tcBorders>
          </w:tcPr>
          <w:p>
            <w:pPr>
              <w:pStyle w:val="TableParagraph"/>
              <w:spacing w:before="7"/>
              <w:rPr>
                <w:b/>
                <w:sz w:val="16"/>
              </w:rPr>
            </w:pPr>
          </w:p>
          <w:p>
            <w:pPr>
              <w:pStyle w:val="TableParagraph"/>
              <w:spacing w:line="178" w:lineRule="exact" w:before="1"/>
              <w:ind w:left="466" w:right="413"/>
              <w:jc w:val="center"/>
              <w:rPr>
                <w:sz w:val="17"/>
              </w:rPr>
            </w:pPr>
            <w:r>
              <w:rPr>
                <w:sz w:val="17"/>
              </w:rPr>
              <w:t>-0.1</w:t>
            </w:r>
          </w:p>
        </w:tc>
        <w:tc>
          <w:tcPr>
            <w:tcW w:w="989" w:type="dxa"/>
            <w:tcBorders>
              <w:top w:val="single" w:sz="4" w:space="0" w:color="000000"/>
            </w:tcBorders>
          </w:tcPr>
          <w:p>
            <w:pPr>
              <w:pStyle w:val="TableParagraph"/>
              <w:spacing w:before="7"/>
              <w:rPr>
                <w:b/>
                <w:sz w:val="16"/>
              </w:rPr>
            </w:pPr>
          </w:p>
          <w:p>
            <w:pPr>
              <w:pStyle w:val="TableParagraph"/>
              <w:spacing w:line="178" w:lineRule="exact" w:before="1"/>
              <w:ind w:left="361"/>
              <w:rPr>
                <w:sz w:val="17"/>
              </w:rPr>
            </w:pPr>
            <w:r>
              <w:rPr>
                <w:sz w:val="17"/>
              </w:rPr>
              <w:t>0.1</w:t>
            </w:r>
          </w:p>
        </w:tc>
        <w:tc>
          <w:tcPr>
            <w:tcW w:w="977" w:type="dxa"/>
            <w:tcBorders>
              <w:top w:val="single" w:sz="4" w:space="0" w:color="000000"/>
            </w:tcBorders>
          </w:tcPr>
          <w:p>
            <w:pPr>
              <w:pStyle w:val="TableParagraph"/>
              <w:spacing w:before="7"/>
              <w:rPr>
                <w:b/>
                <w:sz w:val="16"/>
              </w:rPr>
            </w:pPr>
          </w:p>
          <w:p>
            <w:pPr>
              <w:pStyle w:val="TableParagraph"/>
              <w:spacing w:line="178" w:lineRule="exact" w:before="1"/>
              <w:ind w:left="351"/>
              <w:rPr>
                <w:sz w:val="17"/>
              </w:rPr>
            </w:pPr>
            <w:r>
              <w:rPr>
                <w:sz w:val="17"/>
              </w:rPr>
              <w:t>0.35</w:t>
            </w:r>
          </w:p>
        </w:tc>
      </w:tr>
      <w:tr>
        <w:trPr>
          <w:trHeight w:val="195" w:hRule="atLeast"/>
        </w:trPr>
        <w:tc>
          <w:tcPr>
            <w:tcW w:w="1169" w:type="dxa"/>
          </w:tcPr>
          <w:p>
            <w:pPr>
              <w:pStyle w:val="TableParagraph"/>
              <w:spacing w:line="176" w:lineRule="exact"/>
              <w:ind w:left="107"/>
              <w:rPr>
                <w:b/>
                <w:i/>
                <w:sz w:val="17"/>
              </w:rPr>
            </w:pPr>
            <w:r>
              <w:rPr>
                <w:b/>
                <w:i/>
                <w:sz w:val="17"/>
              </w:rPr>
              <w:t>countries:</w:t>
            </w:r>
          </w:p>
        </w:tc>
        <w:tc>
          <w:tcPr>
            <w:tcW w:w="1478" w:type="dxa"/>
          </w:tcPr>
          <w:p>
            <w:pPr>
              <w:pStyle w:val="TableParagraph"/>
              <w:spacing w:line="176" w:lineRule="exact"/>
              <w:ind w:left="101"/>
              <w:rPr>
                <w:sz w:val="17"/>
              </w:rPr>
            </w:pPr>
            <w:r>
              <w:rPr>
                <w:sz w:val="17"/>
              </w:rPr>
              <w:t>Japan</w:t>
            </w:r>
          </w:p>
        </w:tc>
        <w:tc>
          <w:tcPr>
            <w:tcW w:w="1081" w:type="dxa"/>
          </w:tcPr>
          <w:p>
            <w:pPr>
              <w:pStyle w:val="TableParagraph"/>
              <w:spacing w:line="176" w:lineRule="exact"/>
              <w:ind w:left="145" w:right="305"/>
              <w:jc w:val="center"/>
              <w:rPr>
                <w:sz w:val="17"/>
              </w:rPr>
            </w:pPr>
            <w:r>
              <w:rPr>
                <w:sz w:val="17"/>
              </w:rPr>
              <w:t>0.18***</w:t>
            </w:r>
          </w:p>
        </w:tc>
        <w:tc>
          <w:tcPr>
            <w:tcW w:w="1011" w:type="dxa"/>
          </w:tcPr>
          <w:p>
            <w:pPr>
              <w:pStyle w:val="TableParagraph"/>
              <w:spacing w:line="176" w:lineRule="exact"/>
              <w:ind w:left="314" w:right="324"/>
              <w:jc w:val="center"/>
              <w:rPr>
                <w:sz w:val="17"/>
              </w:rPr>
            </w:pPr>
            <w:r>
              <w:rPr>
                <w:sz w:val="17"/>
              </w:rPr>
              <w:t>0.06</w:t>
            </w:r>
          </w:p>
        </w:tc>
        <w:tc>
          <w:tcPr>
            <w:tcW w:w="1039" w:type="dxa"/>
          </w:tcPr>
          <w:p>
            <w:pPr>
              <w:pStyle w:val="TableParagraph"/>
              <w:spacing w:line="176" w:lineRule="exact"/>
              <w:ind w:left="329" w:right="335"/>
              <w:jc w:val="center"/>
              <w:rPr>
                <w:sz w:val="17"/>
              </w:rPr>
            </w:pPr>
            <w:r>
              <w:rPr>
                <w:sz w:val="17"/>
              </w:rPr>
              <w:t>0.01</w:t>
            </w:r>
          </w:p>
        </w:tc>
        <w:tc>
          <w:tcPr>
            <w:tcW w:w="1253" w:type="dxa"/>
          </w:tcPr>
          <w:p>
            <w:pPr>
              <w:pStyle w:val="TableParagraph"/>
              <w:spacing w:line="176" w:lineRule="exact"/>
              <w:ind w:left="423"/>
              <w:rPr>
                <w:sz w:val="17"/>
              </w:rPr>
            </w:pPr>
            <w:r>
              <w:rPr>
                <w:sz w:val="17"/>
              </w:rPr>
              <w:t>0.15**</w:t>
            </w:r>
          </w:p>
        </w:tc>
        <w:tc>
          <w:tcPr>
            <w:tcW w:w="989" w:type="dxa"/>
          </w:tcPr>
          <w:p>
            <w:pPr>
              <w:pStyle w:val="TableParagraph"/>
              <w:spacing w:line="176" w:lineRule="exact"/>
              <w:ind w:left="314"/>
              <w:rPr>
                <w:sz w:val="17"/>
              </w:rPr>
            </w:pPr>
            <w:r>
              <w:rPr>
                <w:sz w:val="17"/>
              </w:rPr>
              <w:t>0.07</w:t>
            </w:r>
          </w:p>
        </w:tc>
        <w:tc>
          <w:tcPr>
            <w:tcW w:w="977" w:type="dxa"/>
          </w:tcPr>
          <w:p>
            <w:pPr>
              <w:pStyle w:val="TableParagraph"/>
              <w:spacing w:line="176" w:lineRule="exact"/>
              <w:ind w:left="351"/>
              <w:rPr>
                <w:sz w:val="17"/>
              </w:rPr>
            </w:pPr>
            <w:r>
              <w:rPr>
                <w:sz w:val="17"/>
              </w:rPr>
              <w:t>0.03</w:t>
            </w:r>
          </w:p>
        </w:tc>
      </w:tr>
      <w:tr>
        <w:trPr>
          <w:trHeight w:val="192" w:hRule="atLeast"/>
        </w:trPr>
        <w:tc>
          <w:tcPr>
            <w:tcW w:w="1169" w:type="dxa"/>
            <w:tcBorders>
              <w:bottom w:val="single" w:sz="4" w:space="0" w:color="000000"/>
            </w:tcBorders>
          </w:tcPr>
          <w:p>
            <w:pPr>
              <w:pStyle w:val="TableParagraph"/>
              <w:rPr>
                <w:rFonts w:ascii="Times New Roman"/>
                <w:sz w:val="12"/>
              </w:rPr>
            </w:pPr>
          </w:p>
        </w:tc>
        <w:tc>
          <w:tcPr>
            <w:tcW w:w="1478" w:type="dxa"/>
            <w:tcBorders>
              <w:bottom w:val="single" w:sz="4" w:space="0" w:color="000000"/>
            </w:tcBorders>
          </w:tcPr>
          <w:p>
            <w:pPr>
              <w:pStyle w:val="TableParagraph"/>
              <w:spacing w:line="173" w:lineRule="exact"/>
              <w:ind w:left="101"/>
              <w:rPr>
                <w:sz w:val="17"/>
              </w:rPr>
            </w:pPr>
            <w:r>
              <w:rPr>
                <w:sz w:val="17"/>
              </w:rPr>
              <w:t>United States</w:t>
            </w:r>
          </w:p>
        </w:tc>
        <w:tc>
          <w:tcPr>
            <w:tcW w:w="1081" w:type="dxa"/>
            <w:tcBorders>
              <w:bottom w:val="single" w:sz="4" w:space="0" w:color="000000"/>
            </w:tcBorders>
          </w:tcPr>
          <w:p>
            <w:pPr>
              <w:pStyle w:val="TableParagraph"/>
              <w:spacing w:line="173" w:lineRule="exact"/>
              <w:ind w:left="145" w:right="306"/>
              <w:jc w:val="center"/>
              <w:rPr>
                <w:sz w:val="17"/>
              </w:rPr>
            </w:pPr>
            <w:r>
              <w:rPr>
                <w:sz w:val="17"/>
              </w:rPr>
              <w:t>0.16*</w:t>
            </w:r>
          </w:p>
        </w:tc>
        <w:tc>
          <w:tcPr>
            <w:tcW w:w="1011" w:type="dxa"/>
            <w:tcBorders>
              <w:bottom w:val="single" w:sz="4" w:space="0" w:color="000000"/>
            </w:tcBorders>
          </w:tcPr>
          <w:p>
            <w:pPr>
              <w:pStyle w:val="TableParagraph"/>
              <w:spacing w:line="173" w:lineRule="exact"/>
              <w:ind w:left="312" w:right="324"/>
              <w:jc w:val="center"/>
              <w:rPr>
                <w:sz w:val="17"/>
              </w:rPr>
            </w:pPr>
            <w:r>
              <w:rPr>
                <w:sz w:val="17"/>
              </w:rPr>
              <w:t>0.09</w:t>
            </w:r>
          </w:p>
        </w:tc>
        <w:tc>
          <w:tcPr>
            <w:tcW w:w="1039" w:type="dxa"/>
            <w:tcBorders>
              <w:bottom w:val="single" w:sz="4" w:space="0" w:color="000000"/>
            </w:tcBorders>
          </w:tcPr>
          <w:p>
            <w:pPr>
              <w:pStyle w:val="TableParagraph"/>
              <w:spacing w:line="173" w:lineRule="exact"/>
              <w:ind w:left="326" w:right="335"/>
              <w:jc w:val="center"/>
              <w:rPr>
                <w:sz w:val="17"/>
              </w:rPr>
            </w:pPr>
            <w:r>
              <w:rPr>
                <w:sz w:val="17"/>
              </w:rPr>
              <w:t>0.1</w:t>
            </w:r>
          </w:p>
        </w:tc>
        <w:tc>
          <w:tcPr>
            <w:tcW w:w="1253" w:type="dxa"/>
            <w:tcBorders>
              <w:bottom w:val="single" w:sz="4" w:space="0" w:color="000000"/>
            </w:tcBorders>
          </w:tcPr>
          <w:p>
            <w:pPr>
              <w:pStyle w:val="TableParagraph"/>
              <w:spacing w:line="173" w:lineRule="exact"/>
              <w:ind w:left="460"/>
              <w:rPr>
                <w:sz w:val="17"/>
              </w:rPr>
            </w:pPr>
            <w:r>
              <w:rPr>
                <w:sz w:val="17"/>
              </w:rPr>
              <w:t>-0.06</w:t>
            </w:r>
          </w:p>
        </w:tc>
        <w:tc>
          <w:tcPr>
            <w:tcW w:w="989" w:type="dxa"/>
            <w:tcBorders>
              <w:bottom w:val="single" w:sz="4" w:space="0" w:color="000000"/>
            </w:tcBorders>
          </w:tcPr>
          <w:p>
            <w:pPr>
              <w:pStyle w:val="TableParagraph"/>
              <w:spacing w:line="173" w:lineRule="exact"/>
              <w:ind w:left="313"/>
              <w:rPr>
                <w:sz w:val="17"/>
              </w:rPr>
            </w:pPr>
            <w:r>
              <w:rPr>
                <w:sz w:val="17"/>
              </w:rPr>
              <w:t>0.12</w:t>
            </w:r>
          </w:p>
        </w:tc>
        <w:tc>
          <w:tcPr>
            <w:tcW w:w="977" w:type="dxa"/>
            <w:tcBorders>
              <w:bottom w:val="single" w:sz="4" w:space="0" w:color="000000"/>
            </w:tcBorders>
          </w:tcPr>
          <w:p>
            <w:pPr>
              <w:pStyle w:val="TableParagraph"/>
              <w:spacing w:line="173" w:lineRule="exact"/>
              <w:ind w:left="350"/>
              <w:rPr>
                <w:sz w:val="17"/>
              </w:rPr>
            </w:pPr>
            <w:r>
              <w:rPr>
                <w:sz w:val="17"/>
              </w:rPr>
              <w:t>0.66</w:t>
            </w:r>
          </w:p>
        </w:tc>
      </w:tr>
      <w:tr>
        <w:trPr>
          <w:trHeight w:val="389" w:hRule="atLeast"/>
        </w:trPr>
        <w:tc>
          <w:tcPr>
            <w:tcW w:w="1169" w:type="dxa"/>
            <w:tcBorders>
              <w:top w:val="single" w:sz="4" w:space="0" w:color="000000"/>
            </w:tcBorders>
          </w:tcPr>
          <w:p>
            <w:pPr>
              <w:pStyle w:val="TableParagraph"/>
              <w:spacing w:before="6"/>
              <w:rPr>
                <w:b/>
                <w:sz w:val="16"/>
              </w:rPr>
            </w:pPr>
          </w:p>
          <w:p>
            <w:pPr>
              <w:pStyle w:val="TableParagraph"/>
              <w:spacing w:line="179" w:lineRule="exact"/>
              <w:ind w:left="107"/>
              <w:rPr>
                <w:b/>
                <w:i/>
                <w:sz w:val="17"/>
              </w:rPr>
            </w:pPr>
            <w:r>
              <w:rPr>
                <w:b/>
                <w:i/>
                <w:sz w:val="17"/>
              </w:rPr>
              <w:t>Other</w:t>
            </w:r>
          </w:p>
        </w:tc>
        <w:tc>
          <w:tcPr>
            <w:tcW w:w="1478" w:type="dxa"/>
            <w:tcBorders>
              <w:top w:val="single" w:sz="4" w:space="0" w:color="000000"/>
            </w:tcBorders>
          </w:tcPr>
          <w:p>
            <w:pPr>
              <w:pStyle w:val="TableParagraph"/>
              <w:spacing w:before="7"/>
              <w:rPr>
                <w:b/>
                <w:sz w:val="16"/>
              </w:rPr>
            </w:pPr>
          </w:p>
          <w:p>
            <w:pPr>
              <w:pStyle w:val="TableParagraph"/>
              <w:spacing w:line="178" w:lineRule="exact" w:before="1"/>
              <w:ind w:left="101"/>
              <w:rPr>
                <w:sz w:val="17"/>
              </w:rPr>
            </w:pPr>
            <w:r>
              <w:rPr>
                <w:sz w:val="17"/>
              </w:rPr>
              <w:t>Australia</w:t>
            </w:r>
          </w:p>
        </w:tc>
        <w:tc>
          <w:tcPr>
            <w:tcW w:w="1081" w:type="dxa"/>
            <w:tcBorders>
              <w:top w:val="single" w:sz="4" w:space="0" w:color="000000"/>
            </w:tcBorders>
          </w:tcPr>
          <w:p>
            <w:pPr>
              <w:pStyle w:val="TableParagraph"/>
              <w:spacing w:before="7"/>
              <w:rPr>
                <w:b/>
                <w:sz w:val="16"/>
              </w:rPr>
            </w:pPr>
          </w:p>
          <w:p>
            <w:pPr>
              <w:pStyle w:val="TableParagraph"/>
              <w:spacing w:line="178" w:lineRule="exact" w:before="1"/>
              <w:ind w:left="145" w:right="306"/>
              <w:jc w:val="center"/>
              <w:rPr>
                <w:sz w:val="17"/>
              </w:rPr>
            </w:pPr>
            <w:r>
              <w:rPr>
                <w:sz w:val="17"/>
              </w:rPr>
              <w:t>-0.12**</w:t>
            </w:r>
          </w:p>
        </w:tc>
        <w:tc>
          <w:tcPr>
            <w:tcW w:w="1011" w:type="dxa"/>
            <w:tcBorders>
              <w:top w:val="single" w:sz="4" w:space="0" w:color="000000"/>
            </w:tcBorders>
          </w:tcPr>
          <w:p>
            <w:pPr>
              <w:pStyle w:val="TableParagraph"/>
              <w:spacing w:before="7"/>
              <w:rPr>
                <w:b/>
                <w:sz w:val="16"/>
              </w:rPr>
            </w:pPr>
          </w:p>
          <w:p>
            <w:pPr>
              <w:pStyle w:val="TableParagraph"/>
              <w:spacing w:line="178" w:lineRule="exact" w:before="1"/>
              <w:ind w:left="312" w:right="324"/>
              <w:jc w:val="center"/>
              <w:rPr>
                <w:sz w:val="17"/>
              </w:rPr>
            </w:pPr>
            <w:r>
              <w:rPr>
                <w:sz w:val="17"/>
              </w:rPr>
              <w:t>0.05</w:t>
            </w:r>
          </w:p>
        </w:tc>
        <w:tc>
          <w:tcPr>
            <w:tcW w:w="1039" w:type="dxa"/>
            <w:tcBorders>
              <w:top w:val="single" w:sz="4" w:space="0" w:color="000000"/>
            </w:tcBorders>
          </w:tcPr>
          <w:p>
            <w:pPr>
              <w:pStyle w:val="TableParagraph"/>
              <w:spacing w:before="7"/>
              <w:rPr>
                <w:b/>
                <w:sz w:val="16"/>
              </w:rPr>
            </w:pPr>
          </w:p>
          <w:p>
            <w:pPr>
              <w:pStyle w:val="TableParagraph"/>
              <w:spacing w:line="178" w:lineRule="exact" w:before="1"/>
              <w:ind w:left="328" w:right="335"/>
              <w:jc w:val="center"/>
              <w:rPr>
                <w:sz w:val="17"/>
              </w:rPr>
            </w:pPr>
            <w:r>
              <w:rPr>
                <w:sz w:val="17"/>
              </w:rPr>
              <w:t>0.02</w:t>
            </w:r>
          </w:p>
        </w:tc>
        <w:tc>
          <w:tcPr>
            <w:tcW w:w="1253" w:type="dxa"/>
            <w:tcBorders>
              <w:top w:val="single" w:sz="4" w:space="0" w:color="000000"/>
            </w:tcBorders>
          </w:tcPr>
          <w:p>
            <w:pPr>
              <w:pStyle w:val="TableParagraph"/>
              <w:spacing w:before="7"/>
              <w:rPr>
                <w:b/>
                <w:sz w:val="16"/>
              </w:rPr>
            </w:pPr>
          </w:p>
          <w:p>
            <w:pPr>
              <w:pStyle w:val="TableParagraph"/>
              <w:spacing w:line="178" w:lineRule="exact" w:before="1"/>
              <w:ind w:left="467" w:right="413"/>
              <w:jc w:val="center"/>
              <w:rPr>
                <w:sz w:val="17"/>
              </w:rPr>
            </w:pPr>
            <w:r>
              <w:rPr>
                <w:sz w:val="17"/>
              </w:rPr>
              <w:t>0.02</w:t>
            </w:r>
          </w:p>
        </w:tc>
        <w:tc>
          <w:tcPr>
            <w:tcW w:w="989" w:type="dxa"/>
            <w:tcBorders>
              <w:top w:val="single" w:sz="4" w:space="0" w:color="000000"/>
            </w:tcBorders>
          </w:tcPr>
          <w:p>
            <w:pPr>
              <w:pStyle w:val="TableParagraph"/>
              <w:spacing w:before="7"/>
              <w:rPr>
                <w:b/>
                <w:sz w:val="16"/>
              </w:rPr>
            </w:pPr>
          </w:p>
          <w:p>
            <w:pPr>
              <w:pStyle w:val="TableParagraph"/>
              <w:spacing w:line="178" w:lineRule="exact" w:before="1"/>
              <w:ind w:left="315"/>
              <w:rPr>
                <w:sz w:val="17"/>
              </w:rPr>
            </w:pPr>
            <w:r>
              <w:rPr>
                <w:sz w:val="17"/>
              </w:rPr>
              <w:t>0.03</w:t>
            </w:r>
          </w:p>
        </w:tc>
        <w:tc>
          <w:tcPr>
            <w:tcW w:w="977" w:type="dxa"/>
            <w:tcBorders>
              <w:top w:val="single" w:sz="4" w:space="0" w:color="000000"/>
            </w:tcBorders>
          </w:tcPr>
          <w:p>
            <w:pPr>
              <w:pStyle w:val="TableParagraph"/>
              <w:spacing w:before="7"/>
              <w:rPr>
                <w:b/>
                <w:sz w:val="16"/>
              </w:rPr>
            </w:pPr>
          </w:p>
          <w:p>
            <w:pPr>
              <w:pStyle w:val="TableParagraph"/>
              <w:spacing w:line="178" w:lineRule="exact" w:before="1"/>
              <w:ind w:left="352"/>
              <w:rPr>
                <w:sz w:val="17"/>
              </w:rPr>
            </w:pPr>
            <w:r>
              <w:rPr>
                <w:sz w:val="17"/>
              </w:rPr>
              <w:t>0.55</w:t>
            </w:r>
          </w:p>
        </w:tc>
      </w:tr>
      <w:tr>
        <w:trPr>
          <w:trHeight w:val="195" w:hRule="atLeast"/>
        </w:trPr>
        <w:tc>
          <w:tcPr>
            <w:tcW w:w="1169" w:type="dxa"/>
          </w:tcPr>
          <w:p>
            <w:pPr>
              <w:pStyle w:val="TableParagraph"/>
              <w:spacing w:line="176" w:lineRule="exact"/>
              <w:ind w:left="107"/>
              <w:rPr>
                <w:b/>
                <w:i/>
                <w:sz w:val="17"/>
              </w:rPr>
            </w:pPr>
            <w:r>
              <w:rPr>
                <w:b/>
                <w:i/>
                <w:sz w:val="17"/>
              </w:rPr>
              <w:t>countries:</w:t>
            </w:r>
          </w:p>
        </w:tc>
        <w:tc>
          <w:tcPr>
            <w:tcW w:w="1478" w:type="dxa"/>
          </w:tcPr>
          <w:p>
            <w:pPr>
              <w:pStyle w:val="TableParagraph"/>
              <w:spacing w:line="176" w:lineRule="exact"/>
              <w:ind w:left="101"/>
              <w:rPr>
                <w:sz w:val="17"/>
              </w:rPr>
            </w:pPr>
            <w:r>
              <w:rPr>
                <w:sz w:val="17"/>
              </w:rPr>
              <w:t>Brazil</w:t>
            </w:r>
          </w:p>
        </w:tc>
        <w:tc>
          <w:tcPr>
            <w:tcW w:w="1081" w:type="dxa"/>
          </w:tcPr>
          <w:p>
            <w:pPr>
              <w:pStyle w:val="TableParagraph"/>
              <w:spacing w:line="176" w:lineRule="exact"/>
              <w:ind w:left="145" w:right="308"/>
              <w:jc w:val="center"/>
              <w:rPr>
                <w:sz w:val="17"/>
              </w:rPr>
            </w:pPr>
            <w:r>
              <w:rPr>
                <w:sz w:val="17"/>
              </w:rPr>
              <w:t>-0.17***</w:t>
            </w:r>
          </w:p>
        </w:tc>
        <w:tc>
          <w:tcPr>
            <w:tcW w:w="1011" w:type="dxa"/>
          </w:tcPr>
          <w:p>
            <w:pPr>
              <w:pStyle w:val="TableParagraph"/>
              <w:spacing w:line="176" w:lineRule="exact"/>
              <w:ind w:left="313" w:right="324"/>
              <w:jc w:val="center"/>
              <w:rPr>
                <w:sz w:val="17"/>
              </w:rPr>
            </w:pPr>
            <w:r>
              <w:rPr>
                <w:sz w:val="17"/>
              </w:rPr>
              <w:t>0.04</w:t>
            </w:r>
          </w:p>
        </w:tc>
        <w:tc>
          <w:tcPr>
            <w:tcW w:w="1039" w:type="dxa"/>
          </w:tcPr>
          <w:p>
            <w:pPr>
              <w:pStyle w:val="TableParagraph"/>
              <w:spacing w:line="176" w:lineRule="exact"/>
              <w:ind w:left="327" w:right="335"/>
              <w:jc w:val="center"/>
              <w:rPr>
                <w:sz w:val="17"/>
              </w:rPr>
            </w:pPr>
            <w:r>
              <w:rPr>
                <w:sz w:val="17"/>
              </w:rPr>
              <w:t>0.01</w:t>
            </w:r>
          </w:p>
        </w:tc>
        <w:tc>
          <w:tcPr>
            <w:tcW w:w="1253" w:type="dxa"/>
          </w:tcPr>
          <w:p>
            <w:pPr>
              <w:pStyle w:val="TableParagraph"/>
              <w:spacing w:line="176" w:lineRule="exact"/>
              <w:ind w:left="362"/>
              <w:rPr>
                <w:sz w:val="17"/>
              </w:rPr>
            </w:pPr>
            <w:r>
              <w:rPr>
                <w:sz w:val="17"/>
              </w:rPr>
              <w:t>-0.12***</w:t>
            </w:r>
          </w:p>
        </w:tc>
        <w:tc>
          <w:tcPr>
            <w:tcW w:w="989" w:type="dxa"/>
          </w:tcPr>
          <w:p>
            <w:pPr>
              <w:pStyle w:val="TableParagraph"/>
              <w:spacing w:line="176" w:lineRule="exact"/>
              <w:ind w:left="314"/>
              <w:rPr>
                <w:sz w:val="17"/>
              </w:rPr>
            </w:pPr>
            <w:r>
              <w:rPr>
                <w:sz w:val="17"/>
              </w:rPr>
              <w:t>0.04</w:t>
            </w:r>
          </w:p>
        </w:tc>
        <w:tc>
          <w:tcPr>
            <w:tcW w:w="977" w:type="dxa"/>
          </w:tcPr>
          <w:p>
            <w:pPr>
              <w:pStyle w:val="TableParagraph"/>
              <w:spacing w:line="176" w:lineRule="exact"/>
              <w:ind w:left="351"/>
              <w:rPr>
                <w:sz w:val="17"/>
              </w:rPr>
            </w:pPr>
            <w:r>
              <w:rPr>
                <w:sz w:val="17"/>
              </w:rPr>
              <w:t>0.01</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Chile</w:t>
            </w:r>
          </w:p>
        </w:tc>
        <w:tc>
          <w:tcPr>
            <w:tcW w:w="1081" w:type="dxa"/>
          </w:tcPr>
          <w:p>
            <w:pPr>
              <w:pStyle w:val="TableParagraph"/>
              <w:spacing w:line="174" w:lineRule="exact"/>
              <w:ind w:left="145" w:right="306"/>
              <w:jc w:val="center"/>
              <w:rPr>
                <w:sz w:val="17"/>
              </w:rPr>
            </w:pPr>
            <w:r>
              <w:rPr>
                <w:sz w:val="17"/>
              </w:rPr>
              <w:t>0.01</w:t>
            </w:r>
          </w:p>
        </w:tc>
        <w:tc>
          <w:tcPr>
            <w:tcW w:w="1011" w:type="dxa"/>
          </w:tcPr>
          <w:p>
            <w:pPr>
              <w:pStyle w:val="TableParagraph"/>
              <w:spacing w:line="174" w:lineRule="exact"/>
              <w:ind w:left="314" w:right="324"/>
              <w:jc w:val="center"/>
              <w:rPr>
                <w:sz w:val="17"/>
              </w:rPr>
            </w:pPr>
            <w:r>
              <w:rPr>
                <w:sz w:val="17"/>
              </w:rPr>
              <w:t>0.04</w:t>
            </w:r>
          </w:p>
        </w:tc>
        <w:tc>
          <w:tcPr>
            <w:tcW w:w="1039" w:type="dxa"/>
          </w:tcPr>
          <w:p>
            <w:pPr>
              <w:pStyle w:val="TableParagraph"/>
              <w:spacing w:line="174" w:lineRule="exact"/>
              <w:ind w:left="329" w:right="335"/>
              <w:jc w:val="center"/>
              <w:rPr>
                <w:sz w:val="17"/>
              </w:rPr>
            </w:pPr>
            <w:r>
              <w:rPr>
                <w:sz w:val="17"/>
              </w:rPr>
              <w:t>0.75</w:t>
            </w:r>
          </w:p>
        </w:tc>
        <w:tc>
          <w:tcPr>
            <w:tcW w:w="1253" w:type="dxa"/>
          </w:tcPr>
          <w:p>
            <w:pPr>
              <w:pStyle w:val="TableParagraph"/>
              <w:spacing w:line="174" w:lineRule="exact"/>
              <w:ind w:left="467" w:right="412"/>
              <w:jc w:val="center"/>
              <w:rPr>
                <w:sz w:val="17"/>
              </w:rPr>
            </w:pPr>
            <w:r>
              <w:rPr>
                <w:sz w:val="17"/>
              </w:rPr>
              <w:t>0.01</w:t>
            </w:r>
          </w:p>
        </w:tc>
        <w:tc>
          <w:tcPr>
            <w:tcW w:w="989" w:type="dxa"/>
          </w:tcPr>
          <w:p>
            <w:pPr>
              <w:pStyle w:val="TableParagraph"/>
              <w:spacing w:line="174" w:lineRule="exact"/>
              <w:ind w:left="315"/>
              <w:rPr>
                <w:sz w:val="17"/>
              </w:rPr>
            </w:pPr>
            <w:r>
              <w:rPr>
                <w:sz w:val="17"/>
              </w:rPr>
              <w:t>0.04</w:t>
            </w:r>
          </w:p>
        </w:tc>
        <w:tc>
          <w:tcPr>
            <w:tcW w:w="977" w:type="dxa"/>
          </w:tcPr>
          <w:p>
            <w:pPr>
              <w:pStyle w:val="TableParagraph"/>
              <w:spacing w:line="174" w:lineRule="exact"/>
              <w:ind w:left="352"/>
              <w:rPr>
                <w:sz w:val="17"/>
              </w:rPr>
            </w:pPr>
            <w:r>
              <w:rPr>
                <w:sz w:val="17"/>
              </w:rPr>
              <w:t>0.83</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China</w:t>
            </w:r>
          </w:p>
        </w:tc>
        <w:tc>
          <w:tcPr>
            <w:tcW w:w="1081" w:type="dxa"/>
          </w:tcPr>
          <w:p>
            <w:pPr>
              <w:pStyle w:val="TableParagraph"/>
              <w:spacing w:line="174" w:lineRule="exact"/>
              <w:ind w:left="145" w:right="307"/>
              <w:jc w:val="center"/>
              <w:rPr>
                <w:sz w:val="17"/>
              </w:rPr>
            </w:pPr>
            <w:r>
              <w:rPr>
                <w:sz w:val="17"/>
              </w:rPr>
              <w:t>0.03</w:t>
            </w:r>
          </w:p>
        </w:tc>
        <w:tc>
          <w:tcPr>
            <w:tcW w:w="1011" w:type="dxa"/>
          </w:tcPr>
          <w:p>
            <w:pPr>
              <w:pStyle w:val="TableParagraph"/>
              <w:spacing w:line="174" w:lineRule="exact"/>
              <w:ind w:left="313" w:right="324"/>
              <w:jc w:val="center"/>
              <w:rPr>
                <w:sz w:val="17"/>
              </w:rPr>
            </w:pPr>
            <w:r>
              <w:rPr>
                <w:sz w:val="17"/>
              </w:rPr>
              <w:t>0.05</w:t>
            </w:r>
          </w:p>
        </w:tc>
        <w:tc>
          <w:tcPr>
            <w:tcW w:w="1039" w:type="dxa"/>
          </w:tcPr>
          <w:p>
            <w:pPr>
              <w:pStyle w:val="TableParagraph"/>
              <w:spacing w:line="174" w:lineRule="exact"/>
              <w:ind w:left="328" w:right="335"/>
              <w:jc w:val="center"/>
              <w:rPr>
                <w:sz w:val="17"/>
              </w:rPr>
            </w:pPr>
            <w:r>
              <w:rPr>
                <w:sz w:val="17"/>
              </w:rPr>
              <w:t>0.63</w:t>
            </w:r>
          </w:p>
        </w:tc>
        <w:tc>
          <w:tcPr>
            <w:tcW w:w="1253" w:type="dxa"/>
          </w:tcPr>
          <w:p>
            <w:pPr>
              <w:pStyle w:val="TableParagraph"/>
              <w:spacing w:line="174" w:lineRule="exact"/>
              <w:ind w:left="427"/>
              <w:rPr>
                <w:sz w:val="17"/>
              </w:rPr>
            </w:pPr>
            <w:r>
              <w:rPr>
                <w:sz w:val="17"/>
              </w:rPr>
              <w:t>-0.12*</w:t>
            </w:r>
          </w:p>
        </w:tc>
        <w:tc>
          <w:tcPr>
            <w:tcW w:w="989" w:type="dxa"/>
          </w:tcPr>
          <w:p>
            <w:pPr>
              <w:pStyle w:val="TableParagraph"/>
              <w:spacing w:line="174" w:lineRule="exact"/>
              <w:ind w:left="314"/>
              <w:rPr>
                <w:sz w:val="17"/>
              </w:rPr>
            </w:pPr>
            <w:r>
              <w:rPr>
                <w:sz w:val="17"/>
              </w:rPr>
              <w:t>0.07</w:t>
            </w:r>
          </w:p>
        </w:tc>
        <w:tc>
          <w:tcPr>
            <w:tcW w:w="977" w:type="dxa"/>
          </w:tcPr>
          <w:p>
            <w:pPr>
              <w:pStyle w:val="TableParagraph"/>
              <w:spacing w:line="174" w:lineRule="exact"/>
              <w:ind w:left="397"/>
              <w:rPr>
                <w:sz w:val="17"/>
              </w:rPr>
            </w:pPr>
            <w:r>
              <w:rPr>
                <w:sz w:val="17"/>
              </w:rPr>
              <w:t>0.1</w:t>
            </w:r>
          </w:p>
        </w:tc>
      </w:tr>
      <w:tr>
        <w:trPr>
          <w:trHeight w:val="194" w:hRule="atLeast"/>
        </w:trPr>
        <w:tc>
          <w:tcPr>
            <w:tcW w:w="1169" w:type="dxa"/>
          </w:tcPr>
          <w:p>
            <w:pPr>
              <w:pStyle w:val="TableParagraph"/>
              <w:rPr>
                <w:rFonts w:ascii="Times New Roman"/>
                <w:sz w:val="12"/>
              </w:rPr>
            </w:pPr>
          </w:p>
        </w:tc>
        <w:tc>
          <w:tcPr>
            <w:tcW w:w="1478" w:type="dxa"/>
            <w:tcBorders>
              <w:bottom w:val="single" w:sz="4" w:space="0" w:color="000000"/>
            </w:tcBorders>
          </w:tcPr>
          <w:p>
            <w:pPr>
              <w:pStyle w:val="TableParagraph"/>
              <w:spacing w:line="174" w:lineRule="exact"/>
              <w:ind w:left="101"/>
              <w:rPr>
                <w:sz w:val="17"/>
              </w:rPr>
            </w:pPr>
            <w:r>
              <w:rPr>
                <w:sz w:val="17"/>
              </w:rPr>
              <w:t>Colombia</w:t>
            </w:r>
          </w:p>
        </w:tc>
        <w:tc>
          <w:tcPr>
            <w:tcW w:w="1081" w:type="dxa"/>
            <w:tcBorders>
              <w:bottom w:val="single" w:sz="4" w:space="0" w:color="000000"/>
            </w:tcBorders>
          </w:tcPr>
          <w:p>
            <w:pPr>
              <w:pStyle w:val="TableParagraph"/>
              <w:spacing w:line="174" w:lineRule="exact"/>
              <w:ind w:left="145" w:right="304"/>
              <w:jc w:val="center"/>
              <w:rPr>
                <w:sz w:val="17"/>
              </w:rPr>
            </w:pPr>
            <w:r>
              <w:rPr>
                <w:sz w:val="17"/>
              </w:rPr>
              <w:t>-0.03</w:t>
            </w:r>
          </w:p>
        </w:tc>
        <w:tc>
          <w:tcPr>
            <w:tcW w:w="1011" w:type="dxa"/>
            <w:tcBorders>
              <w:bottom w:val="single" w:sz="4" w:space="0" w:color="000000"/>
            </w:tcBorders>
          </w:tcPr>
          <w:p>
            <w:pPr>
              <w:pStyle w:val="TableParagraph"/>
              <w:spacing w:line="174" w:lineRule="exact"/>
              <w:ind w:left="313" w:right="324"/>
              <w:jc w:val="center"/>
              <w:rPr>
                <w:sz w:val="17"/>
              </w:rPr>
            </w:pPr>
            <w:r>
              <w:rPr>
                <w:sz w:val="17"/>
              </w:rPr>
              <w:t>0.03</w:t>
            </w:r>
          </w:p>
        </w:tc>
        <w:tc>
          <w:tcPr>
            <w:tcW w:w="1039" w:type="dxa"/>
            <w:tcBorders>
              <w:bottom w:val="single" w:sz="4" w:space="0" w:color="000000"/>
            </w:tcBorders>
          </w:tcPr>
          <w:p>
            <w:pPr>
              <w:pStyle w:val="TableParagraph"/>
              <w:spacing w:line="174" w:lineRule="exact"/>
              <w:ind w:left="328" w:right="335"/>
              <w:jc w:val="center"/>
              <w:rPr>
                <w:sz w:val="17"/>
              </w:rPr>
            </w:pPr>
            <w:r>
              <w:rPr>
                <w:sz w:val="17"/>
              </w:rPr>
              <w:t>0.37</w:t>
            </w:r>
          </w:p>
        </w:tc>
        <w:tc>
          <w:tcPr>
            <w:tcW w:w="1253" w:type="dxa"/>
            <w:tcBorders>
              <w:bottom w:val="single" w:sz="4" w:space="0" w:color="000000"/>
            </w:tcBorders>
          </w:tcPr>
          <w:p>
            <w:pPr>
              <w:pStyle w:val="TableParagraph"/>
              <w:rPr>
                <w:rFonts w:ascii="Times New Roman"/>
                <w:sz w:val="12"/>
              </w:rPr>
            </w:pPr>
          </w:p>
        </w:tc>
        <w:tc>
          <w:tcPr>
            <w:tcW w:w="989" w:type="dxa"/>
            <w:tcBorders>
              <w:bottom w:val="single" w:sz="4" w:space="0" w:color="000000"/>
            </w:tcBorders>
          </w:tcPr>
          <w:p>
            <w:pPr>
              <w:pStyle w:val="TableParagraph"/>
              <w:rPr>
                <w:rFonts w:ascii="Times New Roman"/>
                <w:sz w:val="12"/>
              </w:rPr>
            </w:pPr>
          </w:p>
        </w:tc>
        <w:tc>
          <w:tcPr>
            <w:tcW w:w="977" w:type="dxa"/>
            <w:tcBorders>
              <w:bottom w:val="single" w:sz="4" w:space="0" w:color="000000"/>
            </w:tcBorders>
          </w:tcPr>
          <w:p>
            <w:pPr>
              <w:pStyle w:val="TableParagraph"/>
              <w:rPr>
                <w:rFonts w:ascii="Times New Roman"/>
                <w:sz w:val="12"/>
              </w:rPr>
            </w:pPr>
          </w:p>
        </w:tc>
      </w:tr>
      <w:tr>
        <w:trPr>
          <w:trHeight w:val="195" w:hRule="atLeast"/>
        </w:trPr>
        <w:tc>
          <w:tcPr>
            <w:tcW w:w="1169" w:type="dxa"/>
          </w:tcPr>
          <w:p>
            <w:pPr>
              <w:pStyle w:val="TableParagraph"/>
              <w:rPr>
                <w:rFonts w:ascii="Times New Roman"/>
                <w:sz w:val="12"/>
              </w:rPr>
            </w:pPr>
          </w:p>
        </w:tc>
        <w:tc>
          <w:tcPr>
            <w:tcW w:w="1478" w:type="dxa"/>
            <w:tcBorders>
              <w:top w:val="single" w:sz="4" w:space="0" w:color="000000"/>
            </w:tcBorders>
          </w:tcPr>
          <w:p>
            <w:pPr>
              <w:pStyle w:val="TableParagraph"/>
              <w:spacing w:line="176" w:lineRule="exact"/>
              <w:ind w:left="101"/>
              <w:rPr>
                <w:sz w:val="17"/>
              </w:rPr>
            </w:pPr>
            <w:r>
              <w:rPr>
                <w:sz w:val="17"/>
              </w:rPr>
              <w:t>Hong Kong</w:t>
            </w:r>
          </w:p>
        </w:tc>
        <w:tc>
          <w:tcPr>
            <w:tcW w:w="1081" w:type="dxa"/>
            <w:tcBorders>
              <w:top w:val="single" w:sz="4" w:space="0" w:color="000000"/>
            </w:tcBorders>
          </w:tcPr>
          <w:p>
            <w:pPr>
              <w:pStyle w:val="TableParagraph"/>
              <w:spacing w:line="176" w:lineRule="exact"/>
              <w:ind w:left="145" w:right="307"/>
              <w:jc w:val="center"/>
              <w:rPr>
                <w:sz w:val="17"/>
              </w:rPr>
            </w:pPr>
            <w:r>
              <w:rPr>
                <w:sz w:val="17"/>
              </w:rPr>
              <w:t>0.14***</w:t>
            </w:r>
          </w:p>
        </w:tc>
        <w:tc>
          <w:tcPr>
            <w:tcW w:w="1011" w:type="dxa"/>
            <w:tcBorders>
              <w:top w:val="single" w:sz="4" w:space="0" w:color="000000"/>
            </w:tcBorders>
          </w:tcPr>
          <w:p>
            <w:pPr>
              <w:pStyle w:val="TableParagraph"/>
              <w:spacing w:line="176" w:lineRule="exact"/>
              <w:ind w:left="312" w:right="324"/>
              <w:jc w:val="center"/>
              <w:rPr>
                <w:sz w:val="17"/>
              </w:rPr>
            </w:pPr>
            <w:r>
              <w:rPr>
                <w:sz w:val="17"/>
              </w:rPr>
              <w:t>0.04</w:t>
            </w:r>
          </w:p>
        </w:tc>
        <w:tc>
          <w:tcPr>
            <w:tcW w:w="1039" w:type="dxa"/>
            <w:tcBorders>
              <w:top w:val="single" w:sz="4" w:space="0" w:color="000000"/>
            </w:tcBorders>
          </w:tcPr>
          <w:p>
            <w:pPr>
              <w:pStyle w:val="TableParagraph"/>
              <w:spacing w:line="176" w:lineRule="exact"/>
              <w:ind w:left="327" w:right="335"/>
              <w:jc w:val="center"/>
              <w:rPr>
                <w:sz w:val="17"/>
              </w:rPr>
            </w:pPr>
            <w:r>
              <w:rPr>
                <w:sz w:val="17"/>
              </w:rPr>
              <w:t>0.01</w:t>
            </w:r>
          </w:p>
        </w:tc>
        <w:tc>
          <w:tcPr>
            <w:tcW w:w="1253" w:type="dxa"/>
            <w:tcBorders>
              <w:top w:val="single" w:sz="4" w:space="0" w:color="000000"/>
            </w:tcBorders>
          </w:tcPr>
          <w:p>
            <w:pPr>
              <w:pStyle w:val="TableParagraph"/>
              <w:spacing w:line="176" w:lineRule="exact"/>
              <w:ind w:left="388"/>
              <w:rPr>
                <w:sz w:val="17"/>
              </w:rPr>
            </w:pPr>
            <w:r>
              <w:rPr>
                <w:sz w:val="17"/>
              </w:rPr>
              <w:t>0.15***</w:t>
            </w:r>
          </w:p>
        </w:tc>
        <w:tc>
          <w:tcPr>
            <w:tcW w:w="989" w:type="dxa"/>
            <w:tcBorders>
              <w:top w:val="single" w:sz="4" w:space="0" w:color="000000"/>
            </w:tcBorders>
          </w:tcPr>
          <w:p>
            <w:pPr>
              <w:pStyle w:val="TableParagraph"/>
              <w:spacing w:line="176" w:lineRule="exact"/>
              <w:ind w:left="314"/>
              <w:rPr>
                <w:sz w:val="17"/>
              </w:rPr>
            </w:pPr>
            <w:r>
              <w:rPr>
                <w:sz w:val="17"/>
              </w:rPr>
              <w:t>0.03</w:t>
            </w:r>
          </w:p>
        </w:tc>
        <w:tc>
          <w:tcPr>
            <w:tcW w:w="977" w:type="dxa"/>
            <w:tcBorders>
              <w:top w:val="single" w:sz="4" w:space="0" w:color="000000"/>
            </w:tcBorders>
          </w:tcPr>
          <w:p>
            <w:pPr>
              <w:pStyle w:val="TableParagraph"/>
              <w:spacing w:line="176" w:lineRule="exact"/>
              <w:ind w:left="351"/>
              <w:rPr>
                <w:sz w:val="17"/>
              </w:rPr>
            </w:pPr>
            <w:r>
              <w:rPr>
                <w:sz w:val="17"/>
              </w:rPr>
              <w:t>0.01</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India</w:t>
            </w:r>
          </w:p>
        </w:tc>
        <w:tc>
          <w:tcPr>
            <w:tcW w:w="1081" w:type="dxa"/>
          </w:tcPr>
          <w:p>
            <w:pPr>
              <w:pStyle w:val="TableParagraph"/>
              <w:spacing w:line="174" w:lineRule="exact"/>
              <w:ind w:left="145" w:right="304"/>
              <w:jc w:val="center"/>
              <w:rPr>
                <w:sz w:val="17"/>
              </w:rPr>
            </w:pPr>
            <w:r>
              <w:rPr>
                <w:sz w:val="17"/>
              </w:rPr>
              <w:t>0.04*</w:t>
            </w:r>
          </w:p>
        </w:tc>
        <w:tc>
          <w:tcPr>
            <w:tcW w:w="1011" w:type="dxa"/>
          </w:tcPr>
          <w:p>
            <w:pPr>
              <w:pStyle w:val="TableParagraph"/>
              <w:spacing w:line="174" w:lineRule="exact"/>
              <w:ind w:left="314" w:right="324"/>
              <w:jc w:val="center"/>
              <w:rPr>
                <w:sz w:val="17"/>
              </w:rPr>
            </w:pPr>
            <w:r>
              <w:rPr>
                <w:sz w:val="17"/>
              </w:rPr>
              <w:t>0.03</w:t>
            </w:r>
          </w:p>
        </w:tc>
        <w:tc>
          <w:tcPr>
            <w:tcW w:w="1039" w:type="dxa"/>
          </w:tcPr>
          <w:p>
            <w:pPr>
              <w:pStyle w:val="TableParagraph"/>
              <w:spacing w:line="174" w:lineRule="exact"/>
              <w:ind w:left="330" w:right="335"/>
              <w:jc w:val="center"/>
              <w:rPr>
                <w:sz w:val="17"/>
              </w:rPr>
            </w:pPr>
            <w:r>
              <w:rPr>
                <w:sz w:val="17"/>
              </w:rPr>
              <w:t>0.07</w:t>
            </w:r>
          </w:p>
        </w:tc>
        <w:tc>
          <w:tcPr>
            <w:tcW w:w="1253" w:type="dxa"/>
          </w:tcPr>
          <w:p>
            <w:pPr>
              <w:pStyle w:val="TableParagraph"/>
              <w:spacing w:line="174" w:lineRule="exact"/>
              <w:ind w:left="438"/>
              <w:rPr>
                <w:sz w:val="17"/>
              </w:rPr>
            </w:pPr>
            <w:r>
              <w:rPr>
                <w:sz w:val="17"/>
              </w:rPr>
              <w:t>0.1***</w:t>
            </w:r>
          </w:p>
        </w:tc>
        <w:tc>
          <w:tcPr>
            <w:tcW w:w="989" w:type="dxa"/>
          </w:tcPr>
          <w:p>
            <w:pPr>
              <w:pStyle w:val="TableParagraph"/>
              <w:spacing w:line="174" w:lineRule="exact"/>
              <w:ind w:left="315"/>
              <w:rPr>
                <w:sz w:val="17"/>
              </w:rPr>
            </w:pPr>
            <w:r>
              <w:rPr>
                <w:sz w:val="17"/>
              </w:rPr>
              <w:t>0.02</w:t>
            </w:r>
          </w:p>
        </w:tc>
        <w:tc>
          <w:tcPr>
            <w:tcW w:w="977" w:type="dxa"/>
          </w:tcPr>
          <w:p>
            <w:pPr>
              <w:pStyle w:val="TableParagraph"/>
              <w:spacing w:line="174" w:lineRule="exact"/>
              <w:ind w:left="352"/>
              <w:rPr>
                <w:sz w:val="17"/>
              </w:rPr>
            </w:pPr>
            <w:r>
              <w:rPr>
                <w:sz w:val="17"/>
              </w:rPr>
              <w:t>0.01</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Indonesia</w:t>
            </w:r>
          </w:p>
        </w:tc>
        <w:tc>
          <w:tcPr>
            <w:tcW w:w="1081" w:type="dxa"/>
          </w:tcPr>
          <w:p>
            <w:pPr>
              <w:pStyle w:val="TableParagraph"/>
              <w:spacing w:line="175" w:lineRule="exact"/>
              <w:ind w:left="145" w:right="305"/>
              <w:jc w:val="center"/>
              <w:rPr>
                <w:sz w:val="17"/>
              </w:rPr>
            </w:pPr>
            <w:r>
              <w:rPr>
                <w:sz w:val="17"/>
              </w:rPr>
              <w:t>0.01</w:t>
            </w:r>
          </w:p>
        </w:tc>
        <w:tc>
          <w:tcPr>
            <w:tcW w:w="1011" w:type="dxa"/>
          </w:tcPr>
          <w:p>
            <w:pPr>
              <w:pStyle w:val="TableParagraph"/>
              <w:spacing w:line="175" w:lineRule="exact"/>
              <w:ind w:left="314" w:right="322"/>
              <w:jc w:val="center"/>
              <w:rPr>
                <w:sz w:val="17"/>
              </w:rPr>
            </w:pPr>
            <w:r>
              <w:rPr>
                <w:sz w:val="17"/>
              </w:rPr>
              <w:t>0.01</w:t>
            </w:r>
          </w:p>
        </w:tc>
        <w:tc>
          <w:tcPr>
            <w:tcW w:w="1039" w:type="dxa"/>
          </w:tcPr>
          <w:p>
            <w:pPr>
              <w:pStyle w:val="TableParagraph"/>
              <w:spacing w:line="175" w:lineRule="exact"/>
              <w:ind w:left="330" w:right="333"/>
              <w:jc w:val="center"/>
              <w:rPr>
                <w:sz w:val="17"/>
              </w:rPr>
            </w:pPr>
            <w:r>
              <w:rPr>
                <w:sz w:val="17"/>
              </w:rPr>
              <w:t>0.12</w:t>
            </w:r>
          </w:p>
        </w:tc>
        <w:tc>
          <w:tcPr>
            <w:tcW w:w="1253" w:type="dxa"/>
          </w:tcPr>
          <w:p>
            <w:pPr>
              <w:pStyle w:val="TableParagraph"/>
              <w:spacing w:line="175" w:lineRule="exact"/>
              <w:ind w:left="363"/>
              <w:rPr>
                <w:sz w:val="17"/>
              </w:rPr>
            </w:pPr>
            <w:r>
              <w:rPr>
                <w:sz w:val="17"/>
              </w:rPr>
              <w:t>-0.12***</w:t>
            </w:r>
          </w:p>
        </w:tc>
        <w:tc>
          <w:tcPr>
            <w:tcW w:w="989" w:type="dxa"/>
          </w:tcPr>
          <w:p>
            <w:pPr>
              <w:pStyle w:val="TableParagraph"/>
              <w:spacing w:line="175" w:lineRule="exact"/>
              <w:ind w:left="314"/>
              <w:rPr>
                <w:sz w:val="17"/>
              </w:rPr>
            </w:pPr>
            <w:r>
              <w:rPr>
                <w:sz w:val="17"/>
              </w:rPr>
              <w:t>0.04</w:t>
            </w:r>
          </w:p>
        </w:tc>
        <w:tc>
          <w:tcPr>
            <w:tcW w:w="977" w:type="dxa"/>
          </w:tcPr>
          <w:p>
            <w:pPr>
              <w:pStyle w:val="TableParagraph"/>
              <w:spacing w:line="175" w:lineRule="exact"/>
              <w:ind w:left="351"/>
              <w:rPr>
                <w:sz w:val="17"/>
              </w:rPr>
            </w:pPr>
            <w:r>
              <w:rPr>
                <w:sz w:val="17"/>
              </w:rPr>
              <w:t>0.01</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Israel</w:t>
            </w:r>
          </w:p>
        </w:tc>
        <w:tc>
          <w:tcPr>
            <w:tcW w:w="1081" w:type="dxa"/>
          </w:tcPr>
          <w:p>
            <w:pPr>
              <w:pStyle w:val="TableParagraph"/>
              <w:spacing w:line="175" w:lineRule="exact"/>
              <w:ind w:left="145" w:right="306"/>
              <w:jc w:val="center"/>
              <w:rPr>
                <w:sz w:val="17"/>
              </w:rPr>
            </w:pPr>
            <w:r>
              <w:rPr>
                <w:sz w:val="17"/>
              </w:rPr>
              <w:t>0.03</w:t>
            </w:r>
          </w:p>
        </w:tc>
        <w:tc>
          <w:tcPr>
            <w:tcW w:w="1011" w:type="dxa"/>
          </w:tcPr>
          <w:p>
            <w:pPr>
              <w:pStyle w:val="TableParagraph"/>
              <w:spacing w:line="175" w:lineRule="exact"/>
              <w:ind w:left="314" w:right="324"/>
              <w:jc w:val="center"/>
              <w:rPr>
                <w:sz w:val="17"/>
              </w:rPr>
            </w:pPr>
            <w:r>
              <w:rPr>
                <w:sz w:val="17"/>
              </w:rPr>
              <w:t>0.03</w:t>
            </w:r>
          </w:p>
        </w:tc>
        <w:tc>
          <w:tcPr>
            <w:tcW w:w="1039" w:type="dxa"/>
          </w:tcPr>
          <w:p>
            <w:pPr>
              <w:pStyle w:val="TableParagraph"/>
              <w:spacing w:line="175" w:lineRule="exact"/>
              <w:ind w:left="329" w:right="335"/>
              <w:jc w:val="center"/>
              <w:rPr>
                <w:sz w:val="17"/>
              </w:rPr>
            </w:pPr>
            <w:r>
              <w:rPr>
                <w:sz w:val="17"/>
              </w:rPr>
              <w:t>0.19</w:t>
            </w:r>
          </w:p>
        </w:tc>
        <w:tc>
          <w:tcPr>
            <w:tcW w:w="1253" w:type="dxa"/>
          </w:tcPr>
          <w:p>
            <w:pPr>
              <w:pStyle w:val="TableParagraph"/>
              <w:spacing w:line="175" w:lineRule="exact"/>
              <w:ind w:left="467" w:right="413"/>
              <w:jc w:val="center"/>
              <w:rPr>
                <w:sz w:val="17"/>
              </w:rPr>
            </w:pPr>
            <w:r>
              <w:rPr>
                <w:sz w:val="17"/>
              </w:rPr>
              <w:t>0.03</w:t>
            </w:r>
          </w:p>
        </w:tc>
        <w:tc>
          <w:tcPr>
            <w:tcW w:w="989" w:type="dxa"/>
          </w:tcPr>
          <w:p>
            <w:pPr>
              <w:pStyle w:val="TableParagraph"/>
              <w:spacing w:line="175" w:lineRule="exact"/>
              <w:ind w:left="315"/>
              <w:rPr>
                <w:sz w:val="17"/>
              </w:rPr>
            </w:pPr>
            <w:r>
              <w:rPr>
                <w:sz w:val="17"/>
              </w:rPr>
              <w:t>0.02</w:t>
            </w:r>
          </w:p>
        </w:tc>
        <w:tc>
          <w:tcPr>
            <w:tcW w:w="977" w:type="dxa"/>
          </w:tcPr>
          <w:p>
            <w:pPr>
              <w:pStyle w:val="TableParagraph"/>
              <w:spacing w:line="175" w:lineRule="exact"/>
              <w:ind w:left="352"/>
              <w:rPr>
                <w:sz w:val="17"/>
              </w:rPr>
            </w:pPr>
            <w:r>
              <w:rPr>
                <w:sz w:val="17"/>
              </w:rPr>
              <w:t>0.17</w:t>
            </w:r>
          </w:p>
        </w:tc>
      </w:tr>
      <w:tr>
        <w:trPr>
          <w:trHeight w:val="192" w:hRule="atLeast"/>
        </w:trPr>
        <w:tc>
          <w:tcPr>
            <w:tcW w:w="1169" w:type="dxa"/>
          </w:tcPr>
          <w:p>
            <w:pPr>
              <w:pStyle w:val="TableParagraph"/>
              <w:rPr>
                <w:rFonts w:ascii="Times New Roman"/>
                <w:sz w:val="12"/>
              </w:rPr>
            </w:pPr>
          </w:p>
        </w:tc>
        <w:tc>
          <w:tcPr>
            <w:tcW w:w="1478" w:type="dxa"/>
            <w:tcBorders>
              <w:bottom w:val="single" w:sz="4" w:space="0" w:color="000000"/>
            </w:tcBorders>
          </w:tcPr>
          <w:p>
            <w:pPr>
              <w:pStyle w:val="TableParagraph"/>
              <w:spacing w:line="172" w:lineRule="exact"/>
              <w:ind w:left="101"/>
              <w:rPr>
                <w:sz w:val="17"/>
              </w:rPr>
            </w:pPr>
            <w:r>
              <w:rPr>
                <w:sz w:val="17"/>
              </w:rPr>
              <w:t>Korea</w:t>
            </w:r>
          </w:p>
        </w:tc>
        <w:tc>
          <w:tcPr>
            <w:tcW w:w="1081" w:type="dxa"/>
            <w:tcBorders>
              <w:bottom w:val="single" w:sz="4" w:space="0" w:color="000000"/>
            </w:tcBorders>
          </w:tcPr>
          <w:p>
            <w:pPr>
              <w:pStyle w:val="TableParagraph"/>
              <w:spacing w:line="172" w:lineRule="exact"/>
              <w:ind w:left="145" w:right="306"/>
              <w:jc w:val="center"/>
              <w:rPr>
                <w:sz w:val="17"/>
              </w:rPr>
            </w:pPr>
            <w:r>
              <w:rPr>
                <w:sz w:val="17"/>
              </w:rPr>
              <w:t>0.04</w:t>
            </w:r>
          </w:p>
        </w:tc>
        <w:tc>
          <w:tcPr>
            <w:tcW w:w="1011" w:type="dxa"/>
            <w:tcBorders>
              <w:bottom w:val="single" w:sz="4" w:space="0" w:color="000000"/>
            </w:tcBorders>
          </w:tcPr>
          <w:p>
            <w:pPr>
              <w:pStyle w:val="TableParagraph"/>
              <w:spacing w:line="172" w:lineRule="exact"/>
              <w:ind w:left="313" w:right="324"/>
              <w:jc w:val="center"/>
              <w:rPr>
                <w:sz w:val="17"/>
              </w:rPr>
            </w:pPr>
            <w:r>
              <w:rPr>
                <w:sz w:val="17"/>
              </w:rPr>
              <w:t>0.06</w:t>
            </w:r>
          </w:p>
        </w:tc>
        <w:tc>
          <w:tcPr>
            <w:tcW w:w="1039" w:type="dxa"/>
            <w:tcBorders>
              <w:bottom w:val="single" w:sz="4" w:space="0" w:color="000000"/>
            </w:tcBorders>
          </w:tcPr>
          <w:p>
            <w:pPr>
              <w:pStyle w:val="TableParagraph"/>
              <w:spacing w:line="172" w:lineRule="exact"/>
              <w:ind w:left="329" w:right="335"/>
              <w:jc w:val="center"/>
              <w:rPr>
                <w:sz w:val="17"/>
              </w:rPr>
            </w:pPr>
            <w:r>
              <w:rPr>
                <w:sz w:val="17"/>
              </w:rPr>
              <w:t>0.56</w:t>
            </w:r>
          </w:p>
        </w:tc>
        <w:tc>
          <w:tcPr>
            <w:tcW w:w="1253" w:type="dxa"/>
            <w:tcBorders>
              <w:bottom w:val="single" w:sz="4" w:space="0" w:color="000000"/>
            </w:tcBorders>
          </w:tcPr>
          <w:p>
            <w:pPr>
              <w:pStyle w:val="TableParagraph"/>
              <w:spacing w:line="172" w:lineRule="exact"/>
              <w:ind w:left="461"/>
              <w:rPr>
                <w:sz w:val="17"/>
              </w:rPr>
            </w:pPr>
            <w:r>
              <w:rPr>
                <w:sz w:val="17"/>
              </w:rPr>
              <w:t>-0.02</w:t>
            </w:r>
          </w:p>
        </w:tc>
        <w:tc>
          <w:tcPr>
            <w:tcW w:w="989" w:type="dxa"/>
            <w:tcBorders>
              <w:bottom w:val="single" w:sz="4" w:space="0" w:color="000000"/>
            </w:tcBorders>
          </w:tcPr>
          <w:p>
            <w:pPr>
              <w:pStyle w:val="TableParagraph"/>
              <w:spacing w:line="172" w:lineRule="exact"/>
              <w:ind w:left="314"/>
              <w:rPr>
                <w:sz w:val="17"/>
              </w:rPr>
            </w:pPr>
            <w:r>
              <w:rPr>
                <w:sz w:val="17"/>
              </w:rPr>
              <w:t>0.06</w:t>
            </w:r>
          </w:p>
        </w:tc>
        <w:tc>
          <w:tcPr>
            <w:tcW w:w="977" w:type="dxa"/>
            <w:tcBorders>
              <w:bottom w:val="single" w:sz="4" w:space="0" w:color="000000"/>
            </w:tcBorders>
          </w:tcPr>
          <w:p>
            <w:pPr>
              <w:pStyle w:val="TableParagraph"/>
              <w:spacing w:line="172" w:lineRule="exact"/>
              <w:ind w:left="351"/>
              <w:rPr>
                <w:sz w:val="17"/>
              </w:rPr>
            </w:pPr>
            <w:r>
              <w:rPr>
                <w:sz w:val="17"/>
              </w:rPr>
              <w:t>0.76</w:t>
            </w:r>
          </w:p>
        </w:tc>
      </w:tr>
      <w:tr>
        <w:trPr>
          <w:trHeight w:val="196" w:hRule="atLeast"/>
        </w:trPr>
        <w:tc>
          <w:tcPr>
            <w:tcW w:w="1169" w:type="dxa"/>
          </w:tcPr>
          <w:p>
            <w:pPr>
              <w:pStyle w:val="TableParagraph"/>
              <w:rPr>
                <w:rFonts w:ascii="Times New Roman"/>
                <w:sz w:val="12"/>
              </w:rPr>
            </w:pPr>
          </w:p>
        </w:tc>
        <w:tc>
          <w:tcPr>
            <w:tcW w:w="1478" w:type="dxa"/>
            <w:tcBorders>
              <w:top w:val="single" w:sz="4" w:space="0" w:color="000000"/>
            </w:tcBorders>
          </w:tcPr>
          <w:p>
            <w:pPr>
              <w:pStyle w:val="TableParagraph"/>
              <w:spacing w:line="176" w:lineRule="exact"/>
              <w:ind w:left="101"/>
              <w:rPr>
                <w:sz w:val="17"/>
              </w:rPr>
            </w:pPr>
            <w:r>
              <w:rPr>
                <w:sz w:val="17"/>
              </w:rPr>
              <w:t>Malaysia</w:t>
            </w:r>
          </w:p>
        </w:tc>
        <w:tc>
          <w:tcPr>
            <w:tcW w:w="1081" w:type="dxa"/>
            <w:tcBorders>
              <w:top w:val="single" w:sz="4" w:space="0" w:color="000000"/>
            </w:tcBorders>
          </w:tcPr>
          <w:p>
            <w:pPr>
              <w:pStyle w:val="TableParagraph"/>
              <w:spacing w:line="176" w:lineRule="exact"/>
              <w:ind w:left="145" w:right="306"/>
              <w:jc w:val="center"/>
              <w:rPr>
                <w:sz w:val="17"/>
              </w:rPr>
            </w:pPr>
            <w:r>
              <w:rPr>
                <w:sz w:val="17"/>
              </w:rPr>
              <w:t>0.11***</w:t>
            </w:r>
          </w:p>
        </w:tc>
        <w:tc>
          <w:tcPr>
            <w:tcW w:w="1011" w:type="dxa"/>
            <w:tcBorders>
              <w:top w:val="single" w:sz="4" w:space="0" w:color="000000"/>
            </w:tcBorders>
          </w:tcPr>
          <w:p>
            <w:pPr>
              <w:pStyle w:val="TableParagraph"/>
              <w:spacing w:line="176" w:lineRule="exact"/>
              <w:ind w:left="314" w:right="324"/>
              <w:jc w:val="center"/>
              <w:rPr>
                <w:sz w:val="17"/>
              </w:rPr>
            </w:pPr>
            <w:r>
              <w:rPr>
                <w:sz w:val="17"/>
              </w:rPr>
              <w:t>0.03</w:t>
            </w:r>
          </w:p>
        </w:tc>
        <w:tc>
          <w:tcPr>
            <w:tcW w:w="1039" w:type="dxa"/>
            <w:tcBorders>
              <w:top w:val="single" w:sz="4" w:space="0" w:color="000000"/>
            </w:tcBorders>
          </w:tcPr>
          <w:p>
            <w:pPr>
              <w:pStyle w:val="TableParagraph"/>
              <w:spacing w:line="176" w:lineRule="exact"/>
              <w:ind w:left="329" w:right="335"/>
              <w:jc w:val="center"/>
              <w:rPr>
                <w:sz w:val="17"/>
              </w:rPr>
            </w:pPr>
            <w:r>
              <w:rPr>
                <w:sz w:val="17"/>
              </w:rPr>
              <w:t>0.01</w:t>
            </w:r>
          </w:p>
        </w:tc>
        <w:tc>
          <w:tcPr>
            <w:tcW w:w="1253" w:type="dxa"/>
            <w:tcBorders>
              <w:top w:val="single" w:sz="4" w:space="0" w:color="000000"/>
            </w:tcBorders>
          </w:tcPr>
          <w:p>
            <w:pPr>
              <w:pStyle w:val="TableParagraph"/>
              <w:spacing w:line="176" w:lineRule="exact"/>
              <w:ind w:left="456"/>
              <w:rPr>
                <w:sz w:val="17"/>
              </w:rPr>
            </w:pPr>
            <w:r>
              <w:rPr>
                <w:sz w:val="17"/>
              </w:rPr>
              <w:t>0.07*</w:t>
            </w:r>
          </w:p>
        </w:tc>
        <w:tc>
          <w:tcPr>
            <w:tcW w:w="989" w:type="dxa"/>
            <w:tcBorders>
              <w:top w:val="single" w:sz="4" w:space="0" w:color="000000"/>
            </w:tcBorders>
          </w:tcPr>
          <w:p>
            <w:pPr>
              <w:pStyle w:val="TableParagraph"/>
              <w:spacing w:line="176" w:lineRule="exact"/>
              <w:ind w:left="314"/>
              <w:rPr>
                <w:sz w:val="17"/>
              </w:rPr>
            </w:pPr>
            <w:r>
              <w:rPr>
                <w:sz w:val="17"/>
              </w:rPr>
              <w:t>0.04</w:t>
            </w:r>
          </w:p>
        </w:tc>
        <w:tc>
          <w:tcPr>
            <w:tcW w:w="977" w:type="dxa"/>
            <w:tcBorders>
              <w:top w:val="single" w:sz="4" w:space="0" w:color="000000"/>
            </w:tcBorders>
          </w:tcPr>
          <w:p>
            <w:pPr>
              <w:pStyle w:val="TableParagraph"/>
              <w:spacing w:line="176" w:lineRule="exact"/>
              <w:ind w:left="351"/>
              <w:rPr>
                <w:sz w:val="17"/>
              </w:rPr>
            </w:pPr>
            <w:r>
              <w:rPr>
                <w:sz w:val="17"/>
              </w:rPr>
              <w:t>0.08</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Mexico</w:t>
            </w:r>
          </w:p>
        </w:tc>
        <w:tc>
          <w:tcPr>
            <w:tcW w:w="1081" w:type="dxa"/>
          </w:tcPr>
          <w:p>
            <w:pPr>
              <w:pStyle w:val="TableParagraph"/>
              <w:spacing w:line="175" w:lineRule="exact"/>
              <w:ind w:left="145" w:right="304"/>
              <w:jc w:val="center"/>
              <w:rPr>
                <w:sz w:val="17"/>
              </w:rPr>
            </w:pPr>
            <w:r>
              <w:rPr>
                <w:sz w:val="17"/>
              </w:rPr>
              <w:t>-0.01</w:t>
            </w:r>
          </w:p>
        </w:tc>
        <w:tc>
          <w:tcPr>
            <w:tcW w:w="1011" w:type="dxa"/>
          </w:tcPr>
          <w:p>
            <w:pPr>
              <w:pStyle w:val="TableParagraph"/>
              <w:spacing w:line="175" w:lineRule="exact"/>
              <w:ind w:left="313" w:right="324"/>
              <w:jc w:val="center"/>
              <w:rPr>
                <w:sz w:val="17"/>
              </w:rPr>
            </w:pPr>
            <w:r>
              <w:rPr>
                <w:sz w:val="17"/>
              </w:rPr>
              <w:t>0.02</w:t>
            </w:r>
          </w:p>
        </w:tc>
        <w:tc>
          <w:tcPr>
            <w:tcW w:w="1039" w:type="dxa"/>
          </w:tcPr>
          <w:p>
            <w:pPr>
              <w:pStyle w:val="TableParagraph"/>
              <w:spacing w:line="175" w:lineRule="exact"/>
              <w:ind w:left="329" w:right="335"/>
              <w:jc w:val="center"/>
              <w:rPr>
                <w:sz w:val="17"/>
              </w:rPr>
            </w:pPr>
            <w:r>
              <w:rPr>
                <w:sz w:val="17"/>
              </w:rPr>
              <w:t>0.66</w:t>
            </w:r>
          </w:p>
        </w:tc>
        <w:tc>
          <w:tcPr>
            <w:tcW w:w="1253" w:type="dxa"/>
          </w:tcPr>
          <w:p>
            <w:pPr>
              <w:pStyle w:val="TableParagraph"/>
              <w:spacing w:line="175" w:lineRule="exact"/>
              <w:ind w:left="394"/>
              <w:rPr>
                <w:sz w:val="17"/>
              </w:rPr>
            </w:pPr>
            <w:r>
              <w:rPr>
                <w:sz w:val="17"/>
              </w:rPr>
              <w:t>-0.04**</w:t>
            </w:r>
          </w:p>
        </w:tc>
        <w:tc>
          <w:tcPr>
            <w:tcW w:w="989" w:type="dxa"/>
          </w:tcPr>
          <w:p>
            <w:pPr>
              <w:pStyle w:val="TableParagraph"/>
              <w:spacing w:line="175" w:lineRule="exact"/>
              <w:ind w:left="314"/>
              <w:rPr>
                <w:sz w:val="17"/>
              </w:rPr>
            </w:pPr>
            <w:r>
              <w:rPr>
                <w:sz w:val="17"/>
              </w:rPr>
              <w:t>0.02</w:t>
            </w:r>
          </w:p>
        </w:tc>
        <w:tc>
          <w:tcPr>
            <w:tcW w:w="977" w:type="dxa"/>
          </w:tcPr>
          <w:p>
            <w:pPr>
              <w:pStyle w:val="TableParagraph"/>
              <w:spacing w:line="175" w:lineRule="exact"/>
              <w:ind w:left="350"/>
              <w:rPr>
                <w:sz w:val="17"/>
              </w:rPr>
            </w:pPr>
            <w:r>
              <w:rPr>
                <w:sz w:val="17"/>
              </w:rPr>
              <w:t>0.03</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Philippines</w:t>
            </w:r>
          </w:p>
        </w:tc>
        <w:tc>
          <w:tcPr>
            <w:tcW w:w="1081" w:type="dxa"/>
          </w:tcPr>
          <w:p>
            <w:pPr>
              <w:pStyle w:val="TableParagraph"/>
              <w:spacing w:line="174" w:lineRule="exact"/>
              <w:ind w:left="145" w:right="304"/>
              <w:jc w:val="center"/>
              <w:rPr>
                <w:sz w:val="17"/>
              </w:rPr>
            </w:pPr>
            <w:r>
              <w:rPr>
                <w:sz w:val="17"/>
              </w:rPr>
              <w:t>-0.01</w:t>
            </w:r>
          </w:p>
        </w:tc>
        <w:tc>
          <w:tcPr>
            <w:tcW w:w="1011" w:type="dxa"/>
          </w:tcPr>
          <w:p>
            <w:pPr>
              <w:pStyle w:val="TableParagraph"/>
              <w:spacing w:line="174" w:lineRule="exact"/>
              <w:ind w:left="314" w:right="323"/>
              <w:jc w:val="center"/>
              <w:rPr>
                <w:sz w:val="17"/>
              </w:rPr>
            </w:pPr>
            <w:r>
              <w:rPr>
                <w:sz w:val="17"/>
              </w:rPr>
              <w:t>0.04</w:t>
            </w:r>
          </w:p>
        </w:tc>
        <w:tc>
          <w:tcPr>
            <w:tcW w:w="1039" w:type="dxa"/>
          </w:tcPr>
          <w:p>
            <w:pPr>
              <w:pStyle w:val="TableParagraph"/>
              <w:spacing w:line="174" w:lineRule="exact"/>
              <w:ind w:left="330" w:right="334"/>
              <w:jc w:val="center"/>
              <w:rPr>
                <w:sz w:val="17"/>
              </w:rPr>
            </w:pPr>
            <w:r>
              <w:rPr>
                <w:sz w:val="17"/>
              </w:rPr>
              <w:t>0.89</w:t>
            </w:r>
          </w:p>
        </w:tc>
        <w:tc>
          <w:tcPr>
            <w:tcW w:w="1253" w:type="dxa"/>
          </w:tcPr>
          <w:p>
            <w:pPr>
              <w:pStyle w:val="TableParagraph"/>
              <w:spacing w:line="174" w:lineRule="exact"/>
              <w:ind w:left="362"/>
              <w:rPr>
                <w:sz w:val="17"/>
              </w:rPr>
            </w:pPr>
            <w:r>
              <w:rPr>
                <w:sz w:val="17"/>
              </w:rPr>
              <w:t>-0.31***</w:t>
            </w:r>
          </w:p>
        </w:tc>
        <w:tc>
          <w:tcPr>
            <w:tcW w:w="989" w:type="dxa"/>
          </w:tcPr>
          <w:p>
            <w:pPr>
              <w:pStyle w:val="TableParagraph"/>
              <w:spacing w:line="174" w:lineRule="exact"/>
              <w:ind w:left="315"/>
              <w:rPr>
                <w:sz w:val="17"/>
              </w:rPr>
            </w:pPr>
            <w:r>
              <w:rPr>
                <w:sz w:val="17"/>
              </w:rPr>
              <w:t>0.04</w:t>
            </w:r>
          </w:p>
        </w:tc>
        <w:tc>
          <w:tcPr>
            <w:tcW w:w="977" w:type="dxa"/>
          </w:tcPr>
          <w:p>
            <w:pPr>
              <w:pStyle w:val="TableParagraph"/>
              <w:spacing w:line="174" w:lineRule="exact"/>
              <w:ind w:left="351"/>
              <w:rPr>
                <w:sz w:val="17"/>
              </w:rPr>
            </w:pPr>
            <w:r>
              <w:rPr>
                <w:sz w:val="17"/>
              </w:rPr>
              <w:t>0.01</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4" w:lineRule="exact"/>
              <w:ind w:left="101"/>
              <w:rPr>
                <w:sz w:val="17"/>
              </w:rPr>
            </w:pPr>
            <w:r>
              <w:rPr>
                <w:sz w:val="17"/>
              </w:rPr>
              <w:t>New Zealand</w:t>
            </w:r>
          </w:p>
        </w:tc>
        <w:tc>
          <w:tcPr>
            <w:tcW w:w="1081" w:type="dxa"/>
          </w:tcPr>
          <w:p>
            <w:pPr>
              <w:pStyle w:val="TableParagraph"/>
              <w:spacing w:line="174" w:lineRule="exact"/>
              <w:ind w:left="145" w:right="306"/>
              <w:jc w:val="center"/>
              <w:rPr>
                <w:sz w:val="17"/>
              </w:rPr>
            </w:pPr>
            <w:r>
              <w:rPr>
                <w:sz w:val="17"/>
              </w:rPr>
              <w:t>0.26***</w:t>
            </w:r>
          </w:p>
        </w:tc>
        <w:tc>
          <w:tcPr>
            <w:tcW w:w="1011" w:type="dxa"/>
          </w:tcPr>
          <w:p>
            <w:pPr>
              <w:pStyle w:val="TableParagraph"/>
              <w:spacing w:line="174" w:lineRule="exact"/>
              <w:ind w:left="313" w:right="324"/>
              <w:jc w:val="center"/>
              <w:rPr>
                <w:sz w:val="17"/>
              </w:rPr>
            </w:pPr>
            <w:r>
              <w:rPr>
                <w:sz w:val="17"/>
              </w:rPr>
              <w:t>0.05</w:t>
            </w:r>
          </w:p>
        </w:tc>
        <w:tc>
          <w:tcPr>
            <w:tcW w:w="1039" w:type="dxa"/>
          </w:tcPr>
          <w:p>
            <w:pPr>
              <w:pStyle w:val="TableParagraph"/>
              <w:spacing w:line="174" w:lineRule="exact"/>
              <w:ind w:left="329" w:right="335"/>
              <w:jc w:val="center"/>
              <w:rPr>
                <w:sz w:val="17"/>
              </w:rPr>
            </w:pPr>
            <w:r>
              <w:rPr>
                <w:sz w:val="17"/>
              </w:rPr>
              <w:t>0.01</w:t>
            </w:r>
          </w:p>
        </w:tc>
        <w:tc>
          <w:tcPr>
            <w:tcW w:w="1253" w:type="dxa"/>
          </w:tcPr>
          <w:p>
            <w:pPr>
              <w:pStyle w:val="TableParagraph"/>
              <w:spacing w:line="174" w:lineRule="exact"/>
              <w:ind w:left="461"/>
              <w:rPr>
                <w:sz w:val="17"/>
              </w:rPr>
            </w:pPr>
            <w:r>
              <w:rPr>
                <w:sz w:val="17"/>
              </w:rPr>
              <w:t>-0.04</w:t>
            </w:r>
          </w:p>
        </w:tc>
        <w:tc>
          <w:tcPr>
            <w:tcW w:w="989" w:type="dxa"/>
          </w:tcPr>
          <w:p>
            <w:pPr>
              <w:pStyle w:val="TableParagraph"/>
              <w:spacing w:line="174" w:lineRule="exact"/>
              <w:ind w:left="314"/>
              <w:rPr>
                <w:sz w:val="17"/>
              </w:rPr>
            </w:pPr>
            <w:r>
              <w:rPr>
                <w:sz w:val="17"/>
              </w:rPr>
              <w:t>0.05</w:t>
            </w:r>
          </w:p>
        </w:tc>
        <w:tc>
          <w:tcPr>
            <w:tcW w:w="977" w:type="dxa"/>
          </w:tcPr>
          <w:p>
            <w:pPr>
              <w:pStyle w:val="TableParagraph"/>
              <w:spacing w:line="174" w:lineRule="exact"/>
              <w:ind w:left="351"/>
              <w:rPr>
                <w:sz w:val="17"/>
              </w:rPr>
            </w:pPr>
            <w:r>
              <w:rPr>
                <w:sz w:val="17"/>
              </w:rPr>
              <w:t>0.49</w:t>
            </w:r>
          </w:p>
        </w:tc>
      </w:tr>
      <w:tr>
        <w:trPr>
          <w:trHeight w:val="193" w:hRule="atLeast"/>
        </w:trPr>
        <w:tc>
          <w:tcPr>
            <w:tcW w:w="1169" w:type="dxa"/>
          </w:tcPr>
          <w:p>
            <w:pPr>
              <w:pStyle w:val="TableParagraph"/>
              <w:rPr>
                <w:rFonts w:ascii="Times New Roman"/>
                <w:sz w:val="12"/>
              </w:rPr>
            </w:pPr>
          </w:p>
        </w:tc>
        <w:tc>
          <w:tcPr>
            <w:tcW w:w="1478" w:type="dxa"/>
            <w:tcBorders>
              <w:bottom w:val="single" w:sz="4" w:space="0" w:color="000000"/>
            </w:tcBorders>
          </w:tcPr>
          <w:p>
            <w:pPr>
              <w:pStyle w:val="TableParagraph"/>
              <w:spacing w:line="173" w:lineRule="exact"/>
              <w:ind w:left="101"/>
              <w:rPr>
                <w:sz w:val="17"/>
              </w:rPr>
            </w:pPr>
            <w:r>
              <w:rPr>
                <w:sz w:val="17"/>
              </w:rPr>
              <w:t>Russia</w:t>
            </w:r>
          </w:p>
        </w:tc>
        <w:tc>
          <w:tcPr>
            <w:tcW w:w="1081" w:type="dxa"/>
            <w:tcBorders>
              <w:bottom w:val="single" w:sz="4" w:space="0" w:color="000000"/>
            </w:tcBorders>
          </w:tcPr>
          <w:p>
            <w:pPr>
              <w:pStyle w:val="TableParagraph"/>
              <w:spacing w:line="173" w:lineRule="exact"/>
              <w:ind w:left="145" w:right="303"/>
              <w:jc w:val="center"/>
              <w:rPr>
                <w:sz w:val="17"/>
              </w:rPr>
            </w:pPr>
            <w:r>
              <w:rPr>
                <w:sz w:val="17"/>
              </w:rPr>
              <w:t>-0.01</w:t>
            </w:r>
          </w:p>
        </w:tc>
        <w:tc>
          <w:tcPr>
            <w:tcW w:w="1011" w:type="dxa"/>
            <w:tcBorders>
              <w:bottom w:val="single" w:sz="4" w:space="0" w:color="000000"/>
            </w:tcBorders>
          </w:tcPr>
          <w:p>
            <w:pPr>
              <w:pStyle w:val="TableParagraph"/>
              <w:spacing w:line="173" w:lineRule="exact"/>
              <w:ind w:left="314" w:right="324"/>
              <w:jc w:val="center"/>
              <w:rPr>
                <w:sz w:val="17"/>
              </w:rPr>
            </w:pPr>
            <w:r>
              <w:rPr>
                <w:sz w:val="17"/>
              </w:rPr>
              <w:t>0.01</w:t>
            </w:r>
          </w:p>
        </w:tc>
        <w:tc>
          <w:tcPr>
            <w:tcW w:w="1039" w:type="dxa"/>
            <w:tcBorders>
              <w:bottom w:val="single" w:sz="4" w:space="0" w:color="000000"/>
            </w:tcBorders>
          </w:tcPr>
          <w:p>
            <w:pPr>
              <w:pStyle w:val="TableParagraph"/>
              <w:spacing w:line="173" w:lineRule="exact"/>
              <w:ind w:left="328" w:right="335"/>
              <w:jc w:val="center"/>
              <w:rPr>
                <w:sz w:val="17"/>
              </w:rPr>
            </w:pPr>
            <w:r>
              <w:rPr>
                <w:sz w:val="17"/>
              </w:rPr>
              <w:t>0.9</w:t>
            </w:r>
          </w:p>
        </w:tc>
        <w:tc>
          <w:tcPr>
            <w:tcW w:w="1253" w:type="dxa"/>
            <w:tcBorders>
              <w:bottom w:val="single" w:sz="4" w:space="0" w:color="000000"/>
            </w:tcBorders>
          </w:tcPr>
          <w:p>
            <w:pPr>
              <w:pStyle w:val="TableParagraph"/>
              <w:rPr>
                <w:rFonts w:ascii="Times New Roman"/>
                <w:sz w:val="12"/>
              </w:rPr>
            </w:pPr>
          </w:p>
        </w:tc>
        <w:tc>
          <w:tcPr>
            <w:tcW w:w="989" w:type="dxa"/>
            <w:tcBorders>
              <w:bottom w:val="single" w:sz="4" w:space="0" w:color="000000"/>
            </w:tcBorders>
          </w:tcPr>
          <w:p>
            <w:pPr>
              <w:pStyle w:val="TableParagraph"/>
              <w:rPr>
                <w:rFonts w:ascii="Times New Roman"/>
                <w:sz w:val="12"/>
              </w:rPr>
            </w:pPr>
          </w:p>
        </w:tc>
        <w:tc>
          <w:tcPr>
            <w:tcW w:w="977" w:type="dxa"/>
            <w:tcBorders>
              <w:bottom w:val="single" w:sz="4" w:space="0" w:color="000000"/>
            </w:tcBorders>
          </w:tcPr>
          <w:p>
            <w:pPr>
              <w:pStyle w:val="TableParagraph"/>
              <w:rPr>
                <w:rFonts w:ascii="Times New Roman"/>
                <w:sz w:val="12"/>
              </w:rPr>
            </w:pPr>
          </w:p>
        </w:tc>
      </w:tr>
      <w:tr>
        <w:trPr>
          <w:trHeight w:val="195" w:hRule="atLeast"/>
        </w:trPr>
        <w:tc>
          <w:tcPr>
            <w:tcW w:w="1169" w:type="dxa"/>
          </w:tcPr>
          <w:p>
            <w:pPr>
              <w:pStyle w:val="TableParagraph"/>
              <w:rPr>
                <w:rFonts w:ascii="Times New Roman"/>
                <w:sz w:val="12"/>
              </w:rPr>
            </w:pPr>
          </w:p>
        </w:tc>
        <w:tc>
          <w:tcPr>
            <w:tcW w:w="1478" w:type="dxa"/>
            <w:tcBorders>
              <w:top w:val="single" w:sz="4" w:space="0" w:color="000000"/>
            </w:tcBorders>
          </w:tcPr>
          <w:p>
            <w:pPr>
              <w:pStyle w:val="TableParagraph"/>
              <w:spacing w:line="176" w:lineRule="exact"/>
              <w:ind w:left="101"/>
              <w:rPr>
                <w:sz w:val="17"/>
              </w:rPr>
            </w:pPr>
            <w:r>
              <w:rPr>
                <w:sz w:val="17"/>
              </w:rPr>
              <w:t>Singapore</w:t>
            </w:r>
          </w:p>
        </w:tc>
        <w:tc>
          <w:tcPr>
            <w:tcW w:w="1081" w:type="dxa"/>
            <w:tcBorders>
              <w:top w:val="single" w:sz="4" w:space="0" w:color="000000"/>
            </w:tcBorders>
          </w:tcPr>
          <w:p>
            <w:pPr>
              <w:pStyle w:val="TableParagraph"/>
              <w:spacing w:line="176" w:lineRule="exact"/>
              <w:ind w:left="145" w:right="307"/>
              <w:jc w:val="center"/>
              <w:rPr>
                <w:sz w:val="17"/>
              </w:rPr>
            </w:pPr>
            <w:r>
              <w:rPr>
                <w:sz w:val="17"/>
              </w:rPr>
              <w:t>0.01</w:t>
            </w:r>
          </w:p>
        </w:tc>
        <w:tc>
          <w:tcPr>
            <w:tcW w:w="1011" w:type="dxa"/>
            <w:tcBorders>
              <w:top w:val="single" w:sz="4" w:space="0" w:color="000000"/>
            </w:tcBorders>
          </w:tcPr>
          <w:p>
            <w:pPr>
              <w:pStyle w:val="TableParagraph"/>
              <w:spacing w:line="176" w:lineRule="exact"/>
              <w:ind w:left="313" w:right="324"/>
              <w:jc w:val="center"/>
              <w:rPr>
                <w:sz w:val="17"/>
              </w:rPr>
            </w:pPr>
            <w:r>
              <w:rPr>
                <w:sz w:val="17"/>
              </w:rPr>
              <w:t>0.06</w:t>
            </w:r>
          </w:p>
        </w:tc>
        <w:tc>
          <w:tcPr>
            <w:tcW w:w="1039" w:type="dxa"/>
            <w:tcBorders>
              <w:top w:val="single" w:sz="4" w:space="0" w:color="000000"/>
            </w:tcBorders>
          </w:tcPr>
          <w:p>
            <w:pPr>
              <w:pStyle w:val="TableParagraph"/>
              <w:spacing w:line="176" w:lineRule="exact"/>
              <w:ind w:left="327" w:right="335"/>
              <w:jc w:val="center"/>
              <w:rPr>
                <w:sz w:val="17"/>
              </w:rPr>
            </w:pPr>
            <w:r>
              <w:rPr>
                <w:sz w:val="17"/>
              </w:rPr>
              <w:t>0.89</w:t>
            </w:r>
          </w:p>
        </w:tc>
        <w:tc>
          <w:tcPr>
            <w:tcW w:w="1253" w:type="dxa"/>
            <w:tcBorders>
              <w:top w:val="single" w:sz="4" w:space="0" w:color="000000"/>
            </w:tcBorders>
          </w:tcPr>
          <w:p>
            <w:pPr>
              <w:pStyle w:val="TableParagraph"/>
              <w:spacing w:line="176" w:lineRule="exact"/>
              <w:ind w:left="389"/>
              <w:rPr>
                <w:sz w:val="17"/>
              </w:rPr>
            </w:pPr>
            <w:r>
              <w:rPr>
                <w:sz w:val="17"/>
              </w:rPr>
              <w:t>0.22***</w:t>
            </w:r>
          </w:p>
        </w:tc>
        <w:tc>
          <w:tcPr>
            <w:tcW w:w="989" w:type="dxa"/>
            <w:tcBorders>
              <w:top w:val="single" w:sz="4" w:space="0" w:color="000000"/>
            </w:tcBorders>
          </w:tcPr>
          <w:p>
            <w:pPr>
              <w:pStyle w:val="TableParagraph"/>
              <w:spacing w:line="176" w:lineRule="exact"/>
              <w:ind w:left="314"/>
              <w:rPr>
                <w:sz w:val="17"/>
              </w:rPr>
            </w:pPr>
            <w:r>
              <w:rPr>
                <w:sz w:val="17"/>
              </w:rPr>
              <w:t>0.04</w:t>
            </w:r>
          </w:p>
        </w:tc>
        <w:tc>
          <w:tcPr>
            <w:tcW w:w="977" w:type="dxa"/>
            <w:tcBorders>
              <w:top w:val="single" w:sz="4" w:space="0" w:color="000000"/>
            </w:tcBorders>
          </w:tcPr>
          <w:p>
            <w:pPr>
              <w:pStyle w:val="TableParagraph"/>
              <w:spacing w:line="176" w:lineRule="exact"/>
              <w:ind w:left="351"/>
              <w:rPr>
                <w:sz w:val="17"/>
              </w:rPr>
            </w:pPr>
            <w:r>
              <w:rPr>
                <w:sz w:val="17"/>
              </w:rPr>
              <w:t>0.01</w:t>
            </w:r>
          </w:p>
        </w:tc>
      </w:tr>
      <w:tr>
        <w:trPr>
          <w:trHeight w:val="194"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South Africa</w:t>
            </w:r>
          </w:p>
        </w:tc>
        <w:tc>
          <w:tcPr>
            <w:tcW w:w="1081" w:type="dxa"/>
          </w:tcPr>
          <w:p>
            <w:pPr>
              <w:pStyle w:val="TableParagraph"/>
              <w:spacing w:line="175" w:lineRule="exact"/>
              <w:ind w:left="145" w:right="307"/>
              <w:jc w:val="center"/>
              <w:rPr>
                <w:sz w:val="17"/>
              </w:rPr>
            </w:pPr>
            <w:r>
              <w:rPr>
                <w:sz w:val="17"/>
              </w:rPr>
              <w:t>0.06***</w:t>
            </w:r>
          </w:p>
        </w:tc>
        <w:tc>
          <w:tcPr>
            <w:tcW w:w="1011" w:type="dxa"/>
          </w:tcPr>
          <w:p>
            <w:pPr>
              <w:pStyle w:val="TableParagraph"/>
              <w:spacing w:line="175" w:lineRule="exact"/>
              <w:ind w:left="312" w:right="324"/>
              <w:jc w:val="center"/>
              <w:rPr>
                <w:sz w:val="17"/>
              </w:rPr>
            </w:pPr>
            <w:r>
              <w:rPr>
                <w:sz w:val="17"/>
              </w:rPr>
              <w:t>0.03</w:t>
            </w:r>
          </w:p>
        </w:tc>
        <w:tc>
          <w:tcPr>
            <w:tcW w:w="1039" w:type="dxa"/>
          </w:tcPr>
          <w:p>
            <w:pPr>
              <w:pStyle w:val="TableParagraph"/>
              <w:spacing w:line="175" w:lineRule="exact"/>
              <w:ind w:left="327" w:right="335"/>
              <w:jc w:val="center"/>
              <w:rPr>
                <w:sz w:val="17"/>
              </w:rPr>
            </w:pPr>
            <w:r>
              <w:rPr>
                <w:sz w:val="17"/>
              </w:rPr>
              <w:t>0.01</w:t>
            </w:r>
          </w:p>
        </w:tc>
        <w:tc>
          <w:tcPr>
            <w:tcW w:w="1253" w:type="dxa"/>
          </w:tcPr>
          <w:p>
            <w:pPr>
              <w:pStyle w:val="TableParagraph"/>
              <w:spacing w:line="175" w:lineRule="exact"/>
              <w:ind w:left="388"/>
              <w:rPr>
                <w:sz w:val="17"/>
              </w:rPr>
            </w:pPr>
            <w:r>
              <w:rPr>
                <w:sz w:val="17"/>
              </w:rPr>
              <w:t>0.15***</w:t>
            </w:r>
          </w:p>
        </w:tc>
        <w:tc>
          <w:tcPr>
            <w:tcW w:w="989" w:type="dxa"/>
          </w:tcPr>
          <w:p>
            <w:pPr>
              <w:pStyle w:val="TableParagraph"/>
              <w:spacing w:line="175" w:lineRule="exact"/>
              <w:ind w:left="314"/>
              <w:rPr>
                <w:sz w:val="17"/>
              </w:rPr>
            </w:pPr>
            <w:r>
              <w:rPr>
                <w:sz w:val="17"/>
              </w:rPr>
              <w:t>0.04</w:t>
            </w:r>
          </w:p>
        </w:tc>
        <w:tc>
          <w:tcPr>
            <w:tcW w:w="977" w:type="dxa"/>
          </w:tcPr>
          <w:p>
            <w:pPr>
              <w:pStyle w:val="TableParagraph"/>
              <w:spacing w:line="175" w:lineRule="exact"/>
              <w:ind w:left="351"/>
              <w:rPr>
                <w:sz w:val="17"/>
              </w:rPr>
            </w:pPr>
            <w:r>
              <w:rPr>
                <w:sz w:val="17"/>
              </w:rPr>
              <w:t>0.01</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Taiwan</w:t>
            </w:r>
          </w:p>
        </w:tc>
        <w:tc>
          <w:tcPr>
            <w:tcW w:w="1081" w:type="dxa"/>
          </w:tcPr>
          <w:p>
            <w:pPr>
              <w:pStyle w:val="TableParagraph"/>
              <w:spacing w:line="175" w:lineRule="exact"/>
              <w:ind w:left="145" w:right="306"/>
              <w:jc w:val="center"/>
              <w:rPr>
                <w:sz w:val="17"/>
              </w:rPr>
            </w:pPr>
            <w:r>
              <w:rPr>
                <w:sz w:val="17"/>
              </w:rPr>
              <w:t>0.06</w:t>
            </w:r>
          </w:p>
        </w:tc>
        <w:tc>
          <w:tcPr>
            <w:tcW w:w="1011" w:type="dxa"/>
          </w:tcPr>
          <w:p>
            <w:pPr>
              <w:pStyle w:val="TableParagraph"/>
              <w:spacing w:line="175" w:lineRule="exact"/>
              <w:ind w:left="314" w:right="324"/>
              <w:jc w:val="center"/>
              <w:rPr>
                <w:sz w:val="17"/>
              </w:rPr>
            </w:pPr>
            <w:r>
              <w:rPr>
                <w:sz w:val="17"/>
              </w:rPr>
              <w:t>0.05</w:t>
            </w:r>
          </w:p>
        </w:tc>
        <w:tc>
          <w:tcPr>
            <w:tcW w:w="1039" w:type="dxa"/>
          </w:tcPr>
          <w:p>
            <w:pPr>
              <w:pStyle w:val="TableParagraph"/>
              <w:spacing w:line="175" w:lineRule="exact"/>
              <w:ind w:left="328" w:right="335"/>
              <w:jc w:val="center"/>
              <w:rPr>
                <w:sz w:val="17"/>
              </w:rPr>
            </w:pPr>
            <w:r>
              <w:rPr>
                <w:sz w:val="17"/>
              </w:rPr>
              <w:t>0.24</w:t>
            </w:r>
          </w:p>
        </w:tc>
        <w:tc>
          <w:tcPr>
            <w:tcW w:w="1253" w:type="dxa"/>
          </w:tcPr>
          <w:p>
            <w:pPr>
              <w:pStyle w:val="TableParagraph"/>
              <w:spacing w:line="175" w:lineRule="exact"/>
              <w:ind w:left="389"/>
              <w:rPr>
                <w:sz w:val="17"/>
              </w:rPr>
            </w:pPr>
            <w:r>
              <w:rPr>
                <w:sz w:val="17"/>
              </w:rPr>
              <w:t>0.42***</w:t>
            </w:r>
          </w:p>
        </w:tc>
        <w:tc>
          <w:tcPr>
            <w:tcW w:w="989" w:type="dxa"/>
          </w:tcPr>
          <w:p>
            <w:pPr>
              <w:pStyle w:val="TableParagraph"/>
              <w:spacing w:line="175" w:lineRule="exact"/>
              <w:ind w:left="314"/>
              <w:rPr>
                <w:sz w:val="17"/>
              </w:rPr>
            </w:pPr>
            <w:r>
              <w:rPr>
                <w:sz w:val="17"/>
              </w:rPr>
              <w:t>0.13</w:t>
            </w:r>
          </w:p>
        </w:tc>
        <w:tc>
          <w:tcPr>
            <w:tcW w:w="977" w:type="dxa"/>
          </w:tcPr>
          <w:p>
            <w:pPr>
              <w:pStyle w:val="TableParagraph"/>
              <w:spacing w:line="175" w:lineRule="exact"/>
              <w:ind w:left="351"/>
              <w:rPr>
                <w:sz w:val="17"/>
              </w:rPr>
            </w:pPr>
            <w:r>
              <w:rPr>
                <w:sz w:val="17"/>
              </w:rPr>
              <w:t>0.01</w:t>
            </w:r>
          </w:p>
        </w:tc>
      </w:tr>
      <w:tr>
        <w:trPr>
          <w:trHeight w:val="195" w:hRule="atLeast"/>
        </w:trPr>
        <w:tc>
          <w:tcPr>
            <w:tcW w:w="1169" w:type="dxa"/>
          </w:tcPr>
          <w:p>
            <w:pPr>
              <w:pStyle w:val="TableParagraph"/>
              <w:rPr>
                <w:rFonts w:ascii="Times New Roman"/>
                <w:sz w:val="12"/>
              </w:rPr>
            </w:pPr>
          </w:p>
        </w:tc>
        <w:tc>
          <w:tcPr>
            <w:tcW w:w="1478" w:type="dxa"/>
          </w:tcPr>
          <w:p>
            <w:pPr>
              <w:pStyle w:val="TableParagraph"/>
              <w:spacing w:line="175" w:lineRule="exact"/>
              <w:ind w:left="101"/>
              <w:rPr>
                <w:sz w:val="17"/>
              </w:rPr>
            </w:pPr>
            <w:r>
              <w:rPr>
                <w:sz w:val="17"/>
              </w:rPr>
              <w:t>Thailand</w:t>
            </w:r>
          </w:p>
        </w:tc>
        <w:tc>
          <w:tcPr>
            <w:tcW w:w="1081" w:type="dxa"/>
          </w:tcPr>
          <w:p>
            <w:pPr>
              <w:pStyle w:val="TableParagraph"/>
              <w:spacing w:line="175" w:lineRule="exact"/>
              <w:ind w:left="145" w:right="306"/>
              <w:jc w:val="center"/>
              <w:rPr>
                <w:sz w:val="17"/>
              </w:rPr>
            </w:pPr>
            <w:r>
              <w:rPr>
                <w:sz w:val="17"/>
              </w:rPr>
              <w:t>0.11***</w:t>
            </w:r>
          </w:p>
        </w:tc>
        <w:tc>
          <w:tcPr>
            <w:tcW w:w="1011" w:type="dxa"/>
          </w:tcPr>
          <w:p>
            <w:pPr>
              <w:pStyle w:val="TableParagraph"/>
              <w:spacing w:line="175" w:lineRule="exact"/>
              <w:ind w:left="313" w:right="324"/>
              <w:jc w:val="center"/>
              <w:rPr>
                <w:sz w:val="17"/>
              </w:rPr>
            </w:pPr>
            <w:r>
              <w:rPr>
                <w:sz w:val="17"/>
              </w:rPr>
              <w:t>0.03</w:t>
            </w:r>
          </w:p>
        </w:tc>
        <w:tc>
          <w:tcPr>
            <w:tcW w:w="1039" w:type="dxa"/>
          </w:tcPr>
          <w:p>
            <w:pPr>
              <w:pStyle w:val="TableParagraph"/>
              <w:spacing w:line="175" w:lineRule="exact"/>
              <w:ind w:left="327" w:right="335"/>
              <w:jc w:val="center"/>
              <w:rPr>
                <w:sz w:val="17"/>
              </w:rPr>
            </w:pPr>
            <w:r>
              <w:rPr>
                <w:sz w:val="17"/>
              </w:rPr>
              <w:t>0.01</w:t>
            </w:r>
          </w:p>
        </w:tc>
        <w:tc>
          <w:tcPr>
            <w:tcW w:w="1253" w:type="dxa"/>
          </w:tcPr>
          <w:p>
            <w:pPr>
              <w:pStyle w:val="TableParagraph"/>
              <w:spacing w:line="175" w:lineRule="exact"/>
              <w:ind w:left="389"/>
              <w:rPr>
                <w:sz w:val="17"/>
              </w:rPr>
            </w:pPr>
            <w:r>
              <w:rPr>
                <w:sz w:val="17"/>
              </w:rPr>
              <w:t>0.25***</w:t>
            </w:r>
          </w:p>
        </w:tc>
        <w:tc>
          <w:tcPr>
            <w:tcW w:w="989" w:type="dxa"/>
          </w:tcPr>
          <w:p>
            <w:pPr>
              <w:pStyle w:val="TableParagraph"/>
              <w:spacing w:line="175" w:lineRule="exact"/>
              <w:ind w:left="314"/>
              <w:rPr>
                <w:sz w:val="17"/>
              </w:rPr>
            </w:pPr>
            <w:r>
              <w:rPr>
                <w:sz w:val="17"/>
              </w:rPr>
              <w:t>0.07</w:t>
            </w:r>
          </w:p>
        </w:tc>
        <w:tc>
          <w:tcPr>
            <w:tcW w:w="977" w:type="dxa"/>
          </w:tcPr>
          <w:p>
            <w:pPr>
              <w:pStyle w:val="TableParagraph"/>
              <w:spacing w:line="175" w:lineRule="exact"/>
              <w:ind w:left="351"/>
              <w:rPr>
                <w:sz w:val="17"/>
              </w:rPr>
            </w:pPr>
            <w:r>
              <w:rPr>
                <w:sz w:val="17"/>
              </w:rPr>
              <w:t>0.01</w:t>
            </w:r>
          </w:p>
        </w:tc>
      </w:tr>
      <w:tr>
        <w:trPr>
          <w:trHeight w:val="192" w:hRule="atLeast"/>
        </w:trPr>
        <w:tc>
          <w:tcPr>
            <w:tcW w:w="1169" w:type="dxa"/>
            <w:tcBorders>
              <w:bottom w:val="single" w:sz="4" w:space="0" w:color="000000"/>
            </w:tcBorders>
          </w:tcPr>
          <w:p>
            <w:pPr>
              <w:pStyle w:val="TableParagraph"/>
              <w:rPr>
                <w:rFonts w:ascii="Times New Roman"/>
                <w:sz w:val="12"/>
              </w:rPr>
            </w:pPr>
          </w:p>
        </w:tc>
        <w:tc>
          <w:tcPr>
            <w:tcW w:w="1478" w:type="dxa"/>
            <w:tcBorders>
              <w:bottom w:val="single" w:sz="4" w:space="0" w:color="000000"/>
            </w:tcBorders>
          </w:tcPr>
          <w:p>
            <w:pPr>
              <w:pStyle w:val="TableParagraph"/>
              <w:spacing w:line="173" w:lineRule="exact"/>
              <w:ind w:left="101"/>
              <w:rPr>
                <w:sz w:val="17"/>
              </w:rPr>
            </w:pPr>
            <w:r>
              <w:rPr>
                <w:sz w:val="17"/>
              </w:rPr>
              <w:t>Turkey</w:t>
            </w:r>
          </w:p>
        </w:tc>
        <w:tc>
          <w:tcPr>
            <w:tcW w:w="1081" w:type="dxa"/>
            <w:tcBorders>
              <w:bottom w:val="single" w:sz="4" w:space="0" w:color="000000"/>
            </w:tcBorders>
          </w:tcPr>
          <w:p>
            <w:pPr>
              <w:pStyle w:val="TableParagraph"/>
              <w:spacing w:line="173" w:lineRule="exact"/>
              <w:ind w:left="145" w:right="304"/>
              <w:jc w:val="center"/>
              <w:rPr>
                <w:sz w:val="17"/>
              </w:rPr>
            </w:pPr>
            <w:r>
              <w:rPr>
                <w:sz w:val="17"/>
              </w:rPr>
              <w:t>-0.01</w:t>
            </w:r>
          </w:p>
        </w:tc>
        <w:tc>
          <w:tcPr>
            <w:tcW w:w="1011" w:type="dxa"/>
            <w:tcBorders>
              <w:bottom w:val="single" w:sz="4" w:space="0" w:color="000000"/>
            </w:tcBorders>
          </w:tcPr>
          <w:p>
            <w:pPr>
              <w:pStyle w:val="TableParagraph"/>
              <w:spacing w:line="173" w:lineRule="exact"/>
              <w:ind w:left="314" w:right="324"/>
              <w:jc w:val="center"/>
              <w:rPr>
                <w:sz w:val="17"/>
              </w:rPr>
            </w:pPr>
            <w:r>
              <w:rPr>
                <w:sz w:val="17"/>
              </w:rPr>
              <w:t>0.01</w:t>
            </w:r>
          </w:p>
        </w:tc>
        <w:tc>
          <w:tcPr>
            <w:tcW w:w="1039" w:type="dxa"/>
            <w:tcBorders>
              <w:bottom w:val="single" w:sz="4" w:space="0" w:color="000000"/>
            </w:tcBorders>
          </w:tcPr>
          <w:p>
            <w:pPr>
              <w:pStyle w:val="TableParagraph"/>
              <w:spacing w:line="173" w:lineRule="exact"/>
              <w:ind w:left="329" w:right="335"/>
              <w:jc w:val="center"/>
              <w:rPr>
                <w:sz w:val="17"/>
              </w:rPr>
            </w:pPr>
            <w:r>
              <w:rPr>
                <w:sz w:val="17"/>
              </w:rPr>
              <w:t>0.61</w:t>
            </w:r>
          </w:p>
        </w:tc>
        <w:tc>
          <w:tcPr>
            <w:tcW w:w="1253" w:type="dxa"/>
            <w:tcBorders>
              <w:bottom w:val="single" w:sz="4" w:space="0" w:color="000000"/>
            </w:tcBorders>
          </w:tcPr>
          <w:p>
            <w:pPr>
              <w:pStyle w:val="TableParagraph"/>
              <w:spacing w:line="173" w:lineRule="exact"/>
              <w:ind w:left="394"/>
              <w:rPr>
                <w:sz w:val="17"/>
              </w:rPr>
            </w:pPr>
            <w:r>
              <w:rPr>
                <w:sz w:val="17"/>
              </w:rPr>
              <w:t>-0.01**</w:t>
            </w:r>
          </w:p>
        </w:tc>
        <w:tc>
          <w:tcPr>
            <w:tcW w:w="989" w:type="dxa"/>
            <w:tcBorders>
              <w:bottom w:val="single" w:sz="4" w:space="0" w:color="000000"/>
            </w:tcBorders>
          </w:tcPr>
          <w:p>
            <w:pPr>
              <w:pStyle w:val="TableParagraph"/>
              <w:spacing w:line="173" w:lineRule="exact"/>
              <w:ind w:left="314"/>
              <w:rPr>
                <w:sz w:val="17"/>
              </w:rPr>
            </w:pPr>
            <w:r>
              <w:rPr>
                <w:sz w:val="17"/>
              </w:rPr>
              <w:t>0.01</w:t>
            </w:r>
          </w:p>
        </w:tc>
        <w:tc>
          <w:tcPr>
            <w:tcW w:w="977" w:type="dxa"/>
            <w:tcBorders>
              <w:bottom w:val="single" w:sz="4" w:space="0" w:color="000000"/>
            </w:tcBorders>
          </w:tcPr>
          <w:p>
            <w:pPr>
              <w:pStyle w:val="TableParagraph"/>
              <w:spacing w:line="173" w:lineRule="exact"/>
              <w:ind w:left="351"/>
              <w:rPr>
                <w:sz w:val="17"/>
              </w:rPr>
            </w:pPr>
            <w:r>
              <w:rPr>
                <w:sz w:val="17"/>
              </w:rPr>
              <w:t>0.04</w:t>
            </w:r>
          </w:p>
        </w:tc>
      </w:tr>
    </w:tbl>
    <w:sectPr>
      <w:pgSz w:w="12240" w:h="15840"/>
      <w:pgMar w:header="0" w:footer="1240" w:top="1440" w:bottom="1440" w:left="1200" w:right="10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995456" from="62.639999pt,716.099976pt" to="549.479999pt,716.099976pt" stroked="true" strokeweight=".24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66.741066pt;margin-top:726.184143pt;width:439.55pt;height:12.55pt;mso-position-horizontal-relative:page;mso-position-vertical-relative:page;z-index:-254994432" type="#_x0000_t202" filled="false" stroked="false">
          <v:textbox inset="0,0,0,0">
            <w:txbxContent>
              <w:p>
                <w:pPr>
                  <w:pStyle w:val="BodyText"/>
                  <w:spacing w:before="12"/>
                  <w:ind w:left="20"/>
                </w:pPr>
                <w:r>
                  <w:rPr/>
                  <w:t>All</w:t>
                </w:r>
                <w:r>
                  <w:rPr>
                    <w:spacing w:val="-20"/>
                  </w:rPr>
                  <w:t> </w:t>
                </w:r>
                <w:r>
                  <w:rPr/>
                  <w:t>speeches</w:t>
                </w:r>
                <w:r>
                  <w:rPr>
                    <w:spacing w:val="-18"/>
                  </w:rPr>
                  <w:t> </w:t>
                </w:r>
                <w:r>
                  <w:rPr/>
                  <w:t>are</w:t>
                </w:r>
                <w:r>
                  <w:rPr>
                    <w:spacing w:val="-19"/>
                  </w:rPr>
                  <w:t> </w:t>
                </w:r>
                <w:r>
                  <w:rPr/>
                  <w:t>available</w:t>
                </w:r>
                <w:r>
                  <w:rPr>
                    <w:spacing w:val="-18"/>
                  </w:rPr>
                  <w:t> </w:t>
                </w:r>
                <w:r>
                  <w:rPr/>
                  <w:t>online</w:t>
                </w:r>
                <w:r>
                  <w:rPr>
                    <w:spacing w:val="-18"/>
                  </w:rPr>
                  <w:t> </w:t>
                </w:r>
                <w:r>
                  <w:rPr/>
                  <w:t>at</w:t>
                </w:r>
                <w:r>
                  <w:rPr>
                    <w:spacing w:val="-16"/>
                  </w:rPr>
                  <w:t> </w:t>
                </w:r>
                <w:hyperlink r:id="rId1">
                  <w:r>
                    <w:rPr/>
                    <w:t>www.bankofengland.co.uk/publications/Pages/speeches/default.aspx</w:t>
                  </w:r>
                </w:hyperlink>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4993408" from="62.639999pt,716.070007pt" to="549.419999pt,716.070007pt" stroked="true" strokeweight=".18pt" strokecolor="#000000">
          <v:stroke dashstyle="solid"/>
          <w10:wrap type="none"/>
        </v:line>
      </w:pict>
    </w:r>
    <w:r>
      <w:rPr/>
      <w:pict>
        <v:shape style="position:absolute;margin-left:66.677658pt;margin-top:726.184448pt;width:439.55pt;height:12.55pt;mso-position-horizontal-relative:page;mso-position-vertical-relative:page;z-index:-254992384" type="#_x0000_t202" filled="false" stroked="false">
          <v:textbox inset="0,0,0,0">
            <w:txbxContent>
              <w:p>
                <w:pPr>
                  <w:pStyle w:val="BodyText"/>
                  <w:spacing w:before="12"/>
                  <w:ind w:left="20"/>
                </w:pPr>
                <w:r>
                  <w:rPr/>
                  <w:t>All</w:t>
                </w:r>
                <w:r>
                  <w:rPr>
                    <w:spacing w:val="-20"/>
                  </w:rPr>
                  <w:t> </w:t>
                </w:r>
                <w:r>
                  <w:rPr/>
                  <w:t>speeches</w:t>
                </w:r>
                <w:r>
                  <w:rPr>
                    <w:spacing w:val="-19"/>
                  </w:rPr>
                  <w:t> </w:t>
                </w:r>
                <w:r>
                  <w:rPr/>
                  <w:t>are</w:t>
                </w:r>
                <w:r>
                  <w:rPr>
                    <w:spacing w:val="-20"/>
                  </w:rPr>
                  <w:t> </w:t>
                </w:r>
                <w:r>
                  <w:rPr/>
                  <w:t>available</w:t>
                </w:r>
                <w:r>
                  <w:rPr>
                    <w:spacing w:val="-20"/>
                  </w:rPr>
                  <w:t> </w:t>
                </w:r>
                <w:r>
                  <w:rPr/>
                  <w:t>online</w:t>
                </w:r>
                <w:r>
                  <w:rPr>
                    <w:spacing w:val="-19"/>
                  </w:rPr>
                  <w:t> </w:t>
                </w:r>
                <w:r>
                  <w:rPr/>
                  <w:t>at</w:t>
                </w:r>
                <w:r>
                  <w:rPr>
                    <w:spacing w:val="-19"/>
                  </w:rPr>
                  <w:t> </w:t>
                </w:r>
                <w:hyperlink r:id="rId1">
                  <w:r>
                    <w:rPr/>
                    <w:t>www.bankofengland.co.uk/publications/Pages/speeches/default.aspx</w:t>
                  </w:r>
                </w:hyperlink>
              </w:p>
            </w:txbxContent>
          </v:textbox>
          <w10:wrap type="none"/>
        </v:shape>
      </w:pict>
    </w:r>
    <w:r>
      <w:rPr/>
      <w:pict>
        <v:shape style="position:absolute;margin-left:530.884216pt;margin-top:727.325867pt;width:16.45pt;height:12.55pt;mso-position-horizontal-relative:page;mso-position-vertical-relative:page;z-index:-254991360" type="#_x0000_t202" filled="false" stroked="false">
          <v:textbox inset="0,0,0,0">
            <w:txbxContent>
              <w:p>
                <w:pPr>
                  <w:pStyle w:val="BodyText"/>
                  <w:spacing w:before="12"/>
                  <w:ind w:left="60"/>
                </w:pPr>
                <w:r>
                  <w:rPr/>
                  <w:fldChar w:fldCharType="begin"/>
                </w:r>
                <w:r>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5"/>
      <w:numFmt w:val="decimal"/>
      <w:lvlText w:val="%1"/>
      <w:lvlJc w:val="left"/>
      <w:pPr>
        <w:ind w:left="1006" w:hanging="485"/>
        <w:jc w:val="left"/>
      </w:pPr>
      <w:rPr>
        <w:rFonts w:hint="default"/>
      </w:rPr>
    </w:lvl>
    <w:lvl w:ilvl="1">
      <w:start w:val="0"/>
      <w:numFmt w:val="decimal"/>
      <w:lvlText w:val="%1.%2"/>
      <w:lvlJc w:val="left"/>
      <w:pPr>
        <w:ind w:left="1006" w:hanging="485"/>
        <w:jc w:val="left"/>
      </w:pPr>
      <w:rPr>
        <w:rFonts w:hint="default" w:ascii="Arial" w:hAnsi="Arial" w:eastAsia="Arial" w:cs="Arial"/>
        <w:spacing w:val="-4"/>
        <w:w w:val="101"/>
        <w:position w:val="13"/>
        <w:sz w:val="18"/>
        <w:szCs w:val="18"/>
      </w:rPr>
    </w:lvl>
    <w:lvl w:ilvl="2">
      <w:start w:val="0"/>
      <w:numFmt w:val="bullet"/>
      <w:lvlText w:val=""/>
      <w:lvlJc w:val="left"/>
      <w:pPr>
        <w:ind w:left="1064" w:hanging="340"/>
      </w:pPr>
      <w:rPr>
        <w:rFonts w:hint="default" w:ascii="Symbol" w:hAnsi="Symbol" w:eastAsia="Symbol" w:cs="Symbol"/>
        <w:w w:val="99"/>
        <w:sz w:val="19"/>
        <w:szCs w:val="19"/>
      </w:rPr>
    </w:lvl>
    <w:lvl w:ilvl="3">
      <w:start w:val="0"/>
      <w:numFmt w:val="bullet"/>
      <w:lvlText w:val="•"/>
      <w:lvlJc w:val="left"/>
      <w:pPr>
        <w:ind w:left="2129" w:hanging="340"/>
      </w:pPr>
      <w:rPr>
        <w:rFonts w:hint="default"/>
      </w:rPr>
    </w:lvl>
    <w:lvl w:ilvl="4">
      <w:start w:val="0"/>
      <w:numFmt w:val="bullet"/>
      <w:lvlText w:val="•"/>
      <w:lvlJc w:val="left"/>
      <w:pPr>
        <w:ind w:left="2664" w:hanging="340"/>
      </w:pPr>
      <w:rPr>
        <w:rFonts w:hint="default"/>
      </w:rPr>
    </w:lvl>
    <w:lvl w:ilvl="5">
      <w:start w:val="0"/>
      <w:numFmt w:val="bullet"/>
      <w:lvlText w:val="•"/>
      <w:lvlJc w:val="left"/>
      <w:pPr>
        <w:ind w:left="3198" w:hanging="340"/>
      </w:pPr>
      <w:rPr>
        <w:rFonts w:hint="default"/>
      </w:rPr>
    </w:lvl>
    <w:lvl w:ilvl="6">
      <w:start w:val="0"/>
      <w:numFmt w:val="bullet"/>
      <w:lvlText w:val="•"/>
      <w:lvlJc w:val="left"/>
      <w:pPr>
        <w:ind w:left="3733" w:hanging="340"/>
      </w:pPr>
      <w:rPr>
        <w:rFonts w:hint="default"/>
      </w:rPr>
    </w:lvl>
    <w:lvl w:ilvl="7">
      <w:start w:val="0"/>
      <w:numFmt w:val="bullet"/>
      <w:lvlText w:val="•"/>
      <w:lvlJc w:val="left"/>
      <w:pPr>
        <w:ind w:left="4268" w:hanging="340"/>
      </w:pPr>
      <w:rPr>
        <w:rFonts w:hint="default"/>
      </w:rPr>
    </w:lvl>
    <w:lvl w:ilvl="8">
      <w:start w:val="0"/>
      <w:numFmt w:val="bullet"/>
      <w:lvlText w:val="•"/>
      <w:lvlJc w:val="left"/>
      <w:pPr>
        <w:ind w:left="4802" w:hanging="3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19"/>
      <w:szCs w:val="19"/>
    </w:rPr>
  </w:style>
  <w:style w:styleId="Heading1" w:type="paragraph">
    <w:name w:val="Heading 1"/>
    <w:basedOn w:val="Normal"/>
    <w:uiPriority w:val="1"/>
    <w:qFormat/>
    <w:pPr>
      <w:ind w:left="386"/>
      <w:outlineLvl w:val="1"/>
    </w:pPr>
    <w:rPr>
      <w:rFonts w:ascii="Arial" w:hAnsi="Arial" w:eastAsia="Arial" w:cs="Arial"/>
      <w:b/>
      <w:bCs/>
      <w:sz w:val="19"/>
      <w:szCs w:val="19"/>
    </w:rPr>
  </w:style>
  <w:style w:styleId="ListParagraph" w:type="paragraph">
    <w:name w:val="List Paragraph"/>
    <w:basedOn w:val="Normal"/>
    <w:uiPriority w:val="1"/>
    <w:qFormat/>
    <w:pPr>
      <w:ind w:left="1064" w:hanging="340"/>
    </w:pPr>
    <w:rPr>
      <w:rFonts w:ascii="Arial" w:hAnsi="Arial" w:eastAsia="Arial" w:cs="Arial"/>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hyperlink" Target="http://millercenter.org/president/ford/essays/biography/4" TargetMode="External"/><Relationship Id="rId9" Type="http://schemas.openxmlformats.org/officeDocument/2006/relationships/hyperlink" Target="http://www.presidentprofiles.com/Kennedy-Bush/Gerald-R-Ford-Congress-inflation-and-energy.html" TargetMode="External"/><Relationship Id="rId10" Type="http://schemas.openxmlformats.org/officeDocument/2006/relationships/image" Target="media/image2.jpeg"/><Relationship Id="rId11" Type="http://schemas.openxmlformats.org/officeDocument/2006/relationships/hyperlink" Target="http://www.derbytelegraph.co.uk/BYGONES-years-ago-lights-went-Britain/story-20039001-detail/story.html"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bankofengland.co.uk/publications/Pages/speeches/defaul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England</dc:creator>
  <dc:title>When, why, and what’s next for low inflation?: No magic slippers needed - speech by Kristin Forbes</dc:title>
  <dcterms:created xsi:type="dcterms:W3CDTF">2020-06-02T19:08:43Z</dcterms:created>
  <dcterms:modified xsi:type="dcterms:W3CDTF">2020-06-02T19:08:43Z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2015-06-17T00:00:00Z</vt:filetime>
  </property>
  <property fmtid="{D5CDD505-2E9C-101B-9397-08002B2CF9AE}" pid="3" name="LastSaved">
    <vt:filetime>2020-06-02T00:00:00Z</vt:filetime>
  </property>
</Properties>
</file>