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673" w:right="0" w:firstLine="0"/>
        <w:jc w:val="left"/>
        <w:rPr>
          <w:b/>
          <w:sz w:val="32"/>
        </w:rPr>
      </w:pPr>
      <w:r>
        <w:rPr>
          <w:b/>
          <w:color w:val="6A709F"/>
          <w:sz w:val="32"/>
        </w:rPr>
        <w:t>Why raise rates? Why “Limited and Gradual”?</w:t>
      </w:r>
    </w:p>
    <w:p>
      <w:pPr>
        <w:spacing w:before="281"/>
        <w:ind w:left="673" w:right="0" w:firstLine="0"/>
        <w:jc w:val="left"/>
        <w:rPr>
          <w:sz w:val="24"/>
        </w:rPr>
      </w:pPr>
      <w:r>
        <w:rPr>
          <w:sz w:val="24"/>
        </w:rPr>
        <w:t>Speech given by</w:t>
      </w:r>
    </w:p>
    <w:p>
      <w:pPr>
        <w:spacing w:before="137"/>
        <w:ind w:left="673"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673" w:right="4154" w:firstLine="0"/>
        <w:jc w:val="left"/>
        <w:rPr>
          <w:sz w:val="24"/>
        </w:rPr>
      </w:pPr>
      <w:r>
        <w:rPr>
          <w:sz w:val="24"/>
        </w:rPr>
        <w:t>Fraser of Allander Institute, University of Strathclyde, Glasgow 20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673" w:right="2442"/>
      </w:pPr>
      <w:r>
        <w:rPr/>
        <w:t>I would like to thank Tom Belsham, Jon Cunliffe, Richard Harrison, Katie Low, Clare Macallan, Roland Meeks, Chris Redl, David Ronicle, Manveer Sokhi, Sophie Stone, Alex Tuckett and</w:t>
      </w:r>
    </w:p>
    <w:p>
      <w:pPr>
        <w:pStyle w:val="BodyText"/>
        <w:ind w:left="673" w:right="1218"/>
      </w:pPr>
      <w:r>
        <w:rPr/>
        <w:t>Matthew Waldron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460" w:right="0"/>
        </w:sectPr>
      </w:pPr>
    </w:p>
    <w:p>
      <w:pPr>
        <w:pStyle w:val="BodyText"/>
        <w:spacing w:line="355" w:lineRule="auto" w:before="129"/>
        <w:ind w:left="673" w:right="1218"/>
      </w:pPr>
      <w:r>
        <w:rPr/>
        <w:t>I intend to cover two topics in this speech. First, I want to explain my recent decision to vote for a 25bp rate hike. The short answer is that, with spare capacity largely used up and cost pressures rising, I believe the economy no longer needs as much stimulus as previously. Rather, we probably need to move over time to something more like neutral, in order to ensure a sustainable return of inflation to target. The second topic is to explain why – at least from my perspective – any further tightening is likely to be at a gradual pace and to a limited extent. A key point is that “gradual” need not mean “glacial”.</w:t>
      </w:r>
    </w:p>
    <w:p>
      <w:pPr>
        <w:pStyle w:val="BodyText"/>
        <w:rPr>
          <w:sz w:val="29"/>
        </w:rPr>
      </w:pPr>
    </w:p>
    <w:p>
      <w:pPr>
        <w:pStyle w:val="Heading1"/>
      </w:pPr>
      <w:r>
        <w:rPr/>
        <w:t>Let me turn to the first issue: why should interest rates rise?</w:t>
      </w:r>
    </w:p>
    <w:p>
      <w:pPr>
        <w:pStyle w:val="BodyText"/>
        <w:rPr>
          <w:b/>
          <w:sz w:val="22"/>
        </w:rPr>
      </w:pPr>
    </w:p>
    <w:p>
      <w:pPr>
        <w:pStyle w:val="BodyText"/>
        <w:spacing w:before="5"/>
        <w:rPr>
          <w:b/>
          <w:sz w:val="17"/>
        </w:rPr>
      </w:pPr>
    </w:p>
    <w:p>
      <w:pPr>
        <w:pStyle w:val="BodyText"/>
        <w:spacing w:line="355" w:lineRule="auto"/>
        <w:ind w:left="673" w:right="1182"/>
      </w:pPr>
      <w:r>
        <w:rPr/>
        <w:t>In the exceptional circumstances since the EU referendum, the MPC has – consistent with our remit – aimed to balance any significant trade-off between the speed at which we intend to return inflation sustainably to the target and the support that monetary policy provides to jobs and activity.</w:t>
      </w:r>
    </w:p>
    <w:p>
      <w:pPr>
        <w:pStyle w:val="BodyText"/>
        <w:spacing w:before="4"/>
        <w:rPr>
          <w:sz w:val="29"/>
        </w:rPr>
      </w:pPr>
    </w:p>
    <w:p>
      <w:pPr>
        <w:pStyle w:val="BodyText"/>
        <w:spacing w:line="355" w:lineRule="auto" w:before="1"/>
        <w:ind w:left="673" w:right="1252"/>
      </w:pPr>
      <w:r>
        <w:rPr/>
        <w:t>In late 2016 and much of 2017, the Committee judged that if interest rates were to follow the market path, then some limited spare capacity would remain over most or all of the 3-year forecast period (see figure 1). Given those expectations of some remaining slack, the MPC was willing to tolerate a more gradual return of inflation to target – well beyond the conventional policy horizon of 18-24 months.</w:t>
      </w:r>
    </w:p>
    <w:p>
      <w:pPr>
        <w:pStyle w:val="BodyText"/>
        <w:spacing w:before="6"/>
        <w:rPr>
          <w:sz w:val="29"/>
        </w:rPr>
      </w:pPr>
    </w:p>
    <w:p>
      <w:pPr>
        <w:pStyle w:val="BodyText"/>
        <w:spacing w:line="355" w:lineRule="auto"/>
        <w:ind w:left="673" w:right="1307"/>
      </w:pPr>
      <w:r>
        <w:rPr/>
        <w:t>With continued growth in the economy, spare capacity has fallen further. The MPC’s latest forecast, in the February IR, is that (if interest rates were to follow the market path prevailing at that stage) the remaining output gap will close over the next year or so, with the economy subsequently moving into excess demand. As a result, the Committee forecast a gradual pickup in domestic cost growth that would help keep inflation slightly above target two and three years ahead even as currency effects fade (see figures 2 and 3)</w:t>
      </w:r>
      <w:r>
        <w:rPr>
          <w:vertAlign w:val="superscript"/>
        </w:rPr>
        <w:t>1</w:t>
      </w:r>
      <w:r>
        <w:rPr>
          <w:vertAlign w:val="baseline"/>
        </w:rPr>
        <w:t>.</w:t>
      </w:r>
    </w:p>
    <w:p>
      <w:pPr>
        <w:pStyle w:val="BodyText"/>
        <w:spacing w:before="5"/>
        <w:rPr>
          <w:sz w:val="29"/>
        </w:rPr>
      </w:pPr>
    </w:p>
    <w:p>
      <w:pPr>
        <w:pStyle w:val="BodyText"/>
        <w:spacing w:line="355" w:lineRule="auto"/>
        <w:ind w:left="673" w:right="1607"/>
      </w:pPr>
      <w:r>
        <w:rPr/>
        <w:t>With the prospect that the output gap will close, the horizon at which we seek to return inflation to target shortens and becomes more conventional. Hence, the MPC judged at the February meeting that, if the economy develops broadly as expected, interest rates would be likely to rise further over time.</w:t>
      </w:r>
    </w:p>
    <w:p>
      <w:pPr>
        <w:pStyle w:val="BodyText"/>
        <w:spacing w:before="4"/>
        <w:rPr>
          <w:sz w:val="29"/>
        </w:rPr>
      </w:pPr>
    </w:p>
    <w:p>
      <w:pPr>
        <w:pStyle w:val="BodyText"/>
        <w:spacing w:line="355" w:lineRule="auto"/>
        <w:ind w:left="673" w:right="1617"/>
        <w:jc w:val="both"/>
      </w:pPr>
      <w:r>
        <w:rPr/>
        <w:t>I share that general outlook. But I expect that capacity pressures – especially in the labour market – will probably be a bit greater than the IR base case, hence reinforcing upward pressures on pay growth</w:t>
      </w:r>
      <w:r>
        <w:rPr>
          <w:spacing w:val="-28"/>
        </w:rPr>
        <w:t> </w:t>
      </w:r>
      <w:r>
        <w:rPr/>
        <w:t>and domestic</w:t>
      </w:r>
      <w:r>
        <w:rPr>
          <w:spacing w:val="-1"/>
        </w:rPr>
        <w:t> </w:t>
      </w:r>
      <w:r>
        <w:rPr/>
        <w:t>costs.</w:t>
      </w:r>
    </w:p>
    <w:p>
      <w:pPr>
        <w:pStyle w:val="BodyText"/>
        <w:spacing w:before="6"/>
        <w:rPr>
          <w:sz w:val="29"/>
        </w:rPr>
      </w:pPr>
    </w:p>
    <w:p>
      <w:pPr>
        <w:pStyle w:val="BodyText"/>
        <w:spacing w:line="355" w:lineRule="auto"/>
        <w:ind w:left="673" w:right="1241"/>
      </w:pPr>
      <w:r>
        <w:rPr/>
        <w:t>The direct boost to CPI inflation from sterling’s depreciation – triggered by the Brexit vote – is starting to fade. CPI inflation remains above our 2% target but, barring significant new swings in sterling or commodity prices, inflation probably peaked with the 3.1% figure late last year. As always, we shall analyse the recent data carefully. The picture that external cost pressures are now having less impact is broadly in line with the</w:t>
      </w:r>
    </w:p>
    <w:p>
      <w:pPr>
        <w:pStyle w:val="BodyText"/>
      </w:pPr>
    </w:p>
    <w:p>
      <w:pPr>
        <w:pStyle w:val="BodyText"/>
      </w:pPr>
    </w:p>
    <w:p>
      <w:pPr>
        <w:pStyle w:val="BodyText"/>
        <w:spacing w:before="10"/>
        <w:rPr>
          <w:sz w:val="15"/>
        </w:rPr>
      </w:pPr>
      <w:r>
        <w:rPr/>
        <w:pict>
          <v:shape style="position:absolute;margin-left:56.664001pt;margin-top:11.368809pt;width:144.050pt;height:.1pt;mso-position-horizontal-relative:page;mso-position-vertical-relative:paragraph;z-index:-251657216;mso-wrap-distance-left:0;mso-wrap-distance-right:0" coordorigin="1133,227" coordsize="2881,0" path="m1133,227l4014,227e" filled="false" stroked="true" strokeweight=".47998pt" strokecolor="#000000">
            <v:path arrowok="t"/>
            <v:stroke dashstyle="solid"/>
            <w10:wrap type="topAndBottom"/>
          </v:shape>
        </w:pict>
      </w:r>
    </w:p>
    <w:p>
      <w:pPr>
        <w:spacing w:before="23"/>
        <w:ind w:left="673" w:right="0" w:firstLine="0"/>
        <w:jc w:val="left"/>
        <w:rPr>
          <w:sz w:val="16"/>
        </w:rPr>
      </w:pPr>
      <w:r>
        <w:rPr>
          <w:rFonts w:ascii="Calibri"/>
          <w:position w:val="10"/>
          <w:sz w:val="13"/>
        </w:rPr>
        <w:t>1 </w:t>
      </w:r>
      <w:r>
        <w:rPr>
          <w:sz w:val="16"/>
        </w:rPr>
        <w:t>These were published in the letter from the Governor to the Chancellor, 8 February 2018.</w:t>
      </w:r>
    </w:p>
    <w:p>
      <w:pPr>
        <w:spacing w:after="0"/>
        <w:jc w:val="left"/>
        <w:rPr>
          <w:sz w:val="16"/>
        </w:rPr>
        <w:sectPr>
          <w:footerReference w:type="default" r:id="rId7"/>
          <w:pgSz w:w="11910" w:h="16840"/>
          <w:pgMar w:footer="1338" w:header="0" w:top="1580" w:bottom="1520" w:left="460" w:right="0"/>
        </w:sectPr>
      </w:pPr>
    </w:p>
    <w:p>
      <w:pPr>
        <w:pStyle w:val="BodyText"/>
        <w:spacing w:line="352" w:lineRule="auto" w:before="129"/>
        <w:ind w:left="673" w:right="1218"/>
      </w:pPr>
      <w:r>
        <w:rPr/>
        <w:t>MPC’s expectations, and may not have much implication either way for the inflation outlook two or three years ahead – which is the main focus for monetary policy decisions.</w:t>
      </w:r>
    </w:p>
    <w:p>
      <w:pPr>
        <w:pStyle w:val="BodyText"/>
        <w:spacing w:before="10"/>
        <w:rPr>
          <w:sz w:val="29"/>
        </w:rPr>
      </w:pPr>
    </w:p>
    <w:p>
      <w:pPr>
        <w:pStyle w:val="BodyText"/>
        <w:spacing w:line="352" w:lineRule="auto" w:before="1"/>
        <w:ind w:left="673" w:right="1141"/>
      </w:pPr>
      <w:r>
        <w:rPr/>
        <w:t>That medium term outlook is driven mainly by domestic cost and capacity pressures, and these are gradually building.</w:t>
      </w:r>
    </w:p>
    <w:p>
      <w:pPr>
        <w:pStyle w:val="BodyText"/>
        <w:spacing w:before="10"/>
        <w:rPr>
          <w:sz w:val="29"/>
        </w:rPr>
      </w:pPr>
    </w:p>
    <w:p>
      <w:pPr>
        <w:pStyle w:val="BodyText"/>
        <w:spacing w:line="355" w:lineRule="auto"/>
        <w:ind w:left="673" w:right="1252"/>
      </w:pPr>
      <w:r>
        <w:rPr/>
        <w:t>Any remaining slack in the economy is now probably limited. For example, the jobless rate is at a 43-year low, with short-term unemployment around a record low, and a marked drop in under-employment</w:t>
      </w:r>
      <w:r>
        <w:rPr>
          <w:vertAlign w:val="superscript"/>
        </w:rPr>
        <w:t>2</w:t>
      </w:r>
      <w:r>
        <w:rPr>
          <w:vertAlign w:val="baseline"/>
        </w:rPr>
        <w:t> over recent years. The job vacancy rate is unusually high and indeed is up from a year ago. Taken together, business surveys point to fairly marked labour shortages across the economy (see figure 4). With increased competition for labour, the number of job-to-job moves has risen back to pre-crisis norms.</w:t>
      </w:r>
    </w:p>
    <w:p>
      <w:pPr>
        <w:pStyle w:val="BodyText"/>
        <w:spacing w:before="5"/>
        <w:rPr>
          <w:sz w:val="29"/>
        </w:rPr>
      </w:pPr>
    </w:p>
    <w:p>
      <w:pPr>
        <w:pStyle w:val="BodyText"/>
        <w:spacing w:line="352" w:lineRule="auto"/>
        <w:ind w:left="673" w:right="1552"/>
      </w:pPr>
      <w:r>
        <w:rPr/>
        <w:t>In general, measures of costs and domestically generated inflation currently give a somewhat less acute picture of capacity pressures than labour market quantities and surveys of recruitment difficulties.</w:t>
      </w:r>
    </w:p>
    <w:p>
      <w:pPr>
        <w:pStyle w:val="BodyText"/>
        <w:spacing w:line="355" w:lineRule="auto" w:before="3"/>
        <w:ind w:left="673" w:right="1184"/>
      </w:pPr>
      <w:r>
        <w:rPr/>
        <w:t>Nevertheless, average earnings growth seems to be picking up above the subdued trends of recent years (see figure 5), a message also evident in surveys of pay deals. The remaining shortfall in pay growth relative to pre-crisis trends is roughly mirrored by lower productivity growth</w:t>
      </w:r>
      <w:r>
        <w:rPr>
          <w:vertAlign w:val="superscript"/>
        </w:rPr>
        <w:t>3</w:t>
      </w:r>
      <w:r>
        <w:rPr>
          <w:vertAlign w:val="baseline"/>
        </w:rPr>
        <w:t>. Other guides to domestically generated inflation also have picked up recently. In particular, inflation in CPI components that are not heavily weighted to imports – and more closely reflect domestic costs – is up from about 1¾% YoY on average in 2013-16 to about 2½% in Q1 this year, and is around a target-consistent pace (assuming a normal trend in import prices)</w:t>
      </w:r>
      <w:r>
        <w:rPr>
          <w:vertAlign w:val="superscript"/>
        </w:rPr>
        <w:t>4</w:t>
      </w:r>
      <w:r>
        <w:rPr>
          <w:vertAlign w:val="baseline"/>
        </w:rPr>
        <w:t>.</w:t>
      </w:r>
    </w:p>
    <w:p>
      <w:pPr>
        <w:pStyle w:val="BodyText"/>
        <w:spacing w:before="3"/>
        <w:rPr>
          <w:sz w:val="29"/>
        </w:rPr>
      </w:pPr>
    </w:p>
    <w:p>
      <w:pPr>
        <w:pStyle w:val="BodyText"/>
        <w:spacing w:line="355" w:lineRule="auto" w:before="1"/>
        <w:ind w:left="673" w:right="1146"/>
      </w:pPr>
      <w:r>
        <w:rPr/>
        <w:t>Some recent data suggest that the economy may have slowed a little in Q1</w:t>
      </w:r>
      <w:r>
        <w:rPr>
          <w:vertAlign w:val="superscript"/>
        </w:rPr>
        <w:t>5</w:t>
      </w:r>
      <w:r>
        <w:rPr>
          <w:vertAlign w:val="baseline"/>
        </w:rPr>
        <w:t>. Indeed, retail sales volumes fell sharply in March, with Q1 as a whole recording a decline of roughly 0.5% QoQ.</w:t>
      </w:r>
    </w:p>
    <w:p>
      <w:pPr>
        <w:pStyle w:val="BodyText"/>
        <w:spacing w:before="6"/>
        <w:rPr>
          <w:sz w:val="29"/>
        </w:rPr>
      </w:pPr>
    </w:p>
    <w:p>
      <w:pPr>
        <w:pStyle w:val="BodyText"/>
        <w:spacing w:line="355" w:lineRule="auto"/>
        <w:ind w:left="673" w:right="1124"/>
      </w:pPr>
      <w:r>
        <w:rPr/>
        <w:t>The significance of this apparent slowdown is, however, questionable. Economic activity in March, and especially retail sales, was hit by unusually heavy snow. Previous experience suggests that such snow effects typically reverse in the next month or two (see figure 6)</w:t>
      </w:r>
      <w:r>
        <w:rPr>
          <w:vertAlign w:val="superscript"/>
        </w:rPr>
        <w:t>6</w:t>
      </w:r>
      <w:r>
        <w:rPr>
          <w:vertAlign w:val="baseline"/>
        </w:rPr>
        <w:t>. Moreover, there has been a tendency for the</w:t>
      </w:r>
    </w:p>
    <w:p>
      <w:pPr>
        <w:pStyle w:val="BodyText"/>
      </w:pPr>
    </w:p>
    <w:p>
      <w:pPr>
        <w:pStyle w:val="BodyText"/>
      </w:pPr>
    </w:p>
    <w:p>
      <w:pPr>
        <w:pStyle w:val="BodyText"/>
        <w:spacing w:before="7"/>
        <w:rPr>
          <w:sz w:val="17"/>
        </w:rPr>
      </w:pPr>
      <w:r>
        <w:rPr/>
        <w:pict>
          <v:shape style="position:absolute;margin-left:56.664001pt;margin-top:12.367227pt;width:144.050pt;height:.1pt;mso-position-horizontal-relative:page;mso-position-vertical-relative:paragraph;z-index:-251656192;mso-wrap-distance-left:0;mso-wrap-distance-right:0" coordorigin="1133,247" coordsize="2881,0" path="m1133,247l4014,247e" filled="false" stroked="true" strokeweight=".47998pt" strokecolor="#000000">
            <v:path arrowok="t"/>
            <v:stroke dashstyle="solid"/>
            <w10:wrap type="topAndBottom"/>
          </v:shape>
        </w:pict>
      </w:r>
    </w:p>
    <w:p>
      <w:pPr>
        <w:spacing w:before="30"/>
        <w:ind w:left="673" w:right="1374" w:firstLine="0"/>
        <w:jc w:val="left"/>
        <w:rPr>
          <w:sz w:val="16"/>
        </w:rPr>
      </w:pPr>
      <w:r>
        <w:rPr>
          <w:position w:val="8"/>
          <w:sz w:val="10"/>
        </w:rPr>
        <w:t>2 </w:t>
      </w:r>
      <w:r>
        <w:rPr>
          <w:sz w:val="16"/>
        </w:rPr>
        <w:t>For example, the ONS under-employment measure shows the net balance of extra hours that people would like to work is around zero. A U-6 type under-employment measure – which includes the unemployed, involuntary part-time workers and people who would like to work but are not counted in the workforce – is below the 2000-07 average and only 0.1pp above the low-point of those years.</w:t>
      </w:r>
    </w:p>
    <w:p>
      <w:pPr>
        <w:spacing w:line="184" w:lineRule="exact" w:before="0"/>
        <w:ind w:left="673" w:right="0" w:firstLine="0"/>
        <w:jc w:val="left"/>
        <w:rPr>
          <w:sz w:val="16"/>
        </w:rPr>
      </w:pPr>
      <w:r>
        <w:rPr>
          <w:position w:val="8"/>
          <w:sz w:val="10"/>
        </w:rPr>
        <w:t>3 </w:t>
      </w:r>
      <w:r>
        <w:rPr>
          <w:sz w:val="16"/>
        </w:rPr>
        <w:t>Average earnings are up 2.8% YoY now (including and excluding bonuses), versus 4.0% YoY on average over 2001-07 ex bonuses</w:t>
      </w:r>
    </w:p>
    <w:p>
      <w:pPr>
        <w:spacing w:before="0"/>
        <w:ind w:left="673" w:right="1206" w:firstLine="0"/>
        <w:jc w:val="left"/>
        <w:rPr>
          <w:sz w:val="16"/>
        </w:rPr>
      </w:pPr>
      <w:r>
        <w:rPr>
          <w:sz w:val="16"/>
        </w:rPr>
        <w:t>and 4.3% YoY including bonuses. Trends are similar using private sector earnings. Productivity growth (per person) was 0.4% YoY in Q4-2017, versus 1.7% YoY over 2001-07. With average hours down over the last year, average earnings per hour are up 4.1% YoY now, similar to the 2001-07 average (4.2% YoY). Output per hour rose 1.0% YoY in Q4 2017, versus 1.9% YoY on average in 2001-17. The growth of unit wage costs (2.4% YoY) in Q4 2017 was slightly above the 2001-07 average (2.1% YoY), while the growth of unit labour costs was slightly below it (2.1% YoY now, 2.7% YoY on average then).</w:t>
      </w:r>
    </w:p>
    <w:p>
      <w:pPr>
        <w:spacing w:line="171" w:lineRule="exact" w:before="0"/>
        <w:ind w:left="673" w:right="0" w:firstLine="0"/>
        <w:jc w:val="left"/>
        <w:rPr>
          <w:sz w:val="16"/>
        </w:rPr>
      </w:pPr>
      <w:r>
        <w:rPr>
          <w:position w:val="8"/>
          <w:sz w:val="10"/>
        </w:rPr>
        <w:t>4 </w:t>
      </w:r>
      <w:r>
        <w:rPr>
          <w:sz w:val="16"/>
        </w:rPr>
        <w:t>Using inverse-import weighted CPI excluding food, drink, energy, tobacco and education.</w:t>
      </w:r>
    </w:p>
    <w:p>
      <w:pPr>
        <w:spacing w:line="184" w:lineRule="exact" w:before="0"/>
        <w:ind w:left="673" w:right="0" w:firstLine="0"/>
        <w:jc w:val="left"/>
        <w:rPr>
          <w:sz w:val="16"/>
        </w:rPr>
      </w:pPr>
      <w:r>
        <w:rPr>
          <w:position w:val="8"/>
          <w:sz w:val="10"/>
        </w:rPr>
        <w:t>5 </w:t>
      </w:r>
      <w:r>
        <w:rPr>
          <w:sz w:val="16"/>
        </w:rPr>
        <w:t>The first estimate of Q1 GDP data will be released on 27 April.</w:t>
      </w:r>
    </w:p>
    <w:p>
      <w:pPr>
        <w:spacing w:line="196" w:lineRule="exact" w:before="0"/>
        <w:ind w:left="673" w:right="0" w:firstLine="0"/>
        <w:jc w:val="left"/>
        <w:rPr>
          <w:sz w:val="16"/>
        </w:rPr>
      </w:pPr>
      <w:r>
        <w:rPr>
          <w:position w:val="8"/>
          <w:sz w:val="10"/>
        </w:rPr>
        <w:t>6 </w:t>
      </w:r>
      <w:r>
        <w:rPr>
          <w:sz w:val="16"/>
        </w:rPr>
        <w:t>Average snow depth in March was 1.4cm. Over the period 1998-17, there were six months with average snow depth across the UK of</w:t>
      </w:r>
    </w:p>
    <w:p>
      <w:pPr>
        <w:spacing w:before="1"/>
        <w:ind w:left="673" w:right="1205" w:firstLine="0"/>
        <w:jc w:val="left"/>
        <w:rPr>
          <w:sz w:val="16"/>
        </w:rPr>
      </w:pPr>
      <w:r>
        <w:rPr>
          <w:sz w:val="16"/>
        </w:rPr>
        <w:t>at least 1cm. One of these, December 2009, was followed by even deeper snow the next month. If we take the remaining five snow months, on average, retail sales fell by 1.9% MoM and rose 1.4% the next month. Monthly real GDP (estimated as the weighted average for industrial production, services output and construction) fell by 0.3% MoM on average in the snow months and rose by 0.3% the next month. These months are February 2009, January 2010, December 2010, January 2013, and March 2013.</w:t>
      </w:r>
    </w:p>
    <w:p>
      <w:pPr>
        <w:spacing w:after="0"/>
        <w:jc w:val="left"/>
        <w:rPr>
          <w:sz w:val="16"/>
        </w:rPr>
        <w:sectPr>
          <w:footerReference w:type="default" r:id="rId8"/>
          <w:pgSz w:w="11910" w:h="16840"/>
          <w:pgMar w:footer="1338" w:header="0" w:top="1580" w:bottom="1520" w:left="460" w:right="0"/>
        </w:sectPr>
      </w:pPr>
    </w:p>
    <w:p>
      <w:pPr>
        <w:pStyle w:val="BodyText"/>
        <w:spacing w:line="355" w:lineRule="auto" w:before="129"/>
        <w:ind w:left="673" w:right="1160"/>
      </w:pPr>
      <w:r>
        <w:rPr/>
        <w:t>ONS to release soft Q1 activity data that are subsequently revised up over time</w:t>
      </w:r>
      <w:r>
        <w:rPr>
          <w:vertAlign w:val="superscript"/>
        </w:rPr>
        <w:t>7</w:t>
      </w:r>
      <w:r>
        <w:rPr>
          <w:vertAlign w:val="baseline"/>
        </w:rPr>
        <w:t>. Other consumer guides, for example confidence and mortgage approvals, do not point to softer growth in Q1. Business surveys for Q1 point to steady underlying growth in the economy of 1½% to 2% YoY, similar to the last couple of years (see figure 7). Consistent with this, broad money and credit growth also are similar to the last few years</w:t>
      </w:r>
      <w:r>
        <w:rPr>
          <w:vertAlign w:val="superscript"/>
        </w:rPr>
        <w:t>8</w:t>
      </w:r>
      <w:r>
        <w:rPr>
          <w:vertAlign w:val="baseline"/>
        </w:rPr>
        <w:t>. Job growth has picked up slightly in recent months and, unlike some of the last few years, employment growth currently is led by full-time employees rather than more insecure forms of work such as temporary jobs or self-employment.</w:t>
      </w:r>
    </w:p>
    <w:p>
      <w:pPr>
        <w:pStyle w:val="BodyText"/>
        <w:spacing w:before="3"/>
        <w:rPr>
          <w:sz w:val="29"/>
        </w:rPr>
      </w:pPr>
    </w:p>
    <w:p>
      <w:pPr>
        <w:pStyle w:val="BodyText"/>
        <w:spacing w:line="355" w:lineRule="auto"/>
        <w:ind w:left="673" w:right="1307"/>
      </w:pPr>
      <w:r>
        <w:rPr/>
        <w:t>More broadly, the economy remains supported by accommodative financial conditions, buoyant global growth and the high return on capital. The latest Credit Conditions survey suggests that the availability of unsecured consumer credit has worsened in recent months, but that availability of mortgage loans (which account for most personal borrowing) continues to ease. With lower spreads, average fixed mortgage rates for new loans in general are little changed from levels prevailing before the recent rate hike (see figure 8). Indeed, the average interest rate on existing mortgages is still lower than it was a year ago. The Credit Conditions survey indicates that mortgage spreads are being compressed by competitive pressures as lenders seek to gain market share, perhaps reflecting the expansion of new lenders and very low rates of mortgage arrears</w:t>
      </w:r>
      <w:r>
        <w:rPr>
          <w:vertAlign w:val="superscript"/>
        </w:rPr>
        <w:t>9</w:t>
      </w:r>
      <w:r>
        <w:rPr>
          <w:vertAlign w:val="baseline"/>
        </w:rPr>
        <w:t>.</w:t>
      </w:r>
    </w:p>
    <w:p>
      <w:pPr>
        <w:pStyle w:val="BodyText"/>
        <w:spacing w:before="5"/>
        <w:rPr>
          <w:sz w:val="29"/>
        </w:rPr>
      </w:pPr>
    </w:p>
    <w:p>
      <w:pPr>
        <w:pStyle w:val="BodyText"/>
        <w:spacing w:line="355" w:lineRule="auto"/>
        <w:ind w:left="673" w:right="1221"/>
      </w:pPr>
      <w:r>
        <w:rPr/>
        <w:t>Of course, there are many uncertainties, especially Brexit. The provisional agreements between the UK and EU – on the terms of exit last December and a transition period in March – have probably reduced some near-term Brexit-related uncertainties and downside risks to growth. In turn, sterling has appreciated. The expectations among households and businesses of Brexit’s effects may yet change further during and after Brexit negotiations, potentially affecting both activity and asset prices.</w:t>
      </w:r>
    </w:p>
    <w:p>
      <w:pPr>
        <w:pStyle w:val="BodyText"/>
        <w:spacing w:before="5"/>
        <w:rPr>
          <w:sz w:val="29"/>
        </w:rPr>
      </w:pPr>
    </w:p>
    <w:p>
      <w:pPr>
        <w:pStyle w:val="BodyText"/>
        <w:spacing w:line="355" w:lineRule="auto"/>
        <w:ind w:left="673" w:right="1216"/>
      </w:pPr>
      <w:r>
        <w:rPr/>
        <w:t>But overall, I suspect that economic growth in the coming year or two will remain around its recent pace of 1.5%-2%, i.e. marginally above potential. Consistent with this, surveys of firms’ hiring intentions suggest that labour demand will continue to outstrip labour supply (see figure 9)</w:t>
      </w:r>
      <w:r>
        <w:rPr>
          <w:vertAlign w:val="superscript"/>
        </w:rPr>
        <w:t>10</w:t>
      </w:r>
      <w:r>
        <w:rPr>
          <w:vertAlign w:val="baseline"/>
        </w:rPr>
        <w:t>. It seems likely that the labour market will tighten further, with unemployment edging down to new record lows, putting further upward pressure on domestic cost growth.</w:t>
      </w:r>
    </w:p>
    <w:p>
      <w:pPr>
        <w:pStyle w:val="BodyText"/>
        <w:spacing w:before="2"/>
        <w:rPr>
          <w:sz w:val="29"/>
        </w:rPr>
      </w:pPr>
    </w:p>
    <w:p>
      <w:pPr>
        <w:pStyle w:val="BodyText"/>
        <w:spacing w:line="355" w:lineRule="auto"/>
        <w:ind w:left="673" w:right="1185"/>
      </w:pPr>
      <w:r>
        <w:rPr/>
        <w:t>Against this backdrop, my vote at the March meeting reflected a preference for an </w:t>
      </w:r>
      <w:r>
        <w:rPr>
          <w:b/>
        </w:rPr>
        <w:t>earlier tightening path than implied by the market curve</w:t>
      </w:r>
      <w:r>
        <w:rPr/>
        <w:t>. We do not need to set policy in a way that will create rising spare capacity or higher unemployment. But our foot no longer needs to be so firmly on the accelerator. My vote at</w:t>
      </w:r>
    </w:p>
    <w:p>
      <w:pPr>
        <w:pStyle w:val="BodyText"/>
        <w:spacing w:before="1"/>
        <w:rPr>
          <w:sz w:val="22"/>
        </w:rPr>
      </w:pPr>
      <w:r>
        <w:rPr/>
        <w:pict>
          <v:shape style="position:absolute;margin-left:56.664001pt;margin-top:14.907588pt;width:144.050pt;height:.1pt;mso-position-horizontal-relative:page;mso-position-vertical-relative:paragraph;z-index:-251655168;mso-wrap-distance-left:0;mso-wrap-distance-right:0" coordorigin="1133,298" coordsize="2881,0" path="m1133,298l4014,298e" filled="false" stroked="true" strokeweight=".47998pt" strokecolor="#000000">
            <v:path arrowok="t"/>
            <v:stroke dashstyle="solid"/>
            <w10:wrap type="topAndBottom"/>
          </v:shape>
        </w:pict>
      </w:r>
    </w:p>
    <w:p>
      <w:pPr>
        <w:spacing w:before="30"/>
        <w:ind w:left="673" w:right="1124" w:firstLine="0"/>
        <w:jc w:val="left"/>
        <w:rPr>
          <w:sz w:val="16"/>
        </w:rPr>
      </w:pPr>
      <w:r>
        <w:rPr>
          <w:position w:val="8"/>
          <w:sz w:val="10"/>
        </w:rPr>
        <w:t>7 </w:t>
      </w:r>
      <w:r>
        <w:rPr>
          <w:sz w:val="16"/>
        </w:rPr>
        <w:t>Over the period since 1993, the first release GDP data for Q1 have averaged 0.3% QoQ, but this has been revised up to an average of 0.6% QoQ three years later. These revisions mostly occurred more than a year after the data were first published. The MPC has for many years aimed to anticipate revisions to the official GDP data, using various indicators.</w:t>
      </w:r>
    </w:p>
    <w:p>
      <w:pPr>
        <w:spacing w:line="184" w:lineRule="exact" w:before="0"/>
        <w:ind w:left="673" w:right="1218" w:firstLine="0"/>
        <w:jc w:val="left"/>
        <w:rPr>
          <w:sz w:val="16"/>
        </w:rPr>
      </w:pPr>
      <w:r>
        <w:rPr>
          <w:position w:val="8"/>
          <w:sz w:val="10"/>
        </w:rPr>
        <w:t>8 </w:t>
      </w:r>
      <w:r>
        <w:rPr>
          <w:sz w:val="16"/>
        </w:rPr>
        <w:t>Using the M4x and M4LX measures. Within M4, household deposit growth has slowed, but this appears to reflect a portfolio shift into mutual funds, reversing the trend seen in 2016.</w:t>
      </w:r>
    </w:p>
    <w:p>
      <w:pPr>
        <w:spacing w:line="182" w:lineRule="exact" w:before="0"/>
        <w:ind w:left="673" w:right="0" w:firstLine="0"/>
        <w:jc w:val="left"/>
        <w:rPr>
          <w:sz w:val="16"/>
        </w:rPr>
      </w:pPr>
      <w:r>
        <w:rPr>
          <w:position w:val="8"/>
          <w:sz w:val="10"/>
        </w:rPr>
        <w:t>9 </w:t>
      </w:r>
      <w:r>
        <w:rPr>
          <w:sz w:val="16"/>
        </w:rPr>
        <w:t>The Council of Mortgage Lenders reports that the share of mortgages that are more than 3 months in arrears fell to 0.82% at</w:t>
      </w:r>
    </w:p>
    <w:p>
      <w:pPr>
        <w:spacing w:before="0"/>
        <w:ind w:left="673" w:right="1266" w:firstLine="0"/>
        <w:jc w:val="left"/>
        <w:rPr>
          <w:sz w:val="16"/>
        </w:rPr>
      </w:pPr>
      <w:r>
        <w:rPr>
          <w:sz w:val="16"/>
        </w:rPr>
        <w:t>end-2017, from 0.93% at end-2016 and the lowest since data began in 1994. The trend is similar measured by the share of mortgages for which arrears exceed 2.5% of the outstanding debt.</w:t>
      </w:r>
    </w:p>
    <w:p>
      <w:pPr>
        <w:spacing w:line="186" w:lineRule="exact" w:before="0"/>
        <w:ind w:left="673" w:right="0" w:firstLine="0"/>
        <w:jc w:val="left"/>
        <w:rPr>
          <w:sz w:val="16"/>
        </w:rPr>
      </w:pPr>
      <w:r>
        <w:rPr>
          <w:position w:val="8"/>
          <w:sz w:val="10"/>
        </w:rPr>
        <w:t>10 </w:t>
      </w:r>
      <w:r>
        <w:rPr>
          <w:sz w:val="16"/>
        </w:rPr>
        <w:t>Employment in the three months ended February was up 1.3% YoY, with workforce growth of 0.9% YoY.</w:t>
      </w:r>
    </w:p>
    <w:p>
      <w:pPr>
        <w:spacing w:after="0" w:line="186" w:lineRule="exact"/>
        <w:jc w:val="left"/>
        <w:rPr>
          <w:sz w:val="16"/>
        </w:rPr>
        <w:sectPr>
          <w:footerReference w:type="default" r:id="rId9"/>
          <w:pgSz w:w="11910" w:h="16840"/>
          <w:pgMar w:footer="1338" w:header="0" w:top="1580" w:bottom="1520" w:left="460" w:right="0"/>
        </w:sectPr>
      </w:pPr>
    </w:p>
    <w:p>
      <w:pPr>
        <w:pStyle w:val="BodyText"/>
        <w:spacing w:line="352" w:lineRule="auto" w:before="129"/>
        <w:ind w:left="673" w:right="1182"/>
      </w:pPr>
      <w:r>
        <w:rPr/>
        <w:t>subsequent meetings will, as always, depend on the data and analysis of the economy’s prospects. Like other MPC members, I do expect that any further tightening will be at a gradual pace and to a limited extent.</w:t>
      </w:r>
    </w:p>
    <w:p>
      <w:pPr>
        <w:pStyle w:val="BodyText"/>
        <w:spacing w:before="8"/>
        <w:rPr>
          <w:sz w:val="29"/>
        </w:rPr>
      </w:pPr>
    </w:p>
    <w:p>
      <w:pPr>
        <w:spacing w:line="352" w:lineRule="auto" w:before="0"/>
        <w:ind w:left="673" w:right="1153" w:firstLine="0"/>
        <w:jc w:val="left"/>
        <w:rPr>
          <w:sz w:val="20"/>
        </w:rPr>
      </w:pPr>
      <w:r>
        <w:rPr>
          <w:sz w:val="20"/>
        </w:rPr>
        <w:t>And that brings me to my second topic, to </w:t>
      </w:r>
      <w:r>
        <w:rPr>
          <w:b/>
          <w:sz w:val="20"/>
        </w:rPr>
        <w:t>explain </w:t>
      </w:r>
      <w:r>
        <w:rPr>
          <w:b/>
          <w:i/>
          <w:sz w:val="20"/>
        </w:rPr>
        <w:t>why </w:t>
      </w:r>
      <w:r>
        <w:rPr>
          <w:b/>
          <w:sz w:val="20"/>
        </w:rPr>
        <w:t>any further monetary policy tightening is likely to be limited and gradual, at least from my viewpoint</w:t>
      </w:r>
      <w:r>
        <w:rPr>
          <w:sz w:val="20"/>
        </w:rPr>
        <w:t>.</w:t>
      </w:r>
    </w:p>
    <w:p>
      <w:pPr>
        <w:pStyle w:val="BodyText"/>
        <w:spacing w:before="10"/>
        <w:rPr>
          <w:sz w:val="29"/>
        </w:rPr>
      </w:pPr>
    </w:p>
    <w:p>
      <w:pPr>
        <w:pStyle w:val="BodyText"/>
        <w:spacing w:line="355" w:lineRule="auto" w:before="1"/>
        <w:ind w:left="673" w:right="1296"/>
      </w:pPr>
      <w:r>
        <w:rPr/>
        <w:t>The “</w:t>
      </w:r>
      <w:r>
        <w:rPr>
          <w:b/>
        </w:rPr>
        <w:t>limited</w:t>
      </w:r>
      <w:r>
        <w:rPr/>
        <w:t>” phrase signals that in the next few years our policy rate is unlikely to return to the pre-crisis norm of roughly 5%. This is because the neutral interest rate has fallen markedly and a material part of that decline seems likely to persist</w:t>
      </w:r>
      <w:r>
        <w:rPr>
          <w:vertAlign w:val="superscript"/>
        </w:rPr>
        <w:t>11</w:t>
      </w:r>
      <w:r>
        <w:rPr>
          <w:vertAlign w:val="baseline"/>
        </w:rPr>
        <w:t>.</w:t>
      </w:r>
    </w:p>
    <w:p>
      <w:pPr>
        <w:pStyle w:val="BodyText"/>
        <w:spacing w:before="6"/>
        <w:rPr>
          <w:sz w:val="29"/>
        </w:rPr>
      </w:pPr>
    </w:p>
    <w:p>
      <w:pPr>
        <w:pStyle w:val="BodyText"/>
        <w:spacing w:line="355" w:lineRule="auto"/>
        <w:ind w:left="673" w:right="1196"/>
      </w:pPr>
      <w:r>
        <w:rPr/>
        <w:t>The economy is affected by the whole term structure of interest rates, but my focus here is on the short-term policy rate. The neutral level of rates appears to have varied considerably over time in both real and nominal terms. During 2000-07, just before the financial crisis, the BoE policy rate averaged 4¾% in nominal terms, ranging from 3.5% (in 2003) to 6.0% (in 00/01). In real terms, the policy rate averaged roughly 3% (versus CPI inflation), and the economy’s behaviour (steady growth and inflation around target) suggests that on average rates were close to neutral. In real terms, interest rates in that pre-crisis period were below the levels of the 1980s and early 1990s, but actually were quite high compared to the last 100 years or so</w:t>
      </w:r>
      <w:r>
        <w:rPr>
          <w:vertAlign w:val="superscript"/>
        </w:rPr>
        <w:t>12</w:t>
      </w:r>
      <w:r>
        <w:rPr>
          <w:vertAlign w:val="baseline"/>
        </w:rPr>
        <w:t>.</w:t>
      </w:r>
    </w:p>
    <w:p>
      <w:pPr>
        <w:pStyle w:val="BodyText"/>
        <w:spacing w:before="6"/>
        <w:rPr>
          <w:sz w:val="29"/>
        </w:rPr>
      </w:pPr>
    </w:p>
    <w:p>
      <w:pPr>
        <w:pStyle w:val="BodyText"/>
        <w:spacing w:line="355" w:lineRule="auto"/>
        <w:ind w:left="673" w:right="1144"/>
      </w:pPr>
      <w:r>
        <w:rPr/>
        <w:t>Since the financial crisis, the neutral rate appears to have fallen markedly in the UK and other advanced economies. Estimates of the neutral rate are imprecise, but – without wishing to endorse them too strongly – generally suggest that it will be around 2% for the UK in nominal terms in the next few years, and around zero in real terms with the 2% CPI inflation target. For example, the gilt curve implies that short rates will rise a little above 2% over the next 10 years (see figures 10 and 11), while the survey of UK economic forecasts by HM Treasury suggests that Bank Rate will rise to 2.1% over the next five years (see figure 12)</w:t>
      </w:r>
      <w:r>
        <w:rPr>
          <w:vertAlign w:val="superscript"/>
        </w:rPr>
        <w:t>13</w:t>
      </w:r>
      <w:r>
        <w:rPr>
          <w:vertAlign w:val="baseline"/>
        </w:rPr>
        <w:t>. Globally, yield curves suggest that nominal rates will flatten off at around 2½-3% in the US, and a little below 2% in the EA.</w:t>
      </w:r>
    </w:p>
    <w:p>
      <w:pPr>
        <w:pStyle w:val="BodyText"/>
        <w:spacing w:before="4"/>
        <w:rPr>
          <w:sz w:val="29"/>
        </w:rPr>
      </w:pPr>
    </w:p>
    <w:p>
      <w:pPr>
        <w:pStyle w:val="BodyText"/>
        <w:spacing w:line="355" w:lineRule="auto"/>
        <w:ind w:left="673" w:right="1197"/>
      </w:pPr>
      <w:r>
        <w:rPr/>
        <w:t>There is an ongoing debate over the factors behind this recent drop in the neutral rate</w:t>
      </w:r>
      <w:r>
        <w:rPr>
          <w:vertAlign w:val="superscript"/>
        </w:rPr>
        <w:t>14</w:t>
      </w:r>
      <w:r>
        <w:rPr>
          <w:vertAlign w:val="baseline"/>
        </w:rPr>
        <w:t>. It probably partly reflects some deep structural factors in the UK and globally, such as lower productivity growth, demographics, shifts in the relative price of investment, changes in the distribution of incomes, and changes in the riskiness of the economy. And it probably also reflects some cyclical factors both in the UK and globally that may be less persistent, such as fiscal consolidation, relatively wide credit spreads, risk aversion and an emphasis on balance sheet repair after the financial crisis, as well as subdued capital spending.</w:t>
      </w:r>
    </w:p>
    <w:p>
      <w:pPr>
        <w:pStyle w:val="BodyText"/>
      </w:pPr>
    </w:p>
    <w:p>
      <w:pPr>
        <w:pStyle w:val="BodyText"/>
      </w:pPr>
    </w:p>
    <w:p>
      <w:pPr>
        <w:pStyle w:val="BodyText"/>
        <w:spacing w:before="8"/>
        <w:rPr>
          <w:sz w:val="29"/>
        </w:rPr>
      </w:pPr>
      <w:r>
        <w:rPr/>
        <w:pict>
          <v:shape style="position:absolute;margin-left:56.664001pt;margin-top:19.314472pt;width:144.050pt;height:.1pt;mso-position-horizontal-relative:page;mso-position-vertical-relative:paragraph;z-index:-251654144;mso-wrap-distance-left:0;mso-wrap-distance-right:0" coordorigin="1133,386" coordsize="2881,0" path="m1133,386l4014,386e" filled="false" stroked="true" strokeweight=".47998pt" strokecolor="#000000">
            <v:path arrowok="t"/>
            <v:stroke dashstyle="solid"/>
            <w10:wrap type="topAndBottom"/>
          </v:shape>
        </w:pict>
      </w:r>
    </w:p>
    <w:p>
      <w:pPr>
        <w:spacing w:before="27"/>
        <w:ind w:left="673" w:right="1141" w:firstLine="0"/>
        <w:jc w:val="left"/>
        <w:rPr>
          <w:sz w:val="16"/>
        </w:rPr>
      </w:pPr>
      <w:r>
        <w:rPr>
          <w:position w:val="8"/>
          <w:sz w:val="10"/>
        </w:rPr>
        <w:t>11 </w:t>
      </w:r>
      <w:r>
        <w:rPr>
          <w:sz w:val="16"/>
        </w:rPr>
        <w:t>The neutral rate can be loosely defined as the level of Bank Rate needed to keep demand and supply across the economy as a whole in balance when the output gap is closed and inflation is on target.</w:t>
      </w:r>
    </w:p>
    <w:p>
      <w:pPr>
        <w:spacing w:line="173" w:lineRule="exact" w:before="0"/>
        <w:ind w:left="673" w:right="0" w:firstLine="0"/>
        <w:jc w:val="left"/>
        <w:rPr>
          <w:sz w:val="16"/>
        </w:rPr>
      </w:pPr>
      <w:r>
        <w:rPr>
          <w:position w:val="8"/>
          <w:sz w:val="10"/>
        </w:rPr>
        <w:t>12 </w:t>
      </w:r>
      <w:r>
        <w:rPr>
          <w:sz w:val="16"/>
        </w:rPr>
        <w:t>See Vlieghe (2017).</w:t>
      </w:r>
    </w:p>
    <w:p>
      <w:pPr>
        <w:spacing w:line="184" w:lineRule="exact" w:before="0"/>
        <w:ind w:left="673" w:right="0" w:firstLine="0"/>
        <w:jc w:val="left"/>
        <w:rPr>
          <w:sz w:val="16"/>
        </w:rPr>
      </w:pPr>
      <w:r>
        <w:rPr>
          <w:position w:val="8"/>
          <w:sz w:val="10"/>
        </w:rPr>
        <w:t>13 </w:t>
      </w:r>
      <w:r>
        <w:rPr>
          <w:sz w:val="16"/>
        </w:rPr>
        <w:t>The OIS curve implies a lower rate path, but is less liquid at distant horizons.</w:t>
      </w:r>
    </w:p>
    <w:p>
      <w:pPr>
        <w:spacing w:line="196" w:lineRule="exact" w:before="0"/>
        <w:ind w:left="673" w:right="0" w:firstLine="0"/>
        <w:jc w:val="left"/>
        <w:rPr>
          <w:sz w:val="16"/>
        </w:rPr>
      </w:pPr>
      <w:r>
        <w:rPr>
          <w:position w:val="8"/>
          <w:sz w:val="10"/>
        </w:rPr>
        <w:t>14 </w:t>
      </w:r>
      <w:r>
        <w:rPr>
          <w:sz w:val="16"/>
        </w:rPr>
        <w:t>See for example, Bean (2014), Broadbent (2014), Miles (2014), Summers (2014), Haldane (2015), Hamilton et al (2015), Rachel and</w:t>
      </w:r>
    </w:p>
    <w:p>
      <w:pPr>
        <w:spacing w:before="1"/>
        <w:ind w:left="673" w:right="0" w:firstLine="0"/>
        <w:jc w:val="left"/>
        <w:rPr>
          <w:sz w:val="16"/>
        </w:rPr>
      </w:pPr>
      <w:r>
        <w:rPr>
          <w:sz w:val="16"/>
        </w:rPr>
        <w:t>Smith (2016), Goodhart and Pradhan (2017), Lisack et al (2017), Fischer (2017), Jones (2018),</w:t>
      </w:r>
    </w:p>
    <w:p>
      <w:pPr>
        <w:spacing w:after="0"/>
        <w:jc w:val="left"/>
        <w:rPr>
          <w:sz w:val="16"/>
        </w:rPr>
        <w:sectPr>
          <w:footerReference w:type="default" r:id="rId10"/>
          <w:pgSz w:w="11910" w:h="16840"/>
          <w:pgMar w:footer="1338" w:header="0" w:top="1580" w:bottom="1520" w:left="460" w:right="0"/>
        </w:sectPr>
      </w:pPr>
    </w:p>
    <w:p>
      <w:pPr>
        <w:pStyle w:val="BodyText"/>
        <w:spacing w:line="355" w:lineRule="auto" w:before="129"/>
        <w:ind w:left="673" w:right="1318"/>
      </w:pPr>
      <w:r>
        <w:rPr/>
        <w:t>The MPC has largely been a bystander in this process, because the factors that reduced the neutral rate in recent years are outside the MPC’s control</w:t>
      </w:r>
      <w:r>
        <w:rPr>
          <w:vertAlign w:val="superscript"/>
        </w:rPr>
        <w:t>15</w:t>
      </w:r>
      <w:r>
        <w:rPr>
          <w:vertAlign w:val="baseline"/>
        </w:rPr>
        <w:t>. Of course, we take account of the drop in the neutral rate, aiming to provide sufficient stimulus – by setting an effective policy rate (including asset purchases) below that neutral rate – to close the output gap and ensure a sustainable return of inflation to target over time.</w:t>
      </w:r>
    </w:p>
    <w:p>
      <w:pPr>
        <w:pStyle w:val="BodyText"/>
        <w:spacing w:before="4"/>
        <w:rPr>
          <w:sz w:val="29"/>
        </w:rPr>
      </w:pPr>
    </w:p>
    <w:p>
      <w:pPr>
        <w:pStyle w:val="BodyText"/>
        <w:spacing w:line="355" w:lineRule="auto" w:before="1"/>
        <w:ind w:left="673" w:right="1148"/>
      </w:pPr>
      <w:r>
        <w:rPr/>
        <w:t>The neutral rate is unlikely to be totally static. Some cyclical factors that were depressing the neutral real rate have already eased somewhat, with lower credit spreads and reduced fiscal headwinds. Private sector deleveraging over 2010-15 has given way to modest releveraging since then</w:t>
      </w:r>
      <w:r>
        <w:rPr>
          <w:vertAlign w:val="superscript"/>
        </w:rPr>
        <w:t>16</w:t>
      </w:r>
      <w:r>
        <w:rPr>
          <w:vertAlign w:val="baseline"/>
        </w:rPr>
        <w:t>. In turn, market pricing for forward rates in the UK, US and EA has risen a bit since the lows in late 2016.  </w:t>
      </w:r>
      <w:r>
        <w:rPr>
          <w:spacing w:val="2"/>
          <w:vertAlign w:val="baseline"/>
        </w:rPr>
        <w:t>The </w:t>
      </w:r>
      <w:r>
        <w:rPr>
          <w:vertAlign w:val="baseline"/>
        </w:rPr>
        <w:t>consensus for Bank Rate five years ahead has moved between 0.8% and 3% since mid-2012 and has recently crept up from the low end of that</w:t>
      </w:r>
      <w:r>
        <w:rPr>
          <w:spacing w:val="-1"/>
          <w:vertAlign w:val="baseline"/>
        </w:rPr>
        <w:t> </w:t>
      </w:r>
      <w:r>
        <w:rPr>
          <w:vertAlign w:val="baseline"/>
        </w:rPr>
        <w:t>range.</w:t>
      </w:r>
    </w:p>
    <w:p>
      <w:pPr>
        <w:pStyle w:val="BodyText"/>
        <w:spacing w:before="5"/>
        <w:rPr>
          <w:sz w:val="29"/>
        </w:rPr>
      </w:pPr>
    </w:p>
    <w:p>
      <w:pPr>
        <w:pStyle w:val="BodyText"/>
        <w:spacing w:line="355" w:lineRule="auto"/>
        <w:ind w:left="673" w:right="1296"/>
      </w:pPr>
      <w:r>
        <w:rPr/>
        <w:t>However, given the prospect that a sizeable part of that drop in the neutral rate will persist, it seems highly likely that our policy rate in coming years will remain well below that pre-crisis average. That may not be news to people who closely follow yield curves for a living. Our guidance is not intended to prevent markets from finding their own equilibrium. Nevertheless, it seems useful for the MPC to convey that message of a lower neutral rate to households and businesses, who may not follow market pricing so closely, in order to reduce risks of an over-reaction in demand that might occur if people wrongly interpret any rise in interest rates as a sign that rates are heading back to pre-crisis norms.</w:t>
      </w:r>
    </w:p>
    <w:p>
      <w:pPr>
        <w:pStyle w:val="BodyText"/>
        <w:spacing w:before="1"/>
        <w:rPr>
          <w:sz w:val="29"/>
        </w:rPr>
      </w:pPr>
    </w:p>
    <w:p>
      <w:pPr>
        <w:pStyle w:val="BodyText"/>
        <w:ind w:left="673"/>
      </w:pPr>
      <w:r>
        <w:rPr/>
        <w:t>Let me turn to the “</w:t>
      </w:r>
      <w:r>
        <w:rPr>
          <w:b/>
        </w:rPr>
        <w:t>gradual</w:t>
      </w:r>
      <w:r>
        <w:rPr/>
        <w:t>” part of our guidance.</w:t>
      </w:r>
    </w:p>
    <w:p>
      <w:pPr>
        <w:pStyle w:val="BodyText"/>
        <w:rPr>
          <w:sz w:val="22"/>
        </w:rPr>
      </w:pPr>
    </w:p>
    <w:p>
      <w:pPr>
        <w:pStyle w:val="BodyText"/>
        <w:spacing w:before="3"/>
        <w:rPr>
          <w:sz w:val="17"/>
        </w:rPr>
      </w:pPr>
    </w:p>
    <w:p>
      <w:pPr>
        <w:pStyle w:val="BodyText"/>
        <w:spacing w:line="355" w:lineRule="auto"/>
        <w:ind w:left="673" w:right="1207"/>
      </w:pPr>
      <w:r>
        <w:rPr/>
        <w:t>To me this means that if, for the sake of argument, interest rates are going to reach a neutral level of around 2% over time, then this is unlikely to happen in one go, or even over two or three quarters. Rather, interest rates would be likely to rise in a series of modest and measured steps.</w:t>
      </w:r>
    </w:p>
    <w:p>
      <w:pPr>
        <w:pStyle w:val="BodyText"/>
        <w:spacing w:before="7"/>
        <w:rPr>
          <w:sz w:val="29"/>
        </w:rPr>
      </w:pPr>
    </w:p>
    <w:p>
      <w:pPr>
        <w:pStyle w:val="BodyText"/>
        <w:spacing w:line="355" w:lineRule="auto"/>
        <w:ind w:left="673" w:right="1152"/>
      </w:pPr>
      <w:r>
        <w:rPr/>
        <w:t>At first glance, this might seem surprising. If rates need to rise, why not just get on and do it, rather than drag it out?</w:t>
      </w:r>
    </w:p>
    <w:p>
      <w:pPr>
        <w:pStyle w:val="BodyText"/>
        <w:spacing w:before="5"/>
        <w:rPr>
          <w:sz w:val="29"/>
        </w:rPr>
      </w:pPr>
    </w:p>
    <w:p>
      <w:pPr>
        <w:pStyle w:val="BodyText"/>
        <w:spacing w:before="1"/>
        <w:ind w:left="673"/>
      </w:pPr>
      <w:r>
        <w:rPr/>
        <w:t>At present, I see three main reasons why any further tightening is likely to be gradual rather than abrupt</w:t>
      </w:r>
      <w:r>
        <w:rPr>
          <w:vertAlign w:val="superscript"/>
        </w:rPr>
        <w:t>17</w:t>
      </w:r>
      <w:r>
        <w:rPr>
          <w:vertAlign w:val="baseline"/>
        </w:rPr>
        <w:t>.</w:t>
      </w:r>
    </w:p>
    <w:p>
      <w:pPr>
        <w:pStyle w:val="BodyText"/>
        <w:spacing w:before="9"/>
        <w:rPr>
          <w:sz w:val="38"/>
        </w:rPr>
      </w:pPr>
    </w:p>
    <w:p>
      <w:pPr>
        <w:spacing w:before="0"/>
        <w:ind w:left="673" w:right="0" w:firstLine="0"/>
        <w:jc w:val="left"/>
        <w:rPr>
          <w:b/>
          <w:sz w:val="20"/>
        </w:rPr>
      </w:pPr>
      <w:r>
        <w:rPr>
          <w:sz w:val="20"/>
        </w:rPr>
        <w:t>The first is that it seems likely that the </w:t>
      </w:r>
      <w:r>
        <w:rPr>
          <w:b/>
          <w:sz w:val="20"/>
        </w:rPr>
        <w:t>neutral interest rate itself will gradually rise somewhat over time</w:t>
      </w:r>
    </w:p>
    <w:p>
      <w:pPr>
        <w:pStyle w:val="ListParagraph"/>
        <w:numPr>
          <w:ilvl w:val="0"/>
          <w:numId w:val="1"/>
        </w:numPr>
        <w:tabs>
          <w:tab w:pos="842" w:val="left" w:leader="none"/>
        </w:tabs>
        <w:spacing w:line="355" w:lineRule="auto" w:before="114" w:after="0"/>
        <w:ind w:left="673" w:right="1365" w:firstLine="0"/>
        <w:jc w:val="left"/>
        <w:rPr>
          <w:sz w:val="20"/>
        </w:rPr>
      </w:pPr>
      <w:r>
        <w:rPr>
          <w:sz w:val="20"/>
        </w:rPr>
        <w:t>while remaining well below pre-crisis norms – as some cyclical factors that are depressing it fade further, for example through higher productivity growth, stronger global capital spending, shifts in fiscal policy and credit spreads, plus the declining impact on risk aversion of the financial crisis</w:t>
      </w:r>
      <w:r>
        <w:rPr>
          <w:sz w:val="20"/>
          <w:vertAlign w:val="superscript"/>
        </w:rPr>
        <w:t>18</w:t>
      </w:r>
      <w:r>
        <w:rPr>
          <w:sz w:val="20"/>
          <w:vertAlign w:val="baseline"/>
        </w:rPr>
        <w:t>. With slack close to</w:t>
      </w:r>
      <w:r>
        <w:rPr>
          <w:spacing w:val="-26"/>
          <w:sz w:val="20"/>
          <w:vertAlign w:val="baseline"/>
        </w:rPr>
        <w:t> </w:t>
      </w:r>
      <w:r>
        <w:rPr>
          <w:sz w:val="20"/>
          <w:vertAlign w:val="baseline"/>
        </w:rPr>
        <w:t>being</w:t>
      </w:r>
    </w:p>
    <w:p>
      <w:pPr>
        <w:pStyle w:val="BodyText"/>
        <w:spacing w:before="7"/>
        <w:rPr>
          <w:sz w:val="26"/>
        </w:rPr>
      </w:pPr>
      <w:r>
        <w:rPr/>
        <w:pict>
          <v:shape style="position:absolute;margin-left:56.664001pt;margin-top:17.509882pt;width:144.050pt;height:.1pt;mso-position-horizontal-relative:page;mso-position-vertical-relative:paragraph;z-index:-251653120;mso-wrap-distance-left:0;mso-wrap-distance-right:0" coordorigin="1133,350" coordsize="2881,0" path="m1133,350l4014,350e" filled="false" stroked="true" strokeweight=".48004pt" strokecolor="#000000">
            <v:path arrowok="t"/>
            <v:stroke dashstyle="solid"/>
            <w10:wrap type="topAndBottom"/>
          </v:shape>
        </w:pict>
      </w:r>
    </w:p>
    <w:p>
      <w:pPr>
        <w:spacing w:line="196" w:lineRule="exact" w:before="30"/>
        <w:ind w:left="673" w:right="0" w:firstLine="0"/>
        <w:jc w:val="left"/>
        <w:rPr>
          <w:sz w:val="16"/>
        </w:rPr>
      </w:pPr>
      <w:r>
        <w:rPr>
          <w:position w:val="8"/>
          <w:sz w:val="10"/>
        </w:rPr>
        <w:t>15 </w:t>
      </w:r>
      <w:r>
        <w:rPr>
          <w:sz w:val="16"/>
        </w:rPr>
        <w:t>See Borio et al (2017) for a contrary view.</w:t>
      </w:r>
    </w:p>
    <w:p>
      <w:pPr>
        <w:spacing w:line="182" w:lineRule="exact" w:before="16"/>
        <w:ind w:left="673" w:right="1218" w:firstLine="0"/>
        <w:jc w:val="left"/>
        <w:rPr>
          <w:sz w:val="16"/>
        </w:rPr>
      </w:pPr>
      <w:r>
        <w:rPr>
          <w:position w:val="8"/>
          <w:sz w:val="10"/>
        </w:rPr>
        <w:t>16 </w:t>
      </w:r>
      <w:r>
        <w:rPr>
          <w:sz w:val="16"/>
        </w:rPr>
        <w:t>The ratio of debt/GDP for the private non-financial sector fell from 207% in Q1 2009 to 164% in Q2 2015 and has since edged up to 171% in Q4 2017.</w:t>
      </w:r>
    </w:p>
    <w:p>
      <w:pPr>
        <w:spacing w:line="171" w:lineRule="exact" w:before="0"/>
        <w:ind w:left="673" w:right="0" w:firstLine="0"/>
        <w:jc w:val="left"/>
        <w:rPr>
          <w:sz w:val="16"/>
        </w:rPr>
      </w:pPr>
      <w:r>
        <w:rPr>
          <w:position w:val="8"/>
          <w:sz w:val="10"/>
        </w:rPr>
        <w:t>17 </w:t>
      </w:r>
      <w:r>
        <w:rPr>
          <w:sz w:val="16"/>
        </w:rPr>
        <w:t>See also the box on pages 8-9 of the Inflation Report of February 2014.</w:t>
      </w:r>
    </w:p>
    <w:p>
      <w:pPr>
        <w:spacing w:line="196" w:lineRule="exact" w:before="0"/>
        <w:ind w:left="673" w:right="0" w:firstLine="0"/>
        <w:jc w:val="left"/>
        <w:rPr>
          <w:sz w:val="16"/>
        </w:rPr>
      </w:pPr>
      <w:r>
        <w:rPr>
          <w:position w:val="8"/>
          <w:sz w:val="10"/>
        </w:rPr>
        <w:t>18 </w:t>
      </w:r>
      <w:r>
        <w:rPr>
          <w:sz w:val="16"/>
        </w:rPr>
        <w:t>See Carney (2017), Vlieghe (2017), Tenreyro (2018).</w:t>
      </w:r>
    </w:p>
    <w:p>
      <w:pPr>
        <w:spacing w:after="0" w:line="196" w:lineRule="exact"/>
        <w:jc w:val="left"/>
        <w:rPr>
          <w:sz w:val="16"/>
        </w:rPr>
        <w:sectPr>
          <w:footerReference w:type="default" r:id="rId11"/>
          <w:pgSz w:w="11910" w:h="16840"/>
          <w:pgMar w:footer="1338" w:header="0" w:top="1580" w:bottom="1520" w:left="460" w:right="0"/>
        </w:sectPr>
      </w:pPr>
    </w:p>
    <w:p>
      <w:pPr>
        <w:pStyle w:val="BodyText"/>
        <w:spacing w:line="355" w:lineRule="auto" w:before="129"/>
        <w:ind w:left="673" w:right="1263"/>
      </w:pPr>
      <w:r>
        <w:rPr/>
        <w:t>eliminated, the MPC would need to track that movement in the neutral rate upwards to maintain the existing policy stance, just as the Committee allowed for the drop in the neutral rate in its policy setting over recent years.</w:t>
      </w:r>
    </w:p>
    <w:p>
      <w:pPr>
        <w:pStyle w:val="BodyText"/>
        <w:spacing w:before="2"/>
        <w:rPr>
          <w:sz w:val="29"/>
        </w:rPr>
      </w:pPr>
    </w:p>
    <w:p>
      <w:pPr>
        <w:pStyle w:val="BodyText"/>
        <w:spacing w:line="355" w:lineRule="auto"/>
        <w:ind w:left="673" w:right="1133"/>
      </w:pPr>
      <w:r>
        <w:rPr/>
        <w:t>The second is that </w:t>
      </w:r>
      <w:r>
        <w:rPr>
          <w:b/>
        </w:rPr>
        <w:t>structural estimates of the output gap are probably more uncertain than usual, and we don’t at present need to move too quickly to a neutral stance</w:t>
      </w:r>
      <w:r>
        <w:rPr/>
        <w:t>. As noted previously, there are signs that the labour market is tight and that pay growth is picking up. Nevertheless, this follows several years when pay growth generally undershot consensus and BoE forecasts, even while unemployment fell more than expected. Those undershoots in pay cannot be fully explained by lower productivity growth and inflation expectations. The MPC’s judgement is that the Phillips curve has shifted down, reflecting factors including improved education attainment, changes to the tax and benefit system, more widespread under-employment, the expansion of insecure forms of employment, and a hangover of job insecurity from the recession (see figure 13)</w:t>
      </w:r>
      <w:r>
        <w:rPr>
          <w:vertAlign w:val="superscript"/>
        </w:rPr>
        <w:t>19</w:t>
      </w:r>
      <w:r>
        <w:rPr>
          <w:vertAlign w:val="baseline"/>
        </w:rPr>
        <w:t>. Taking account of this, we have lowered our estimate for the equilibrium jobless rate (U*) from 5% to 4½% in early 2017 and to 4¼% in the February 2018</w:t>
      </w:r>
      <w:r>
        <w:rPr>
          <w:spacing w:val="-1"/>
          <w:vertAlign w:val="baseline"/>
        </w:rPr>
        <w:t> </w:t>
      </w:r>
      <w:r>
        <w:rPr>
          <w:vertAlign w:val="baseline"/>
        </w:rPr>
        <w:t>IR.</w:t>
      </w:r>
    </w:p>
    <w:p>
      <w:pPr>
        <w:pStyle w:val="BodyText"/>
        <w:spacing w:before="7"/>
        <w:rPr>
          <w:sz w:val="29"/>
        </w:rPr>
      </w:pPr>
    </w:p>
    <w:p>
      <w:pPr>
        <w:pStyle w:val="BodyText"/>
        <w:spacing w:line="355" w:lineRule="auto"/>
        <w:ind w:left="673" w:right="1174"/>
      </w:pPr>
      <w:r>
        <w:rPr/>
        <w:t>With the jobless rate already at 4.2%, and no evidence of significant spare capacity in firms, that U* estimate implies there is little slack in the economy at present. Indeed, given that U* estimate, in my view there appears to me to be a slight upside risk to our forecasts for pay growth and unit labour cost growth in the next year or two, because the jobless rate seems more likely to undershoot than overshoot our forecasts (reflecting slightly higher economic growth and/or slightly lower workforce growth).</w:t>
      </w:r>
    </w:p>
    <w:p>
      <w:pPr>
        <w:pStyle w:val="BodyText"/>
        <w:spacing w:before="5"/>
        <w:rPr>
          <w:sz w:val="29"/>
        </w:rPr>
      </w:pPr>
    </w:p>
    <w:p>
      <w:pPr>
        <w:pStyle w:val="BodyText"/>
        <w:spacing w:line="355" w:lineRule="auto"/>
        <w:ind w:left="673" w:right="1218"/>
      </w:pPr>
      <w:r>
        <w:rPr/>
        <w:t>However, uncertainty over that U* estimate (and the overall extent of spare capacity) is quite high. The OECD currently estimate that U* is slightly above 5%, but their U* estimates have often been revised by a percentage point or so either way and in recent years have tended to be revised down (see figure 14)</w:t>
      </w:r>
      <w:r>
        <w:rPr>
          <w:vertAlign w:val="superscript"/>
        </w:rPr>
        <w:t>20</w:t>
      </w:r>
      <w:r>
        <w:rPr>
          <w:vertAlign w:val="baseline"/>
        </w:rPr>
        <w:t>.</w:t>
      </w:r>
    </w:p>
    <w:p>
      <w:pPr>
        <w:pStyle w:val="BodyText"/>
        <w:spacing w:line="229" w:lineRule="exact"/>
        <w:ind w:left="673"/>
      </w:pPr>
      <w:r>
        <w:rPr/>
        <w:t>Personally, I am fairly confident U* is below 5%, given that the UK jobless rate has been below 5% since</w:t>
      </w:r>
    </w:p>
    <w:p>
      <w:pPr>
        <w:pStyle w:val="BodyText"/>
        <w:spacing w:line="355" w:lineRule="auto" w:before="108"/>
        <w:ind w:left="673" w:right="1080"/>
      </w:pPr>
      <w:r>
        <w:rPr/>
        <w:t>late-2015 with only a modest pickup in pay growth. I agree with 4¼% as a central estimate for U*, but it is not inconceivable that U* is lower (or will fall further over time)</w:t>
      </w:r>
      <w:r>
        <w:rPr>
          <w:vertAlign w:val="superscript"/>
        </w:rPr>
        <w:t>21</w:t>
      </w:r>
      <w:r>
        <w:rPr>
          <w:vertAlign w:val="baseline"/>
        </w:rPr>
        <w:t>. After all, the jobless rate has been below 4% in SE England since mid-2015, and in SW England since mid-2016 (recently also East England and Northern Ireland) without, so far, strong pay growth in those regions. Indeed, some might argue that estimates of U* and the output gap are too unstable to predict wage growth and inflation pressures over the horizon the MPC care about</w:t>
      </w:r>
      <w:r>
        <w:rPr>
          <w:vertAlign w:val="superscript"/>
        </w:rPr>
        <w:t>22</w:t>
      </w:r>
      <w:r>
        <w:rPr>
          <w:vertAlign w:val="baseline"/>
        </w:rPr>
        <w:t>.</w:t>
      </w:r>
    </w:p>
    <w:p>
      <w:pPr>
        <w:pStyle w:val="BodyText"/>
        <w:spacing w:before="5"/>
        <w:rPr>
          <w:sz w:val="29"/>
        </w:rPr>
      </w:pPr>
    </w:p>
    <w:p>
      <w:pPr>
        <w:pStyle w:val="BodyText"/>
        <w:spacing w:line="355" w:lineRule="auto"/>
        <w:ind w:left="673" w:right="1218"/>
      </w:pPr>
      <w:r>
        <w:rPr/>
        <w:t>There will inevitably be considerable uncertainty about this until we see a sustained period in which low unemployment does produce the expected pickup in pay and unit labour cost growth.</w:t>
      </w:r>
    </w:p>
    <w:p>
      <w:pPr>
        <w:pStyle w:val="BodyText"/>
      </w:pPr>
    </w:p>
    <w:p>
      <w:pPr>
        <w:pStyle w:val="BodyText"/>
      </w:pPr>
    </w:p>
    <w:p>
      <w:pPr>
        <w:pStyle w:val="BodyText"/>
      </w:pPr>
    </w:p>
    <w:p>
      <w:pPr>
        <w:pStyle w:val="BodyText"/>
        <w:spacing w:before="4"/>
        <w:rPr>
          <w:sz w:val="12"/>
        </w:rPr>
      </w:pPr>
      <w:r>
        <w:rPr/>
        <w:pict>
          <v:shape style="position:absolute;margin-left:56.664001pt;margin-top:9.307139pt;width:144.050pt;height:.1pt;mso-position-horizontal-relative:page;mso-position-vertical-relative:paragraph;z-index:-251652096;mso-wrap-distance-left:0;mso-wrap-distance-right:0" coordorigin="1133,186" coordsize="2881,0" path="m1133,186l4014,186e" filled="false" stroked="true" strokeweight=".48004pt" strokecolor="#000000">
            <v:path arrowok="t"/>
            <v:stroke dashstyle="solid"/>
            <w10:wrap type="topAndBottom"/>
          </v:shape>
        </w:pict>
      </w:r>
    </w:p>
    <w:p>
      <w:pPr>
        <w:spacing w:line="211" w:lineRule="auto" w:before="48"/>
        <w:ind w:left="673" w:right="2890" w:firstLine="0"/>
        <w:jc w:val="both"/>
        <w:rPr>
          <w:sz w:val="16"/>
        </w:rPr>
      </w:pPr>
      <w:r>
        <w:rPr>
          <w:position w:val="8"/>
          <w:sz w:val="10"/>
        </w:rPr>
        <w:t>19 </w:t>
      </w:r>
      <w:r>
        <w:rPr>
          <w:sz w:val="16"/>
        </w:rPr>
        <w:t>See Gregg and Gardiner (2015), Summers (2017), and also the Inflation Reports of February 2017 and 2018. </w:t>
      </w:r>
      <w:r>
        <w:rPr>
          <w:position w:val="8"/>
          <w:sz w:val="10"/>
        </w:rPr>
        <w:t>20 </w:t>
      </w:r>
      <w:r>
        <w:rPr>
          <w:sz w:val="16"/>
        </w:rPr>
        <w:t>Similarly, output gap estimates by the OECD and IMF also have been prone to substantial revision over time. </w:t>
      </w:r>
      <w:r>
        <w:rPr>
          <w:position w:val="8"/>
          <w:sz w:val="10"/>
        </w:rPr>
        <w:t>21 </w:t>
      </w:r>
      <w:r>
        <w:rPr>
          <w:sz w:val="16"/>
        </w:rPr>
        <w:t>See Bell and Blanchflower (2018), and Hong et al</w:t>
      </w:r>
      <w:r>
        <w:rPr>
          <w:spacing w:val="-16"/>
          <w:sz w:val="16"/>
        </w:rPr>
        <w:t> </w:t>
      </w:r>
      <w:r>
        <w:rPr>
          <w:sz w:val="16"/>
        </w:rPr>
        <w:t>(2018).</w:t>
      </w:r>
    </w:p>
    <w:p>
      <w:pPr>
        <w:spacing w:line="185" w:lineRule="exact" w:before="0"/>
        <w:ind w:left="673" w:right="0" w:firstLine="0"/>
        <w:jc w:val="both"/>
        <w:rPr>
          <w:sz w:val="16"/>
        </w:rPr>
      </w:pPr>
      <w:r>
        <w:rPr>
          <w:position w:val="8"/>
          <w:sz w:val="10"/>
        </w:rPr>
        <w:t>22  </w:t>
      </w:r>
      <w:r>
        <w:rPr>
          <w:sz w:val="16"/>
        </w:rPr>
        <w:t>See, for example, Farmer (2013) and Wren-Lewis</w:t>
      </w:r>
      <w:r>
        <w:rPr>
          <w:spacing w:val="-28"/>
          <w:sz w:val="16"/>
        </w:rPr>
        <w:t> </w:t>
      </w:r>
      <w:r>
        <w:rPr>
          <w:sz w:val="16"/>
        </w:rPr>
        <w:t>(2018).</w:t>
      </w:r>
    </w:p>
    <w:p>
      <w:pPr>
        <w:spacing w:after="0" w:line="185" w:lineRule="exact"/>
        <w:jc w:val="both"/>
        <w:rPr>
          <w:sz w:val="16"/>
        </w:rPr>
        <w:sectPr>
          <w:footerReference w:type="default" r:id="rId12"/>
          <w:pgSz w:w="11910" w:h="16840"/>
          <w:pgMar w:footer="1338" w:header="0" w:top="1580" w:bottom="1520" w:left="460" w:right="0"/>
        </w:sectPr>
      </w:pPr>
    </w:p>
    <w:p>
      <w:pPr>
        <w:pStyle w:val="BodyText"/>
        <w:spacing w:line="355" w:lineRule="auto" w:before="129"/>
        <w:ind w:left="673" w:right="1140"/>
      </w:pPr>
      <w:r>
        <w:rPr/>
        <w:t>What this means in practice is that we look at a range of data – surveys and cost and price data as well as labour market quantities – to inform our view of spare capacity, and do not treat any one structural estimate as a certain guide to policy. Moreover, our view of spare capacity should evolve gradually in response to data, acknowledging the risk that noise can be interpreted as signal. You could think of this as constructing a best estimate of the output gap from a range of variables, including cost and price data, and setting policy in accordance with that</w:t>
      </w:r>
      <w:r>
        <w:rPr>
          <w:vertAlign w:val="superscript"/>
        </w:rPr>
        <w:t>23</w:t>
      </w:r>
      <w:r>
        <w:rPr>
          <w:vertAlign w:val="baseline"/>
        </w:rPr>
        <w:t>. Hence if, for the sake of example, the growth of pay and unit labour costs were to show a sustained further pick up over time – in line with our forecasts – and other indicators continue to point to a tight labour market, then I would become more confident that there is little spare capacity and the case for moving to a neutral stance would gradually strengthen. This, like the possibility of a gradual rise in the neutral rate, could produce a gradual tightening path even if the Committee does not have a particular preference for gradualism</w:t>
      </w:r>
      <w:r>
        <w:rPr>
          <w:vertAlign w:val="superscript"/>
        </w:rPr>
        <w:t>24</w:t>
      </w:r>
      <w:r>
        <w:rPr>
          <w:vertAlign w:val="baseline"/>
        </w:rPr>
        <w:t>.</w:t>
      </w:r>
    </w:p>
    <w:p>
      <w:pPr>
        <w:pStyle w:val="BodyText"/>
        <w:spacing w:before="1"/>
        <w:rPr>
          <w:sz w:val="29"/>
        </w:rPr>
      </w:pPr>
    </w:p>
    <w:p>
      <w:pPr>
        <w:spacing w:line="352" w:lineRule="auto" w:before="0"/>
        <w:ind w:left="673" w:right="1227" w:firstLine="0"/>
        <w:jc w:val="left"/>
        <w:rPr>
          <w:sz w:val="20"/>
        </w:rPr>
      </w:pPr>
      <w:r>
        <w:rPr>
          <w:sz w:val="20"/>
        </w:rPr>
        <w:t>The third reason is more to do with a preference for gradualism itself, because the </w:t>
      </w:r>
      <w:r>
        <w:rPr>
          <w:b/>
          <w:sz w:val="20"/>
        </w:rPr>
        <w:t>economy's response to changes in interest rates, especially rises, is more uncertain than usual</w:t>
      </w:r>
      <w:r>
        <w:rPr>
          <w:sz w:val="20"/>
        </w:rPr>
        <w:t>.</w:t>
      </w:r>
    </w:p>
    <w:p>
      <w:pPr>
        <w:pStyle w:val="BodyText"/>
        <w:spacing w:before="1"/>
        <w:rPr>
          <w:sz w:val="30"/>
        </w:rPr>
      </w:pPr>
    </w:p>
    <w:p>
      <w:pPr>
        <w:pStyle w:val="BodyText"/>
        <w:spacing w:line="355" w:lineRule="auto"/>
        <w:ind w:left="673" w:right="1162"/>
      </w:pPr>
      <w:r>
        <w:rPr/>
        <w:t>We have reasonable estimates, based on historic experience, of how the economy usually reacts to policy rate changes (see Figure 15). These effects operate through a range of channels, including cash flow effects on debtors, intertemporal substitution among consumers and businesses, changes in asset prices and interest rate expectations and so forth.</w:t>
      </w:r>
    </w:p>
    <w:p>
      <w:pPr>
        <w:pStyle w:val="BodyText"/>
        <w:spacing w:before="4"/>
        <w:rPr>
          <w:sz w:val="29"/>
        </w:rPr>
      </w:pPr>
    </w:p>
    <w:p>
      <w:pPr>
        <w:pStyle w:val="BodyText"/>
        <w:spacing w:line="355" w:lineRule="auto"/>
        <w:ind w:left="673" w:right="1296"/>
      </w:pPr>
      <w:r>
        <w:rPr/>
        <w:t>My central expectation is that these estimates remain valid</w:t>
      </w:r>
      <w:r>
        <w:rPr>
          <w:vertAlign w:val="superscript"/>
        </w:rPr>
        <w:t>25</w:t>
      </w:r>
      <w:r>
        <w:rPr>
          <w:vertAlign w:val="baseline"/>
        </w:rPr>
        <w:t>. However, there is more uncertainty than normal over this, given that it is more than 10 years since the economy last faced rising rates, in 2006-07</w:t>
      </w:r>
      <w:r>
        <w:rPr>
          <w:vertAlign w:val="superscript"/>
        </w:rPr>
        <w:t>26</w:t>
      </w:r>
      <w:r>
        <w:rPr>
          <w:vertAlign w:val="baseline"/>
        </w:rPr>
        <w:t>. The economy’s structure has changed in many ways since then.</w:t>
      </w:r>
    </w:p>
    <w:p>
      <w:pPr>
        <w:pStyle w:val="BodyText"/>
        <w:spacing w:before="1"/>
      </w:pPr>
    </w:p>
    <w:p>
      <w:pPr>
        <w:pStyle w:val="ListParagraph"/>
        <w:numPr>
          <w:ilvl w:val="1"/>
          <w:numId w:val="1"/>
        </w:numPr>
        <w:tabs>
          <w:tab w:pos="1393" w:val="left" w:leader="none"/>
          <w:tab w:pos="1394" w:val="left" w:leader="none"/>
        </w:tabs>
        <w:spacing w:line="307" w:lineRule="auto" w:before="0" w:after="0"/>
        <w:ind w:left="1393" w:right="1175" w:hanging="360"/>
        <w:jc w:val="left"/>
        <w:rPr>
          <w:sz w:val="20"/>
        </w:rPr>
      </w:pPr>
      <w:r>
        <w:rPr>
          <w:sz w:val="20"/>
        </w:rPr>
        <w:t>Retail deposit rates, which usually are a little below Bank Rate, fell a little less than the policy rate</w:t>
      </w:r>
      <w:r>
        <w:rPr>
          <w:spacing w:val="-34"/>
          <w:sz w:val="20"/>
        </w:rPr>
        <w:t> </w:t>
      </w:r>
      <w:r>
        <w:rPr>
          <w:sz w:val="20"/>
        </w:rPr>
        <w:t>on the way down because of the perceived zero bound; in order to restore the usual spreads, they may initially rise less in response to increases in Bank</w:t>
      </w:r>
      <w:r>
        <w:rPr>
          <w:spacing w:val="-2"/>
          <w:sz w:val="20"/>
        </w:rPr>
        <w:t> </w:t>
      </w:r>
      <w:r>
        <w:rPr>
          <w:sz w:val="20"/>
        </w:rPr>
        <w:t>Rate.</w:t>
      </w:r>
    </w:p>
    <w:p>
      <w:pPr>
        <w:pStyle w:val="ListParagraph"/>
        <w:numPr>
          <w:ilvl w:val="1"/>
          <w:numId w:val="1"/>
        </w:numPr>
        <w:tabs>
          <w:tab w:pos="1393" w:val="left" w:leader="none"/>
          <w:tab w:pos="1394" w:val="left" w:leader="none"/>
        </w:tabs>
        <w:spacing w:line="309" w:lineRule="auto" w:before="127" w:after="0"/>
        <w:ind w:left="1393" w:right="1175" w:hanging="360"/>
        <w:jc w:val="left"/>
        <w:rPr>
          <w:sz w:val="20"/>
        </w:rPr>
      </w:pPr>
      <w:r>
        <w:rPr>
          <w:sz w:val="20"/>
        </w:rPr>
        <w:t>The share of households with a mortgage is down to just 29% from 40% in 2007</w:t>
      </w:r>
      <w:r>
        <w:rPr>
          <w:sz w:val="20"/>
          <w:vertAlign w:val="superscript"/>
        </w:rPr>
        <w:t>27</w:t>
      </w:r>
      <w:r>
        <w:rPr>
          <w:sz w:val="20"/>
          <w:vertAlign w:val="baseline"/>
        </w:rPr>
        <w:t>, the lowest for over 35 years (see figure 16). This ratio has fallen more in the UK over this period than any other</w:t>
      </w:r>
      <w:r>
        <w:rPr>
          <w:spacing w:val="-29"/>
          <w:sz w:val="20"/>
          <w:vertAlign w:val="baseline"/>
        </w:rPr>
        <w:t> </w:t>
      </w:r>
      <w:r>
        <w:rPr>
          <w:sz w:val="20"/>
          <w:vertAlign w:val="baseline"/>
        </w:rPr>
        <w:t>EU country</w:t>
      </w:r>
      <w:r>
        <w:rPr>
          <w:sz w:val="20"/>
          <w:vertAlign w:val="superscript"/>
        </w:rPr>
        <w:t>28</w:t>
      </w:r>
      <w:r>
        <w:rPr>
          <w:sz w:val="20"/>
          <w:vertAlign w:val="baseline"/>
        </w:rPr>
        <w:t>. The share of households that have a mortgage and also have low levels of liquid assets has fallen from 14% in 2011 to 8% in 2017</w:t>
      </w:r>
      <w:r>
        <w:rPr>
          <w:sz w:val="20"/>
          <w:vertAlign w:val="superscript"/>
        </w:rPr>
        <w:t>29</w:t>
      </w:r>
      <w:r>
        <w:rPr>
          <w:sz w:val="20"/>
          <w:vertAlign w:val="baseline"/>
        </w:rPr>
        <w:t>. These trends may reduce the impact of changing interest rates, because rate moves tend to produce a bigger adjustment in spending</w:t>
      </w:r>
      <w:r>
        <w:rPr>
          <w:spacing w:val="-16"/>
          <w:sz w:val="20"/>
          <w:vertAlign w:val="baseline"/>
        </w:rPr>
        <w:t> </w:t>
      </w:r>
      <w:r>
        <w:rPr>
          <w:sz w:val="20"/>
          <w:vertAlign w:val="baseline"/>
        </w:rPr>
        <w:t>among</w:t>
      </w:r>
    </w:p>
    <w:p>
      <w:pPr>
        <w:pStyle w:val="BodyText"/>
        <w:spacing w:before="3"/>
        <w:rPr>
          <w:sz w:val="29"/>
        </w:rPr>
      </w:pPr>
      <w:r>
        <w:rPr/>
        <w:pict>
          <v:shape style="position:absolute;margin-left:56.664001pt;margin-top:19.0667pt;width:144.050pt;height:.1pt;mso-position-horizontal-relative:page;mso-position-vertical-relative:paragraph;z-index:-251651072;mso-wrap-distance-left:0;mso-wrap-distance-right:0" coordorigin="1133,381" coordsize="2881,0" path="m1133,381l4014,381e" filled="false" stroked="true" strokeweight=".47998pt" strokecolor="#000000">
            <v:path arrowok="t"/>
            <v:stroke dashstyle="solid"/>
            <w10:wrap type="topAndBottom"/>
          </v:shape>
        </w:pict>
      </w:r>
    </w:p>
    <w:p>
      <w:pPr>
        <w:spacing w:line="195" w:lineRule="exact" w:before="30"/>
        <w:ind w:left="673" w:right="0" w:firstLine="0"/>
        <w:jc w:val="left"/>
        <w:rPr>
          <w:sz w:val="16"/>
        </w:rPr>
      </w:pPr>
      <w:r>
        <w:rPr>
          <w:position w:val="8"/>
          <w:sz w:val="10"/>
        </w:rPr>
        <w:t>23 </w:t>
      </w:r>
      <w:r>
        <w:rPr>
          <w:sz w:val="16"/>
        </w:rPr>
        <w:t>See Svensson and Woodford (2000) and (2002), Orphanides (2003), Orphanides and Williams (2007).</w:t>
      </w:r>
    </w:p>
    <w:p>
      <w:pPr>
        <w:spacing w:line="186" w:lineRule="exact" w:before="12"/>
        <w:ind w:left="673" w:right="1457" w:firstLine="0"/>
        <w:jc w:val="left"/>
        <w:rPr>
          <w:sz w:val="16"/>
        </w:rPr>
      </w:pPr>
      <w:r>
        <w:rPr>
          <w:position w:val="8"/>
          <w:sz w:val="10"/>
        </w:rPr>
        <w:t>24 </w:t>
      </w:r>
      <w:r>
        <w:rPr>
          <w:sz w:val="16"/>
        </w:rPr>
        <w:t>See Goodhart (1998) and (2004) for a discussion of how the MPC has tended to move policy in response to changes in economic conditions that unfold gradually.</w:t>
      </w:r>
    </w:p>
    <w:p>
      <w:pPr>
        <w:spacing w:line="168" w:lineRule="exact" w:before="0"/>
        <w:ind w:left="673" w:right="0" w:firstLine="0"/>
        <w:jc w:val="left"/>
        <w:rPr>
          <w:sz w:val="16"/>
        </w:rPr>
      </w:pPr>
      <w:r>
        <w:rPr>
          <w:position w:val="8"/>
          <w:sz w:val="10"/>
        </w:rPr>
        <w:t>25 </w:t>
      </w:r>
      <w:r>
        <w:rPr>
          <w:sz w:val="16"/>
        </w:rPr>
        <w:t>See box on pages 18-21 of Inflation Report of November 2017.</w:t>
      </w:r>
    </w:p>
    <w:p>
      <w:pPr>
        <w:spacing w:line="184" w:lineRule="exact" w:before="14"/>
        <w:ind w:left="673" w:right="1218" w:firstLine="0"/>
        <w:jc w:val="left"/>
        <w:rPr>
          <w:sz w:val="16"/>
        </w:rPr>
      </w:pPr>
      <w:r>
        <w:rPr>
          <w:position w:val="8"/>
          <w:sz w:val="10"/>
        </w:rPr>
        <w:t>26 </w:t>
      </w:r>
      <w:r>
        <w:rPr>
          <w:sz w:val="16"/>
        </w:rPr>
        <w:t>The MPC usually did not highlight uncertainty over the impact of monetary policy changes in the pre-crisis period, although the November 2003 minutes did highlight uncertainties stemming from the rise in household debt burdens.</w:t>
      </w:r>
    </w:p>
    <w:p>
      <w:pPr>
        <w:spacing w:line="169" w:lineRule="exact" w:before="0"/>
        <w:ind w:left="673" w:right="0" w:firstLine="0"/>
        <w:jc w:val="left"/>
        <w:rPr>
          <w:sz w:val="16"/>
        </w:rPr>
      </w:pPr>
      <w:r>
        <w:rPr>
          <w:position w:val="8"/>
          <w:sz w:val="10"/>
        </w:rPr>
        <w:t>27 </w:t>
      </w:r>
      <w:r>
        <w:rPr>
          <w:sz w:val="16"/>
        </w:rPr>
        <w:t>The latest figure is for England in 2015-16, according to the English Housing Survey.</w:t>
      </w:r>
    </w:p>
    <w:p>
      <w:pPr>
        <w:spacing w:line="184" w:lineRule="exact" w:before="15"/>
        <w:ind w:left="673" w:right="1262" w:firstLine="0"/>
        <w:jc w:val="left"/>
        <w:rPr>
          <w:sz w:val="16"/>
        </w:rPr>
      </w:pPr>
      <w:r>
        <w:rPr>
          <w:position w:val="8"/>
          <w:sz w:val="10"/>
        </w:rPr>
        <w:t>28</w:t>
      </w:r>
      <w:r>
        <w:rPr>
          <w:sz w:val="16"/>
        </w:rPr>
        <w:t>This ratio has fallen by 11pp in the UK. The biggest drop among other EU countries is for Denmark, a decline of between 4 and 5 pp. For the EU and Euro Area as a whole, the share of households with a mortgage has risen slightly over this period.</w:t>
      </w:r>
    </w:p>
    <w:p>
      <w:pPr>
        <w:spacing w:line="180" w:lineRule="exact" w:before="0"/>
        <w:ind w:left="673" w:right="0" w:firstLine="0"/>
        <w:jc w:val="left"/>
        <w:rPr>
          <w:sz w:val="16"/>
        </w:rPr>
      </w:pPr>
      <w:r>
        <w:rPr>
          <w:position w:val="8"/>
          <w:sz w:val="10"/>
        </w:rPr>
        <w:t>29 </w:t>
      </w:r>
      <w:r>
        <w:rPr>
          <w:sz w:val="16"/>
        </w:rPr>
        <w:t>For households with the head of household aged below 45 years, the share with a mortgage has fallen from 60% in 2001 and 56% in</w:t>
      </w:r>
    </w:p>
    <w:p>
      <w:pPr>
        <w:spacing w:before="1"/>
        <w:ind w:left="673" w:right="1133" w:firstLine="0"/>
        <w:jc w:val="left"/>
        <w:rPr>
          <w:sz w:val="16"/>
        </w:rPr>
      </w:pPr>
      <w:r>
        <w:rPr>
          <w:sz w:val="16"/>
        </w:rPr>
        <w:t>2006 to 39% in 2015/16 (England only). Among people with a mortgage, the share with low levels of liquid assets has fallen from 39% in 2011 and 38% in 2013 to 31% in 2017.</w:t>
      </w:r>
    </w:p>
    <w:p>
      <w:pPr>
        <w:spacing w:after="0"/>
        <w:jc w:val="left"/>
        <w:rPr>
          <w:sz w:val="16"/>
        </w:rPr>
        <w:sectPr>
          <w:footerReference w:type="default" r:id="rId13"/>
          <w:pgSz w:w="11910" w:h="16840"/>
          <w:pgMar w:footer="1338" w:header="0" w:top="1580" w:bottom="1520" w:left="460" w:right="0"/>
        </w:sectPr>
      </w:pPr>
    </w:p>
    <w:p>
      <w:pPr>
        <w:pStyle w:val="BodyText"/>
        <w:spacing w:line="312" w:lineRule="auto" w:before="79"/>
        <w:ind w:left="1393" w:right="1187"/>
      </w:pPr>
      <w:r>
        <w:rPr/>
        <w:t>households with a mortgage than among the rest of the population – and especially mortgagors who have relatively low liquid assets</w:t>
      </w:r>
      <w:r>
        <w:rPr>
          <w:vertAlign w:val="superscript"/>
        </w:rPr>
        <w:t>30</w:t>
      </w:r>
      <w:r>
        <w:rPr>
          <w:vertAlign w:val="baseline"/>
        </w:rPr>
        <w:t>.</w:t>
      </w:r>
    </w:p>
    <w:p>
      <w:pPr>
        <w:pStyle w:val="ListParagraph"/>
        <w:numPr>
          <w:ilvl w:val="1"/>
          <w:numId w:val="1"/>
        </w:numPr>
        <w:tabs>
          <w:tab w:pos="1393" w:val="left" w:leader="none"/>
          <w:tab w:pos="1394" w:val="left" w:leader="none"/>
        </w:tabs>
        <w:spacing w:line="307" w:lineRule="auto" w:before="120" w:after="0"/>
        <w:ind w:left="1393" w:right="1136" w:hanging="360"/>
        <w:jc w:val="left"/>
        <w:rPr>
          <w:sz w:val="20"/>
        </w:rPr>
      </w:pPr>
      <w:r>
        <w:rPr>
          <w:sz w:val="20"/>
        </w:rPr>
        <w:t>The adjustment to interest rate changes might be slower than previously, given that the share of mortgages with a fixed interest rate has risen from 34% on average in 2004-06 to 61% now</w:t>
      </w:r>
      <w:r>
        <w:rPr>
          <w:sz w:val="20"/>
          <w:vertAlign w:val="superscript"/>
        </w:rPr>
        <w:t>31</w:t>
      </w:r>
      <w:r>
        <w:rPr>
          <w:sz w:val="20"/>
          <w:vertAlign w:val="baseline"/>
        </w:rPr>
        <w:t> and the normal level of mortgage transactions for house purchases is about 40% lower than it was</w:t>
      </w:r>
      <w:r>
        <w:rPr>
          <w:spacing w:val="-20"/>
          <w:sz w:val="20"/>
          <w:vertAlign w:val="baseline"/>
        </w:rPr>
        <w:t> </w:t>
      </w:r>
      <w:r>
        <w:rPr>
          <w:sz w:val="20"/>
          <w:vertAlign w:val="baseline"/>
        </w:rPr>
        <w:t>then.</w:t>
      </w:r>
    </w:p>
    <w:p>
      <w:pPr>
        <w:pStyle w:val="ListParagraph"/>
        <w:numPr>
          <w:ilvl w:val="1"/>
          <w:numId w:val="1"/>
        </w:numPr>
        <w:tabs>
          <w:tab w:pos="1393" w:val="left" w:leader="none"/>
          <w:tab w:pos="1394" w:val="left" w:leader="none"/>
        </w:tabs>
        <w:spacing w:line="312" w:lineRule="auto" w:before="128" w:after="0"/>
        <w:ind w:left="1393" w:right="1204" w:hanging="360"/>
        <w:jc w:val="left"/>
        <w:rPr>
          <w:sz w:val="20"/>
        </w:rPr>
      </w:pPr>
      <w:r>
        <w:rPr>
          <w:sz w:val="20"/>
        </w:rPr>
        <w:t>It is uncertain how the psychology of borrowers and lenders will respond to rising rates, given that it is so long since rates have risen and around one quarter of mortgagors have never faced a series of rate rises. Borrowers and lenders might over-react, interpreting even a modest rise in Bank Rate as a sign that interest rates are headed back to pre-crisis norms. Or, even if peoples’ interest rate expectations do not change much, their spending decisions may be more sensitive to interest rate rises than previously, for example if people regard any interest rate rise as a precursor to severe weakness in the economy (as in 2008-09). </w:t>
      </w:r>
      <w:r>
        <w:rPr>
          <w:rFonts w:ascii="Calibri" w:hAnsi="Calibri"/>
          <w:sz w:val="22"/>
        </w:rPr>
        <w:t>Moreover</w:t>
      </w:r>
      <w:r>
        <w:rPr>
          <w:sz w:val="20"/>
        </w:rPr>
        <w:t>, while fewer households have a mortgage, the share of new mortgages that have relatively high loan-to-income ratios has risen markedly – and hence decisions of whether to borrow may be more sensitive to changes in interest rate expectations</w:t>
      </w:r>
      <w:r>
        <w:rPr>
          <w:sz w:val="20"/>
          <w:vertAlign w:val="superscript"/>
        </w:rPr>
        <w:t>32</w:t>
      </w:r>
      <w:r>
        <w:rPr>
          <w:sz w:val="20"/>
          <w:vertAlign w:val="baseline"/>
        </w:rPr>
        <w:t>.</w:t>
      </w:r>
    </w:p>
    <w:p>
      <w:pPr>
        <w:pStyle w:val="BodyText"/>
        <w:spacing w:line="355" w:lineRule="auto" w:before="223"/>
        <w:ind w:left="673" w:right="1146"/>
      </w:pPr>
      <w:r>
        <w:rPr/>
        <w:t>So far, recent evidence does not suggest that monetary policy changes have a bigger effect on the economy than usual. The boost to growth from the mid-2016 easing seemed to be roughly as expected. The pass through to household interest rates from the late-2017 tightening so far has been broadly in line with historic experience, although this has been partly offset by the drop in mortgage spreads noted above. There has been little change in the share of people that believe lower interest rates would be good for themselves or the overall economy, and no repeat of the strains evident in 2006-07 (see figure 17). Household interest rate expectations have risen only modestly, and do not anticipate a return to pre-crisis levels of interest rates (see figures 18 and 19). The balance of households that believe it is a good time to save – a measure that has been quite sensitive to interest rate changes in the past – has risen roughly in line with the trends seen in prior episodes of rising Bank Rate (see figure</w:t>
      </w:r>
      <w:r>
        <w:rPr>
          <w:spacing w:val="3"/>
        </w:rPr>
        <w:t> </w:t>
      </w:r>
      <w:r>
        <w:rPr/>
        <w:t>20).</w:t>
      </w:r>
    </w:p>
    <w:p>
      <w:pPr>
        <w:pStyle w:val="BodyText"/>
        <w:spacing w:before="5"/>
        <w:rPr>
          <w:sz w:val="29"/>
        </w:rPr>
      </w:pPr>
    </w:p>
    <w:p>
      <w:pPr>
        <w:pStyle w:val="BodyText"/>
        <w:spacing w:line="355" w:lineRule="auto"/>
        <w:ind w:left="673" w:right="1118"/>
      </w:pPr>
      <w:r>
        <w:rPr/>
        <w:t>Nevertheless, it is still early days and the evidence is not clear cut. For example, even with Bank Rate at just 0.5%, this “good time to save” measure is the highest since 2008 and back to its long run average (see figure 21). We have also seen that sharp – albeit probably weather-related – drop in retail sales in Q1. And it is unclear if the responses to a second rate hike will be the same as the first, or if a second hike would trigger a bigger change in interest rate expectations and spending.</w:t>
      </w:r>
    </w:p>
    <w:p>
      <w:pPr>
        <w:pStyle w:val="BodyText"/>
        <w:spacing w:before="4"/>
        <w:rPr>
          <w:sz w:val="29"/>
        </w:rPr>
      </w:pPr>
    </w:p>
    <w:p>
      <w:pPr>
        <w:pStyle w:val="BodyText"/>
        <w:spacing w:line="355" w:lineRule="auto" w:before="1"/>
        <w:ind w:left="673" w:right="1207"/>
      </w:pPr>
      <w:r>
        <w:rPr/>
        <w:t>In general, these “policy multiplier” uncertainties favour a gradual approach to interest rate changes</w:t>
      </w:r>
      <w:r>
        <w:rPr>
          <w:vertAlign w:val="superscript"/>
        </w:rPr>
        <w:t>33</w:t>
      </w:r>
      <w:r>
        <w:rPr>
          <w:vertAlign w:val="baseline"/>
        </w:rPr>
        <w:t>. When the impact of changing monetary policy is more uncertain than usual, aggressive interest rate moves would increase the likelihood that inflation ends up a long way from target. Conversely, a gradual adjustment in</w:t>
      </w:r>
    </w:p>
    <w:p>
      <w:pPr>
        <w:pStyle w:val="BodyText"/>
        <w:spacing w:before="2"/>
        <w:rPr>
          <w:sz w:val="26"/>
        </w:rPr>
      </w:pPr>
      <w:r>
        <w:rPr/>
        <w:pict>
          <v:shape style="position:absolute;margin-left:56.664001pt;margin-top:17.270479pt;width:144.050pt;height:.1pt;mso-position-horizontal-relative:page;mso-position-vertical-relative:paragraph;z-index:-251650048;mso-wrap-distance-left:0;mso-wrap-distance-right:0" coordorigin="1133,345" coordsize="2881,0" path="m1133,345l4014,345e" filled="false" stroked="true" strokeweight=".47998pt" strokecolor="#000000">
            <v:path arrowok="t"/>
            <v:stroke dashstyle="solid"/>
            <w10:wrap type="topAndBottom"/>
          </v:shape>
        </w:pict>
      </w:r>
    </w:p>
    <w:p>
      <w:pPr>
        <w:spacing w:line="196" w:lineRule="exact" w:before="27"/>
        <w:ind w:left="673" w:right="0" w:firstLine="0"/>
        <w:jc w:val="left"/>
        <w:rPr>
          <w:sz w:val="16"/>
        </w:rPr>
      </w:pPr>
      <w:r>
        <w:rPr>
          <w:position w:val="8"/>
          <w:sz w:val="10"/>
        </w:rPr>
        <w:t>30 </w:t>
      </w:r>
      <w:r>
        <w:rPr>
          <w:sz w:val="16"/>
        </w:rPr>
        <w:t>See Cloyne, Ferreira and Surico (2016)</w:t>
      </w:r>
    </w:p>
    <w:p>
      <w:pPr>
        <w:spacing w:line="185" w:lineRule="exact" w:before="0"/>
        <w:ind w:left="673" w:right="0" w:firstLine="0"/>
        <w:jc w:val="left"/>
        <w:rPr>
          <w:sz w:val="16"/>
        </w:rPr>
      </w:pPr>
      <w:r>
        <w:rPr>
          <w:position w:val="8"/>
          <w:sz w:val="10"/>
        </w:rPr>
        <w:t>31 </w:t>
      </w:r>
      <w:r>
        <w:rPr>
          <w:sz w:val="16"/>
        </w:rPr>
        <w:t>Based on data for mortgage lending by bank and building societies.</w:t>
      </w:r>
    </w:p>
    <w:p>
      <w:pPr>
        <w:spacing w:line="182" w:lineRule="exact" w:before="17"/>
        <w:ind w:left="673" w:right="1218" w:firstLine="0"/>
        <w:jc w:val="left"/>
        <w:rPr>
          <w:sz w:val="16"/>
        </w:rPr>
      </w:pPr>
      <w:r>
        <w:rPr>
          <w:position w:val="8"/>
          <w:sz w:val="10"/>
        </w:rPr>
        <w:t>32 </w:t>
      </w:r>
      <w:r>
        <w:rPr>
          <w:sz w:val="16"/>
        </w:rPr>
        <w:t>In Q1 2007, 30% of new mortgages had a high loan to income ratio, defined here as at least 4x income for a single person or 3x joint income for more than one borrower. That share is now up to 45%.</w:t>
      </w:r>
    </w:p>
    <w:p>
      <w:pPr>
        <w:spacing w:line="184" w:lineRule="exact" w:before="1"/>
        <w:ind w:left="673" w:right="1218" w:firstLine="0"/>
        <w:jc w:val="left"/>
        <w:rPr>
          <w:sz w:val="16"/>
        </w:rPr>
      </w:pPr>
      <w:r>
        <w:rPr>
          <w:position w:val="8"/>
          <w:sz w:val="10"/>
        </w:rPr>
        <w:t>33 </w:t>
      </w:r>
      <w:r>
        <w:rPr>
          <w:sz w:val="16"/>
        </w:rPr>
        <w:t>In other words, the economy may face multiplicative uncertainty, see Brainard (1967), Batini, Martin and Salmon (1999), Svensson (1999), Sack and Wieland (2000), Bernanke (2004). The preference for gradualism assumes a quadratic loss function.</w:t>
      </w:r>
    </w:p>
    <w:p>
      <w:pPr>
        <w:spacing w:after="0" w:line="184" w:lineRule="exact"/>
        <w:jc w:val="left"/>
        <w:rPr>
          <w:sz w:val="16"/>
        </w:rPr>
        <w:sectPr>
          <w:footerReference w:type="default" r:id="rId14"/>
          <w:pgSz w:w="11910" w:h="16840"/>
          <w:pgMar w:footer="1338" w:header="0" w:top="1520" w:bottom="1520" w:left="460" w:right="0"/>
          <w:pgNumType w:start="9"/>
        </w:sectPr>
      </w:pPr>
    </w:p>
    <w:p>
      <w:pPr>
        <w:pStyle w:val="BodyText"/>
        <w:spacing w:line="352" w:lineRule="auto" w:before="129"/>
        <w:ind w:left="673" w:right="1218"/>
      </w:pPr>
      <w:r>
        <w:rPr/>
        <w:t>monetary policy reduces risks of undesirably large deviations in output from potential and inflation from target. In other words, Brainard conservatism applies.</w:t>
      </w:r>
    </w:p>
    <w:p>
      <w:pPr>
        <w:pStyle w:val="BodyText"/>
        <w:spacing w:before="10"/>
        <w:rPr>
          <w:sz w:val="29"/>
        </w:rPr>
      </w:pPr>
    </w:p>
    <w:p>
      <w:pPr>
        <w:pStyle w:val="BodyText"/>
        <w:spacing w:line="355" w:lineRule="auto" w:before="1"/>
        <w:ind w:left="673" w:right="1182"/>
      </w:pPr>
      <w:r>
        <w:rPr/>
        <w:t>Note that uncertainty over the effect of monetary policy changes may not always imply gradualism. For example, if inflation tends to be very persistent, or inflation expectations are not well anchored, then policy probably should be more aggressive in reacting to changes in the outlook</w:t>
      </w:r>
      <w:r>
        <w:rPr>
          <w:vertAlign w:val="superscript"/>
        </w:rPr>
        <w:t>34</w:t>
      </w:r>
      <w:r>
        <w:rPr>
          <w:vertAlign w:val="baseline"/>
        </w:rPr>
        <w:t>. So far, inflation expectations do seem well anchored. But it is important to keep an eye on this issue.</w:t>
      </w:r>
    </w:p>
    <w:p>
      <w:pPr>
        <w:pStyle w:val="BodyText"/>
        <w:spacing w:before="4"/>
        <w:rPr>
          <w:sz w:val="29"/>
        </w:rPr>
      </w:pPr>
    </w:p>
    <w:p>
      <w:pPr>
        <w:pStyle w:val="BodyText"/>
        <w:spacing w:line="355" w:lineRule="auto"/>
        <w:ind w:left="673" w:right="1129"/>
      </w:pPr>
      <w:r>
        <w:rPr/>
        <w:t>Academic research suggests that there may be cases when financial stability arguments imply gradual interest rate changes, to reduce risks of abrupt swings in asset prices or debt service burdens</w:t>
      </w:r>
      <w:r>
        <w:rPr>
          <w:vertAlign w:val="superscript"/>
        </w:rPr>
        <w:t>35</w:t>
      </w:r>
      <w:r>
        <w:rPr>
          <w:vertAlign w:val="baseline"/>
        </w:rPr>
        <w:t>. These issues are not playing a major role in my monetary policy votes at present, other than the general policy multiplier uncertainty noted above. The FPC, rather than the MPC, is the first line of defence against financial stability problems, and the FPC’s stress tests for the banking system aim to ensure stability even in the event of sizeable interest rate changes</w:t>
      </w:r>
      <w:r>
        <w:rPr>
          <w:vertAlign w:val="superscript"/>
        </w:rPr>
        <w:t>36</w:t>
      </w:r>
      <w:r>
        <w:rPr>
          <w:vertAlign w:val="baseline"/>
        </w:rPr>
        <w:t>.</w:t>
      </w:r>
    </w:p>
    <w:p>
      <w:pPr>
        <w:pStyle w:val="BodyText"/>
        <w:spacing w:before="3"/>
        <w:rPr>
          <w:sz w:val="29"/>
        </w:rPr>
      </w:pPr>
    </w:p>
    <w:p>
      <w:pPr>
        <w:spacing w:before="0"/>
        <w:ind w:left="673" w:right="0" w:firstLine="0"/>
        <w:jc w:val="left"/>
        <w:rPr>
          <w:sz w:val="20"/>
        </w:rPr>
      </w:pPr>
      <w:r>
        <w:rPr>
          <w:sz w:val="20"/>
        </w:rPr>
        <w:t>Let me </w:t>
      </w:r>
      <w:r>
        <w:rPr>
          <w:b/>
          <w:sz w:val="20"/>
        </w:rPr>
        <w:t>summarise with a few key points</w:t>
      </w:r>
      <w:r>
        <w:rPr>
          <w:sz w:val="20"/>
        </w:rPr>
        <w:t>.</w:t>
      </w:r>
    </w:p>
    <w:p>
      <w:pPr>
        <w:pStyle w:val="BodyText"/>
        <w:rPr>
          <w:sz w:val="22"/>
        </w:rPr>
      </w:pPr>
    </w:p>
    <w:p>
      <w:pPr>
        <w:pStyle w:val="BodyText"/>
        <w:spacing w:before="3"/>
        <w:rPr>
          <w:sz w:val="17"/>
        </w:rPr>
      </w:pPr>
    </w:p>
    <w:p>
      <w:pPr>
        <w:pStyle w:val="BodyText"/>
        <w:spacing w:line="355" w:lineRule="auto"/>
        <w:ind w:left="673" w:right="1908"/>
      </w:pPr>
      <w:r>
        <w:rPr/>
        <w:t>First, the MPC’s guidance of “limited” and “gradual” reflects factors outside our control that affect the economy’s behaviour and in turn influence the appropriate monetary policy.</w:t>
      </w:r>
    </w:p>
    <w:p>
      <w:pPr>
        <w:pStyle w:val="BodyText"/>
        <w:spacing w:before="6"/>
        <w:rPr>
          <w:sz w:val="29"/>
        </w:rPr>
      </w:pPr>
    </w:p>
    <w:p>
      <w:pPr>
        <w:pStyle w:val="BodyText"/>
        <w:spacing w:line="355" w:lineRule="auto"/>
        <w:ind w:left="673" w:right="1218"/>
      </w:pPr>
      <w:r>
        <w:rPr/>
        <w:t>Second, the extent to which economic conditions push down on the neutral rate, or imply a case for gradual policy changes, is not fixed and may well vary over time. For example, the appropriate degree of gradualism might weaken somewhat if pay growth rises faster than expected or data increase our confidence that the economy’s response to rising interest rates are working as expected (the opposite also applies).</w:t>
      </w:r>
    </w:p>
    <w:p>
      <w:pPr>
        <w:pStyle w:val="BodyText"/>
        <w:spacing w:before="5"/>
        <w:rPr>
          <w:sz w:val="29"/>
        </w:rPr>
      </w:pPr>
    </w:p>
    <w:p>
      <w:pPr>
        <w:pStyle w:val="BodyText"/>
        <w:spacing w:line="355" w:lineRule="auto"/>
        <w:ind w:left="673" w:right="1218"/>
      </w:pPr>
      <w:r>
        <w:rPr/>
        <w:t>Third, “gradual” does not imply that the MPC can only raise rates at a very low frequency, such as once per year. Nor does “gradual” mean that the MPC cannot tighten faster than markets price in. Since BoE independence, the MPC has made four tightening cycles, with rates on average rising by 100bp over eight months (ie roughly 40bp per quarter)</w:t>
      </w:r>
      <w:r>
        <w:rPr>
          <w:vertAlign w:val="superscript"/>
        </w:rPr>
        <w:t>37</w:t>
      </w:r>
      <w:r>
        <w:rPr>
          <w:vertAlign w:val="baseline"/>
        </w:rPr>
        <w:t>. There is quite a wide range of paths that would qualify as gradual relative to that experience.</w:t>
      </w:r>
    </w:p>
    <w:p>
      <w:pPr>
        <w:pStyle w:val="BodyText"/>
        <w:spacing w:before="4"/>
        <w:rPr>
          <w:sz w:val="29"/>
        </w:rPr>
      </w:pPr>
    </w:p>
    <w:p>
      <w:pPr>
        <w:pStyle w:val="BodyText"/>
        <w:spacing w:line="355" w:lineRule="auto"/>
        <w:ind w:left="673" w:right="1129"/>
      </w:pPr>
      <w:r>
        <w:rPr/>
        <w:t>Fourth, “gradual” does not necessarily mean that the exact timing of rate changes must be totally predictable or signalled in advance. The MPC does not intend to create unnecessary uncertainty, and gives guidance – based on our economic forecasts – on the expected general outlook for interest rates. But I doubt that we will regularly use code words to effectively pre-announce policy decisions from meeting to meeting.</w:t>
      </w:r>
    </w:p>
    <w:p>
      <w:pPr>
        <w:pStyle w:val="BodyText"/>
        <w:spacing w:before="8"/>
        <w:rPr>
          <w:sz w:val="26"/>
        </w:rPr>
      </w:pPr>
      <w:r>
        <w:rPr/>
        <w:pict>
          <v:shape style="position:absolute;margin-left:56.664001pt;margin-top:17.575361pt;width:144.050pt;height:.1pt;mso-position-horizontal-relative:page;mso-position-vertical-relative:paragraph;z-index:-251649024;mso-wrap-distance-left:0;mso-wrap-distance-right:0" coordorigin="1133,352" coordsize="2881,0" path="m1133,352l4014,352e" filled="false" stroked="true" strokeweight=".48004pt" strokecolor="#000000">
            <v:path arrowok="t"/>
            <v:stroke dashstyle="solid"/>
            <w10:wrap type="topAndBottom"/>
          </v:shape>
        </w:pict>
      </w:r>
    </w:p>
    <w:p>
      <w:pPr>
        <w:spacing w:before="30"/>
        <w:ind w:left="673" w:right="1332" w:firstLine="0"/>
        <w:jc w:val="left"/>
        <w:rPr>
          <w:sz w:val="16"/>
        </w:rPr>
      </w:pPr>
      <w:r>
        <w:rPr>
          <w:position w:val="8"/>
          <w:sz w:val="10"/>
        </w:rPr>
        <w:t>34 </w:t>
      </w:r>
      <w:r>
        <w:rPr>
          <w:sz w:val="16"/>
        </w:rPr>
        <w:t>See Soderstrom (2000), Goodhart (2004), Moessner (2005). Angeloni et al (2003) argue that if the degree of inflation persistence is unknown, then it is preferable to assume it is more rather than less persistent.</w:t>
      </w:r>
    </w:p>
    <w:p>
      <w:pPr>
        <w:spacing w:line="172" w:lineRule="exact" w:before="0"/>
        <w:ind w:left="673" w:right="0" w:firstLine="0"/>
        <w:jc w:val="left"/>
        <w:rPr>
          <w:sz w:val="16"/>
        </w:rPr>
      </w:pPr>
      <w:r>
        <w:rPr>
          <w:position w:val="8"/>
          <w:sz w:val="10"/>
        </w:rPr>
        <w:t>35 </w:t>
      </w:r>
      <w:r>
        <w:rPr>
          <w:sz w:val="16"/>
        </w:rPr>
        <w:t>See, for example, Bernanke (2004).</w:t>
      </w:r>
    </w:p>
    <w:p>
      <w:pPr>
        <w:spacing w:line="185" w:lineRule="exact" w:before="0"/>
        <w:ind w:left="673" w:right="0" w:firstLine="0"/>
        <w:jc w:val="left"/>
        <w:rPr>
          <w:sz w:val="16"/>
        </w:rPr>
      </w:pPr>
      <w:r>
        <w:rPr>
          <w:position w:val="8"/>
          <w:sz w:val="10"/>
        </w:rPr>
        <w:t>36 </w:t>
      </w:r>
      <w:r>
        <w:rPr>
          <w:sz w:val="16"/>
        </w:rPr>
        <w:t>See BoE (2018).</w:t>
      </w:r>
    </w:p>
    <w:p>
      <w:pPr>
        <w:spacing w:line="196" w:lineRule="exact" w:before="0"/>
        <w:ind w:left="673" w:right="0" w:firstLine="0"/>
        <w:jc w:val="left"/>
        <w:rPr>
          <w:sz w:val="16"/>
        </w:rPr>
      </w:pPr>
      <w:r>
        <w:rPr>
          <w:position w:val="8"/>
          <w:sz w:val="10"/>
        </w:rPr>
        <w:t>37 </w:t>
      </w:r>
      <w:r>
        <w:rPr>
          <w:sz w:val="16"/>
        </w:rPr>
        <w:t>See Carney (2015).</w:t>
      </w:r>
    </w:p>
    <w:p>
      <w:pPr>
        <w:spacing w:after="0" w:line="196" w:lineRule="exact"/>
        <w:jc w:val="left"/>
        <w:rPr>
          <w:sz w:val="16"/>
        </w:rPr>
        <w:sectPr>
          <w:footerReference w:type="default" r:id="rId15"/>
          <w:pgSz w:w="11910" w:h="16840"/>
          <w:pgMar w:footer="1338" w:header="0" w:top="1580" w:bottom="1520" w:left="460" w:right="0"/>
          <w:pgNumType w:start="10"/>
        </w:sectPr>
      </w:pPr>
    </w:p>
    <w:p>
      <w:pPr>
        <w:pStyle w:val="BodyText"/>
        <w:spacing w:line="355" w:lineRule="auto" w:before="129"/>
        <w:ind w:left="673" w:right="1129"/>
      </w:pPr>
      <w:r>
        <w:rPr/>
        <w:t>Finally, the MPC’s forecast that any further tightening is likely to be gradual and limited would not prevent the Committee from responding promptly if needed – I stress, </w:t>
      </w:r>
      <w:r>
        <w:rPr>
          <w:i/>
          <w:u w:val="single"/>
        </w:rPr>
        <w:t>if needed</w:t>
      </w:r>
      <w:r>
        <w:rPr>
          <w:i/>
        </w:rPr>
        <w:t> </w:t>
      </w:r>
      <w:r>
        <w:rPr/>
        <w:t>– in the event of a rapid change in the economic outlook. As always, the Committee has tools to react to changing economic conditions as required.</w:t>
      </w:r>
    </w:p>
    <w:p>
      <w:pPr>
        <w:spacing w:after="0" w:line="355" w:lineRule="auto"/>
        <w:sectPr>
          <w:pgSz w:w="11910" w:h="16840"/>
          <w:pgMar w:header="0" w:footer="1338" w:top="1580" w:bottom="1520" w:left="460" w:right="0"/>
        </w:sectPr>
      </w:pPr>
    </w:p>
    <w:p>
      <w:pPr>
        <w:spacing w:before="79"/>
        <w:ind w:left="673" w:right="0" w:firstLine="0"/>
        <w:jc w:val="left"/>
        <w:rPr>
          <w:b/>
          <w:sz w:val="24"/>
        </w:rPr>
      </w:pPr>
      <w:r>
        <w:rPr>
          <w:b/>
          <w:sz w:val="24"/>
        </w:rPr>
        <w:t>References</w:t>
      </w:r>
    </w:p>
    <w:p>
      <w:pPr>
        <w:pStyle w:val="BodyText"/>
        <w:spacing w:before="3"/>
        <w:rPr>
          <w:b/>
          <w:sz w:val="21"/>
        </w:rPr>
      </w:pPr>
    </w:p>
    <w:p>
      <w:pPr>
        <w:spacing w:line="355" w:lineRule="auto" w:before="0"/>
        <w:ind w:left="673" w:right="1668" w:firstLine="0"/>
        <w:jc w:val="left"/>
        <w:rPr>
          <w:sz w:val="20"/>
        </w:rPr>
      </w:pPr>
      <w:r>
        <w:rPr>
          <w:b/>
          <w:sz w:val="20"/>
        </w:rPr>
        <w:t>Angeloni, I., Coenen, G. and Smets, F. (2003), </w:t>
      </w:r>
      <w:r>
        <w:rPr>
          <w:sz w:val="20"/>
        </w:rPr>
        <w:t>“Persistence, the transmission mechanism and robust monetary policy</w:t>
      </w:r>
      <w:r>
        <w:rPr>
          <w:i/>
          <w:sz w:val="20"/>
        </w:rPr>
        <w:t>”, Scottish Journal of Political Economy</w:t>
      </w:r>
      <w:r>
        <w:rPr>
          <w:sz w:val="20"/>
        </w:rPr>
        <w:t>, November, Vol. 50(5), 527-549, available at </w:t>
      </w:r>
      <w:hyperlink r:id="rId16">
        <w:r>
          <w:rPr>
            <w:color w:val="0000FF"/>
            <w:sz w:val="20"/>
            <w:u w:val="single" w:color="0000FF"/>
          </w:rPr>
          <w:t>https://onlinelibrary.wiley.com/doi/pdf/10.1111/j.0036-9292.2003.05005006.x</w:t>
        </w:r>
      </w:hyperlink>
    </w:p>
    <w:p>
      <w:pPr>
        <w:pStyle w:val="BodyText"/>
        <w:spacing w:before="6"/>
        <w:rPr>
          <w:sz w:val="21"/>
        </w:rPr>
      </w:pPr>
    </w:p>
    <w:p>
      <w:pPr>
        <w:spacing w:line="352" w:lineRule="auto" w:before="92"/>
        <w:ind w:left="673" w:right="1209" w:firstLine="0"/>
        <w:jc w:val="left"/>
        <w:rPr>
          <w:sz w:val="20"/>
        </w:rPr>
      </w:pPr>
      <w:r>
        <w:rPr>
          <w:b/>
          <w:sz w:val="20"/>
        </w:rPr>
        <w:t>Batini, N., Martin, B. and Salmon, C. (1999), </w:t>
      </w:r>
      <w:r>
        <w:rPr>
          <w:sz w:val="20"/>
        </w:rPr>
        <w:t>“Monetary policy and uncertainty”, </w:t>
      </w:r>
      <w:r>
        <w:rPr>
          <w:i/>
          <w:sz w:val="20"/>
        </w:rPr>
        <w:t>Bank of England Quarterly </w:t>
      </w:r>
      <w:r>
        <w:rPr>
          <w:i/>
          <w:sz w:val="20"/>
        </w:rPr>
        <w:t>Bulletin 1999</w:t>
      </w:r>
      <w:r>
        <w:rPr>
          <w:sz w:val="20"/>
        </w:rPr>
        <w:t>, available at</w:t>
      </w:r>
    </w:p>
    <w:p>
      <w:pPr>
        <w:pStyle w:val="BodyText"/>
        <w:spacing w:before="6"/>
        <w:ind w:left="673"/>
      </w:pPr>
      <w:hyperlink r:id="rId17">
        <w:r>
          <w:rPr>
            <w:color w:val="0000FF"/>
            <w:u w:val="single" w:color="0000FF"/>
          </w:rPr>
          <w:t>https://www.bankofengland.co.uk/-/media/boe/files/quarterly-bulletin/1999/monetary-policy-and-uncertainty</w:t>
        </w:r>
      </w:hyperlink>
    </w:p>
    <w:p>
      <w:pPr>
        <w:pStyle w:val="BodyText"/>
      </w:pPr>
    </w:p>
    <w:p>
      <w:pPr>
        <w:pStyle w:val="BodyText"/>
        <w:spacing w:before="10"/>
        <w:rPr>
          <w:sz w:val="18"/>
        </w:rPr>
      </w:pPr>
    </w:p>
    <w:p>
      <w:pPr>
        <w:spacing w:line="357" w:lineRule="auto" w:before="0"/>
        <w:ind w:left="673" w:right="1452" w:firstLine="0"/>
        <w:jc w:val="left"/>
        <w:rPr>
          <w:sz w:val="20"/>
        </w:rPr>
      </w:pPr>
      <w:r>
        <w:rPr>
          <w:b/>
          <w:sz w:val="20"/>
        </w:rPr>
        <w:t>Bean, C. (2014), </w:t>
      </w:r>
      <w:r>
        <w:rPr>
          <w:sz w:val="20"/>
        </w:rPr>
        <w:t>“The future of monetary policy”, </w:t>
      </w:r>
      <w:r>
        <w:rPr>
          <w:i/>
          <w:sz w:val="20"/>
        </w:rPr>
        <w:t>Speech at the London School of Economics</w:t>
      </w:r>
      <w:r>
        <w:rPr>
          <w:sz w:val="20"/>
        </w:rPr>
        <w:t>, </w:t>
      </w:r>
      <w:r>
        <w:rPr>
          <w:i/>
          <w:sz w:val="20"/>
        </w:rPr>
        <w:t>May 2014</w:t>
      </w:r>
      <w:r>
        <w:rPr>
          <w:sz w:val="20"/>
        </w:rPr>
        <w:t>, available at</w:t>
      </w:r>
    </w:p>
    <w:p>
      <w:pPr>
        <w:pStyle w:val="BodyText"/>
        <w:spacing w:line="352" w:lineRule="auto"/>
        <w:ind w:left="673"/>
      </w:pPr>
      <w:hyperlink r:id="rId18">
        <w:r>
          <w:rPr>
            <w:color w:val="0000FF"/>
            <w:w w:val="95"/>
            <w:u w:val="single" w:color="0000FF"/>
          </w:rPr>
          <w:t>https://www.bankofengland.co.uk/-/media/boe/files/speech/2014/the-future-of-monetary-</w:t>
        </w:r>
      </w:hyperlink>
      <w:r>
        <w:rPr>
          <w:color w:val="0000FF"/>
          <w:w w:val="95"/>
        </w:rPr>
        <w:t> </w:t>
      </w:r>
      <w:hyperlink r:id="rId18">
        <w:r>
          <w:rPr>
            <w:color w:val="0000FF"/>
            <w:u w:val="single" w:color="0000FF"/>
          </w:rPr>
          <w:t>policy.pdf?la=en&amp;hash=D1C6A2AD46AAAB72FF15FD4213AE57058FD90211</w:t>
        </w:r>
      </w:hyperlink>
    </w:p>
    <w:p>
      <w:pPr>
        <w:pStyle w:val="BodyText"/>
        <w:spacing w:before="6"/>
        <w:rPr>
          <w:sz w:val="21"/>
        </w:rPr>
      </w:pPr>
    </w:p>
    <w:p>
      <w:pPr>
        <w:spacing w:line="355" w:lineRule="auto" w:before="93"/>
        <w:ind w:left="673" w:right="2119" w:firstLine="0"/>
        <w:jc w:val="left"/>
        <w:rPr>
          <w:sz w:val="20"/>
        </w:rPr>
      </w:pPr>
      <w:r>
        <w:rPr>
          <w:b/>
          <w:sz w:val="20"/>
        </w:rPr>
        <w:t>Bernanke, B. (2004), </w:t>
      </w:r>
      <w:r>
        <w:rPr>
          <w:sz w:val="20"/>
        </w:rPr>
        <w:t>“Gradualism”, S</w:t>
      </w:r>
      <w:r>
        <w:rPr>
          <w:i/>
          <w:sz w:val="20"/>
        </w:rPr>
        <w:t>peech at the University of Washington, Seattle, Washington </w:t>
      </w:r>
      <w:r>
        <w:rPr>
          <w:i/>
          <w:sz w:val="20"/>
        </w:rPr>
        <w:t>May 20, 2004</w:t>
      </w:r>
      <w:r>
        <w:rPr>
          <w:sz w:val="20"/>
        </w:rPr>
        <w:t>, available at </w:t>
      </w:r>
      <w:hyperlink r:id="rId19">
        <w:r>
          <w:rPr>
            <w:color w:val="0000FF"/>
            <w:sz w:val="20"/>
            <w:u w:val="single" w:color="0000FF"/>
          </w:rPr>
          <w:t>https://www.federalreserve.gov/boarddocs/speeches/2004/200405202/default.htm</w:t>
        </w:r>
      </w:hyperlink>
    </w:p>
    <w:p>
      <w:pPr>
        <w:pStyle w:val="BodyText"/>
        <w:spacing w:before="3"/>
        <w:rPr>
          <w:sz w:val="21"/>
        </w:rPr>
      </w:pPr>
    </w:p>
    <w:p>
      <w:pPr>
        <w:spacing w:line="355" w:lineRule="auto" w:before="93"/>
        <w:ind w:left="673" w:right="1609" w:firstLine="0"/>
        <w:jc w:val="left"/>
        <w:rPr>
          <w:sz w:val="20"/>
        </w:rPr>
      </w:pPr>
      <w:r>
        <w:rPr>
          <w:b/>
          <w:sz w:val="20"/>
        </w:rPr>
        <w:t>Bell, D. and Blanchflower, D. (2018</w:t>
      </w:r>
      <w:r>
        <w:rPr>
          <w:sz w:val="20"/>
        </w:rPr>
        <w:t>), “The lack of wage growth and the falling NAIRU”, </w:t>
      </w:r>
      <w:r>
        <w:rPr>
          <w:i/>
          <w:sz w:val="20"/>
        </w:rPr>
        <w:t>NBER working </w:t>
      </w:r>
      <w:r>
        <w:rPr>
          <w:i/>
          <w:sz w:val="20"/>
        </w:rPr>
        <w:t>paper series no. 24502</w:t>
      </w:r>
      <w:r>
        <w:rPr>
          <w:sz w:val="20"/>
        </w:rPr>
        <w:t>, available at</w:t>
      </w:r>
    </w:p>
    <w:p>
      <w:pPr>
        <w:pStyle w:val="BodyText"/>
        <w:spacing w:before="3"/>
        <w:ind w:left="673"/>
      </w:pPr>
      <w:hyperlink r:id="rId20">
        <w:r>
          <w:rPr>
            <w:color w:val="0000FF"/>
            <w:u w:val="single" w:color="0000FF"/>
          </w:rPr>
          <w:t>http://www.nber.org/papers/w24502.pdf</w:t>
        </w:r>
      </w:hyperlink>
    </w:p>
    <w:p>
      <w:pPr>
        <w:pStyle w:val="BodyText"/>
      </w:pPr>
    </w:p>
    <w:p>
      <w:pPr>
        <w:pStyle w:val="BodyText"/>
        <w:spacing w:before="10"/>
        <w:rPr>
          <w:sz w:val="18"/>
        </w:rPr>
      </w:pPr>
    </w:p>
    <w:p>
      <w:pPr>
        <w:pStyle w:val="BodyText"/>
        <w:spacing w:line="355" w:lineRule="auto"/>
        <w:ind w:left="673" w:right="1775"/>
      </w:pPr>
      <w:r>
        <w:rPr>
          <w:b/>
        </w:rPr>
        <w:t>BoE (2018), </w:t>
      </w:r>
      <w:r>
        <w:rPr/>
        <w:t>“Stress testing the UK banking system: key elements of the 2018 Stress Test”, published 16 March 2018</w:t>
      </w:r>
      <w:r>
        <w:rPr>
          <w:b/>
        </w:rPr>
        <w:t>, </w:t>
      </w:r>
      <w:r>
        <w:rPr/>
        <w:t>available at</w:t>
      </w:r>
    </w:p>
    <w:p>
      <w:pPr>
        <w:pStyle w:val="BodyText"/>
        <w:spacing w:before="1"/>
        <w:ind w:left="673"/>
      </w:pPr>
      <w:hyperlink r:id="rId21">
        <w:r>
          <w:rPr>
            <w:color w:val="0000FF"/>
            <w:u w:val="single" w:color="0000FF"/>
          </w:rPr>
          <w:t>https://www.bankofengland.co.uk/news/2018/march/key-elements-of-the-2018-stress-test</w:t>
        </w:r>
      </w:hyperlink>
    </w:p>
    <w:p>
      <w:pPr>
        <w:pStyle w:val="BodyText"/>
        <w:spacing w:before="5"/>
        <w:rPr>
          <w:sz w:val="21"/>
        </w:rPr>
      </w:pPr>
    </w:p>
    <w:p>
      <w:pPr>
        <w:spacing w:line="355" w:lineRule="auto" w:before="93"/>
        <w:ind w:left="673" w:right="1633" w:firstLine="0"/>
        <w:jc w:val="left"/>
        <w:rPr>
          <w:sz w:val="20"/>
        </w:rPr>
      </w:pPr>
      <w:r>
        <w:rPr>
          <w:b/>
          <w:sz w:val="20"/>
        </w:rPr>
        <w:t>Borio, C., Disyatat, P., Juselius, M. and Rungcharoenkitkul, P. (2017), “</w:t>
      </w:r>
      <w:r>
        <w:rPr>
          <w:sz w:val="20"/>
        </w:rPr>
        <w:t>Why so low for so long? A long-term view of real interest rates”, </w:t>
      </w:r>
      <w:r>
        <w:rPr>
          <w:i/>
          <w:sz w:val="20"/>
        </w:rPr>
        <w:t>Bank for International Settlements working paper 685</w:t>
      </w:r>
      <w:r>
        <w:rPr>
          <w:sz w:val="20"/>
        </w:rPr>
        <w:t>, available at </w:t>
      </w:r>
      <w:hyperlink r:id="rId22">
        <w:r>
          <w:rPr>
            <w:color w:val="0000FF"/>
            <w:sz w:val="20"/>
            <w:u w:val="single" w:color="0000FF"/>
          </w:rPr>
          <w:t>https://www.bis.org/publ/work685.pdf</w:t>
        </w:r>
      </w:hyperlink>
    </w:p>
    <w:p>
      <w:pPr>
        <w:pStyle w:val="BodyText"/>
        <w:spacing w:before="5"/>
        <w:rPr>
          <w:sz w:val="21"/>
        </w:rPr>
      </w:pPr>
    </w:p>
    <w:p>
      <w:pPr>
        <w:spacing w:line="355" w:lineRule="auto" w:before="93"/>
        <w:ind w:left="673" w:right="1389" w:firstLine="0"/>
        <w:jc w:val="left"/>
        <w:rPr>
          <w:sz w:val="20"/>
        </w:rPr>
      </w:pPr>
      <w:r>
        <w:rPr>
          <w:b/>
          <w:sz w:val="20"/>
        </w:rPr>
        <w:t>Brainard, W. (1967)</w:t>
      </w:r>
      <w:r>
        <w:rPr>
          <w:sz w:val="20"/>
        </w:rPr>
        <w:t>, “Uncertainty and the effectiveness of policy”, </w:t>
      </w:r>
      <w:r>
        <w:rPr>
          <w:i/>
          <w:sz w:val="20"/>
        </w:rPr>
        <w:t>The American Economic Review 57(2)</w:t>
      </w:r>
      <w:r>
        <w:rPr>
          <w:sz w:val="20"/>
        </w:rPr>
        <w:t>, 411-425, available at</w:t>
      </w:r>
    </w:p>
    <w:p>
      <w:pPr>
        <w:pStyle w:val="BodyText"/>
        <w:spacing w:before="1"/>
        <w:ind w:left="673"/>
      </w:pPr>
      <w:hyperlink r:id="rId23">
        <w:r>
          <w:rPr>
            <w:color w:val="0000FF"/>
            <w:u w:val="single" w:color="0000FF"/>
          </w:rPr>
          <w:t>http://www.jstor.org/stable/1821642</w:t>
        </w:r>
      </w:hyperlink>
    </w:p>
    <w:p>
      <w:pPr>
        <w:pStyle w:val="BodyText"/>
      </w:pPr>
    </w:p>
    <w:p>
      <w:pPr>
        <w:pStyle w:val="BodyText"/>
        <w:spacing w:before="10"/>
        <w:rPr>
          <w:sz w:val="18"/>
        </w:rPr>
      </w:pPr>
    </w:p>
    <w:p>
      <w:pPr>
        <w:spacing w:line="355" w:lineRule="auto" w:before="0"/>
        <w:ind w:left="673" w:right="1430" w:firstLine="0"/>
        <w:jc w:val="left"/>
        <w:rPr>
          <w:sz w:val="20"/>
        </w:rPr>
      </w:pPr>
      <w:r>
        <w:rPr>
          <w:b/>
          <w:sz w:val="20"/>
        </w:rPr>
        <w:t>Broadbent, B. (2014), </w:t>
      </w:r>
      <w:r>
        <w:rPr>
          <w:sz w:val="20"/>
        </w:rPr>
        <w:t>“Monetary policy, asset prices and distribution”, </w:t>
      </w:r>
      <w:r>
        <w:rPr>
          <w:i/>
          <w:sz w:val="20"/>
        </w:rPr>
        <w:t>Speech at the Society of Business </w:t>
      </w:r>
      <w:r>
        <w:rPr>
          <w:i/>
          <w:sz w:val="20"/>
        </w:rPr>
        <w:t>Economists Annual Conference, 23 October 2014</w:t>
      </w:r>
      <w:r>
        <w:rPr>
          <w:sz w:val="20"/>
        </w:rPr>
        <w:t>, available at</w:t>
      </w:r>
    </w:p>
    <w:p>
      <w:pPr>
        <w:pStyle w:val="BodyText"/>
        <w:spacing w:line="352" w:lineRule="auto" w:before="3"/>
        <w:ind w:left="673" w:right="1218"/>
      </w:pPr>
      <w:hyperlink r:id="rId24">
        <w:r>
          <w:rPr>
            <w:color w:val="0000FF"/>
            <w:w w:val="95"/>
            <w:u w:val="single" w:color="0000FF"/>
          </w:rPr>
          <w:t>https://www.bankofengland.co.uk/-/media/boe/files/speech/2014/monetary-policy-asset-prices-and-</w:t>
        </w:r>
      </w:hyperlink>
      <w:r>
        <w:rPr>
          <w:color w:val="0000FF"/>
          <w:w w:val="95"/>
        </w:rPr>
        <w:t> </w:t>
      </w:r>
      <w:hyperlink r:id="rId24">
        <w:r>
          <w:rPr>
            <w:color w:val="0000FF"/>
            <w:u w:val="single" w:color="0000FF"/>
          </w:rPr>
          <w:t>distribution.pdf</w:t>
        </w:r>
      </w:hyperlink>
    </w:p>
    <w:p>
      <w:pPr>
        <w:spacing w:after="0" w:line="352" w:lineRule="auto"/>
        <w:sectPr>
          <w:pgSz w:w="11910" w:h="16840"/>
          <w:pgMar w:header="0" w:footer="1338" w:top="1520" w:bottom="1520" w:left="460" w:right="0"/>
        </w:sectPr>
      </w:pPr>
    </w:p>
    <w:p>
      <w:pPr>
        <w:spacing w:line="352" w:lineRule="auto" w:before="127"/>
        <w:ind w:left="673" w:right="1440" w:firstLine="0"/>
        <w:jc w:val="left"/>
        <w:rPr>
          <w:sz w:val="20"/>
        </w:rPr>
      </w:pPr>
      <w:r>
        <w:rPr>
          <w:b/>
          <w:sz w:val="20"/>
        </w:rPr>
        <w:t>Carney, M. (2015), </w:t>
      </w:r>
      <w:r>
        <w:rPr>
          <w:sz w:val="20"/>
        </w:rPr>
        <w:t>“From Lincoln to Lothbury: Magna Carta and the Bank of England”, </w:t>
      </w:r>
      <w:r>
        <w:rPr>
          <w:i/>
          <w:sz w:val="20"/>
        </w:rPr>
        <w:t>Speech at Lincoln </w:t>
      </w:r>
      <w:r>
        <w:rPr>
          <w:i/>
          <w:sz w:val="20"/>
        </w:rPr>
        <w:t>Cathederal</w:t>
      </w:r>
      <w:r>
        <w:rPr>
          <w:sz w:val="20"/>
        </w:rPr>
        <w:t>, available at</w:t>
      </w:r>
    </w:p>
    <w:p>
      <w:pPr>
        <w:pStyle w:val="BodyText"/>
        <w:spacing w:line="355" w:lineRule="auto" w:before="5"/>
        <w:ind w:left="673" w:right="1354"/>
      </w:pPr>
      <w:hyperlink r:id="rId25">
        <w:r>
          <w:rPr>
            <w:color w:val="0000FF"/>
            <w:w w:val="95"/>
            <w:u w:val="single" w:color="0000FF"/>
          </w:rPr>
          <w:t>https://www.bankofengland.co.uk/-/media/boe/files/speech/2015/from-lincoln-to-lothbury-magna-carta-and-</w:t>
        </w:r>
      </w:hyperlink>
      <w:r>
        <w:rPr>
          <w:color w:val="0000FF"/>
          <w:w w:val="95"/>
        </w:rPr>
        <w:t> </w:t>
      </w:r>
      <w:hyperlink r:id="rId25">
        <w:r>
          <w:rPr>
            <w:color w:val="0000FF"/>
            <w:u w:val="single" w:color="0000FF"/>
          </w:rPr>
          <w:t>the-boe.pdf?la=en&amp;hash=F7D3E62399CEAE4F5B415CDC3518C49E8181A7F4</w:t>
        </w:r>
      </w:hyperlink>
    </w:p>
    <w:p>
      <w:pPr>
        <w:pStyle w:val="BodyText"/>
        <w:spacing w:before="3"/>
        <w:rPr>
          <w:sz w:val="21"/>
        </w:rPr>
      </w:pPr>
    </w:p>
    <w:p>
      <w:pPr>
        <w:spacing w:line="355" w:lineRule="auto" w:before="93"/>
        <w:ind w:left="673" w:right="1663" w:firstLine="0"/>
        <w:jc w:val="left"/>
        <w:rPr>
          <w:sz w:val="20"/>
        </w:rPr>
      </w:pPr>
      <w:r>
        <w:rPr>
          <w:b/>
          <w:sz w:val="20"/>
        </w:rPr>
        <w:t>Carney, M. (2017)</w:t>
      </w:r>
      <w:r>
        <w:rPr>
          <w:sz w:val="20"/>
        </w:rPr>
        <w:t>, “(De)Globalisation and inflation”, </w:t>
      </w:r>
      <w:r>
        <w:rPr>
          <w:i/>
          <w:sz w:val="20"/>
        </w:rPr>
        <w:t>Speech given at the 2017 IMF Michel Camdessus </w:t>
      </w:r>
      <w:r>
        <w:rPr>
          <w:i/>
          <w:sz w:val="20"/>
        </w:rPr>
        <w:t>Central Banking Lecture, September 2017</w:t>
      </w:r>
      <w:r>
        <w:rPr>
          <w:sz w:val="20"/>
        </w:rPr>
        <w:t>, available at</w:t>
      </w:r>
    </w:p>
    <w:p>
      <w:pPr>
        <w:pStyle w:val="BodyText"/>
        <w:spacing w:line="355" w:lineRule="auto" w:before="1"/>
        <w:ind w:left="673"/>
      </w:pPr>
      <w:hyperlink r:id="rId26">
        <w:r>
          <w:rPr>
            <w:color w:val="0000FF"/>
            <w:w w:val="95"/>
            <w:u w:val="single" w:color="0000FF"/>
          </w:rPr>
          <w:t>https://www.bankofengland.co.uk/-/media/boe/files/speech/2017/de-globalisation-and-</w:t>
        </w:r>
      </w:hyperlink>
      <w:r>
        <w:rPr>
          <w:color w:val="0000FF"/>
          <w:w w:val="95"/>
        </w:rPr>
        <w:t> </w:t>
      </w:r>
      <w:hyperlink r:id="rId26">
        <w:r>
          <w:rPr>
            <w:color w:val="0000FF"/>
            <w:u w:val="single" w:color="0000FF"/>
          </w:rPr>
          <w:t>inflation.pdf?la=en&amp;hash=E0C5E30A659BB8F9564F3FA0B3F5C1C1A10F199F</w:t>
        </w:r>
      </w:hyperlink>
    </w:p>
    <w:p>
      <w:pPr>
        <w:pStyle w:val="BodyText"/>
        <w:spacing w:before="2"/>
        <w:rPr>
          <w:sz w:val="21"/>
        </w:rPr>
      </w:pPr>
    </w:p>
    <w:p>
      <w:pPr>
        <w:pStyle w:val="BodyText"/>
        <w:spacing w:line="357" w:lineRule="auto" w:before="93"/>
        <w:ind w:left="673" w:right="2845"/>
      </w:pPr>
      <w:r>
        <w:rPr>
          <w:b/>
        </w:rPr>
        <w:t>Carney, M. (2018), </w:t>
      </w:r>
      <w:r>
        <w:rPr/>
        <w:t>Open letter to the Chancellor, published 8 February 2018, available at </w:t>
      </w:r>
      <w:hyperlink r:id="rId27">
        <w:r>
          <w:rPr>
            <w:color w:val="0000FF"/>
            <w:u w:val="single" w:color="0000FF"/>
          </w:rPr>
          <w:t>https://www.bankofengland.co.uk/-/media/boe/files/letter/2018/governor-cpi-letter-</w:t>
        </w:r>
      </w:hyperlink>
      <w:r>
        <w:rPr>
          <w:color w:val="0000FF"/>
        </w:rPr>
        <w:t> </w:t>
      </w:r>
      <w:hyperlink r:id="rId27">
        <w:r>
          <w:rPr>
            <w:color w:val="0000FF"/>
            <w:u w:val="single" w:color="0000FF"/>
          </w:rPr>
          <w:t>080218.pdf?la=en&amp;hash=39D0CD86D203550BF0A8B18EF7235B1583A86503</w:t>
        </w:r>
      </w:hyperlink>
    </w:p>
    <w:p>
      <w:pPr>
        <w:pStyle w:val="BodyText"/>
        <w:spacing w:before="4"/>
        <w:rPr>
          <w:sz w:val="11"/>
        </w:rPr>
      </w:pPr>
    </w:p>
    <w:p>
      <w:pPr>
        <w:pStyle w:val="BodyText"/>
        <w:spacing w:line="355" w:lineRule="auto" w:before="92"/>
        <w:ind w:left="673" w:right="1321"/>
      </w:pPr>
      <w:r>
        <w:rPr>
          <w:b/>
        </w:rPr>
        <w:t>Cloyne, J., Ferreira, C. and Surico, P. (2016), </w:t>
      </w:r>
      <w:r>
        <w:rPr/>
        <w:t>“Monetary policy when households have debt: new evidence on the transmission mechanism”, </w:t>
      </w:r>
      <w:r>
        <w:rPr>
          <w:i/>
        </w:rPr>
        <w:t>BoE Working Paper No. 589</w:t>
      </w:r>
      <w:r>
        <w:rPr/>
        <w:t>, available at </w:t>
      </w:r>
      <w:hyperlink r:id="rId28">
        <w:r>
          <w:rPr>
            <w:color w:val="0000FF"/>
            <w:w w:val="95"/>
            <w:u w:val="single" w:color="0000FF"/>
          </w:rPr>
          <w:t>https://www.bankofengland.co.uk/-/media/boe/files/working-paper/2016/monetary-policy-when-households-</w:t>
        </w:r>
      </w:hyperlink>
      <w:r>
        <w:rPr>
          <w:color w:val="0000FF"/>
          <w:w w:val="95"/>
        </w:rPr>
        <w:t> </w:t>
      </w:r>
      <w:hyperlink r:id="rId28">
        <w:r>
          <w:rPr>
            <w:color w:val="0000FF"/>
            <w:u w:val="single" w:color="0000FF"/>
          </w:rPr>
          <w:t>have-debt-new-evidence-on-the-transmission-</w:t>
        </w:r>
      </w:hyperlink>
      <w:r>
        <w:rPr>
          <w:color w:val="0000FF"/>
        </w:rPr>
        <w:t> </w:t>
      </w:r>
      <w:hyperlink r:id="rId28">
        <w:r>
          <w:rPr>
            <w:color w:val="0000FF"/>
            <w:u w:val="single" w:color="0000FF"/>
          </w:rPr>
          <w:t>mechanism.pdf?la=en&amp;hash=F1C10A3548F50FF64D70369564633F94FF8DC400</w:t>
        </w:r>
      </w:hyperlink>
    </w:p>
    <w:p>
      <w:pPr>
        <w:pStyle w:val="BodyText"/>
        <w:spacing w:before="4"/>
        <w:rPr>
          <w:sz w:val="21"/>
        </w:rPr>
      </w:pPr>
    </w:p>
    <w:p>
      <w:pPr>
        <w:spacing w:line="357" w:lineRule="auto" w:before="93"/>
        <w:ind w:left="673" w:right="1652" w:firstLine="0"/>
        <w:jc w:val="left"/>
        <w:rPr>
          <w:sz w:val="20"/>
        </w:rPr>
      </w:pPr>
      <w:r>
        <w:rPr>
          <w:b/>
          <w:sz w:val="20"/>
        </w:rPr>
        <w:t>Farmer, R. (2013)</w:t>
      </w:r>
      <w:r>
        <w:rPr>
          <w:sz w:val="20"/>
        </w:rPr>
        <w:t>, “The Natural Rate Hypothesis: an idea past its sell-by date”, </w:t>
      </w:r>
      <w:r>
        <w:rPr>
          <w:i/>
          <w:sz w:val="20"/>
        </w:rPr>
        <w:t>BoE Quarterly Bulletin</w:t>
      </w:r>
      <w:r>
        <w:rPr>
          <w:sz w:val="20"/>
        </w:rPr>
        <w:t>, available at</w:t>
      </w:r>
    </w:p>
    <w:p>
      <w:pPr>
        <w:pStyle w:val="BodyText"/>
        <w:spacing w:line="355" w:lineRule="auto"/>
        <w:ind w:left="673" w:right="1474"/>
      </w:pPr>
      <w:hyperlink r:id="rId29">
        <w:r>
          <w:rPr>
            <w:color w:val="0000FF"/>
            <w:w w:val="95"/>
            <w:u w:val="single" w:color="0000FF"/>
          </w:rPr>
          <w:t>https://www.bankofengland.co.uk/-/media/boe/files/quarterly-bulletin/2013/the-natural-rate-hypothesis-an-</w:t>
        </w:r>
      </w:hyperlink>
      <w:r>
        <w:rPr>
          <w:color w:val="0000FF"/>
          <w:w w:val="95"/>
        </w:rPr>
        <w:t> </w:t>
      </w:r>
      <w:hyperlink r:id="rId29">
        <w:r>
          <w:rPr>
            <w:color w:val="0000FF"/>
            <w:u w:val="single" w:color="0000FF"/>
          </w:rPr>
          <w:t>idea-past-its-sell-by-date.pdf?la=en&amp;hash=A3C932077297633F14B85826B65DEE9C48CEA560</w:t>
        </w:r>
      </w:hyperlink>
    </w:p>
    <w:p>
      <w:pPr>
        <w:pStyle w:val="BodyText"/>
        <w:spacing w:before="11"/>
      </w:pPr>
    </w:p>
    <w:p>
      <w:pPr>
        <w:spacing w:line="357" w:lineRule="auto" w:before="93"/>
        <w:ind w:left="673" w:right="1707" w:firstLine="0"/>
        <w:jc w:val="left"/>
        <w:rPr>
          <w:sz w:val="20"/>
        </w:rPr>
      </w:pPr>
      <w:r>
        <w:rPr>
          <w:b/>
          <w:sz w:val="20"/>
        </w:rPr>
        <w:t>Fischer, S. (2017), </w:t>
      </w:r>
      <w:r>
        <w:rPr>
          <w:sz w:val="20"/>
        </w:rPr>
        <w:t>“The low level of global real interest rates”, </w:t>
      </w:r>
      <w:r>
        <w:rPr>
          <w:i/>
          <w:sz w:val="20"/>
        </w:rPr>
        <w:t>Speech at the Conference to Celebrate </w:t>
      </w:r>
      <w:r>
        <w:rPr>
          <w:i/>
          <w:sz w:val="20"/>
        </w:rPr>
        <w:t>Arminio Fraga’s 60 Years, Casa das Garcas, Rio de Janeiro, Brazil</w:t>
      </w:r>
      <w:r>
        <w:rPr>
          <w:sz w:val="20"/>
        </w:rPr>
        <w:t>, available at </w:t>
      </w:r>
      <w:hyperlink r:id="rId30">
        <w:r>
          <w:rPr>
            <w:color w:val="0000FF"/>
            <w:sz w:val="20"/>
            <w:u w:val="single" w:color="0000FF"/>
          </w:rPr>
          <w:t>https://www.federalreserve.gov/newsevents/speech/files/fischer20170731a.pdf</w:t>
        </w:r>
      </w:hyperlink>
    </w:p>
    <w:p>
      <w:pPr>
        <w:pStyle w:val="BodyText"/>
        <w:spacing w:before="10"/>
      </w:pPr>
    </w:p>
    <w:p>
      <w:pPr>
        <w:pStyle w:val="BodyText"/>
        <w:spacing w:line="357" w:lineRule="auto" w:before="92"/>
        <w:ind w:left="673" w:right="2036"/>
      </w:pPr>
      <w:r>
        <w:rPr>
          <w:b/>
        </w:rPr>
        <w:t>Goodhart, C. (1998), </w:t>
      </w:r>
      <w:r>
        <w:rPr/>
        <w:t>“Central bankers and uncertainty” Keynes Lecture in Economics, available at </w:t>
      </w:r>
      <w:hyperlink r:id="rId31">
        <w:r>
          <w:rPr>
            <w:color w:val="0000FF"/>
            <w:u w:val="single" w:color="0000FF"/>
          </w:rPr>
          <w:t>https://www.britac.ac.uk/pubs/proc/files/101p229-Goodhart.pdf</w:t>
        </w:r>
      </w:hyperlink>
    </w:p>
    <w:p>
      <w:pPr>
        <w:pStyle w:val="BodyText"/>
        <w:spacing w:before="1"/>
        <w:rPr>
          <w:sz w:val="21"/>
        </w:rPr>
      </w:pPr>
    </w:p>
    <w:p>
      <w:pPr>
        <w:pStyle w:val="BodyText"/>
        <w:spacing w:line="355" w:lineRule="auto" w:before="93"/>
        <w:ind w:left="673" w:right="1531"/>
      </w:pPr>
      <w:r>
        <w:rPr>
          <w:b/>
        </w:rPr>
        <w:t>Goodhart, C. (2004), </w:t>
      </w:r>
      <w:r>
        <w:rPr/>
        <w:t>“Gradualism in the adjustment of official interest rates, some Partial Explanations”, Financial Markets Group, London School of Economics, available at </w:t>
      </w:r>
      <w:hyperlink r:id="rId32">
        <w:r>
          <w:rPr>
            <w:color w:val="0000FF"/>
            <w:u w:val="single" w:color="0000FF"/>
          </w:rPr>
          <w:t>http://citeseerx.ist.psu.edu/viewdoc/download?doi=10.1.1.850.8144&amp;rep=rep1&amp;type=pdf</w:t>
        </w:r>
      </w:hyperlink>
    </w:p>
    <w:p>
      <w:pPr>
        <w:pStyle w:val="BodyText"/>
        <w:spacing w:before="6"/>
        <w:rPr>
          <w:sz w:val="21"/>
        </w:rPr>
      </w:pPr>
    </w:p>
    <w:p>
      <w:pPr>
        <w:spacing w:line="352" w:lineRule="auto" w:before="92"/>
        <w:ind w:left="673" w:right="1242" w:firstLine="0"/>
        <w:jc w:val="left"/>
        <w:rPr>
          <w:sz w:val="20"/>
        </w:rPr>
      </w:pPr>
      <w:r>
        <w:rPr>
          <w:b/>
          <w:sz w:val="20"/>
        </w:rPr>
        <w:t>Goodhart, C. and Pradhan, M. (2017), </w:t>
      </w:r>
      <w:r>
        <w:rPr>
          <w:sz w:val="20"/>
        </w:rPr>
        <w:t>“Demographics will reverse three multi-decade global trends”, </w:t>
      </w:r>
      <w:r>
        <w:rPr>
          <w:i/>
          <w:sz w:val="20"/>
        </w:rPr>
        <w:t>Bank </w:t>
      </w:r>
      <w:r>
        <w:rPr>
          <w:i/>
          <w:sz w:val="20"/>
        </w:rPr>
        <w:t>for International Settlements working paper 656</w:t>
      </w:r>
      <w:r>
        <w:rPr>
          <w:sz w:val="20"/>
        </w:rPr>
        <w:t>, available at</w:t>
      </w:r>
    </w:p>
    <w:p>
      <w:pPr>
        <w:pStyle w:val="BodyText"/>
        <w:spacing w:before="6"/>
        <w:ind w:left="673"/>
      </w:pPr>
      <w:hyperlink r:id="rId33">
        <w:r>
          <w:rPr>
            <w:color w:val="0000FF"/>
            <w:u w:val="single" w:color="0000FF"/>
          </w:rPr>
          <w:t>https://www.bis.org/publ/work656.pdf</w:t>
        </w:r>
      </w:hyperlink>
    </w:p>
    <w:p>
      <w:pPr>
        <w:spacing w:after="0"/>
        <w:sectPr>
          <w:pgSz w:w="11910" w:h="16840"/>
          <w:pgMar w:header="0" w:footer="1338" w:top="1580" w:bottom="1520" w:left="460" w:right="0"/>
        </w:sectPr>
      </w:pPr>
    </w:p>
    <w:p>
      <w:pPr>
        <w:spacing w:line="355" w:lineRule="auto" w:before="127"/>
        <w:ind w:left="673" w:right="2111" w:firstLine="0"/>
        <w:jc w:val="left"/>
        <w:rPr>
          <w:sz w:val="20"/>
        </w:rPr>
      </w:pPr>
      <w:r>
        <w:rPr>
          <w:b/>
          <w:sz w:val="20"/>
        </w:rPr>
        <w:t>Gregg, P. and Gardiner, L. (2015) </w:t>
      </w:r>
      <w:r>
        <w:rPr>
          <w:sz w:val="20"/>
        </w:rPr>
        <w:t>“A steady job?”, Resolution Foundation July 2015, available at </w:t>
      </w:r>
      <w:hyperlink r:id="rId34">
        <w:r>
          <w:rPr>
            <w:color w:val="0000FF"/>
            <w:sz w:val="20"/>
            <w:u w:val="single" w:color="0000FF"/>
          </w:rPr>
          <w:t>http://www.resolutionfoundation.org/app/uploads/2015/07/A-steady-job.pdf</w:t>
        </w:r>
      </w:hyperlink>
    </w:p>
    <w:p>
      <w:pPr>
        <w:pStyle w:val="BodyText"/>
        <w:spacing w:before="5"/>
        <w:rPr>
          <w:sz w:val="21"/>
        </w:rPr>
      </w:pPr>
    </w:p>
    <w:p>
      <w:pPr>
        <w:spacing w:line="355" w:lineRule="auto" w:before="93"/>
        <w:ind w:left="673" w:right="1136" w:firstLine="0"/>
        <w:jc w:val="left"/>
        <w:rPr>
          <w:sz w:val="20"/>
        </w:rPr>
      </w:pPr>
      <w:r>
        <w:rPr>
          <w:b/>
          <w:sz w:val="20"/>
        </w:rPr>
        <w:t>Haldane, A. (2015), </w:t>
      </w:r>
      <w:r>
        <w:rPr>
          <w:sz w:val="20"/>
        </w:rPr>
        <w:t>“Stuck”, </w:t>
      </w:r>
      <w:r>
        <w:rPr>
          <w:i/>
          <w:sz w:val="20"/>
        </w:rPr>
        <w:t>Speech given at the Open University, Milton Keynes, 30 June 2015</w:t>
      </w:r>
      <w:r>
        <w:rPr>
          <w:sz w:val="20"/>
        </w:rPr>
        <w:t>, available at </w:t>
      </w:r>
      <w:hyperlink r:id="rId35">
        <w:r>
          <w:rPr>
            <w:color w:val="0000FF"/>
            <w:sz w:val="20"/>
            <w:u w:val="single" w:color="0000FF"/>
          </w:rPr>
          <w:t>https://www.bankofengland.co.uk/-</w:t>
        </w:r>
      </w:hyperlink>
    </w:p>
    <w:p>
      <w:pPr>
        <w:pStyle w:val="BodyText"/>
        <w:spacing w:before="1"/>
        <w:ind w:left="673"/>
      </w:pPr>
      <w:hyperlink r:id="rId35">
        <w:r>
          <w:rPr>
            <w:color w:val="0000FF"/>
            <w:u w:val="single" w:color="0000FF"/>
          </w:rPr>
          <w:t>/media/boe/files/speech/2015/stuck.pdf?la=en&amp;hash=3247D34307D99E8E4E11E5B890837AD6C6CAEFFB</w:t>
        </w:r>
      </w:hyperlink>
    </w:p>
    <w:p>
      <w:pPr>
        <w:pStyle w:val="BodyText"/>
      </w:pPr>
    </w:p>
    <w:p>
      <w:pPr>
        <w:pStyle w:val="BodyText"/>
        <w:spacing w:before="9"/>
        <w:rPr>
          <w:sz w:val="18"/>
        </w:rPr>
      </w:pPr>
    </w:p>
    <w:p>
      <w:pPr>
        <w:spacing w:line="357" w:lineRule="auto" w:before="0"/>
        <w:ind w:left="673" w:right="1498" w:firstLine="0"/>
        <w:jc w:val="left"/>
        <w:rPr>
          <w:sz w:val="20"/>
        </w:rPr>
      </w:pPr>
      <w:r>
        <w:rPr>
          <w:b/>
          <w:sz w:val="20"/>
        </w:rPr>
        <w:t>Hamilton, J., Harris, E., Hatzius, J. and West, K. (2015), </w:t>
      </w:r>
      <w:r>
        <w:rPr>
          <w:sz w:val="20"/>
        </w:rPr>
        <w:t>“The equilibrium real funds rate: past, present and future”, Hutchins Center at Brookings, available at</w:t>
      </w:r>
    </w:p>
    <w:p>
      <w:pPr>
        <w:pStyle w:val="BodyText"/>
        <w:spacing w:line="352" w:lineRule="auto"/>
        <w:ind w:left="673" w:right="1607"/>
      </w:pPr>
      <w:hyperlink r:id="rId36">
        <w:r>
          <w:rPr>
            <w:color w:val="0000FF"/>
            <w:w w:val="95"/>
            <w:u w:val="single" w:color="0000FF"/>
          </w:rPr>
          <w:t>https://www.brookings.edu/wp-content/uploads/2016/07/WP16-Hamilton-et-al-equilibrium-real-funds-rate-</w:t>
        </w:r>
      </w:hyperlink>
      <w:r>
        <w:rPr>
          <w:color w:val="0000FF"/>
          <w:w w:val="95"/>
        </w:rPr>
        <w:t> </w:t>
      </w:r>
      <w:hyperlink r:id="rId36">
        <w:r>
          <w:rPr>
            <w:color w:val="0000FF"/>
            <w:u w:val="single" w:color="0000FF"/>
          </w:rPr>
          <w:t>1.pdf</w:t>
        </w:r>
      </w:hyperlink>
    </w:p>
    <w:p>
      <w:pPr>
        <w:pStyle w:val="BodyText"/>
        <w:spacing w:before="7"/>
        <w:rPr>
          <w:sz w:val="21"/>
        </w:rPr>
      </w:pPr>
    </w:p>
    <w:p>
      <w:pPr>
        <w:spacing w:line="355" w:lineRule="auto" w:before="93"/>
        <w:ind w:left="673" w:right="1342" w:firstLine="0"/>
        <w:jc w:val="left"/>
        <w:rPr>
          <w:sz w:val="20"/>
        </w:rPr>
      </w:pPr>
      <w:r>
        <w:rPr>
          <w:b/>
          <w:sz w:val="20"/>
        </w:rPr>
        <w:t>Hong, G., Kóczán, Z., Lian, W. and Nabar, M. (2018), </w:t>
      </w:r>
      <w:r>
        <w:rPr>
          <w:sz w:val="20"/>
        </w:rPr>
        <w:t>“More slack than meets the eye? Recent wage dynamics in advanced economies”, </w:t>
      </w:r>
      <w:r>
        <w:rPr>
          <w:i/>
          <w:sz w:val="20"/>
        </w:rPr>
        <w:t>IMF </w:t>
      </w:r>
      <w:r>
        <w:rPr>
          <w:i/>
          <w:color w:val="2C2824"/>
          <w:sz w:val="20"/>
        </w:rPr>
        <w:t>Paper No. 18/50</w:t>
      </w:r>
      <w:r>
        <w:rPr>
          <w:sz w:val="20"/>
        </w:rPr>
        <w:t>, available at </w:t>
      </w:r>
      <w:hyperlink r:id="rId37">
        <w:r>
          <w:rPr>
            <w:color w:val="0000FF"/>
            <w:w w:val="95"/>
            <w:sz w:val="20"/>
            <w:u w:val="single" w:color="0000FF"/>
          </w:rPr>
          <w:t>https://www.imf.org/en/Publications/WP/Issues/2018/03/09/More-Slack-than-Meets-the-Eye-Recent-Wage-</w:t>
        </w:r>
      </w:hyperlink>
      <w:r>
        <w:rPr>
          <w:color w:val="0000FF"/>
          <w:w w:val="95"/>
          <w:sz w:val="20"/>
        </w:rPr>
        <w:t> </w:t>
      </w:r>
      <w:hyperlink r:id="rId37">
        <w:r>
          <w:rPr>
            <w:color w:val="0000FF"/>
            <w:sz w:val="20"/>
            <w:u w:val="single" w:color="0000FF"/>
          </w:rPr>
          <w:t>Dynamics-in-Advanced-Economies-45692</w:t>
        </w:r>
      </w:hyperlink>
    </w:p>
    <w:p>
      <w:pPr>
        <w:pStyle w:val="BodyText"/>
        <w:spacing w:before="3"/>
        <w:rPr>
          <w:sz w:val="21"/>
        </w:rPr>
      </w:pPr>
    </w:p>
    <w:p>
      <w:pPr>
        <w:pStyle w:val="BodyText"/>
        <w:spacing w:line="355" w:lineRule="auto" w:before="93"/>
        <w:ind w:left="673" w:right="1590"/>
      </w:pPr>
      <w:r>
        <w:rPr>
          <w:b/>
        </w:rPr>
        <w:t>Jones, C. (2018), </w:t>
      </w:r>
      <w:r>
        <w:rPr/>
        <w:t>“Aging, secular stagnation and the business cycle”, </w:t>
      </w:r>
      <w:r>
        <w:rPr>
          <w:i/>
        </w:rPr>
        <w:t>IMF </w:t>
      </w:r>
      <w:r>
        <w:rPr>
          <w:i/>
          <w:color w:val="2C2824"/>
        </w:rPr>
        <w:t>Paper No. 18/67</w:t>
      </w:r>
      <w:r>
        <w:rPr/>
        <w:t>, available at </w:t>
      </w:r>
      <w:hyperlink r:id="rId38">
        <w:r>
          <w:rPr>
            <w:color w:val="0000FF"/>
            <w:u w:val="single" w:color="0000FF"/>
          </w:rPr>
          <w:t>http://www.imf.org/en/Publications/WP/Issues/2018/03/23/Aging-Secular-Stagnation-and-the-Business-</w:t>
        </w:r>
      </w:hyperlink>
      <w:r>
        <w:rPr>
          <w:color w:val="0000FF"/>
        </w:rPr>
        <w:t> </w:t>
      </w:r>
      <w:hyperlink r:id="rId38">
        <w:r>
          <w:rPr>
            <w:color w:val="0000FF"/>
            <w:u w:val="single" w:color="0000FF"/>
          </w:rPr>
          <w:t>Cycle-45694</w:t>
        </w:r>
      </w:hyperlink>
    </w:p>
    <w:p>
      <w:pPr>
        <w:pStyle w:val="BodyText"/>
        <w:spacing w:before="5"/>
        <w:rPr>
          <w:sz w:val="21"/>
        </w:rPr>
      </w:pPr>
    </w:p>
    <w:p>
      <w:pPr>
        <w:spacing w:line="355" w:lineRule="auto" w:before="93"/>
        <w:ind w:left="673" w:right="3409" w:firstLine="0"/>
        <w:jc w:val="left"/>
        <w:rPr>
          <w:sz w:val="20"/>
        </w:rPr>
      </w:pPr>
      <w:r>
        <w:rPr>
          <w:b/>
          <w:sz w:val="20"/>
        </w:rPr>
        <w:t>Lisack, N., Sajedi, R. and Thwaites, G. (2017), “</w:t>
      </w:r>
      <w:r>
        <w:rPr>
          <w:sz w:val="20"/>
        </w:rPr>
        <w:t>Demographic trends and the real interest rate”, available at</w:t>
      </w:r>
    </w:p>
    <w:p>
      <w:pPr>
        <w:pStyle w:val="BodyText"/>
        <w:spacing w:before="1"/>
        <w:ind w:left="673"/>
      </w:pPr>
      <w:hyperlink r:id="rId39">
        <w:r>
          <w:rPr>
            <w:color w:val="0000FF"/>
            <w:u w:val="single" w:color="0000FF"/>
          </w:rPr>
          <w:t>https://www.frbsf.org/economic-research/files/4-Thwaites-demographic-trends-and-the-real-interest-rate</w:t>
        </w:r>
      </w:hyperlink>
    </w:p>
    <w:p>
      <w:pPr>
        <w:pStyle w:val="BodyText"/>
      </w:pPr>
    </w:p>
    <w:p>
      <w:pPr>
        <w:pStyle w:val="BodyText"/>
        <w:spacing w:before="10"/>
        <w:rPr>
          <w:sz w:val="18"/>
        </w:rPr>
      </w:pPr>
    </w:p>
    <w:p>
      <w:pPr>
        <w:spacing w:line="357" w:lineRule="auto" w:before="0"/>
        <w:ind w:left="673" w:right="1140" w:firstLine="0"/>
        <w:jc w:val="left"/>
        <w:rPr>
          <w:sz w:val="20"/>
        </w:rPr>
      </w:pPr>
      <w:r>
        <w:rPr>
          <w:b/>
          <w:sz w:val="20"/>
        </w:rPr>
        <w:t>Miles, D. (2014)</w:t>
      </w:r>
      <w:r>
        <w:rPr>
          <w:sz w:val="20"/>
        </w:rPr>
        <w:t>, “The transition to a new normal for monetary policy”, </w:t>
      </w:r>
      <w:r>
        <w:rPr>
          <w:i/>
          <w:sz w:val="20"/>
        </w:rPr>
        <w:t>BoE speech of 27 Feb 2014</w:t>
      </w:r>
      <w:r>
        <w:rPr>
          <w:sz w:val="20"/>
        </w:rPr>
        <w:t>, available at</w:t>
      </w:r>
    </w:p>
    <w:p>
      <w:pPr>
        <w:pStyle w:val="BodyText"/>
        <w:spacing w:line="352" w:lineRule="auto"/>
        <w:ind w:left="673" w:right="2008"/>
      </w:pPr>
      <w:hyperlink r:id="rId40">
        <w:r>
          <w:rPr>
            <w:color w:val="0000FF"/>
            <w:w w:val="95"/>
            <w:u w:val="single" w:color="0000FF"/>
          </w:rPr>
          <w:t>https://www.bankofengland.co.uk/-/media/boe/files/speech/2014/the-transition-to-a-new-normal-for-</w:t>
        </w:r>
      </w:hyperlink>
      <w:r>
        <w:rPr>
          <w:color w:val="0000FF"/>
          <w:w w:val="95"/>
        </w:rPr>
        <w:t> </w:t>
      </w:r>
      <w:hyperlink r:id="rId40">
        <w:r>
          <w:rPr>
            <w:color w:val="0000FF"/>
            <w:u w:val="single" w:color="0000FF"/>
          </w:rPr>
          <w:t>monetary-policy.pdf?la=en&amp;hash=54A79E78FF0928A73678B87D46AE6E3DAF625D05</w:t>
        </w:r>
      </w:hyperlink>
    </w:p>
    <w:p>
      <w:pPr>
        <w:pStyle w:val="BodyText"/>
        <w:spacing w:before="6"/>
        <w:rPr>
          <w:sz w:val="21"/>
        </w:rPr>
      </w:pPr>
    </w:p>
    <w:p>
      <w:pPr>
        <w:spacing w:line="355" w:lineRule="auto" w:before="93"/>
        <w:ind w:left="673" w:right="1119" w:firstLine="0"/>
        <w:jc w:val="left"/>
        <w:rPr>
          <w:sz w:val="20"/>
        </w:rPr>
      </w:pPr>
      <w:r>
        <w:rPr>
          <w:b/>
          <w:sz w:val="20"/>
        </w:rPr>
        <w:t>Moessner, R. (2005), </w:t>
      </w:r>
      <w:r>
        <w:rPr>
          <w:sz w:val="20"/>
        </w:rPr>
        <w:t>“Optimal discretionary policy and uncertainty about inflation persistence”, </w:t>
      </w:r>
      <w:r>
        <w:rPr>
          <w:i/>
          <w:sz w:val="20"/>
        </w:rPr>
        <w:t>ECB working </w:t>
      </w:r>
      <w:r>
        <w:rPr>
          <w:i/>
          <w:sz w:val="20"/>
        </w:rPr>
        <w:t>paper no 540</w:t>
      </w:r>
      <w:r>
        <w:rPr>
          <w:sz w:val="20"/>
        </w:rPr>
        <w:t>, available at </w:t>
      </w:r>
      <w:hyperlink r:id="rId41">
        <w:r>
          <w:rPr>
            <w:color w:val="0000FF"/>
            <w:sz w:val="20"/>
            <w:u w:val="single" w:color="0000FF"/>
          </w:rPr>
          <w:t>https://www.ecb.europa.eu/pub/pdf/scpwps/ecbwp540.pdf?3a4e8b9176d61cb2e40118a83d7dcfa3</w:t>
        </w:r>
      </w:hyperlink>
    </w:p>
    <w:p>
      <w:pPr>
        <w:pStyle w:val="BodyText"/>
        <w:spacing w:before="3"/>
        <w:rPr>
          <w:sz w:val="21"/>
        </w:rPr>
      </w:pPr>
    </w:p>
    <w:p>
      <w:pPr>
        <w:spacing w:line="357" w:lineRule="auto" w:before="93"/>
        <w:ind w:left="673" w:right="1141" w:firstLine="0"/>
        <w:jc w:val="left"/>
        <w:rPr>
          <w:sz w:val="20"/>
        </w:rPr>
      </w:pPr>
      <w:r>
        <w:rPr>
          <w:b/>
          <w:sz w:val="20"/>
        </w:rPr>
        <w:t>Orphanides, A. (2003)</w:t>
      </w:r>
      <w:r>
        <w:rPr>
          <w:sz w:val="20"/>
        </w:rPr>
        <w:t>, “Monetary policy evaluation with noisy information”, </w:t>
      </w:r>
      <w:r>
        <w:rPr>
          <w:i/>
          <w:sz w:val="20"/>
        </w:rPr>
        <w:t>Journal of Monetary Economics</w:t>
      </w:r>
      <w:r>
        <w:rPr>
          <w:sz w:val="20"/>
        </w:rPr>
        <w:t>, available at</w:t>
      </w:r>
    </w:p>
    <w:p>
      <w:pPr>
        <w:pStyle w:val="BodyText"/>
        <w:spacing w:line="229" w:lineRule="exact"/>
        <w:ind w:left="673"/>
      </w:pPr>
      <w:hyperlink r:id="rId42">
        <w:r>
          <w:rPr>
            <w:color w:val="0000FF"/>
            <w:u w:val="single" w:color="0000FF"/>
          </w:rPr>
          <w:t>https://www.sciencedirect.com/science/article/pii/S0304393203000278</w:t>
        </w:r>
      </w:hyperlink>
    </w:p>
    <w:p>
      <w:pPr>
        <w:spacing w:after="0" w:line="229" w:lineRule="exact"/>
        <w:sectPr>
          <w:pgSz w:w="11910" w:h="16840"/>
          <w:pgMar w:header="0" w:footer="1338" w:top="1580" w:bottom="1520" w:left="460" w:right="0"/>
        </w:sectPr>
      </w:pPr>
    </w:p>
    <w:p>
      <w:pPr>
        <w:spacing w:line="355" w:lineRule="auto" w:before="127"/>
        <w:ind w:left="673" w:right="1531" w:firstLine="0"/>
        <w:jc w:val="left"/>
        <w:rPr>
          <w:sz w:val="20"/>
        </w:rPr>
      </w:pPr>
      <w:r>
        <w:rPr>
          <w:b/>
          <w:sz w:val="20"/>
        </w:rPr>
        <w:t>Orphanides, A. and Wiliams, J. (2007), “</w:t>
      </w:r>
      <w:r>
        <w:rPr>
          <w:sz w:val="20"/>
        </w:rPr>
        <w:t>Robust monetary policy with imperfect knowledge”</w:t>
      </w:r>
      <w:r>
        <w:rPr>
          <w:b/>
          <w:sz w:val="20"/>
        </w:rPr>
        <w:t>, </w:t>
      </w:r>
      <w:r>
        <w:rPr>
          <w:i/>
          <w:sz w:val="20"/>
        </w:rPr>
        <w:t>ECB work </w:t>
      </w:r>
      <w:r>
        <w:rPr>
          <w:i/>
          <w:sz w:val="20"/>
        </w:rPr>
        <w:t>Paper no. 764</w:t>
      </w:r>
      <w:r>
        <w:rPr>
          <w:sz w:val="20"/>
        </w:rPr>
        <w:t>, available at </w:t>
      </w:r>
      <w:hyperlink r:id="rId43">
        <w:r>
          <w:rPr>
            <w:color w:val="0000FF"/>
            <w:sz w:val="20"/>
            <w:u w:val="single" w:color="0000FF"/>
          </w:rPr>
          <w:t>https://www.ecb.europa.eu/pub/pdf/scpwps/ecbwp764.pdf?2d4904d21249228c5677c88067ffbef7</w:t>
        </w:r>
      </w:hyperlink>
    </w:p>
    <w:p>
      <w:pPr>
        <w:pStyle w:val="BodyText"/>
        <w:spacing w:before="3"/>
        <w:rPr>
          <w:sz w:val="21"/>
        </w:rPr>
      </w:pPr>
    </w:p>
    <w:p>
      <w:pPr>
        <w:spacing w:line="355" w:lineRule="auto" w:before="93"/>
        <w:ind w:left="673" w:right="1597" w:firstLine="0"/>
        <w:jc w:val="left"/>
        <w:rPr>
          <w:sz w:val="20"/>
        </w:rPr>
      </w:pPr>
      <w:r>
        <w:rPr>
          <w:b/>
          <w:sz w:val="20"/>
        </w:rPr>
        <w:t>Rachel, L. and Smith, T. (2016)</w:t>
      </w:r>
      <w:r>
        <w:rPr>
          <w:sz w:val="20"/>
        </w:rPr>
        <w:t>, “Secular drivers of the global real interest rate”, </w:t>
      </w:r>
      <w:r>
        <w:rPr>
          <w:i/>
          <w:sz w:val="20"/>
        </w:rPr>
        <w:t>Bank of England Staff </w:t>
      </w:r>
      <w:r>
        <w:rPr>
          <w:i/>
          <w:sz w:val="20"/>
        </w:rPr>
        <w:t>Working Paper No.571</w:t>
      </w:r>
      <w:r>
        <w:rPr>
          <w:sz w:val="20"/>
        </w:rPr>
        <w:t>, available at</w:t>
      </w:r>
    </w:p>
    <w:p>
      <w:pPr>
        <w:pStyle w:val="BodyText"/>
        <w:spacing w:before="3"/>
        <w:ind w:left="673"/>
      </w:pPr>
      <w:hyperlink r:id="rId44">
        <w:r>
          <w:rPr>
            <w:color w:val="0000FF"/>
            <w:u w:val="single" w:color="0000FF"/>
          </w:rPr>
          <w:t>https://www.bankofengland.co.uk/working-paper/2015/secular-drivers-of-the-global-real-interest-rate</w:t>
        </w:r>
      </w:hyperlink>
    </w:p>
    <w:p>
      <w:pPr>
        <w:pStyle w:val="BodyText"/>
      </w:pPr>
    </w:p>
    <w:p>
      <w:pPr>
        <w:pStyle w:val="BodyText"/>
        <w:spacing w:before="10"/>
        <w:rPr>
          <w:sz w:val="18"/>
        </w:rPr>
      </w:pPr>
    </w:p>
    <w:p>
      <w:pPr>
        <w:spacing w:line="355" w:lineRule="auto" w:before="0"/>
        <w:ind w:left="673" w:right="1308" w:firstLine="0"/>
        <w:jc w:val="left"/>
        <w:rPr>
          <w:sz w:val="20"/>
        </w:rPr>
      </w:pPr>
      <w:r>
        <w:rPr>
          <w:b/>
          <w:sz w:val="20"/>
        </w:rPr>
        <w:t>Sack, B. and Wieland, V. (2000), “</w:t>
      </w:r>
      <w:r>
        <w:rPr>
          <w:sz w:val="20"/>
        </w:rPr>
        <w:t>Interest-rate smoothing and optimal monetary policy: a review of recent empirical evidence”, </w:t>
      </w:r>
      <w:hyperlink r:id="rId45">
        <w:r>
          <w:rPr>
            <w:i/>
            <w:color w:val="0000FF"/>
            <w:sz w:val="20"/>
            <w:u w:val="single" w:color="0000FF"/>
          </w:rPr>
          <w:t>Journal of Economics and Business</w:t>
        </w:r>
        <w:r>
          <w:rPr>
            <w:sz w:val="20"/>
          </w:rPr>
          <w:t>, </w:t>
        </w:r>
      </w:hyperlink>
      <w:r>
        <w:rPr>
          <w:sz w:val="20"/>
        </w:rPr>
        <w:t>2000, vol. 52, issue 1-2, 205-228, available at </w:t>
      </w:r>
      <w:hyperlink r:id="rId46">
        <w:r>
          <w:rPr>
            <w:color w:val="0000FF"/>
            <w:sz w:val="20"/>
            <w:u w:val="single" w:color="0000FF"/>
          </w:rPr>
          <w:t>https://www.sciencedirect.com/science/article/pii/S0148619599000302</w:t>
        </w:r>
      </w:hyperlink>
    </w:p>
    <w:p>
      <w:pPr>
        <w:pStyle w:val="BodyText"/>
        <w:spacing w:before="6"/>
        <w:rPr>
          <w:sz w:val="21"/>
        </w:rPr>
      </w:pPr>
    </w:p>
    <w:p>
      <w:pPr>
        <w:spacing w:line="355" w:lineRule="auto" w:before="93"/>
        <w:ind w:left="673" w:right="1364" w:firstLine="0"/>
        <w:jc w:val="left"/>
        <w:rPr>
          <w:sz w:val="20"/>
        </w:rPr>
      </w:pPr>
      <w:r>
        <w:rPr>
          <w:b/>
          <w:sz w:val="20"/>
        </w:rPr>
        <w:t>Soderstrom, U. (2000), </w:t>
      </w:r>
      <w:r>
        <w:rPr>
          <w:sz w:val="20"/>
        </w:rPr>
        <w:t>“Monetary policy with uncertain parameters”, </w:t>
      </w:r>
      <w:r>
        <w:rPr>
          <w:i/>
          <w:sz w:val="20"/>
        </w:rPr>
        <w:t>ECB work Paper no. 13</w:t>
      </w:r>
      <w:r>
        <w:rPr>
          <w:sz w:val="20"/>
        </w:rPr>
        <w:t>, available at </w:t>
      </w:r>
      <w:hyperlink r:id="rId47">
        <w:r>
          <w:rPr>
            <w:color w:val="0000FF"/>
            <w:sz w:val="20"/>
            <w:u w:val="single" w:color="0000FF"/>
          </w:rPr>
          <w:t>http://www.ecb.europa.eu/pub/pdf/scpwps/ecbwp013.pdf</w:t>
        </w:r>
      </w:hyperlink>
    </w:p>
    <w:p>
      <w:pPr>
        <w:pStyle w:val="BodyText"/>
        <w:spacing w:before="4"/>
        <w:rPr>
          <w:sz w:val="21"/>
        </w:rPr>
      </w:pPr>
    </w:p>
    <w:p>
      <w:pPr>
        <w:pStyle w:val="BodyText"/>
        <w:spacing w:line="355" w:lineRule="auto" w:before="93"/>
        <w:ind w:left="673" w:right="2553"/>
      </w:pPr>
      <w:r>
        <w:rPr>
          <w:b/>
        </w:rPr>
        <w:t>Summers, L. (2014)</w:t>
      </w:r>
      <w:r>
        <w:rPr/>
        <w:t>, “U.S. economic prospects: secular stagnation, hysteresis, and the zero lower bound,” Business Economics, 49 (2), 65–73, available at</w:t>
      </w:r>
    </w:p>
    <w:p>
      <w:pPr>
        <w:pStyle w:val="BodyText"/>
        <w:spacing w:before="1"/>
        <w:ind w:left="673"/>
      </w:pPr>
      <w:hyperlink r:id="rId48">
        <w:r>
          <w:rPr>
            <w:color w:val="0000FF"/>
            <w:u w:val="single" w:color="0000FF"/>
          </w:rPr>
          <w:t>http://larrysummers.com/wp-content/uploads/2014/06/NABE-speech-Lawrence-H.-Summers1.pdf</w:t>
        </w:r>
      </w:hyperlink>
    </w:p>
    <w:p>
      <w:pPr>
        <w:pStyle w:val="BodyText"/>
      </w:pPr>
    </w:p>
    <w:p>
      <w:pPr>
        <w:pStyle w:val="BodyText"/>
        <w:spacing w:before="10"/>
        <w:rPr>
          <w:sz w:val="18"/>
        </w:rPr>
      </w:pPr>
    </w:p>
    <w:p>
      <w:pPr>
        <w:spacing w:line="357" w:lineRule="auto" w:before="0"/>
        <w:ind w:left="673" w:right="1575" w:firstLine="0"/>
        <w:jc w:val="left"/>
        <w:rPr>
          <w:sz w:val="20"/>
        </w:rPr>
      </w:pPr>
      <w:r>
        <w:rPr>
          <w:b/>
          <w:sz w:val="20"/>
        </w:rPr>
        <w:t>Summers, L. (2017), </w:t>
      </w:r>
      <w:r>
        <w:rPr>
          <w:sz w:val="20"/>
        </w:rPr>
        <w:t>“American needs its Unions more than ever”, </w:t>
      </w:r>
      <w:r>
        <w:rPr>
          <w:i/>
          <w:sz w:val="20"/>
        </w:rPr>
        <w:t>Financial Times, 3 September 2017</w:t>
      </w:r>
      <w:r>
        <w:rPr>
          <w:sz w:val="20"/>
        </w:rPr>
        <w:t>, available at</w:t>
      </w:r>
    </w:p>
    <w:p>
      <w:pPr>
        <w:pStyle w:val="BodyText"/>
        <w:spacing w:line="229" w:lineRule="exact"/>
        <w:ind w:left="673"/>
      </w:pPr>
      <w:hyperlink r:id="rId49">
        <w:r>
          <w:rPr>
            <w:color w:val="0000FF"/>
            <w:u w:val="single" w:color="0000FF"/>
          </w:rPr>
          <w:t>https://www.ft.com/content/180127da-8e59-11e7-9580-c651950d3672</w:t>
        </w:r>
      </w:hyperlink>
    </w:p>
    <w:p>
      <w:pPr>
        <w:pStyle w:val="BodyText"/>
      </w:pPr>
    </w:p>
    <w:p>
      <w:pPr>
        <w:pStyle w:val="BodyText"/>
        <w:spacing w:before="10"/>
        <w:rPr>
          <w:sz w:val="18"/>
        </w:rPr>
      </w:pPr>
    </w:p>
    <w:p>
      <w:pPr>
        <w:pStyle w:val="BodyText"/>
        <w:spacing w:line="357" w:lineRule="auto"/>
        <w:ind w:left="673"/>
      </w:pPr>
      <w:r>
        <w:rPr>
          <w:b/>
        </w:rPr>
        <w:t>Svensson, L. (1999), </w:t>
      </w:r>
      <w:r>
        <w:rPr/>
        <w:t>“Inflation targeting, some extensions”, available at </w:t>
      </w:r>
      <w:hyperlink r:id="rId50">
        <w:r>
          <w:rPr>
            <w:color w:val="0000FF"/>
            <w:w w:val="95"/>
            <w:u w:val="single" w:color="0000FF"/>
          </w:rPr>
          <w:t>https://www.jstor.org/stable/pdf/3440742.pdf?refreqid=excelsior%3Aa664bf35f538f4da96917bc017b402d8</w:t>
        </w:r>
      </w:hyperlink>
    </w:p>
    <w:p>
      <w:pPr>
        <w:pStyle w:val="BodyText"/>
        <w:spacing w:before="1"/>
        <w:rPr>
          <w:sz w:val="21"/>
        </w:rPr>
      </w:pPr>
    </w:p>
    <w:p>
      <w:pPr>
        <w:spacing w:line="355" w:lineRule="auto" w:before="93"/>
        <w:ind w:left="673" w:right="1310" w:firstLine="0"/>
        <w:jc w:val="left"/>
        <w:rPr>
          <w:sz w:val="20"/>
        </w:rPr>
      </w:pPr>
      <w:r>
        <w:rPr>
          <w:b/>
          <w:sz w:val="20"/>
        </w:rPr>
        <w:t>Svensson, L. and Woodford, M. (2000), </w:t>
      </w:r>
      <w:r>
        <w:rPr>
          <w:sz w:val="20"/>
        </w:rPr>
        <w:t>“Indicator variables for optimal policy”, </w:t>
      </w:r>
      <w:r>
        <w:rPr>
          <w:i/>
          <w:sz w:val="20"/>
        </w:rPr>
        <w:t>NBER Working Paper No. </w:t>
      </w:r>
      <w:r>
        <w:rPr>
          <w:i/>
          <w:sz w:val="20"/>
        </w:rPr>
        <w:t>7953</w:t>
      </w:r>
      <w:r>
        <w:rPr>
          <w:sz w:val="20"/>
        </w:rPr>
        <w:t>, available at</w:t>
      </w:r>
    </w:p>
    <w:p>
      <w:pPr>
        <w:pStyle w:val="BodyText"/>
        <w:ind w:left="673"/>
      </w:pPr>
      <w:hyperlink r:id="rId51">
        <w:r>
          <w:rPr>
            <w:color w:val="0000FF"/>
            <w:u w:val="single" w:color="0000FF"/>
          </w:rPr>
          <w:t>http://www.nber.org/papers/w7953.pdf</w:t>
        </w:r>
      </w:hyperlink>
    </w:p>
    <w:p>
      <w:pPr>
        <w:pStyle w:val="BodyText"/>
      </w:pPr>
    </w:p>
    <w:p>
      <w:pPr>
        <w:pStyle w:val="BodyText"/>
        <w:spacing w:before="1"/>
        <w:rPr>
          <w:sz w:val="19"/>
        </w:rPr>
      </w:pPr>
    </w:p>
    <w:p>
      <w:pPr>
        <w:spacing w:line="355" w:lineRule="auto" w:before="0"/>
        <w:ind w:left="673" w:right="2143" w:firstLine="0"/>
        <w:jc w:val="left"/>
        <w:rPr>
          <w:sz w:val="20"/>
        </w:rPr>
      </w:pPr>
      <w:r>
        <w:rPr>
          <w:b/>
          <w:sz w:val="20"/>
        </w:rPr>
        <w:t>Svensson, L. and Woodford, M. (2002)</w:t>
      </w:r>
      <w:r>
        <w:rPr>
          <w:sz w:val="20"/>
        </w:rPr>
        <w:t>, “Indicator variables for optimal policy under asymmetric information”, 2002, available at</w:t>
      </w:r>
    </w:p>
    <w:p>
      <w:pPr>
        <w:pStyle w:val="BodyText"/>
        <w:spacing w:before="1"/>
        <w:ind w:left="673"/>
      </w:pPr>
      <w:hyperlink r:id="rId52">
        <w:r>
          <w:rPr>
            <w:color w:val="0000FF"/>
            <w:u w:val="single" w:color="0000FF"/>
          </w:rPr>
          <w:t>http://www.columbia.edu/~mw2230/SWAS208.pdf</w:t>
        </w:r>
      </w:hyperlink>
    </w:p>
    <w:p>
      <w:pPr>
        <w:pStyle w:val="BodyText"/>
      </w:pPr>
    </w:p>
    <w:p>
      <w:pPr>
        <w:pStyle w:val="BodyText"/>
        <w:spacing w:before="10"/>
        <w:rPr>
          <w:sz w:val="18"/>
        </w:rPr>
      </w:pPr>
    </w:p>
    <w:p>
      <w:pPr>
        <w:spacing w:line="355" w:lineRule="auto" w:before="0"/>
        <w:ind w:left="673" w:right="1230" w:firstLine="0"/>
        <w:jc w:val="left"/>
        <w:rPr>
          <w:sz w:val="20"/>
        </w:rPr>
      </w:pPr>
      <w:r>
        <w:rPr>
          <w:b/>
          <w:sz w:val="20"/>
        </w:rPr>
        <w:t>Tenreyro, S. (2018)</w:t>
      </w:r>
      <w:r>
        <w:rPr>
          <w:sz w:val="20"/>
        </w:rPr>
        <w:t>, “The fall in productivity growth: causes and implications”, </w:t>
      </w:r>
      <w:r>
        <w:rPr>
          <w:i/>
          <w:sz w:val="20"/>
        </w:rPr>
        <w:t>speech given at Queen Mary </w:t>
      </w:r>
      <w:r>
        <w:rPr>
          <w:i/>
          <w:sz w:val="20"/>
        </w:rPr>
        <w:t>University of London</w:t>
      </w:r>
      <w:r>
        <w:rPr>
          <w:sz w:val="20"/>
        </w:rPr>
        <w:t>, available at</w:t>
      </w:r>
    </w:p>
    <w:p>
      <w:pPr>
        <w:pStyle w:val="BodyText"/>
        <w:spacing w:before="4"/>
        <w:ind w:left="673"/>
      </w:pPr>
      <w:hyperlink r:id="rId53">
        <w:r>
          <w:rPr>
            <w:color w:val="0000FF"/>
            <w:u w:val="single" w:color="0000FF"/>
          </w:rPr>
          <w:t>https://www.bankofengland.co.uk/speech/2018/silvana-tenreyro-2018-peston-lecture</w:t>
        </w:r>
      </w:hyperlink>
    </w:p>
    <w:p>
      <w:pPr>
        <w:spacing w:after="0"/>
        <w:sectPr>
          <w:pgSz w:w="11910" w:h="16840"/>
          <w:pgMar w:header="0" w:footer="1338" w:top="1580" w:bottom="1520" w:left="460" w:right="0"/>
        </w:sectPr>
      </w:pPr>
    </w:p>
    <w:p>
      <w:pPr>
        <w:spacing w:line="352" w:lineRule="auto" w:before="127"/>
        <w:ind w:left="673" w:right="1314" w:firstLine="0"/>
        <w:jc w:val="left"/>
        <w:rPr>
          <w:sz w:val="20"/>
        </w:rPr>
      </w:pPr>
      <w:r>
        <w:rPr>
          <w:b/>
          <w:sz w:val="20"/>
        </w:rPr>
        <w:t>Vlieghe, G. (2017)</w:t>
      </w:r>
      <w:r>
        <w:rPr>
          <w:sz w:val="20"/>
        </w:rPr>
        <w:t>, “Real interest rates and risk”, </w:t>
      </w:r>
      <w:r>
        <w:rPr>
          <w:i/>
          <w:sz w:val="20"/>
        </w:rPr>
        <w:t>Speech given at Society of Business Economists' Annual </w:t>
      </w:r>
      <w:r>
        <w:rPr>
          <w:i/>
          <w:sz w:val="20"/>
        </w:rPr>
        <w:t>conference, London</w:t>
      </w:r>
      <w:r>
        <w:rPr>
          <w:sz w:val="20"/>
        </w:rPr>
        <w:t>, available at</w:t>
      </w:r>
    </w:p>
    <w:p>
      <w:pPr>
        <w:pStyle w:val="BodyText"/>
        <w:spacing w:line="355" w:lineRule="auto" w:before="5"/>
        <w:ind w:left="673"/>
      </w:pPr>
      <w:r>
        <w:rPr>
          <w:color w:val="0000FF"/>
          <w:w w:val="95"/>
          <w:u w:val="single" w:color="0000FF"/>
        </w:rPr>
        <w:t>https://</w:t>
      </w:r>
      <w:hyperlink r:id="rId54">
        <w:r>
          <w:rPr>
            <w:color w:val="0000FF"/>
            <w:w w:val="95"/>
            <w:u w:val="single" w:color="0000FF"/>
          </w:rPr>
          <w:t>www.bankofengland.co.uk/-/media/boe/files/speech/2017/real-interest-rates-and-</w:t>
        </w:r>
      </w:hyperlink>
      <w:r>
        <w:rPr>
          <w:color w:val="0000FF"/>
          <w:w w:val="95"/>
        </w:rPr>
        <w:t> </w:t>
      </w:r>
      <w:r>
        <w:rPr>
          <w:color w:val="0000FF"/>
          <w:u w:val="single" w:color="0000FF"/>
        </w:rPr>
        <w:t>risk.pdf?la=en&amp;hash=79B8C924E9158CB15714A228FB575F08C3130657</w:t>
      </w:r>
    </w:p>
    <w:p>
      <w:pPr>
        <w:pStyle w:val="BodyText"/>
        <w:spacing w:before="3"/>
        <w:rPr>
          <w:sz w:val="21"/>
        </w:rPr>
      </w:pPr>
    </w:p>
    <w:p>
      <w:pPr>
        <w:pStyle w:val="BodyText"/>
        <w:spacing w:line="357" w:lineRule="auto" w:before="93"/>
        <w:ind w:left="673" w:right="1218"/>
      </w:pPr>
      <w:r>
        <w:rPr>
          <w:b/>
        </w:rPr>
        <w:t>Wren-Lewis, S. (2018), </w:t>
      </w:r>
      <w:r>
        <w:rPr/>
        <w:t>“The Output Gap is no longer a sufficient statistic for inflationary pressure”, blog available at </w:t>
      </w:r>
      <w:hyperlink r:id="rId55">
        <w:r>
          <w:rPr>
            <w:color w:val="0000FF"/>
            <w:u w:val="single" w:color="0000FF"/>
          </w:rPr>
          <w:t>https://mainlymacro.blogspot.co.uk/2018/03/the-output-gap-is-no-longer-sufficient.html</w:t>
        </w:r>
      </w:hyperlink>
    </w:p>
    <w:p>
      <w:pPr>
        <w:spacing w:after="0" w:line="357" w:lineRule="auto"/>
        <w:sectPr>
          <w:pgSz w:w="11910" w:h="16840"/>
          <w:pgMar w:header="0" w:footer="1338" w:top="1580" w:bottom="1520" w:left="460" w:right="0"/>
        </w:sectPr>
      </w:pPr>
    </w:p>
    <w:p>
      <w:pPr>
        <w:pStyle w:val="Heading1"/>
        <w:spacing w:before="127" w:after="3"/>
      </w:pPr>
      <w:r>
        <w:rPr/>
        <w:t>Charts</w:t>
      </w: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6301"/>
      </w:tblGrid>
      <w:tr>
        <w:trPr>
          <w:trHeight w:val="1019" w:hRule="atLeast"/>
        </w:trPr>
        <w:tc>
          <w:tcPr>
            <w:tcW w:w="9244" w:type="dxa"/>
            <w:gridSpan w:val="2"/>
          </w:tcPr>
          <w:p>
            <w:pPr>
              <w:pStyle w:val="TableParagraph"/>
              <w:spacing w:line="355" w:lineRule="auto" w:before="107"/>
              <w:ind w:left="108"/>
              <w:rPr>
                <w:sz w:val="20"/>
              </w:rPr>
            </w:pPr>
            <w:r>
              <w:rPr>
                <w:sz w:val="20"/>
              </w:rPr>
              <w:t>Figure 1. MPC Comments on Prospects for Spare Capacity in Successive Inflation Reports since August 2016</w:t>
            </w:r>
          </w:p>
        </w:tc>
      </w:tr>
      <w:tr>
        <w:trPr>
          <w:trHeight w:val="1360" w:hRule="atLeast"/>
        </w:trPr>
        <w:tc>
          <w:tcPr>
            <w:tcW w:w="2943" w:type="dxa"/>
          </w:tcPr>
          <w:p>
            <w:pPr>
              <w:pStyle w:val="TableParagraph"/>
              <w:spacing w:before="110"/>
              <w:ind w:left="108"/>
              <w:rPr>
                <w:sz w:val="20"/>
              </w:rPr>
            </w:pPr>
            <w:r>
              <w:rPr>
                <w:sz w:val="20"/>
              </w:rPr>
              <w:t>August 2016</w:t>
            </w:r>
          </w:p>
        </w:tc>
        <w:tc>
          <w:tcPr>
            <w:tcW w:w="6301" w:type="dxa"/>
          </w:tcPr>
          <w:p>
            <w:pPr>
              <w:pStyle w:val="TableParagraph"/>
              <w:spacing w:line="355" w:lineRule="auto" w:before="110"/>
              <w:ind w:left="110" w:right="135"/>
              <w:rPr>
                <w:sz w:val="20"/>
              </w:rPr>
            </w:pPr>
            <w:r>
              <w:rPr>
                <w:sz w:val="20"/>
              </w:rPr>
              <w:t>“Overall, however, demand falls relative to supply so that unemployment and slack are projected to increase over the next year or so before falling back somewhat.”</w:t>
            </w:r>
          </w:p>
        </w:tc>
      </w:tr>
      <w:tr>
        <w:trPr>
          <w:trHeight w:val="1019" w:hRule="atLeast"/>
        </w:trPr>
        <w:tc>
          <w:tcPr>
            <w:tcW w:w="2943" w:type="dxa"/>
          </w:tcPr>
          <w:p>
            <w:pPr>
              <w:pStyle w:val="TableParagraph"/>
              <w:spacing w:before="107"/>
              <w:ind w:left="108"/>
              <w:rPr>
                <w:sz w:val="20"/>
              </w:rPr>
            </w:pPr>
            <w:r>
              <w:rPr>
                <w:sz w:val="20"/>
              </w:rPr>
              <w:t>November 2016</w:t>
            </w:r>
          </w:p>
        </w:tc>
        <w:tc>
          <w:tcPr>
            <w:tcW w:w="6301" w:type="dxa"/>
          </w:tcPr>
          <w:p>
            <w:pPr>
              <w:pStyle w:val="TableParagraph"/>
              <w:spacing w:line="355" w:lineRule="auto" w:before="107"/>
              <w:ind w:left="110" w:right="135"/>
              <w:rPr>
                <w:sz w:val="20"/>
              </w:rPr>
            </w:pPr>
            <w:r>
              <w:rPr>
                <w:sz w:val="20"/>
              </w:rPr>
              <w:t>“Supply growth remains subdued so unemployment and slack increase only modestly.”</w:t>
            </w:r>
          </w:p>
        </w:tc>
      </w:tr>
      <w:tr>
        <w:trPr>
          <w:trHeight w:val="1360" w:hRule="atLeast"/>
        </w:trPr>
        <w:tc>
          <w:tcPr>
            <w:tcW w:w="2943" w:type="dxa"/>
          </w:tcPr>
          <w:p>
            <w:pPr>
              <w:pStyle w:val="TableParagraph"/>
              <w:spacing w:before="110"/>
              <w:ind w:left="108"/>
              <w:rPr>
                <w:sz w:val="20"/>
              </w:rPr>
            </w:pPr>
            <w:r>
              <w:rPr>
                <w:sz w:val="20"/>
              </w:rPr>
              <w:t>February 2017</w:t>
            </w:r>
          </w:p>
        </w:tc>
        <w:tc>
          <w:tcPr>
            <w:tcW w:w="6301" w:type="dxa"/>
          </w:tcPr>
          <w:p>
            <w:pPr>
              <w:pStyle w:val="TableParagraph"/>
              <w:spacing w:line="355" w:lineRule="auto" w:before="110"/>
              <w:ind w:left="110" w:right="135"/>
              <w:rPr>
                <w:sz w:val="20"/>
              </w:rPr>
            </w:pPr>
            <w:r>
              <w:rPr>
                <w:sz w:val="20"/>
              </w:rPr>
              <w:t>“Taking demand and supply together, relative to the November projection, there is judged to be a little more slack in the economy at the start of the forecast period, but a little less by the end.”</w:t>
            </w:r>
          </w:p>
        </w:tc>
      </w:tr>
      <w:tr>
        <w:trPr>
          <w:trHeight w:val="2039" w:hRule="atLeast"/>
        </w:trPr>
        <w:tc>
          <w:tcPr>
            <w:tcW w:w="2943" w:type="dxa"/>
          </w:tcPr>
          <w:p>
            <w:pPr>
              <w:pStyle w:val="TableParagraph"/>
              <w:spacing w:before="107"/>
              <w:ind w:left="108"/>
              <w:rPr>
                <w:sz w:val="20"/>
              </w:rPr>
            </w:pPr>
            <w:r>
              <w:rPr>
                <w:sz w:val="20"/>
              </w:rPr>
              <w:t>May 2017</w:t>
            </w:r>
          </w:p>
        </w:tc>
        <w:tc>
          <w:tcPr>
            <w:tcW w:w="6301" w:type="dxa"/>
          </w:tcPr>
          <w:p>
            <w:pPr>
              <w:pStyle w:val="TableParagraph"/>
              <w:spacing w:line="355" w:lineRule="auto" w:before="107"/>
              <w:ind w:left="110" w:right="291"/>
              <w:rPr>
                <w:sz w:val="20"/>
              </w:rPr>
            </w:pPr>
            <w:r>
              <w:rPr>
                <w:sz w:val="20"/>
              </w:rPr>
              <w:t>“In the MPC’s latest projections, there is such a trade-off through most of the forecast period, with a degree of spare capacity and inflation remaining above the 2% target. In the final year of the forecast, however, the output gap closes and inflation rises slightly further above the target.”</w:t>
            </w:r>
          </w:p>
        </w:tc>
      </w:tr>
      <w:tr>
        <w:trPr>
          <w:trHeight w:val="1701" w:hRule="atLeast"/>
        </w:trPr>
        <w:tc>
          <w:tcPr>
            <w:tcW w:w="2943" w:type="dxa"/>
          </w:tcPr>
          <w:p>
            <w:pPr>
              <w:pStyle w:val="TableParagraph"/>
              <w:spacing w:before="110"/>
              <w:ind w:left="108"/>
              <w:rPr>
                <w:sz w:val="20"/>
              </w:rPr>
            </w:pPr>
            <w:r>
              <w:rPr>
                <w:sz w:val="20"/>
              </w:rPr>
              <w:t>August 2017</w:t>
            </w:r>
          </w:p>
        </w:tc>
        <w:tc>
          <w:tcPr>
            <w:tcW w:w="6301" w:type="dxa"/>
          </w:tcPr>
          <w:p>
            <w:pPr>
              <w:pStyle w:val="TableParagraph"/>
              <w:spacing w:line="355" w:lineRule="auto" w:before="110"/>
              <w:ind w:left="110" w:right="202"/>
              <w:rPr>
                <w:sz w:val="20"/>
              </w:rPr>
            </w:pPr>
            <w:r>
              <w:rPr>
                <w:sz w:val="20"/>
              </w:rPr>
              <w:t>“Through most of the forecast period, the economy operates with a small degree of spare capacity and CPI inflation is well above the target. By the end of the forecast, that trade-off is eliminated. Spare capacity is fully absorbed, and inflation remains above the target.”</w:t>
            </w:r>
          </w:p>
        </w:tc>
      </w:tr>
      <w:tr>
        <w:trPr>
          <w:trHeight w:val="1360" w:hRule="atLeast"/>
        </w:trPr>
        <w:tc>
          <w:tcPr>
            <w:tcW w:w="2943" w:type="dxa"/>
          </w:tcPr>
          <w:p>
            <w:pPr>
              <w:pStyle w:val="TableParagraph"/>
              <w:spacing w:before="107"/>
              <w:ind w:left="108"/>
              <w:rPr>
                <w:sz w:val="20"/>
              </w:rPr>
            </w:pPr>
            <w:r>
              <w:rPr>
                <w:sz w:val="20"/>
              </w:rPr>
              <w:t>November 2017</w:t>
            </w:r>
          </w:p>
        </w:tc>
        <w:tc>
          <w:tcPr>
            <w:tcW w:w="6301" w:type="dxa"/>
          </w:tcPr>
          <w:p>
            <w:pPr>
              <w:pStyle w:val="TableParagraph"/>
              <w:spacing w:line="355" w:lineRule="auto" w:before="107"/>
              <w:ind w:left="110" w:right="408"/>
              <w:jc w:val="both"/>
              <w:rPr>
                <w:sz w:val="20"/>
              </w:rPr>
            </w:pPr>
            <w:r>
              <w:rPr>
                <w:sz w:val="20"/>
              </w:rPr>
              <w:t>“Over the MPC’s forecast period, conditioned on a path for Bank Rate that rises to 1% by the end of 2020, demand is projected to grow at a pace that uses up the remaining slack in the economy.”</w:t>
            </w:r>
          </w:p>
        </w:tc>
      </w:tr>
      <w:tr>
        <w:trPr>
          <w:trHeight w:val="1699" w:hRule="atLeast"/>
        </w:trPr>
        <w:tc>
          <w:tcPr>
            <w:tcW w:w="2943" w:type="dxa"/>
          </w:tcPr>
          <w:p>
            <w:pPr>
              <w:pStyle w:val="TableParagraph"/>
              <w:spacing w:before="107"/>
              <w:ind w:left="108"/>
              <w:rPr>
                <w:sz w:val="20"/>
              </w:rPr>
            </w:pPr>
            <w:r>
              <w:rPr>
                <w:sz w:val="20"/>
              </w:rPr>
              <w:t>February 2018</w:t>
            </w:r>
          </w:p>
        </w:tc>
        <w:tc>
          <w:tcPr>
            <w:tcW w:w="6301" w:type="dxa"/>
          </w:tcPr>
          <w:p>
            <w:pPr>
              <w:pStyle w:val="TableParagraph"/>
              <w:spacing w:line="355" w:lineRule="auto" w:before="107"/>
              <w:ind w:left="110" w:right="135"/>
              <w:rPr>
                <w:sz w:val="20"/>
              </w:rPr>
            </w:pPr>
            <w:r>
              <w:rPr>
                <w:sz w:val="20"/>
              </w:rPr>
              <w:t>“In the MPC’s projections, the stronger pace of demand growth is sufficient to absorb the limited degree of spare capacity sooner than in the November projections, with the economy moving into excess demand by early 2020”.</w:t>
            </w:r>
          </w:p>
        </w:tc>
      </w:tr>
    </w:tbl>
    <w:p>
      <w:pPr>
        <w:spacing w:before="152"/>
        <w:ind w:left="673" w:right="0" w:firstLine="0"/>
        <w:jc w:val="left"/>
        <w:rPr>
          <w:sz w:val="16"/>
        </w:rPr>
      </w:pPr>
      <w:r>
        <w:rPr>
          <w:sz w:val="16"/>
        </w:rPr>
        <w:t>Source: Bank of England Inflation Reports</w:t>
      </w:r>
    </w:p>
    <w:p>
      <w:pPr>
        <w:spacing w:after="0"/>
        <w:jc w:val="left"/>
        <w:rPr>
          <w:sz w:val="16"/>
        </w:rPr>
        <w:sectPr>
          <w:pgSz w:w="11910" w:h="16840"/>
          <w:pgMar w:header="0" w:footer="1338" w:top="1580" w:bottom="1520" w:left="460" w:right="0"/>
        </w:sectPr>
      </w:pPr>
    </w:p>
    <w:p>
      <w:pPr>
        <w:pStyle w:val="BodyText"/>
        <w:spacing w:before="129"/>
        <w:ind w:left="673"/>
      </w:pPr>
      <w:r>
        <w:rPr/>
        <w:t>Figure 2. UK – MPC Central Forecasts for the Trade-off at Year 2 in Successive Inflation Reports</w:t>
      </w:r>
    </w:p>
    <w:p>
      <w:pPr>
        <w:pStyle w:val="BodyText"/>
        <w:spacing w:before="1"/>
        <w:rPr>
          <w:sz w:val="9"/>
        </w:rPr>
      </w:pPr>
      <w:r>
        <w:rPr/>
        <w:drawing>
          <wp:anchor distT="0" distB="0" distL="0" distR="0" allowOverlap="1" layoutInCell="1" locked="0" behindDoc="0" simplePos="0" relativeHeight="10">
            <wp:simplePos x="0" y="0"/>
            <wp:positionH relativeFrom="page">
              <wp:posOffset>795338</wp:posOffset>
            </wp:positionH>
            <wp:positionV relativeFrom="paragraph">
              <wp:posOffset>91719</wp:posOffset>
            </wp:positionV>
            <wp:extent cx="5308214" cy="294894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56" cstate="print"/>
                    <a:stretch>
                      <a:fillRect/>
                    </a:stretch>
                  </pic:blipFill>
                  <pic:spPr>
                    <a:xfrm>
                      <a:off x="0" y="0"/>
                      <a:ext cx="5308214" cy="2948940"/>
                    </a:xfrm>
                    <a:prstGeom prst="rect">
                      <a:avLst/>
                    </a:prstGeom>
                  </pic:spPr>
                </pic:pic>
              </a:graphicData>
            </a:graphic>
          </wp:anchor>
        </w:drawing>
      </w:r>
    </w:p>
    <w:p>
      <w:pPr>
        <w:pStyle w:val="BodyText"/>
        <w:rPr>
          <w:sz w:val="22"/>
        </w:rPr>
      </w:pPr>
    </w:p>
    <w:p>
      <w:pPr>
        <w:pStyle w:val="BodyText"/>
        <w:rPr>
          <w:sz w:val="22"/>
        </w:rPr>
      </w:pPr>
    </w:p>
    <w:p>
      <w:pPr>
        <w:pStyle w:val="BodyText"/>
        <w:rPr>
          <w:sz w:val="22"/>
        </w:rPr>
      </w:pPr>
    </w:p>
    <w:p>
      <w:pPr>
        <w:pStyle w:val="BodyText"/>
        <w:spacing w:before="147"/>
        <w:ind w:left="673"/>
        <w:rPr>
          <w:i/>
        </w:rPr>
      </w:pPr>
      <w:r>
        <w:rPr/>
        <w:t>Figure 3. UK – MPC Central Forecasts for the Trade-off at Year 3 in Successive </w:t>
      </w:r>
      <w:r>
        <w:rPr>
          <w:i/>
        </w:rPr>
        <w:t>Inflation Reports</w:t>
      </w:r>
    </w:p>
    <w:p>
      <w:pPr>
        <w:pStyle w:val="BodyText"/>
        <w:spacing w:before="10"/>
        <w:rPr>
          <w:i/>
          <w:sz w:val="8"/>
        </w:rPr>
      </w:pPr>
      <w:r>
        <w:rPr/>
        <w:drawing>
          <wp:anchor distT="0" distB="0" distL="0" distR="0" allowOverlap="1" layoutInCell="1" locked="0" behindDoc="0" simplePos="0" relativeHeight="11">
            <wp:simplePos x="0" y="0"/>
            <wp:positionH relativeFrom="page">
              <wp:posOffset>782182</wp:posOffset>
            </wp:positionH>
            <wp:positionV relativeFrom="paragraph">
              <wp:posOffset>89752</wp:posOffset>
            </wp:positionV>
            <wp:extent cx="5057377" cy="288036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57" cstate="print"/>
                    <a:stretch>
                      <a:fillRect/>
                    </a:stretch>
                  </pic:blipFill>
                  <pic:spPr>
                    <a:xfrm>
                      <a:off x="0" y="0"/>
                      <a:ext cx="5057377" cy="2880360"/>
                    </a:xfrm>
                    <a:prstGeom prst="rect">
                      <a:avLst/>
                    </a:prstGeom>
                  </pic:spPr>
                </pic:pic>
              </a:graphicData>
            </a:graphic>
          </wp:anchor>
        </w:drawing>
      </w:r>
    </w:p>
    <w:p>
      <w:pPr>
        <w:pStyle w:val="BodyText"/>
        <w:spacing w:before="2"/>
        <w:rPr>
          <w:i/>
          <w:sz w:val="19"/>
        </w:rPr>
      </w:pPr>
    </w:p>
    <w:p>
      <w:pPr>
        <w:spacing w:line="444" w:lineRule="auto" w:before="0"/>
        <w:ind w:left="673" w:right="1243" w:firstLine="0"/>
        <w:jc w:val="left"/>
        <w:rPr>
          <w:sz w:val="16"/>
        </w:rPr>
      </w:pPr>
      <w:r>
        <w:rPr>
          <w:sz w:val="16"/>
        </w:rPr>
        <w:t>Notes: The top chart shows the central projection for spare capacity or excess demand at the end of the second year of the forecast period on the horizontal axis against the central projection for YoY CPI inflation at Year 2 on the vertical axis from successive Inflation Reports. The bottom chart shows the Year 3 forecasts. The left-most observation (labelled "Aug. 2016 no stimulus") is a counterfactual version of the August 2016 Inflation Report forecasts with the effect of the MPC's Bank Rate cut, Term Funding Scheme and Asset Purchases removed. See Carney 2018 for further details and discussion.</w:t>
      </w:r>
    </w:p>
    <w:p>
      <w:pPr>
        <w:spacing w:after="0" w:line="444" w:lineRule="auto"/>
        <w:jc w:val="left"/>
        <w:rPr>
          <w:sz w:val="16"/>
        </w:rPr>
        <w:sectPr>
          <w:pgSz w:w="11910" w:h="16840"/>
          <w:pgMar w:header="0" w:footer="1338" w:top="1580" w:bottom="1520" w:left="460" w:right="0"/>
        </w:sectPr>
      </w:pPr>
    </w:p>
    <w:p>
      <w:pPr>
        <w:pStyle w:val="BodyText"/>
      </w:pPr>
    </w:p>
    <w:p>
      <w:pPr>
        <w:pStyle w:val="BodyText"/>
        <w:spacing w:before="3" w:after="1"/>
        <w:rPr>
          <w:sz w:val="1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260"/>
        <w:gridCol w:w="127"/>
        <w:gridCol w:w="110"/>
        <w:gridCol w:w="5230"/>
        <w:gridCol w:w="126"/>
      </w:tblGrid>
      <w:tr>
        <w:trPr>
          <w:trHeight w:val="681" w:hRule="atLeast"/>
        </w:trPr>
        <w:tc>
          <w:tcPr>
            <w:tcW w:w="5498" w:type="dxa"/>
            <w:gridSpan w:val="3"/>
            <w:tcBorders>
              <w:bottom w:val="single" w:sz="6" w:space="0" w:color="000000"/>
            </w:tcBorders>
          </w:tcPr>
          <w:p>
            <w:pPr>
              <w:pStyle w:val="TableParagraph"/>
              <w:spacing w:line="340" w:lineRule="exact" w:before="23"/>
              <w:ind w:left="107" w:right="403"/>
              <w:rPr>
                <w:sz w:val="20"/>
              </w:rPr>
            </w:pPr>
            <w:r>
              <w:rPr>
                <w:sz w:val="20"/>
              </w:rPr>
              <w:t>Figure 4. UK – Measures of Labour Market Slack, 1997- 2018</w:t>
            </w:r>
          </w:p>
        </w:tc>
        <w:tc>
          <w:tcPr>
            <w:tcW w:w="5466" w:type="dxa"/>
            <w:gridSpan w:val="3"/>
            <w:tcBorders>
              <w:bottom w:val="single" w:sz="6" w:space="0" w:color="000000"/>
            </w:tcBorders>
          </w:tcPr>
          <w:p>
            <w:pPr>
              <w:pStyle w:val="TableParagraph"/>
              <w:spacing w:line="340" w:lineRule="exact" w:before="23"/>
              <w:ind w:left="107"/>
              <w:rPr>
                <w:sz w:val="20"/>
              </w:rPr>
            </w:pPr>
            <w:r>
              <w:rPr>
                <w:sz w:val="20"/>
              </w:rPr>
              <w:t>Figure 5. UK – Average Earnings Growth YoY (3-month averages), 2001-18</w:t>
            </w:r>
          </w:p>
        </w:tc>
      </w:tr>
      <w:tr>
        <w:trPr>
          <w:trHeight w:val="3660" w:hRule="atLeast"/>
        </w:trPr>
        <w:tc>
          <w:tcPr>
            <w:tcW w:w="111" w:type="dxa"/>
            <w:tcBorders>
              <w:right w:val="single" w:sz="4" w:space="0" w:color="858585"/>
            </w:tcBorders>
          </w:tcPr>
          <w:p>
            <w:pPr>
              <w:pStyle w:val="TableParagraph"/>
              <w:rPr>
                <w:rFonts w:ascii="Times New Roman"/>
                <w:sz w:val="16"/>
              </w:rPr>
            </w:pPr>
          </w:p>
        </w:tc>
        <w:tc>
          <w:tcPr>
            <w:tcW w:w="5260" w:type="dxa"/>
            <w:tcBorders>
              <w:top w:val="single" w:sz="6" w:space="0" w:color="000000"/>
              <w:left w:val="single" w:sz="4" w:space="0" w:color="858585"/>
              <w:right w:val="single" w:sz="4" w:space="0" w:color="858585"/>
            </w:tcBorders>
          </w:tcPr>
          <w:p>
            <w:pPr>
              <w:pStyle w:val="TableParagraph"/>
              <w:spacing w:line="175" w:lineRule="exact"/>
              <w:ind w:left="63"/>
              <w:rPr>
                <w:rFonts w:ascii="Calibri"/>
                <w:b/>
                <w:sz w:val="18"/>
              </w:rPr>
            </w:pPr>
            <w:r>
              <w:rPr>
                <w:rFonts w:ascii="Calibri"/>
                <w:b/>
                <w:w w:val="95"/>
                <w:sz w:val="18"/>
              </w:rPr>
              <w:t>3</w:t>
            </w:r>
          </w:p>
          <w:p>
            <w:pPr>
              <w:pStyle w:val="TableParagraph"/>
              <w:spacing w:line="187" w:lineRule="exact"/>
              <w:ind w:left="370"/>
              <w:rPr>
                <w:rFonts w:ascii="Calibri"/>
                <w:b/>
                <w:sz w:val="18"/>
              </w:rPr>
            </w:pPr>
            <w:r>
              <w:rPr>
                <w:rFonts w:ascii="Calibri"/>
                <w:b/>
                <w:sz w:val="18"/>
              </w:rPr>
              <w:t>sd</w:t>
            </w:r>
          </w:p>
          <w:p>
            <w:pPr>
              <w:pStyle w:val="TableParagraph"/>
              <w:spacing w:before="64"/>
              <w:ind w:left="63"/>
              <w:rPr>
                <w:rFonts w:ascii="Calibri"/>
                <w:b/>
                <w:sz w:val="18"/>
              </w:rPr>
            </w:pPr>
            <w:r>
              <w:rPr>
                <w:rFonts w:ascii="Calibri"/>
                <w:b/>
                <w:w w:val="95"/>
                <w:sz w:val="18"/>
              </w:rPr>
              <w:t>2</w:t>
            </w:r>
          </w:p>
          <w:p>
            <w:pPr>
              <w:pStyle w:val="TableParagraph"/>
              <w:rPr>
                <w:sz w:val="19"/>
              </w:rPr>
            </w:pPr>
          </w:p>
          <w:p>
            <w:pPr>
              <w:pStyle w:val="TableParagraph"/>
              <w:ind w:left="63"/>
              <w:rPr>
                <w:rFonts w:ascii="Calibri"/>
                <w:b/>
                <w:sz w:val="18"/>
              </w:rPr>
            </w:pPr>
            <w:r>
              <w:rPr>
                <w:rFonts w:ascii="Calibri"/>
                <w:b/>
                <w:w w:val="95"/>
                <w:sz w:val="18"/>
              </w:rPr>
              <w:t>1</w:t>
            </w:r>
          </w:p>
          <w:p>
            <w:pPr>
              <w:pStyle w:val="TableParagraph"/>
              <w:rPr>
                <w:sz w:val="19"/>
              </w:rPr>
            </w:pPr>
          </w:p>
          <w:p>
            <w:pPr>
              <w:pStyle w:val="TableParagraph"/>
              <w:ind w:left="63"/>
              <w:rPr>
                <w:rFonts w:ascii="Calibri"/>
                <w:b/>
                <w:sz w:val="18"/>
              </w:rPr>
            </w:pPr>
            <w:r>
              <w:rPr>
                <w:rFonts w:ascii="Calibri"/>
                <w:b/>
                <w:w w:val="95"/>
                <w:sz w:val="18"/>
              </w:rPr>
              <w:t>0</w:t>
            </w:r>
          </w:p>
          <w:p>
            <w:pPr>
              <w:pStyle w:val="TableParagraph"/>
              <w:rPr>
                <w:sz w:val="19"/>
              </w:rPr>
            </w:pPr>
          </w:p>
          <w:p>
            <w:pPr>
              <w:pStyle w:val="TableParagraph"/>
              <w:ind w:left="10"/>
              <w:rPr>
                <w:rFonts w:ascii="Calibri"/>
                <w:b/>
                <w:sz w:val="18"/>
              </w:rPr>
            </w:pPr>
            <w:r>
              <w:rPr>
                <w:rFonts w:ascii="Calibri"/>
                <w:b/>
                <w:sz w:val="18"/>
              </w:rPr>
              <w:t>-1</w:t>
            </w:r>
          </w:p>
          <w:p>
            <w:pPr>
              <w:pStyle w:val="TableParagraph"/>
              <w:spacing w:before="11"/>
              <w:rPr>
                <w:sz w:val="18"/>
              </w:rPr>
            </w:pPr>
          </w:p>
          <w:p>
            <w:pPr>
              <w:pStyle w:val="TableParagraph"/>
              <w:ind w:left="10"/>
              <w:rPr>
                <w:rFonts w:ascii="Calibri"/>
                <w:b/>
                <w:sz w:val="18"/>
              </w:rPr>
            </w:pPr>
            <w:r>
              <w:rPr>
                <w:rFonts w:ascii="Calibri"/>
                <w:b/>
                <w:sz w:val="18"/>
              </w:rPr>
              <w:t>-2</w:t>
            </w:r>
          </w:p>
          <w:p>
            <w:pPr>
              <w:pStyle w:val="TableParagraph"/>
              <w:spacing w:line="185" w:lineRule="exact" w:before="4"/>
              <w:ind w:left="946"/>
              <w:rPr>
                <w:rFonts w:ascii="Calibri"/>
                <w:b/>
                <w:sz w:val="18"/>
              </w:rPr>
            </w:pPr>
            <w:r>
              <w:rPr>
                <w:rFonts w:ascii="Calibri"/>
                <w:b/>
                <w:sz w:val="18"/>
              </w:rPr>
              <w:t>Range of Surveys</w:t>
            </w:r>
          </w:p>
          <w:p>
            <w:pPr>
              <w:pStyle w:val="TableParagraph"/>
              <w:tabs>
                <w:tab w:pos="3156" w:val="left" w:leader="none"/>
              </w:tabs>
              <w:spacing w:line="189" w:lineRule="auto"/>
              <w:ind w:left="10"/>
              <w:rPr>
                <w:rFonts w:ascii="Calibri"/>
                <w:b/>
                <w:sz w:val="18"/>
              </w:rPr>
            </w:pPr>
            <w:r>
              <w:rPr>
                <w:rFonts w:ascii="Calibri"/>
                <w:b/>
                <w:position w:val="-5"/>
                <w:sz w:val="18"/>
              </w:rPr>
              <w:t>-3</w:t>
              <w:tab/>
            </w:r>
            <w:r>
              <w:rPr>
                <w:rFonts w:ascii="Calibri"/>
                <w:b/>
                <w:sz w:val="18"/>
              </w:rPr>
              <w:t>Average of</w:t>
            </w:r>
            <w:r>
              <w:rPr>
                <w:rFonts w:ascii="Calibri"/>
                <w:b/>
                <w:spacing w:val="-11"/>
                <w:sz w:val="18"/>
              </w:rPr>
              <w:t> </w:t>
            </w:r>
            <w:r>
              <w:rPr>
                <w:rFonts w:ascii="Calibri"/>
                <w:b/>
                <w:sz w:val="18"/>
              </w:rPr>
              <w:t>Surveys</w:t>
            </w:r>
          </w:p>
          <w:p>
            <w:pPr>
              <w:pStyle w:val="TableParagraph"/>
              <w:spacing w:before="2"/>
              <w:rPr>
                <w:sz w:val="20"/>
              </w:rPr>
            </w:pPr>
          </w:p>
          <w:p>
            <w:pPr>
              <w:pStyle w:val="TableParagraph"/>
              <w:ind w:left="10"/>
              <w:rPr>
                <w:rFonts w:ascii="Calibri"/>
                <w:b/>
                <w:sz w:val="18"/>
              </w:rPr>
            </w:pPr>
            <w:r>
              <w:rPr>
                <w:rFonts w:ascii="Calibri"/>
                <w:b/>
                <w:sz w:val="18"/>
              </w:rPr>
              <w:t>-4</w:t>
            </w:r>
          </w:p>
          <w:p>
            <w:pPr>
              <w:pStyle w:val="TableParagraph"/>
              <w:spacing w:before="18"/>
              <w:ind w:left="163"/>
              <w:rPr>
                <w:rFonts w:ascii="Calibri"/>
                <w:b/>
                <w:sz w:val="18"/>
              </w:rPr>
            </w:pPr>
            <w:r>
              <w:rPr>
                <w:rFonts w:ascii="Calibri"/>
                <w:b/>
                <w:sz w:val="18"/>
              </w:rPr>
              <w:t>1997 1999 2001 2003 2005 2007 2009 2011 2013 2015 2017</w:t>
            </w:r>
          </w:p>
        </w:tc>
        <w:tc>
          <w:tcPr>
            <w:tcW w:w="127" w:type="dxa"/>
            <w:tcBorders>
              <w:left w:val="single" w:sz="4" w:space="0" w:color="858585"/>
            </w:tcBorders>
          </w:tcPr>
          <w:p>
            <w:pPr>
              <w:pStyle w:val="TableParagraph"/>
              <w:rPr>
                <w:rFonts w:ascii="Times New Roman"/>
                <w:sz w:val="16"/>
              </w:rPr>
            </w:pPr>
          </w:p>
        </w:tc>
        <w:tc>
          <w:tcPr>
            <w:tcW w:w="110" w:type="dxa"/>
            <w:tcBorders>
              <w:right w:val="single" w:sz="4" w:space="0" w:color="858585"/>
            </w:tcBorders>
          </w:tcPr>
          <w:p>
            <w:pPr>
              <w:pStyle w:val="TableParagraph"/>
              <w:rPr>
                <w:rFonts w:ascii="Times New Roman"/>
                <w:sz w:val="16"/>
              </w:rPr>
            </w:pPr>
          </w:p>
        </w:tc>
        <w:tc>
          <w:tcPr>
            <w:tcW w:w="5230" w:type="dxa"/>
            <w:tcBorders>
              <w:top w:val="single" w:sz="6" w:space="0" w:color="000000"/>
              <w:left w:val="single" w:sz="4" w:space="0" w:color="858585"/>
              <w:right w:val="single" w:sz="4" w:space="0" w:color="858585"/>
            </w:tcBorders>
          </w:tcPr>
          <w:p>
            <w:pPr>
              <w:pStyle w:val="TableParagraph"/>
              <w:spacing w:line="207" w:lineRule="exact"/>
              <w:ind w:left="62"/>
              <w:rPr>
                <w:rFonts w:ascii="Calibri"/>
                <w:b/>
                <w:sz w:val="18"/>
              </w:rPr>
            </w:pPr>
            <w:r>
              <w:rPr>
                <w:rFonts w:ascii="Calibri"/>
                <w:b/>
                <w:w w:val="95"/>
                <w:sz w:val="18"/>
              </w:rPr>
              <w:t>8</w:t>
            </w:r>
          </w:p>
          <w:p>
            <w:pPr>
              <w:pStyle w:val="TableParagraph"/>
              <w:spacing w:before="13"/>
              <w:ind w:left="482"/>
              <w:rPr>
                <w:rFonts w:ascii="Calibri"/>
                <w:b/>
                <w:sz w:val="18"/>
              </w:rPr>
            </w:pPr>
            <w:r>
              <w:rPr>
                <w:rFonts w:ascii="Calibri"/>
                <w:b/>
                <w:w w:val="95"/>
                <w:sz w:val="18"/>
              </w:rPr>
              <w:t>%</w:t>
            </w:r>
          </w:p>
          <w:p>
            <w:pPr>
              <w:pStyle w:val="TableParagraph"/>
              <w:spacing w:before="58"/>
              <w:ind w:left="62"/>
              <w:rPr>
                <w:rFonts w:ascii="Calibri"/>
                <w:b/>
                <w:sz w:val="18"/>
              </w:rPr>
            </w:pPr>
            <w:r>
              <w:rPr>
                <w:rFonts w:ascii="Calibri"/>
                <w:b/>
                <w:w w:val="95"/>
                <w:sz w:val="18"/>
              </w:rPr>
              <w:t>6</w:t>
            </w:r>
          </w:p>
          <w:p>
            <w:pPr>
              <w:pStyle w:val="TableParagraph"/>
              <w:spacing w:before="54"/>
              <w:ind w:left="2488"/>
              <w:rPr>
                <w:rFonts w:ascii="Calibri"/>
                <w:b/>
                <w:sz w:val="18"/>
              </w:rPr>
            </w:pPr>
            <w:r>
              <w:rPr>
                <w:rFonts w:ascii="Calibri"/>
                <w:b/>
                <w:sz w:val="18"/>
              </w:rPr>
              <w:t>2001-07 Average</w:t>
            </w:r>
          </w:p>
          <w:p>
            <w:pPr>
              <w:pStyle w:val="TableParagraph"/>
              <w:spacing w:before="18"/>
              <w:ind w:left="62"/>
              <w:rPr>
                <w:rFonts w:ascii="Calibri"/>
                <w:b/>
                <w:sz w:val="18"/>
              </w:rPr>
            </w:pPr>
            <w:r>
              <w:rPr>
                <w:rFonts w:ascii="Calibri"/>
                <w:b/>
                <w:w w:val="95"/>
                <w:sz w:val="18"/>
              </w:rPr>
              <w:t>4</w:t>
            </w:r>
          </w:p>
          <w:p>
            <w:pPr>
              <w:pStyle w:val="TableParagraph"/>
              <w:spacing w:before="4"/>
              <w:rPr>
                <w:sz w:val="25"/>
              </w:rPr>
            </w:pPr>
          </w:p>
          <w:p>
            <w:pPr>
              <w:pStyle w:val="TableParagraph"/>
              <w:ind w:left="62"/>
              <w:rPr>
                <w:rFonts w:ascii="Calibri"/>
                <w:b/>
                <w:sz w:val="18"/>
              </w:rPr>
            </w:pPr>
            <w:r>
              <w:rPr>
                <w:rFonts w:ascii="Calibri"/>
                <w:b/>
                <w:w w:val="95"/>
                <w:sz w:val="18"/>
              </w:rPr>
              <w:t>2</w:t>
            </w:r>
          </w:p>
          <w:p>
            <w:pPr>
              <w:pStyle w:val="TableParagraph"/>
              <w:spacing w:line="183" w:lineRule="exact" w:before="144"/>
              <w:ind w:left="843"/>
              <w:rPr>
                <w:rFonts w:ascii="Calibri"/>
                <w:b/>
                <w:sz w:val="18"/>
              </w:rPr>
            </w:pPr>
            <w:r>
              <w:rPr>
                <w:rFonts w:ascii="Calibri"/>
                <w:b/>
                <w:sz w:val="18"/>
              </w:rPr>
              <w:t>Incl Bonuses</w:t>
            </w:r>
          </w:p>
          <w:p>
            <w:pPr>
              <w:pStyle w:val="TableParagraph"/>
              <w:spacing w:line="183" w:lineRule="exact"/>
              <w:ind w:left="62"/>
              <w:rPr>
                <w:rFonts w:ascii="Calibri"/>
                <w:b/>
                <w:sz w:val="18"/>
              </w:rPr>
            </w:pPr>
            <w:r>
              <w:rPr>
                <w:rFonts w:ascii="Calibri"/>
                <w:b/>
                <w:w w:val="95"/>
                <w:sz w:val="18"/>
              </w:rPr>
              <w:t>0</w:t>
            </w:r>
          </w:p>
          <w:p>
            <w:pPr>
              <w:pStyle w:val="TableParagraph"/>
              <w:tabs>
                <w:tab w:pos="3386" w:val="left" w:leader="none"/>
              </w:tabs>
              <w:spacing w:line="144" w:lineRule="auto" w:before="135"/>
              <w:ind w:left="843"/>
              <w:rPr>
                <w:rFonts w:ascii="Calibri"/>
                <w:b/>
                <w:sz w:val="18"/>
              </w:rPr>
            </w:pPr>
            <w:r>
              <w:rPr>
                <w:rFonts w:ascii="Calibri"/>
                <w:b/>
                <w:position w:val="-6"/>
                <w:sz w:val="18"/>
              </w:rPr>
              <w:t>Excl</w:t>
            </w:r>
            <w:r>
              <w:rPr>
                <w:rFonts w:ascii="Calibri"/>
                <w:b/>
                <w:spacing w:val="-13"/>
                <w:position w:val="-6"/>
                <w:sz w:val="18"/>
              </w:rPr>
              <w:t> </w:t>
            </w:r>
            <w:r>
              <w:rPr>
                <w:rFonts w:ascii="Calibri"/>
                <w:b/>
                <w:position w:val="-6"/>
                <w:sz w:val="18"/>
              </w:rPr>
              <w:t>Bonuses</w:t>
              <w:tab/>
            </w:r>
            <w:r>
              <w:rPr>
                <w:rFonts w:ascii="Calibri"/>
                <w:b/>
                <w:sz w:val="18"/>
              </w:rPr>
              <w:t>2011-16</w:t>
            </w:r>
            <w:r>
              <w:rPr>
                <w:rFonts w:ascii="Calibri"/>
                <w:b/>
                <w:spacing w:val="-5"/>
                <w:sz w:val="18"/>
              </w:rPr>
              <w:t> </w:t>
            </w:r>
            <w:r>
              <w:rPr>
                <w:rFonts w:ascii="Calibri"/>
                <w:b/>
                <w:sz w:val="18"/>
              </w:rPr>
              <w:t>Average</w:t>
            </w:r>
          </w:p>
          <w:p>
            <w:pPr>
              <w:pStyle w:val="TableParagraph"/>
              <w:spacing w:line="172" w:lineRule="exact"/>
              <w:ind w:left="9"/>
              <w:rPr>
                <w:rFonts w:ascii="Calibri"/>
                <w:b/>
                <w:sz w:val="18"/>
              </w:rPr>
            </w:pPr>
            <w:r>
              <w:rPr>
                <w:rFonts w:ascii="Calibri"/>
                <w:b/>
                <w:sz w:val="18"/>
              </w:rPr>
              <w:t>-2</w:t>
            </w:r>
          </w:p>
          <w:p>
            <w:pPr>
              <w:pStyle w:val="TableParagraph"/>
              <w:spacing w:before="3"/>
              <w:rPr>
                <w:sz w:val="25"/>
              </w:rPr>
            </w:pPr>
          </w:p>
          <w:p>
            <w:pPr>
              <w:pStyle w:val="TableParagraph"/>
              <w:ind w:left="9"/>
              <w:rPr>
                <w:rFonts w:ascii="Calibri"/>
                <w:b/>
                <w:sz w:val="18"/>
              </w:rPr>
            </w:pPr>
            <w:r>
              <w:rPr>
                <w:rFonts w:ascii="Calibri"/>
                <w:b/>
                <w:sz w:val="18"/>
              </w:rPr>
              <w:t>-4</w:t>
            </w:r>
          </w:p>
          <w:p>
            <w:pPr>
              <w:pStyle w:val="TableParagraph"/>
              <w:tabs>
                <w:tab w:pos="964" w:val="left" w:leader="none"/>
                <w:tab w:pos="1782" w:val="left" w:leader="none"/>
                <w:tab w:pos="2601" w:val="left" w:leader="none"/>
                <w:tab w:pos="3420" w:val="left" w:leader="none"/>
                <w:tab w:pos="4238" w:val="left" w:leader="none"/>
              </w:tabs>
              <w:spacing w:before="19"/>
              <w:ind w:left="145"/>
              <w:rPr>
                <w:rFonts w:ascii="Calibri"/>
                <w:b/>
                <w:sz w:val="18"/>
              </w:rPr>
            </w:pPr>
            <w:r>
              <w:rPr>
                <w:rFonts w:ascii="Calibri"/>
                <w:b/>
                <w:sz w:val="18"/>
              </w:rPr>
              <w:t>2001</w:t>
              <w:tab/>
              <w:t>2004</w:t>
              <w:tab/>
              <w:t>2007</w:t>
              <w:tab/>
              <w:t>2010</w:t>
              <w:tab/>
              <w:t>2013</w:t>
              <w:tab/>
              <w:t>2016</w:t>
            </w:r>
          </w:p>
        </w:tc>
        <w:tc>
          <w:tcPr>
            <w:tcW w:w="126" w:type="dxa"/>
            <w:tcBorders>
              <w:left w:val="single" w:sz="4" w:space="0" w:color="858585"/>
            </w:tcBorders>
          </w:tcPr>
          <w:p>
            <w:pPr>
              <w:pStyle w:val="TableParagraph"/>
              <w:rPr>
                <w:rFonts w:ascii="Times New Roman"/>
                <w:sz w:val="16"/>
              </w:rPr>
            </w:pPr>
          </w:p>
        </w:tc>
      </w:tr>
    </w:tbl>
    <w:p>
      <w:pPr>
        <w:spacing w:line="444" w:lineRule="auto" w:before="152"/>
        <w:ind w:left="673" w:right="1124" w:firstLine="0"/>
        <w:jc w:val="left"/>
        <w:rPr>
          <w:sz w:val="16"/>
        </w:rPr>
      </w:pPr>
      <w:r>
        <w:rPr/>
        <w:pict>
          <v:group style="position:absolute;margin-left:46.688034pt;margin-top:-180.076492pt;width:237.9pt;height:153.6pt;mso-position-horizontal-relative:page;mso-position-vertical-relative:paragraph;z-index:-253447168" coordorigin="934,-3602" coordsize="4758,3072">
            <v:rect style="position:absolute;left:988;top:-3599;width:4700;height:3066" filled="false" stroked="true" strokeweight=".270189pt" strokecolor="#000000">
              <v:stroke dashstyle="solid"/>
            </v:rect>
            <v:shape style="position:absolute;left:1126;top:-3165;width:4535;height:2233" coordorigin="1127,-3164" coordsize="4535,2233" path="m3586,-2289l3450,-2289,3505,-2035,3560,-1605,3615,-932,3671,-962,3726,-1152,3781,-1228,3837,-1264,3892,-1367,3947,-1572,4126,-1572,4145,-1657,3726,-1657,3671,-1837,3615,-2004,3586,-2289xm4662,-1939l4500,-1939,4556,-1821,4611,-1122,4662,-1939xm2048,-2646l1846,-2646,1901,-2494,1956,-2269,2012,-1831,2067,-1473,2122,-1662,2178,-1956,2442,-1956,2454,-1986,2509,-2226,2548,-2331,2454,-2331,2399,-2406,2344,-2490,2342,-2492,2178,-2492,2155,-2534,2067,-2534,2048,-2646xm4126,-1572l3947,-1572,4003,-1557,4058,-1542,4113,-1515,4126,-1572xm4254,-1763l4168,-1763,4224,-1595,4254,-1763xm4003,-2285l3947,-2169,3892,-2066,3837,-1832,3781,-1780,3726,-1657,4145,-1657,4168,-1763,4254,-1763,4279,-1906,4487,-1906,4500,-1939,4662,-1939,4666,-2010,4677,-2025,4279,-2025,4224,-2042,4186,-2121,4058,-2121,4003,-2285xm4487,-1906l4279,-1906,4334,-1822,4390,-1683,4445,-1802,4487,-1906xm2442,-1956l2178,-1956,2233,-1808,2288,-1853,2344,-1858,2404,-1858,2442,-1956xm1380,-2657l1238,-2657,1293,-2620,1348,-2556,1403,-2092,1459,-1840,1514,-2097,1569,-2247,1625,-2340,1680,-2345,1735,-2406,1789,-2536,1569,-2536,1514,-2572,1508,-2577,1403,-2577,1380,-2657xm2404,-1858l2344,-1858,2399,-1843,2404,-1858xm5252,-2706l5164,-2706,5219,-2544,5275,-2372,5330,-2225,5385,-2000,5440,-2153,5496,-2541,5330,-2541,5275,-2658,5252,-2706xm3136,-2036l3062,-2036,3118,-2003,3136,-2036xm3221,-2264l2841,-2264,2897,-2253,2952,-2080,3007,-2021,3062,-2036,3136,-2036,3173,-2102,3221,-2264xm4390,-2151l4334,-2095,4279,-2025,4677,-2025,4716,-2078,4445,-2078,4390,-2151xm4838,-2085l4722,-2085,4777,-2084,4832,-2057,4838,-2085xm4556,-2249l4500,-2206,4445,-2078,4716,-2078,4722,-2085,4838,-2085,4867,-2227,4611,-2227,4556,-2249xm4113,-2170l4058,-2121,4186,-2121,4168,-2158,4113,-2170xm5012,-2324l4887,-2324,4943,-2124,4998,-2262,5012,-2324xm2711,-2376l2565,-2376,2620,-2204,2675,-2276,2711,-2376xm3565,-2491l3284,-2491,3339,-2429,3394,-2210,3450,-2289,3586,-2289,3565,-2491xm4887,-2997l4832,-2864,4777,-2636,4722,-2568,4666,-2405,4611,-2227,4867,-2227,4887,-2324,5012,-2324,5053,-2518,5109,-2631,5164,-2706,5252,-2706,5240,-2730,4998,-2730,4943,-2835,4887,-2997xm2922,-2429l2731,-2429,2786,-2248,2841,-2264,3221,-2264,3228,-2288,3259,-2400,2952,-2400,2922,-2429xm1293,-3043l1238,-3021,1182,-2974,1127,-2285,1182,-2632,1238,-2657,1380,-2657,1348,-2766,1293,-3043xm5662,-2729l5606,-2729,5662,-2331,5662,-2729xm2675,-2782l2620,-2687,2509,-2665,2454,-2331,2548,-2331,2565,-2376,2711,-2376,2731,-2429,2922,-2429,2897,-2454,2841,-2600,2786,-2614,2731,-2760,2675,-2782xm3007,-2663l2952,-2400,3259,-2400,3282,-2484,3118,-2484,3062,-2485,3007,-2663xm3173,-2808l3118,-2484,3282,-2484,3284,-2491,3565,-2491,3565,-2493,3505,-2493,3470,-2550,3228,-2550,3173,-2808xm2288,-2544l2233,-2510,2178,-2492,2342,-2492,2288,-2544xm3560,-2539l3505,-2493,3565,-2493,3560,-2539xm2122,-2593l2067,-2534,2155,-2534,2122,-2593xm1901,-3057l1846,-3054,1791,-2906,1735,-2900,1680,-2852,1625,-2749,1569,-2536,1789,-2536,1791,-2539,1846,-2646,2048,-2646,2012,-2864,1956,-2941,1901,-3057xm5385,-2641l5330,-2541,5496,-2541,5496,-2542,5530,-2597,5440,-2597,5385,-2641xm3394,-2697l3339,-2659,3284,-2638,3228,-2550,3470,-2550,3450,-2583,3394,-2697xm1459,-2612l1403,-2577,1508,-2577,1459,-2612xm5606,-3164l5551,-2918,5496,-2822,5440,-2597,5530,-2597,5551,-2632,5606,-2729,5662,-2729,5662,-2778,5606,-3164xm5164,-2860l5109,-2853,5053,-2825,4998,-2730,5240,-2730,5219,-2775,5164,-2860xe" filled="true" fillcolor="#85c2ff" stroked="false">
              <v:path arrowok="t"/>
              <v:fill type="solid"/>
            </v:shape>
            <v:shape style="position:absolute;left:720;top:1217;width:13232;height:8026" coordorigin="720,1218" coordsize="13232,8026" path="m989,-533l989,-3599m934,-533l989,-533m934,-971l989,-971m934,-1409l989,-1409m934,-1847l989,-1847m934,-2285l989,-2285m934,-2723l989,-2723m934,-3161l989,-3161m934,-3599l989,-3599m989,-2285l5689,-2285e" filled="false" stroked="true" strokeweight=".266907pt" strokecolor="#858585">
              <v:path arrowok="t"/>
              <v:stroke dashstyle="solid"/>
            </v:shape>
            <v:shape style="position:absolute;left:1182;top:-2899;width:4480;height:1493" coordorigin="1182,-2898" coordsize="4480,1493" path="m1182,-2845l1237,-2809,1293,-2782,1348,-2656,1404,-2376,1459,-2291,1514,-2344,1569,-2407,1625,-2529,1680,-2562,1735,-2560,1790,-2724,1845,-2761,1902,-2711,1957,-2694,2012,-2455,2067,-2151,2122,-2268,2178,-2295,2233,-2279,2288,-2314,2343,-2268,2399,-2148,2454,-2236,2510,-2462,2565,-2536,2620,-2544,2675,-2495,2730,-2614,2786,-2479,2842,-2411,2897,-2321,2952,-2290,3007,-2363,3062,-2336,3118,-2314,3173,-2376,3228,-2429,3283,-2565,3339,-2551,3395,-2444,3450,-2425,3505,-2194,3560,-1969,3615,-1534,3671,-1425,3726,-1406,3781,-1511,3837,-1592,3892,-1650,3947,-1895,4003,-1875,4058,-1824,4113,-1888,4168,-1941,4223,-1871,4279,-1948,4335,-1968,4390,-1908,4445,-1939,4500,-2024,4556,-2025,4611,-1809,4666,-2117,4721,-2290,4777,-2352,4832,-2329,4888,-2542,4943,-2488,4998,-2529,5053,-2674,5108,-2710,5164,-2784,5219,-2644,5275,-2520,5330,-2434,5385,-2405,5441,-2400,5496,-2651,5551,-2789,5606,-2898,5661,-2632e" filled="false" stroked="true" strokeweight="1.002556pt" strokecolor="#0000ff">
              <v:path arrowok="t"/>
              <v:stroke dashstyle="solid"/>
            </v:shape>
            <v:shape style="position:absolute;left:2264;top:-1957;width:1906;height:767" coordorigin="2265,-1957" coordsize="1906,767" path="m2323,-1904l2322,-1905,2298,-1949,2294,-1957,2266,-1905,2265,-1904,2265,-1901,2267,-1900,2269,-1899,2271,-1900,2272,-1902,2291,-1936,2291,-1373,2297,-1373,2297,-1936,2316,-1901,2317,-1900,2319,-1899,2321,-1900,2323,-1901,2323,-1904m4171,-1784l4170,-1786,4145,-1829,4141,-1837,4112,-1783,4113,-1781,4116,-1779,4119,-1779,4138,-1816,4148,-1190,4155,-1190,4144,-1816,4164,-1782,4165,-1780,4167,-1780,4169,-1781,4170,-1782,4171,-1784e" filled="true" fillcolor="#000000" stroked="false">
              <v:path arrowok="t"/>
              <v:fill type="solid"/>
            </v:shape>
            <w10:wrap type="none"/>
          </v:group>
        </w:pict>
      </w:r>
      <w:r>
        <w:rPr/>
        <w:pict>
          <v:group style="position:absolute;margin-left:321.395569pt;margin-top:-180.078613pt;width:238.25pt;height:153.6pt;mso-position-horizontal-relative:page;mso-position-vertical-relative:paragraph;z-index:-253446144" coordorigin="6428,-3602" coordsize="4765,3072">
            <v:rect style="position:absolute;left:6482;top:-3599;width:4707;height:3066" filled="false" stroked="true" strokeweight=".269405pt" strokecolor="#000000">
              <v:stroke dashstyle="solid"/>
            </v:rect>
            <v:shape style="position:absolute;left:720;top:1206;width:13344;height:8036" coordorigin="720,1206" coordsize="13344,8036" path="m6483,-533l6483,-3599m6428,-533l6483,-533m6428,-1044l6483,-1044m6428,-1555l6483,-1555m6428,-2066l6483,-2066m6428,-2577l6483,-2577m6428,-3088l6483,-3088m6428,-3599l6483,-3599m6483,-1555l11189,-1555e" filled="false" stroked="true" strokeweight=".265808pt" strokecolor="#858585">
              <v:path arrowok="t"/>
              <v:stroke dashstyle="solid"/>
            </v:shape>
            <v:shape style="position:absolute;left:6539;top:-3410;width:4616;height:2764" coordorigin="6539,-3409" coordsize="4616,2764" path="m6539,-3287l6562,-3257,6585,-2861,6608,-2945,6630,-2851,6653,-2852,6675,-2707,6699,-2684,6721,-2643,6744,-2527,6767,-2450,6789,-2304,6812,-2253,6835,-2268,6858,-2371,6880,-2499,6903,-2516,6925,-2480,6949,-2438,6971,-2331,6994,-2259,7017,-2139,7039,-2090,7062,-2028,7085,-2266,7108,-2280,7130,-2353,7153,-2137,7176,-2139,7199,-2125,7222,-2207,7244,-2325,7267,-2410,7289,-2478,7313,-2526,7335,-2505,7358,-2485,7380,-2478,7403,-2573,7426,-2627,7449,-2668,7472,-2686,7494,-2726,7517,-2755,7539,-2772,7563,-2796,7585,-2756,7608,-2864,7630,-2766,7653,-2750,7677,-2560,7699,-2586,7722,-2600,7744,-2711,7767,-2751,7790,-2711,7813,-2672,7835,-2625,7858,-2573,7881,-2701,7903,-2888,7927,-3005,7949,-2928,7972,-2905,7994,-2918,8017,-2819,8040,-2653,8063,-2648,8085,-2708,8108,-2915,8131,-3112,8154,-3409,8177,-3241,8199,-3028,8222,-2755,8244,-2755,8267,-2811,8290,-2868,8313,-3001,8336,-2940,8358,-2897,8381,-2655,8404,-2604,8427,-2527,8449,-2655,8472,-2757,8494,-2781,8517,-2689,8540,-2510,8563,-2375,8586,-2267,8608,-2284,8631,-2213,8654,-2220,8677,-2045,8699,-1419,8722,-702,8744,-646,8768,-1087,8791,-1607,8813,-1528,8836,-1496,8858,-1442,8881,-1415,8949,-1477,8972,-2014,8994,-2642,9018,-2625,9041,-2187,9063,-1600,9086,-1743,9108,-1812,9131,-1982,9154,-2019,9177,-2041,9199,-1962,9222,-2206,9245,-2136,9268,-2245,9291,-2039,9313,-2128,9336,-2208,9358,-2245,9382,-2223,9404,-2089,9427,-2038,9449,-2056,9472,-2110,9495,-1896,9518,-1780,9541,-1671,9563,-1907,9586,-1987,9608,-2040,9632,-1982,9654,-2006,9677,-2006,9700,-1959,9722,-1911,9745,-1860,9768,-1836,9791,-1820,9813,-1640,9836,-1967,9859,-2029,9882,-2230,9904,-1903,9927,-1824,9950,-1809,9972,-1844,9996,-1835,10018,-1899,10041,-1949,10063,-2076,10086,-2058,10109,-1707,10132,-1547,10155,-1543,10177,-1767,10200,-1813,10222,-1842,10246,-2010,10268,-2125,10291,-2210,10313,-2161,10336,-2116,10359,-2328,10382,-2445,10405,-2566,10427,-2334,10450,-2425,10473,-2477,10496,-2460,10518,-2282,10541,-2155,10563,-2131,10586,-2222,10610,-2163,10632,-2161,10655,-2158,10677,-2235,10700,-2228,10723,-2200,10746,-2165,10768,-2222,10791,-2243,10813,-2339,10837,-2265,10860,-2168,10882,-2182,10905,-2240,10927,-2193,10950,-2074,10973,-2125,10996,-2147,11018,-2194,11041,-2186,11064,-2250,11087,-2242,11110,-2271,11132,-2307,11155,-2288e" filled="false" stroked="true" strokeweight=".990037pt" strokecolor="#ff00ff">
              <v:path arrowok="t"/>
              <v:stroke dashstyle="solid"/>
            </v:shape>
            <v:shape style="position:absolute;left:6539;top:-2849;width:4616;height:1250" coordorigin="6539,-2849" coordsize="4616,1250" path="m6539,-2592l6562,-2715,6585,-2779,6608,-2791,6630,-2788,6653,-2847,6675,-2821,6699,-2762,6721,-2710,6744,-2688,6767,-2686,6789,-2744,6812,-2826,6835,-2794,6858,-2698,6880,-2661,6903,-2659,6925,-2572,6949,-2459,6971,-2376,6994,-2330,7017,-2248,7039,-2259,7062,-2245,7085,-2223,7108,-2196,7130,-2234,7153,-2249,7176,-2208,7199,-2183,7222,-2239,7244,-2312,7267,-2375,7289,-2471,7313,-2462,7335,-2410,7358,-2325,7380,-2331,7403,-2367,7426,-2386,7449,-2430,7472,-2497,7494,-2514,7517,-2514,7539,-2473,7563,-2519,7585,-2536,7608,-2592,7630,-2619,7653,-2604,7677,-2564,7699,-2518,7722,-2558,7744,-2592,7767,-2638,7790,-2622,7813,-2615,7835,-2519,7858,-2519,7881,-2516,7903,-2550,7927,-2567,7949,-2605,7972,-2673,7994,-2633,8017,-2561,8040,-2509,8063,-2568,8085,-2631,8108,-2683,8131,-2630,8154,-2614,8177,-2597,8199,-2630,8222,-2647,8244,-2664,8267,-2745,8290,-2819,8313,-2849,8336,-2763,8358,-2701,8381,-2642,8404,-2673,8427,-2662,8449,-2683,8472,-2689,8494,-2632,8517,-2572,8540,-2459,8563,-2409,8586,-2363,8608,-2394,8631,-2386,8654,-2383,8677,-2316,8699,-2260,8722,-2166,8744,-2071,8768,-2030,8791,-1980,8813,-1889,8836,-1756,8858,-1685,8881,-1640,8904,-1610,8927,-1599,8949,-1677,8972,-1728,8994,-1804,9018,-1773,9041,-1751,9063,-1709,9086,-1811,9108,-1966,9131,-2058,9154,-2067,9177,-2068,9199,-2041,9222,-2041,9245,-2016,9268,-1982,9291,-1973,9313,-2013,9336,-2077,9358,-2064,9382,-1984,9404,-1971,9427,-1990,9449,-2042,9472,-2084,9495,-2024,9518,-2017,9541,-2014,9563,-2075,9586,-2072,9608,-2067,9632,-2060,9654,-2075,9677,-2025,9700,-1979,9722,-1930,9745,-1901,9768,-1869,9791,-1812,9813,-1770,9836,-1792,9859,-1810,9882,-1832,9904,-1826,9927,-1812,9950,-1808,9972,-1816,9996,-1812,10018,-1860,10041,-1925,10063,-1962,10086,-1895,10109,-1788,10132,-1757,10155,-1779,10177,-1796,10200,-1838,10222,-1949,10246,-2074,10268,-2136,10291,-2114,10313,-2083,10336,-2149,10359,-2299,10382,-2414,10405,-2457,10427,-2425,10450,-2444,10473,-2422,10496,-2321,10518,-2179,10541,-2127,10563,-2157,10586,-2215,10610,-2229,10632,-2216,10655,-2217,10677,-2185,10700,-2194,10723,-2173,10746,-2191,10768,-2238,10791,-2282,10813,-2321,10837,-2275,10860,-2212,10882,-2118,10905,-2066,10927,-2060,10950,-2110,10973,-2143,10996,-2149,11018,-2154,11041,-2168,11064,-2192,11087,-2188,11110,-2226,11132,-2251,11155,-2297e" filled="false" stroked="true" strokeweight="1.002794pt" strokecolor="#0000ff">
              <v:path arrowok="t"/>
              <v:stroke dashstyle="solid"/>
            </v:shape>
            <v:shape style="position:absolute;left:6482;top:-2577;width:4706;height:2" coordorigin="6483,-2576" coordsize="4706,0" path="m6483,-2576l11051,-2576m11030,-2576l11188,-2576e" filled="false" stroked="true" strokeweight="1.144604pt" strokecolor="#66ff33">
              <v:path arrowok="t"/>
              <v:stroke dashstyle="longdash"/>
            </v:shape>
            <v:shape style="position:absolute;left:6482;top:-2050;width:4706;height:2" coordorigin="6483,-2049" coordsize="4706,0" path="m6483,-2049l11051,-2049m11030,-2049l11188,-2049e" filled="false" stroked="true" strokeweight="1.144604pt" strokecolor="#ffc000">
              <v:path arrowok="t"/>
              <v:stroke dashstyle="longdash"/>
            </v:shape>
            <v:line style="position:absolute" from="6866,-1702" to="7003,-1702" stroked="true" strokeweight="1.007251pt" strokecolor="#ff00ff">
              <v:stroke dashstyle="solid"/>
            </v:line>
            <v:line style="position:absolute" from="6866,-1169" to="7003,-1169" stroked="true" strokeweight="1.007251pt" strokecolor="#0000ff">
              <v:stroke dashstyle="solid"/>
            </v:line>
            <v:shape style="position:absolute;left:9215;top:-2760;width:1182;height:1407" coordorigin="9216,-2759" coordsize="1182,1407" path="m9273,-2639l9273,-2641,9270,-2643,9267,-2643,9267,-2641,9248,-2607,9248,-2759,9241,-2759,9241,-2607,9222,-2641,9222,-2643,9219,-2643,9216,-2641,9216,-2639,9217,-2637,9245,-2586,9249,-2593,9272,-2637,9273,-2639m10397,-1966l10396,-1968,10372,-2012,10368,-2019,10340,-1968,10339,-1966,10340,-1964,10343,-1962,10345,-1963,10346,-1964,10365,-1999,10365,-1353,10372,-1353,10372,-1999,10390,-1964,10391,-1963,10393,-1962,10396,-1964,10397,-1966e" filled="true" fillcolor="#000000" stroked="false">
              <v:path arrowok="t"/>
              <v:fill type="solid"/>
            </v:shape>
            <w10:wrap type="none"/>
          </v:group>
        </w:pict>
      </w:r>
      <w:r>
        <w:rPr>
          <w:sz w:val="16"/>
        </w:rPr>
        <w:t>Note: In the left chart, we use a weighted average for manufacturing and services. In the right chart, the period averages are for average earnings ex bonuses, and are slightly higher including bonuses. Sources: CBI, British Chambers of Commerce, REC, ONS and Bank of England</w:t>
      </w:r>
    </w:p>
    <w:p>
      <w:pPr>
        <w:pStyle w:val="BodyText"/>
      </w:pPr>
    </w:p>
    <w:p>
      <w:pPr>
        <w:pStyle w:val="BodyText"/>
        <w:spacing w:before="8"/>
        <w:rPr>
          <w:sz w:val="2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258"/>
        <w:gridCol w:w="111"/>
        <w:gridCol w:w="109"/>
        <w:gridCol w:w="5199"/>
        <w:gridCol w:w="127"/>
      </w:tblGrid>
      <w:tr>
        <w:trPr>
          <w:trHeight w:val="1017" w:hRule="atLeast"/>
        </w:trPr>
        <w:tc>
          <w:tcPr>
            <w:tcW w:w="5480" w:type="dxa"/>
            <w:gridSpan w:val="3"/>
            <w:tcBorders>
              <w:bottom w:val="single" w:sz="8" w:space="0" w:color="000000"/>
            </w:tcBorders>
          </w:tcPr>
          <w:p>
            <w:pPr>
              <w:pStyle w:val="TableParagraph"/>
              <w:spacing w:line="340" w:lineRule="exact" w:before="23"/>
              <w:ind w:left="107" w:right="195"/>
              <w:jc w:val="both"/>
              <w:rPr>
                <w:sz w:val="20"/>
              </w:rPr>
            </w:pPr>
            <w:r>
              <w:rPr>
                <w:sz w:val="20"/>
              </w:rPr>
              <w:t>Figure 6. UK – Average MoM Changes in Retail Sales</w:t>
            </w:r>
            <w:r>
              <w:rPr>
                <w:spacing w:val="-18"/>
                <w:sz w:val="20"/>
              </w:rPr>
              <w:t> </w:t>
            </w:r>
            <w:r>
              <w:rPr>
                <w:sz w:val="20"/>
              </w:rPr>
              <w:t>and Monthly GDP Around Previous Months With Heavy Snow, 1998-17</w:t>
            </w:r>
          </w:p>
        </w:tc>
        <w:tc>
          <w:tcPr>
            <w:tcW w:w="5435" w:type="dxa"/>
            <w:gridSpan w:val="3"/>
            <w:tcBorders>
              <w:bottom w:val="single" w:sz="8" w:space="0" w:color="000000"/>
            </w:tcBorders>
          </w:tcPr>
          <w:p>
            <w:pPr>
              <w:pStyle w:val="TableParagraph"/>
              <w:spacing w:line="355" w:lineRule="auto" w:before="107"/>
              <w:ind w:left="108" w:right="235"/>
              <w:rPr>
                <w:sz w:val="20"/>
              </w:rPr>
            </w:pPr>
            <w:r>
              <w:rPr>
                <w:sz w:val="20"/>
              </w:rPr>
              <w:t>Figure 7. UK – Business Surveys and NonOil GDP YoY, 2004-18</w:t>
            </w:r>
          </w:p>
        </w:tc>
      </w:tr>
      <w:tr>
        <w:trPr>
          <w:trHeight w:val="3601" w:hRule="atLeast"/>
        </w:trPr>
        <w:tc>
          <w:tcPr>
            <w:tcW w:w="111" w:type="dxa"/>
            <w:tcBorders>
              <w:bottom w:val="nil"/>
              <w:right w:val="single" w:sz="4" w:space="0" w:color="858585"/>
            </w:tcBorders>
          </w:tcPr>
          <w:p>
            <w:pPr>
              <w:pStyle w:val="TableParagraph"/>
              <w:rPr>
                <w:rFonts w:ascii="Times New Roman"/>
                <w:sz w:val="16"/>
              </w:rPr>
            </w:pPr>
          </w:p>
        </w:tc>
        <w:tc>
          <w:tcPr>
            <w:tcW w:w="5258" w:type="dxa"/>
            <w:tcBorders>
              <w:top w:val="single" w:sz="8" w:space="0" w:color="000000"/>
              <w:left w:val="single" w:sz="4" w:space="0" w:color="858585"/>
              <w:bottom w:val="single" w:sz="4" w:space="0" w:color="858585"/>
              <w:right w:val="single" w:sz="4" w:space="0" w:color="858585"/>
            </w:tcBorders>
          </w:tcPr>
          <w:p>
            <w:pPr>
              <w:pStyle w:val="TableParagraph"/>
              <w:spacing w:line="180" w:lineRule="exact"/>
              <w:ind w:left="63"/>
              <w:rPr>
                <w:rFonts w:ascii="Calibri"/>
                <w:b/>
                <w:sz w:val="18"/>
              </w:rPr>
            </w:pPr>
            <w:r>
              <w:rPr>
                <w:rFonts w:ascii="Calibri"/>
                <w:b/>
                <w:w w:val="95"/>
                <w:sz w:val="18"/>
              </w:rPr>
              <w:t>4</w:t>
            </w:r>
          </w:p>
          <w:p>
            <w:pPr>
              <w:pStyle w:val="TableParagraph"/>
              <w:tabs>
                <w:tab w:pos="3415" w:val="left" w:leader="none"/>
              </w:tabs>
              <w:spacing w:line="201" w:lineRule="exact"/>
              <w:ind w:left="395"/>
              <w:rPr>
                <w:rFonts w:ascii="Calibri"/>
                <w:b/>
                <w:sz w:val="18"/>
              </w:rPr>
            </w:pPr>
            <w:r>
              <w:rPr>
                <w:rFonts w:ascii="Calibri"/>
                <w:b/>
                <w:position w:val="-1"/>
                <w:sz w:val="18"/>
              </w:rPr>
              <w:t>% </w:t>
            </w:r>
            <w:r>
              <w:rPr>
                <w:rFonts w:ascii="Calibri"/>
                <w:b/>
                <w:spacing w:val="29"/>
                <w:position w:val="-1"/>
                <w:sz w:val="18"/>
              </w:rPr>
              <w:t> </w:t>
            </w:r>
            <w:r>
              <w:rPr>
                <w:rFonts w:ascii="Calibri"/>
                <w:b/>
                <w:sz w:val="18"/>
              </w:rPr>
              <w:t>Retail</w:t>
            </w:r>
            <w:r>
              <w:rPr>
                <w:rFonts w:ascii="Calibri"/>
                <w:b/>
                <w:spacing w:val="-9"/>
                <w:sz w:val="18"/>
              </w:rPr>
              <w:t> </w:t>
            </w:r>
            <w:r>
              <w:rPr>
                <w:rFonts w:ascii="Calibri"/>
                <w:b/>
                <w:sz w:val="18"/>
              </w:rPr>
              <w:t>Sales</w:t>
              <w:tab/>
            </w:r>
            <w:r>
              <w:rPr>
                <w:rFonts w:ascii="Calibri"/>
                <w:b/>
                <w:position w:val="0"/>
                <w:sz w:val="18"/>
              </w:rPr>
              <w:t>Monthly</w:t>
            </w:r>
            <w:r>
              <w:rPr>
                <w:rFonts w:ascii="Calibri"/>
                <w:b/>
                <w:spacing w:val="-4"/>
                <w:position w:val="0"/>
                <w:sz w:val="18"/>
              </w:rPr>
              <w:t> </w:t>
            </w:r>
            <w:r>
              <w:rPr>
                <w:rFonts w:ascii="Calibri"/>
                <w:b/>
                <w:position w:val="0"/>
                <w:sz w:val="18"/>
              </w:rPr>
              <w:t>GDP</w:t>
            </w:r>
          </w:p>
          <w:p>
            <w:pPr>
              <w:pStyle w:val="TableParagraph"/>
              <w:tabs>
                <w:tab w:pos="650" w:val="left" w:leader="none"/>
              </w:tabs>
              <w:spacing w:line="222" w:lineRule="exact"/>
              <w:ind w:left="63"/>
              <w:rPr>
                <w:rFonts w:ascii="Calibri"/>
                <w:b/>
                <w:sz w:val="18"/>
              </w:rPr>
            </w:pPr>
            <w:r>
              <w:rPr>
                <w:rFonts w:ascii="Calibri"/>
                <w:b/>
                <w:position w:val="2"/>
                <w:sz w:val="18"/>
              </w:rPr>
              <w:t>3</w:t>
              <w:tab/>
            </w:r>
            <w:r>
              <w:rPr>
                <w:rFonts w:ascii="Calibri"/>
                <w:b/>
                <w:sz w:val="18"/>
              </w:rPr>
              <w:t>Volumes</w:t>
            </w:r>
          </w:p>
          <w:p>
            <w:pPr>
              <w:pStyle w:val="TableParagraph"/>
              <w:spacing w:before="141"/>
              <w:ind w:left="63"/>
              <w:rPr>
                <w:rFonts w:ascii="Calibri"/>
                <w:b/>
                <w:sz w:val="18"/>
              </w:rPr>
            </w:pPr>
            <w:r>
              <w:rPr>
                <w:rFonts w:ascii="Calibri"/>
                <w:b/>
                <w:w w:val="95"/>
                <w:sz w:val="18"/>
              </w:rPr>
              <w:t>2</w:t>
            </w:r>
          </w:p>
          <w:p>
            <w:pPr>
              <w:pStyle w:val="TableParagraph"/>
              <w:spacing w:before="1"/>
              <w:rPr>
                <w:sz w:val="14"/>
              </w:rPr>
            </w:pPr>
          </w:p>
          <w:p>
            <w:pPr>
              <w:pStyle w:val="TableParagraph"/>
              <w:ind w:left="63"/>
              <w:rPr>
                <w:rFonts w:ascii="Calibri"/>
                <w:b/>
                <w:sz w:val="18"/>
              </w:rPr>
            </w:pPr>
            <w:r>
              <w:rPr>
                <w:rFonts w:ascii="Calibri"/>
                <w:b/>
                <w:w w:val="95"/>
                <w:sz w:val="18"/>
              </w:rPr>
              <w:t>1</w:t>
            </w:r>
          </w:p>
          <w:p>
            <w:pPr>
              <w:pStyle w:val="TableParagraph"/>
              <w:spacing w:before="1"/>
              <w:rPr>
                <w:sz w:val="14"/>
              </w:rPr>
            </w:pPr>
          </w:p>
          <w:p>
            <w:pPr>
              <w:pStyle w:val="TableParagraph"/>
              <w:ind w:left="63"/>
              <w:rPr>
                <w:rFonts w:ascii="Calibri"/>
                <w:b/>
                <w:sz w:val="18"/>
              </w:rPr>
            </w:pPr>
            <w:r>
              <w:rPr>
                <w:rFonts w:ascii="Calibri"/>
                <w:b/>
                <w:w w:val="95"/>
                <w:sz w:val="18"/>
              </w:rPr>
              <w:t>0</w:t>
            </w:r>
          </w:p>
          <w:p>
            <w:pPr>
              <w:pStyle w:val="TableParagraph"/>
              <w:spacing w:before="1"/>
              <w:rPr>
                <w:sz w:val="14"/>
              </w:rPr>
            </w:pPr>
          </w:p>
          <w:p>
            <w:pPr>
              <w:pStyle w:val="TableParagraph"/>
              <w:ind w:left="10"/>
              <w:rPr>
                <w:rFonts w:ascii="Calibri"/>
                <w:b/>
                <w:sz w:val="18"/>
              </w:rPr>
            </w:pPr>
            <w:r>
              <w:rPr>
                <w:rFonts w:ascii="Calibri"/>
                <w:b/>
                <w:sz w:val="18"/>
              </w:rPr>
              <w:t>-1</w:t>
            </w:r>
          </w:p>
          <w:p>
            <w:pPr>
              <w:pStyle w:val="TableParagraph"/>
              <w:tabs>
                <w:tab w:pos="2645" w:val="left" w:leader="none"/>
              </w:tabs>
              <w:spacing w:line="177" w:lineRule="auto" w:before="132"/>
              <w:ind w:left="10"/>
              <w:rPr>
                <w:rFonts w:ascii="Calibri"/>
                <w:b/>
                <w:sz w:val="18"/>
              </w:rPr>
            </w:pPr>
            <w:r>
              <w:rPr>
                <w:rFonts w:ascii="Calibri"/>
                <w:b/>
                <w:position w:val="-5"/>
                <w:sz w:val="18"/>
              </w:rPr>
              <w:t>-2</w:t>
              <w:tab/>
            </w:r>
            <w:r>
              <w:rPr>
                <w:rFonts w:ascii="Calibri"/>
                <w:b/>
                <w:sz w:val="18"/>
              </w:rPr>
              <w:t>Bar</w:t>
            </w:r>
            <w:r>
              <w:rPr>
                <w:rFonts w:ascii="Calibri"/>
                <w:b/>
                <w:spacing w:val="-8"/>
                <w:sz w:val="18"/>
              </w:rPr>
              <w:t> </w:t>
            </w:r>
            <w:r>
              <w:rPr>
                <w:rFonts w:ascii="Calibri"/>
                <w:b/>
                <w:sz w:val="18"/>
              </w:rPr>
              <w:t>=</w:t>
            </w:r>
            <w:r>
              <w:rPr>
                <w:rFonts w:ascii="Calibri"/>
                <w:b/>
                <w:spacing w:val="-7"/>
                <w:sz w:val="18"/>
              </w:rPr>
              <w:t> </w:t>
            </w:r>
            <w:r>
              <w:rPr>
                <w:rFonts w:ascii="Calibri"/>
                <w:b/>
                <w:sz w:val="18"/>
              </w:rPr>
              <w:t>Range</w:t>
            </w:r>
            <w:r>
              <w:rPr>
                <w:rFonts w:ascii="Calibri"/>
                <w:b/>
                <w:spacing w:val="-8"/>
                <w:sz w:val="18"/>
              </w:rPr>
              <w:t> </w:t>
            </w:r>
            <w:r>
              <w:rPr>
                <w:rFonts w:ascii="Calibri"/>
                <w:b/>
                <w:sz w:val="18"/>
              </w:rPr>
              <w:t>of</w:t>
            </w:r>
            <w:r>
              <w:rPr>
                <w:rFonts w:ascii="Calibri"/>
                <w:b/>
                <w:spacing w:val="-7"/>
                <w:sz w:val="18"/>
              </w:rPr>
              <w:t> </w:t>
            </w:r>
            <w:r>
              <w:rPr>
                <w:rFonts w:ascii="Calibri"/>
                <w:b/>
                <w:sz w:val="18"/>
              </w:rPr>
              <w:t>MoM</w:t>
            </w:r>
            <w:r>
              <w:rPr>
                <w:rFonts w:ascii="Calibri"/>
                <w:b/>
                <w:spacing w:val="-8"/>
                <w:sz w:val="18"/>
              </w:rPr>
              <w:t> </w:t>
            </w:r>
            <w:r>
              <w:rPr>
                <w:rFonts w:ascii="Calibri"/>
                <w:b/>
                <w:sz w:val="18"/>
              </w:rPr>
              <w:t>Changes</w:t>
            </w:r>
          </w:p>
          <w:p>
            <w:pPr>
              <w:pStyle w:val="TableParagraph"/>
              <w:spacing w:line="191" w:lineRule="exact"/>
              <w:ind w:left="2645"/>
              <w:rPr>
                <w:rFonts w:ascii="Calibri"/>
                <w:b/>
                <w:sz w:val="18"/>
              </w:rPr>
            </w:pPr>
            <w:r>
              <w:rPr>
                <w:rFonts w:ascii="Calibri"/>
                <w:b/>
                <w:sz w:val="18"/>
              </w:rPr>
              <w:t>Stripe = Average MoM Change</w:t>
            </w:r>
          </w:p>
          <w:p>
            <w:pPr>
              <w:pStyle w:val="TableParagraph"/>
              <w:spacing w:line="219" w:lineRule="exact"/>
              <w:ind w:left="10"/>
              <w:rPr>
                <w:rFonts w:ascii="Calibri"/>
                <w:b/>
                <w:sz w:val="18"/>
              </w:rPr>
            </w:pPr>
            <w:r>
              <w:rPr>
                <w:rFonts w:ascii="Calibri"/>
                <w:b/>
                <w:sz w:val="18"/>
              </w:rPr>
              <w:t>-3</w:t>
            </w:r>
          </w:p>
          <w:p>
            <w:pPr>
              <w:pStyle w:val="TableParagraph"/>
              <w:spacing w:before="1"/>
              <w:rPr>
                <w:sz w:val="14"/>
              </w:rPr>
            </w:pPr>
          </w:p>
          <w:p>
            <w:pPr>
              <w:pStyle w:val="TableParagraph"/>
              <w:ind w:left="10"/>
              <w:rPr>
                <w:rFonts w:ascii="Calibri"/>
                <w:b/>
                <w:sz w:val="18"/>
              </w:rPr>
            </w:pPr>
            <w:r>
              <w:rPr>
                <w:rFonts w:ascii="Calibri"/>
                <w:b/>
                <w:sz w:val="18"/>
              </w:rPr>
              <w:t>-4</w:t>
            </w:r>
          </w:p>
          <w:p>
            <w:pPr>
              <w:pStyle w:val="TableParagraph"/>
              <w:tabs>
                <w:tab w:pos="1660" w:val="left" w:leader="none"/>
                <w:tab w:pos="2820" w:val="left" w:leader="none"/>
                <w:tab w:pos="4037" w:val="left" w:leader="none"/>
              </w:tabs>
              <w:spacing w:before="17"/>
              <w:ind w:left="444"/>
              <w:rPr>
                <w:rFonts w:ascii="Calibri"/>
                <w:b/>
                <w:sz w:val="18"/>
              </w:rPr>
            </w:pPr>
            <w:r>
              <w:rPr>
                <w:rFonts w:ascii="Calibri"/>
                <w:b/>
                <w:sz w:val="18"/>
              </w:rPr>
              <w:t>Snow</w:t>
            </w:r>
            <w:r>
              <w:rPr>
                <w:rFonts w:ascii="Calibri"/>
                <w:b/>
                <w:spacing w:val="-13"/>
                <w:sz w:val="18"/>
              </w:rPr>
              <w:t> </w:t>
            </w:r>
            <w:r>
              <w:rPr>
                <w:rFonts w:ascii="Calibri"/>
                <w:b/>
                <w:sz w:val="18"/>
              </w:rPr>
              <w:t>Month</w:t>
              <w:tab/>
              <w:t>Next</w:t>
            </w:r>
            <w:r>
              <w:rPr>
                <w:rFonts w:ascii="Calibri"/>
                <w:b/>
                <w:spacing w:val="-12"/>
                <w:sz w:val="18"/>
              </w:rPr>
              <w:t> </w:t>
            </w:r>
            <w:r>
              <w:rPr>
                <w:rFonts w:ascii="Calibri"/>
                <w:b/>
                <w:sz w:val="18"/>
              </w:rPr>
              <w:t>Month</w:t>
              <w:tab/>
              <w:t>Snow</w:t>
            </w:r>
            <w:r>
              <w:rPr>
                <w:rFonts w:ascii="Calibri"/>
                <w:b/>
                <w:spacing w:val="-13"/>
                <w:sz w:val="18"/>
              </w:rPr>
              <w:t> </w:t>
            </w:r>
            <w:r>
              <w:rPr>
                <w:rFonts w:ascii="Calibri"/>
                <w:b/>
                <w:sz w:val="18"/>
              </w:rPr>
              <w:t>Month</w:t>
              <w:tab/>
              <w:t>Next</w:t>
            </w:r>
            <w:r>
              <w:rPr>
                <w:rFonts w:ascii="Calibri"/>
                <w:b/>
                <w:spacing w:val="-6"/>
                <w:sz w:val="18"/>
              </w:rPr>
              <w:t> </w:t>
            </w:r>
            <w:r>
              <w:rPr>
                <w:rFonts w:ascii="Calibri"/>
                <w:b/>
                <w:sz w:val="18"/>
              </w:rPr>
              <w:t>Month</w:t>
            </w:r>
          </w:p>
        </w:tc>
        <w:tc>
          <w:tcPr>
            <w:tcW w:w="111" w:type="dxa"/>
            <w:vMerge w:val="restart"/>
            <w:tcBorders>
              <w:left w:val="single" w:sz="4" w:space="0" w:color="858585"/>
            </w:tcBorders>
          </w:tcPr>
          <w:p>
            <w:pPr>
              <w:pStyle w:val="TableParagraph"/>
              <w:rPr>
                <w:rFonts w:ascii="Times New Roman"/>
                <w:sz w:val="16"/>
              </w:rPr>
            </w:pPr>
          </w:p>
        </w:tc>
        <w:tc>
          <w:tcPr>
            <w:tcW w:w="109" w:type="dxa"/>
            <w:vMerge w:val="restart"/>
            <w:tcBorders>
              <w:right w:val="single" w:sz="4" w:space="0" w:color="858585"/>
            </w:tcBorders>
          </w:tcPr>
          <w:p>
            <w:pPr>
              <w:pStyle w:val="TableParagraph"/>
              <w:rPr>
                <w:rFonts w:ascii="Times New Roman"/>
                <w:sz w:val="16"/>
              </w:rPr>
            </w:pPr>
          </w:p>
        </w:tc>
        <w:tc>
          <w:tcPr>
            <w:tcW w:w="5199" w:type="dxa"/>
            <w:vMerge w:val="restart"/>
            <w:tcBorders>
              <w:top w:val="single" w:sz="8" w:space="0" w:color="000000"/>
              <w:left w:val="single" w:sz="4" w:space="0" w:color="858585"/>
              <w:bottom w:val="thickThinMediumGap" w:sz="2" w:space="0" w:color="000000"/>
              <w:right w:val="single" w:sz="4" w:space="0" w:color="858585"/>
            </w:tcBorders>
          </w:tcPr>
          <w:p>
            <w:pPr>
              <w:pStyle w:val="TableParagraph"/>
              <w:tabs>
                <w:tab w:pos="4968" w:val="left" w:leader="none"/>
              </w:tabs>
              <w:spacing w:line="180" w:lineRule="exact"/>
              <w:ind w:left="63"/>
              <w:rPr>
                <w:rFonts w:ascii="Calibri"/>
                <w:b/>
                <w:sz w:val="18"/>
              </w:rPr>
            </w:pPr>
            <w:r>
              <w:rPr>
                <w:rFonts w:ascii="Calibri"/>
                <w:b/>
                <w:sz w:val="18"/>
              </w:rPr>
              <w:t>3</w:t>
              <w:tab/>
              <w:t>8</w:t>
            </w:r>
          </w:p>
          <w:p>
            <w:pPr>
              <w:pStyle w:val="TableParagraph"/>
              <w:spacing w:line="195" w:lineRule="exact"/>
              <w:ind w:left="1460"/>
              <w:rPr>
                <w:rFonts w:ascii="Calibri"/>
                <w:b/>
                <w:sz w:val="18"/>
              </w:rPr>
            </w:pPr>
            <w:r>
              <w:rPr>
                <w:rFonts w:ascii="Calibri"/>
                <w:b/>
                <w:sz w:val="18"/>
              </w:rPr>
              <w:t>Average of Business Surveys (left)</w:t>
            </w:r>
          </w:p>
          <w:p>
            <w:pPr>
              <w:pStyle w:val="TableParagraph"/>
              <w:tabs>
                <w:tab w:pos="4968" w:val="left" w:leader="none"/>
              </w:tabs>
              <w:spacing w:line="192" w:lineRule="exact"/>
              <w:ind w:left="63"/>
              <w:rPr>
                <w:rFonts w:ascii="Calibri"/>
                <w:b/>
                <w:sz w:val="18"/>
              </w:rPr>
            </w:pPr>
            <w:r>
              <w:rPr>
                <w:rFonts w:ascii="Calibri"/>
                <w:b/>
                <w:sz w:val="18"/>
              </w:rPr>
              <w:t>2</w:t>
              <w:tab/>
              <w:t>6</w:t>
            </w:r>
          </w:p>
          <w:p>
            <w:pPr>
              <w:pStyle w:val="TableParagraph"/>
              <w:spacing w:line="193" w:lineRule="exact"/>
              <w:ind w:left="1460"/>
              <w:rPr>
                <w:rFonts w:ascii="Calibri"/>
                <w:b/>
                <w:sz w:val="18"/>
              </w:rPr>
            </w:pPr>
            <w:r>
              <w:rPr>
                <w:rFonts w:ascii="Calibri"/>
                <w:b/>
                <w:sz w:val="18"/>
              </w:rPr>
              <w:t>Nonoil GDP YoY (right)</w:t>
            </w:r>
          </w:p>
          <w:p>
            <w:pPr>
              <w:pStyle w:val="TableParagraph"/>
              <w:tabs>
                <w:tab w:pos="4904" w:val="left" w:leader="none"/>
              </w:tabs>
              <w:spacing w:before="4"/>
              <w:ind w:right="68"/>
              <w:jc w:val="center"/>
              <w:rPr>
                <w:rFonts w:ascii="Calibri"/>
                <w:b/>
                <w:sz w:val="18"/>
              </w:rPr>
            </w:pPr>
            <w:r>
              <w:rPr>
                <w:rFonts w:ascii="Calibri"/>
                <w:b/>
                <w:sz w:val="18"/>
              </w:rPr>
              <w:t>1</w:t>
              <w:tab/>
              <w:t>4</w:t>
            </w:r>
          </w:p>
          <w:p>
            <w:pPr>
              <w:pStyle w:val="TableParagraph"/>
              <w:spacing w:before="9"/>
              <w:rPr>
                <w:sz w:val="14"/>
              </w:rPr>
            </w:pPr>
          </w:p>
          <w:p>
            <w:pPr>
              <w:pStyle w:val="TableParagraph"/>
              <w:tabs>
                <w:tab w:pos="4904" w:val="left" w:leader="none"/>
              </w:tabs>
              <w:ind w:right="68"/>
              <w:jc w:val="center"/>
              <w:rPr>
                <w:rFonts w:ascii="Calibri"/>
                <w:b/>
                <w:sz w:val="18"/>
              </w:rPr>
            </w:pPr>
            <w:r>
              <w:rPr>
                <w:rFonts w:ascii="Calibri"/>
                <w:b/>
                <w:sz w:val="18"/>
              </w:rPr>
              <w:t>0</w:t>
              <w:tab/>
              <w:t>2</w:t>
            </w:r>
          </w:p>
          <w:p>
            <w:pPr>
              <w:pStyle w:val="TableParagraph"/>
              <w:spacing w:before="8"/>
              <w:rPr>
                <w:sz w:val="14"/>
              </w:rPr>
            </w:pPr>
          </w:p>
          <w:p>
            <w:pPr>
              <w:pStyle w:val="TableParagraph"/>
              <w:tabs>
                <w:tab w:pos="4956" w:val="left" w:leader="none"/>
              </w:tabs>
              <w:spacing w:before="1"/>
              <w:ind w:right="120"/>
              <w:jc w:val="center"/>
              <w:rPr>
                <w:rFonts w:ascii="Calibri"/>
                <w:b/>
                <w:sz w:val="18"/>
              </w:rPr>
            </w:pPr>
            <w:r>
              <w:rPr>
                <w:rFonts w:ascii="Calibri"/>
                <w:b/>
                <w:sz w:val="18"/>
              </w:rPr>
              <w:t>-1</w:t>
              <w:tab/>
              <w:t>0</w:t>
            </w:r>
          </w:p>
          <w:p>
            <w:pPr>
              <w:pStyle w:val="TableParagraph"/>
              <w:spacing w:before="8"/>
              <w:rPr>
                <w:sz w:val="14"/>
              </w:rPr>
            </w:pPr>
          </w:p>
          <w:p>
            <w:pPr>
              <w:pStyle w:val="TableParagraph"/>
              <w:tabs>
                <w:tab w:pos="4956" w:val="left" w:leader="none"/>
              </w:tabs>
              <w:spacing w:before="1"/>
              <w:ind w:right="68"/>
              <w:jc w:val="center"/>
              <w:rPr>
                <w:rFonts w:ascii="Calibri"/>
                <w:b/>
                <w:sz w:val="18"/>
              </w:rPr>
            </w:pPr>
            <w:r>
              <w:rPr>
                <w:rFonts w:ascii="Calibri"/>
                <w:b/>
                <w:sz w:val="18"/>
              </w:rPr>
              <w:t>-2</w:t>
              <w:tab/>
            </w:r>
            <w:r>
              <w:rPr>
                <w:rFonts w:ascii="Calibri"/>
                <w:b/>
                <w:w w:val="95"/>
                <w:sz w:val="18"/>
              </w:rPr>
              <w:t>-2</w:t>
            </w:r>
          </w:p>
          <w:p>
            <w:pPr>
              <w:pStyle w:val="TableParagraph"/>
              <w:spacing w:line="174" w:lineRule="exact" w:before="38"/>
              <w:ind w:right="190"/>
              <w:jc w:val="center"/>
              <w:rPr>
                <w:rFonts w:ascii="Calibri"/>
                <w:b/>
                <w:sz w:val="18"/>
              </w:rPr>
            </w:pPr>
            <w:r>
              <w:rPr>
                <w:rFonts w:ascii="Calibri"/>
                <w:b/>
                <w:sz w:val="18"/>
              </w:rPr>
              <w:t>Range of</w:t>
            </w:r>
          </w:p>
          <w:p>
            <w:pPr>
              <w:pStyle w:val="TableParagraph"/>
              <w:tabs>
                <w:tab w:pos="2175" w:val="left" w:leader="none"/>
                <w:tab w:pos="4956" w:val="left" w:leader="none"/>
              </w:tabs>
              <w:spacing w:line="274" w:lineRule="exact"/>
              <w:ind w:right="68"/>
              <w:jc w:val="center"/>
              <w:rPr>
                <w:rFonts w:ascii="Calibri"/>
                <w:b/>
                <w:sz w:val="18"/>
              </w:rPr>
            </w:pPr>
            <w:r>
              <w:rPr>
                <w:rFonts w:ascii="Calibri"/>
                <w:b/>
                <w:position w:val="10"/>
                <w:sz w:val="18"/>
              </w:rPr>
              <w:t>-3</w:t>
              <w:tab/>
            </w:r>
            <w:r>
              <w:rPr>
                <w:rFonts w:ascii="Calibri"/>
                <w:b/>
                <w:sz w:val="18"/>
              </w:rPr>
              <w:t>Business</w:t>
              <w:tab/>
            </w:r>
            <w:r>
              <w:rPr>
                <w:rFonts w:ascii="Calibri"/>
                <w:b/>
                <w:w w:val="95"/>
                <w:position w:val="10"/>
                <w:sz w:val="18"/>
              </w:rPr>
              <w:t>-4</w:t>
            </w:r>
          </w:p>
          <w:p>
            <w:pPr>
              <w:pStyle w:val="TableParagraph"/>
              <w:tabs>
                <w:tab w:pos="402" w:val="left" w:leader="none"/>
                <w:tab w:pos="2187" w:val="left" w:leader="none"/>
                <w:tab w:pos="4462" w:val="left" w:leader="none"/>
                <w:tab w:pos="4968" w:val="left" w:leader="none"/>
              </w:tabs>
              <w:spacing w:line="235" w:lineRule="auto" w:before="10"/>
              <w:ind w:left="403" w:right="80" w:hanging="392"/>
              <w:rPr>
                <w:rFonts w:ascii="Calibri"/>
                <w:b/>
                <w:sz w:val="18"/>
              </w:rPr>
            </w:pPr>
            <w:r>
              <w:rPr>
                <w:rFonts w:ascii="Calibri"/>
                <w:b/>
                <w:position w:val="-5"/>
                <w:sz w:val="18"/>
              </w:rPr>
              <w:t>-4</w:t>
              <w:tab/>
              <w:t>sd</w:t>
            </w:r>
            <w:r>
              <w:rPr>
                <w:rFonts w:ascii="Calibri"/>
                <w:b/>
                <w:spacing w:val="-10"/>
                <w:position w:val="-5"/>
                <w:sz w:val="18"/>
              </w:rPr>
              <w:t> </w:t>
            </w:r>
            <w:r>
              <w:rPr>
                <w:rFonts w:ascii="Calibri"/>
                <w:b/>
                <w:position w:val="-5"/>
                <w:sz w:val="18"/>
              </w:rPr>
              <w:t>from</w:t>
              <w:tab/>
            </w:r>
            <w:r>
              <w:rPr>
                <w:rFonts w:ascii="Calibri"/>
                <w:b/>
                <w:sz w:val="18"/>
              </w:rPr>
              <w:t>Surveys</w:t>
            </w:r>
            <w:r>
              <w:rPr>
                <w:rFonts w:ascii="Calibri"/>
                <w:b/>
                <w:spacing w:val="-13"/>
                <w:sz w:val="18"/>
              </w:rPr>
              <w:t> </w:t>
            </w:r>
            <w:r>
              <w:rPr>
                <w:rFonts w:ascii="Calibri"/>
                <w:b/>
                <w:sz w:val="18"/>
              </w:rPr>
              <w:t>(left)</w:t>
              <w:tab/>
            </w:r>
            <w:r>
              <w:rPr>
                <w:rFonts w:ascii="Calibri"/>
                <w:b/>
                <w:position w:val="-7"/>
                <w:sz w:val="18"/>
              </w:rPr>
              <w:t>%</w:t>
              <w:tab/>
            </w:r>
            <w:r>
              <w:rPr>
                <w:rFonts w:ascii="Calibri"/>
                <w:b/>
                <w:spacing w:val="-9"/>
                <w:position w:val="-5"/>
                <w:sz w:val="18"/>
              </w:rPr>
              <w:t>-6 </w:t>
            </w:r>
            <w:r>
              <w:rPr>
                <w:rFonts w:ascii="Calibri"/>
                <w:b/>
                <w:sz w:val="18"/>
              </w:rPr>
              <w:t>average</w:t>
            </w:r>
          </w:p>
          <w:p>
            <w:pPr>
              <w:pStyle w:val="TableParagraph"/>
              <w:tabs>
                <w:tab w:pos="4956" w:val="left" w:leader="none"/>
              </w:tabs>
              <w:spacing w:line="162" w:lineRule="exact"/>
              <w:ind w:right="68"/>
              <w:jc w:val="center"/>
              <w:rPr>
                <w:rFonts w:ascii="Calibri"/>
                <w:b/>
                <w:sz w:val="18"/>
              </w:rPr>
            </w:pPr>
            <w:r>
              <w:rPr>
                <w:rFonts w:ascii="Calibri"/>
                <w:b/>
                <w:sz w:val="18"/>
              </w:rPr>
              <w:t>-5</w:t>
              <w:tab/>
            </w:r>
            <w:r>
              <w:rPr>
                <w:rFonts w:ascii="Calibri"/>
                <w:b/>
                <w:w w:val="95"/>
                <w:sz w:val="18"/>
              </w:rPr>
              <w:t>-8</w:t>
            </w:r>
          </w:p>
          <w:p>
            <w:pPr>
              <w:pStyle w:val="TableParagraph"/>
              <w:tabs>
                <w:tab w:pos="631" w:val="left" w:leader="none"/>
                <w:tab w:pos="1263" w:val="left" w:leader="none"/>
                <w:tab w:pos="1895" w:val="left" w:leader="none"/>
                <w:tab w:pos="2527" w:val="left" w:leader="none"/>
                <w:tab w:pos="3159" w:val="left" w:leader="none"/>
                <w:tab w:pos="3791" w:val="left" w:leader="none"/>
                <w:tab w:pos="4423" w:val="left" w:leader="none"/>
              </w:tabs>
              <w:spacing w:before="22"/>
              <w:ind w:right="68"/>
              <w:jc w:val="center"/>
              <w:rPr>
                <w:rFonts w:ascii="Calibri"/>
                <w:b/>
                <w:sz w:val="18"/>
              </w:rPr>
            </w:pPr>
            <w:r>
              <w:rPr>
                <w:rFonts w:ascii="Calibri"/>
                <w:b/>
                <w:sz w:val="18"/>
              </w:rPr>
              <w:t>2004</w:t>
              <w:tab/>
              <w:t>2006</w:t>
              <w:tab/>
              <w:t>2008</w:t>
              <w:tab/>
              <w:t>2010</w:t>
              <w:tab/>
              <w:t>2012</w:t>
              <w:tab/>
              <w:t>2014</w:t>
              <w:tab/>
              <w:t>2016</w:t>
              <w:tab/>
              <w:t>2018</w:t>
            </w:r>
          </w:p>
        </w:tc>
        <w:tc>
          <w:tcPr>
            <w:tcW w:w="127" w:type="dxa"/>
            <w:vMerge w:val="restart"/>
            <w:tcBorders>
              <w:left w:val="single" w:sz="4" w:space="0" w:color="858585"/>
            </w:tcBorders>
          </w:tcPr>
          <w:p>
            <w:pPr>
              <w:pStyle w:val="TableParagraph"/>
              <w:rPr>
                <w:rFonts w:ascii="Times New Roman"/>
                <w:sz w:val="16"/>
              </w:rPr>
            </w:pPr>
          </w:p>
        </w:tc>
      </w:tr>
      <w:tr>
        <w:trPr>
          <w:trHeight w:val="67" w:hRule="atLeast"/>
        </w:trPr>
        <w:tc>
          <w:tcPr>
            <w:tcW w:w="111" w:type="dxa"/>
            <w:tcBorders>
              <w:top w:val="nil"/>
              <w:right w:val="nil"/>
            </w:tcBorders>
          </w:tcPr>
          <w:p>
            <w:pPr>
              <w:pStyle w:val="TableParagraph"/>
              <w:rPr>
                <w:rFonts w:ascii="Times New Roman"/>
                <w:sz w:val="2"/>
              </w:rPr>
            </w:pPr>
          </w:p>
        </w:tc>
        <w:tc>
          <w:tcPr>
            <w:tcW w:w="5258" w:type="dxa"/>
            <w:tcBorders>
              <w:top w:val="single" w:sz="4" w:space="0" w:color="858585"/>
              <w:left w:val="nil"/>
              <w:right w:val="nil"/>
            </w:tcBorders>
          </w:tcPr>
          <w:p>
            <w:pPr>
              <w:pStyle w:val="TableParagraph"/>
              <w:rPr>
                <w:rFonts w:ascii="Times New Roman"/>
                <w:sz w:val="2"/>
              </w:rPr>
            </w:pPr>
          </w:p>
        </w:tc>
        <w:tc>
          <w:tcPr>
            <w:tcW w:w="111" w:type="dxa"/>
            <w:vMerge/>
            <w:tcBorders>
              <w:top w:val="nil"/>
              <w:left w:val="single" w:sz="4" w:space="0" w:color="858585"/>
            </w:tcBorders>
          </w:tcPr>
          <w:p>
            <w:pPr>
              <w:rPr>
                <w:sz w:val="2"/>
                <w:szCs w:val="2"/>
              </w:rPr>
            </w:pPr>
          </w:p>
        </w:tc>
        <w:tc>
          <w:tcPr>
            <w:tcW w:w="109" w:type="dxa"/>
            <w:vMerge/>
            <w:tcBorders>
              <w:top w:val="nil"/>
              <w:right w:val="single" w:sz="4" w:space="0" w:color="858585"/>
            </w:tcBorders>
          </w:tcPr>
          <w:p>
            <w:pPr>
              <w:rPr>
                <w:sz w:val="2"/>
                <w:szCs w:val="2"/>
              </w:rPr>
            </w:pPr>
          </w:p>
        </w:tc>
        <w:tc>
          <w:tcPr>
            <w:tcW w:w="5199" w:type="dxa"/>
            <w:vMerge/>
            <w:tcBorders>
              <w:top w:val="nil"/>
              <w:left w:val="single" w:sz="4" w:space="0" w:color="858585"/>
              <w:bottom w:val="thickThinMediumGap" w:sz="2" w:space="0" w:color="000000"/>
              <w:right w:val="single" w:sz="4" w:space="0" w:color="858585"/>
            </w:tcBorders>
          </w:tcPr>
          <w:p>
            <w:pPr>
              <w:rPr>
                <w:sz w:val="2"/>
                <w:szCs w:val="2"/>
              </w:rPr>
            </w:pPr>
          </w:p>
        </w:tc>
        <w:tc>
          <w:tcPr>
            <w:tcW w:w="127" w:type="dxa"/>
            <w:vMerge/>
            <w:tcBorders>
              <w:top w:val="nil"/>
              <w:left w:val="single" w:sz="4" w:space="0" w:color="858585"/>
            </w:tcBorders>
          </w:tcPr>
          <w:p>
            <w:pPr>
              <w:rPr>
                <w:sz w:val="2"/>
                <w:szCs w:val="2"/>
              </w:rPr>
            </w:pPr>
          </w:p>
        </w:tc>
      </w:tr>
    </w:tbl>
    <w:p>
      <w:pPr>
        <w:spacing w:line="444" w:lineRule="auto" w:before="157"/>
        <w:ind w:left="673" w:right="1276" w:firstLine="0"/>
        <w:jc w:val="left"/>
        <w:rPr>
          <w:sz w:val="16"/>
        </w:rPr>
      </w:pPr>
      <w:r>
        <w:rPr/>
        <w:pict>
          <v:group style="position:absolute;margin-left:46.662514pt;margin-top:-179.930344pt;width:240.55pt;height:153pt;mso-position-horizontal-relative:page;mso-position-vertical-relative:paragraph;z-index:-253445120" coordorigin="933,-3599" coordsize="4811,3060">
            <v:rect style="position:absolute;left:988;top:-3596;width:4753;height:3054" filled="false" stroked="true" strokeweight=".269056pt" strokecolor="#000000">
              <v:stroke dashstyle="solid"/>
            </v:rect>
            <v:rect style="position:absolute;left:1344;top:-2070;width:476;height:1451" filled="true" fillcolor="#8eb4e2" stroked="false">
              <v:fill type="solid"/>
            </v:rect>
            <v:rect style="position:absolute;left:2532;top:-2070;width:476;height:84" filled="true" fillcolor="#8eb4e2" stroked="false">
              <v:fill type="solid"/>
            </v:rect>
            <v:shape style="position:absolute;left:2532;top:-3276;width:2852;height:1498" coordorigin="2533,-3276" coordsize="2852,1498" path="m3008,-2565l2533,-2565,2533,-2070,3008,-2070,3008,-2565m3008,-3276l2533,-3276,2533,-2663,3008,-2663,3008,-3276m4197,-2070l3721,-2070,3721,-1784,4197,-1784,4197,-2070m5385,-2070l4909,-2070,4909,-1779,5385,-1779,5385,-2070e" filled="true" fillcolor="#8eb4e2" stroked="false">
              <v:path arrowok="t"/>
              <v:fill type="solid"/>
            </v:shape>
            <v:rect style="position:absolute;left:3720;top:-2110;width:477;height:41" filled="true" fillcolor="#8eb4e2" stroked="false">
              <v:fill type="solid"/>
            </v:rect>
            <v:rect style="position:absolute;left:4909;top:-2521;width:476;height:451" filled="true" fillcolor="#8eb4e2" stroked="false">
              <v:fill type="solid"/>
            </v:rect>
            <v:shape style="position:absolute;left:720;top:-5265;width:13404;height:8038" coordorigin="720,-5265" coordsize="13404,8038" path="m988,-543l988,-3596m933,-543l988,-543m933,-925l988,-925m933,-1307l988,-1307m933,-1688l988,-1688m933,-2070l988,-2070m933,-2451l988,-2451m933,-2833l988,-2833m933,-3215l988,-3215m933,-3596l988,-3596m988,-2070l5741,-2070e" filled="false" stroked="true" strokeweight=".265883pt" strokecolor="#858585">
              <v:path arrowok="t"/>
              <v:stroke dashstyle="solid"/>
            </v:shape>
            <v:rect style="position:absolute;left:1348;top:-1399;width:467;height:99" filled="true" fillcolor="#0000ff" stroked="false">
              <v:fill type="solid"/>
            </v:rect>
            <v:rect style="position:absolute;left:1348;top:-1399;width:467;height:99" filled="false" stroked="true" strokeweight=".272864pt" strokecolor="#97b853">
              <v:stroke dashstyle="solid"/>
            </v:rect>
            <v:rect style="position:absolute;left:3724;top:-1996;width:467;height:99" filled="true" fillcolor="#0000ff" stroked="false">
              <v:fill type="solid"/>
            </v:rect>
            <v:rect style="position:absolute;left:3724;top:-1996;width:467;height:99" filled="false" stroked="true" strokeweight=".272864pt" strokecolor="#97b853">
              <v:stroke dashstyle="solid"/>
            </v:rect>
            <v:rect style="position:absolute;left:4912;top:-2232;width:467;height:99" filled="true" fillcolor="#0000ff" stroked="false">
              <v:fill type="solid"/>
            </v:rect>
            <v:rect style="position:absolute;left:4912;top:-2232;width:467;height:99" filled="false" stroked="true" strokeweight=".272864pt" strokecolor="#97b853">
              <v:stroke dashstyle="solid"/>
            </v:rect>
            <v:rect style="position:absolute;left:2536;top:-2664;width:467;height:99" filled="true" fillcolor="#0000ff" stroked="false">
              <v:fill type="solid"/>
            </v:rect>
            <v:line style="position:absolute" from="3271,-3577" to="3271,-539" stroked="true" strokeweight=".344334pt" strokecolor="#000000">
              <v:stroke dashstyle="solid"/>
            </v:line>
            <w10:wrap type="none"/>
          </v:group>
        </w:pict>
      </w:r>
      <w:r>
        <w:rPr/>
        <w:pict>
          <v:group style="position:absolute;margin-left:320.482513pt;margin-top:-179.773651pt;width:230.5pt;height:156.050pt;mso-position-horizontal-relative:page;mso-position-vertical-relative:paragraph;z-index:-253444096" coordorigin="6410,-3595" coordsize="4610,3121">
            <v:rect style="position:absolute;left:6464;top:-3593;width:4502;height:3116" filled="false" stroked="true" strokeweight=".271813pt" strokecolor="#000000">
              <v:stroke dashstyle="solid"/>
            </v:rect>
            <v:shape style="position:absolute;left:6503;top:-3105;width:4423;height:2245" coordorigin="6503,-3105" coordsize="4423,2245" path="m7753,-2529l7530,-2529,7609,-2381,7688,-2188,7767,-1963,7846,-1599,7925,-1447,8004,-860,8083,-1018,8162,-1253,8196,-1379,8083,-1379,8004,-1471,7925,-1870,7846,-2271,7767,-2497,7753,-2529xm8399,-2845l8320,-2819,8241,-2532,8162,-2289,8083,-1379,8196,-1379,8241,-1540,8320,-1902,8399,-2135,8478,-2316,8917,-2316,8873,-2454,8819,-2538,8636,-2538,8557,-2750,8478,-2839,8399,-2845xm8924,-2295l8794,-2295,8873,-1976,8952,-1804,9030,-2057,9109,-2065,9314,-2065,9346,-2147,9415,-2207,8952,-2207,8924,-2295xm9314,-2065l9109,-2065,9188,-2044,9267,-1950,9314,-2065xm10331,-2643l9978,-2643,10057,-2605,10136,-2497,10215,-2443,10294,-2343,10373,-2262,10452,-2049,10531,-2058,10610,-2082,10689,-2363,10926,-2363,10926,-2531,10452,-2531,10373,-2628,10331,-2643xm8738,-2142l8636,-2142,8715,-2077,8738,-2142xm8917,-2316l8478,-2316,8557,-2094,8636,-2142,8738,-2142,8794,-2295,8924,-2295,8917,-2316xm10926,-2363l10689,-2363,10768,-2098,10847,-2199,10926,-2252,10926,-2363xm6946,-2483l6740,-2483,6819,-2416,6898,-2305,6977,-2246,7056,-2155,7135,-2327,7214,-2396,7279,-2456,6977,-2456,6946,-2483xm9109,-2540l9030,-2288,8952,-2207,9415,-2207,9425,-2216,9442,-2299,9188,-2299,9109,-2540xm9741,-3105l9662,-3098,9583,-3001,9504,-2903,9425,-2644,9346,-2558,9267,-2367,9188,-2299,9442,-2299,9504,-2612,9583,-2674,9662,-2800,9741,-2822,10221,-2822,10215,-2835,10136,-2851,10115,-2874,9978,-2874,9899,-2954,9820,-2989,9741,-3105xm7507,-2469l7293,-2469,7372,-2416,7451,-2321,7507,-2469xm6695,-2749l6582,-2749,6661,-2448,6740,-2483,6946,-2483,6898,-2524,6819,-2641,6740,-2704,6695,-2749xm7451,-3088l7372,-3046,7293,-2895,7214,-2763,7135,-2654,7056,-2592,6977,-2456,7279,-2456,7293,-2469,7507,-2469,7530,-2529,7753,-2529,7688,-2682,7609,-2802,7530,-2994,7451,-3088xm10768,-2801l10689,-2744,10610,-2722,10531,-2664,10452,-2531,10926,-2531,10926,-2725,10847,-2791,10768,-2801xm8794,-2578l8715,-2540,8636,-2538,8819,-2538,8794,-2578xm10221,-2822l9741,-2822,9820,-2692,9899,-2540,9978,-2643,10331,-2643,10294,-2656,10221,-2822xm6582,-2898l6503,-2769,6503,-2669,6582,-2749,6695,-2749,6661,-2783,6582,-2898xm10057,-2934l9978,-2874,10115,-2874,10057,-2934xe" filled="true" fillcolor="#b7dee8" stroked="false">
              <v:path arrowok="t"/>
              <v:fill type="solid"/>
            </v:shape>
            <v:shape style="position:absolute;left:720;top:-5251;width:12982;height:8024" coordorigin="720,-5250" coordsize="12982,8024" path="m10965,-478l10965,-3593m10965,-478l11019,-478m10965,-867l11019,-867m10965,-1257l11019,-1257m10965,-1646l11019,-1646m10965,-2036l11019,-2036m10965,-2425l11019,-2425m10965,-2814l11019,-2814m10965,-3203l11019,-3203m10965,-3593l11019,-3593m6464,-478l6464,-3593m6410,-478l6464,-478m6410,-867l6464,-867m6410,-1257l6464,-1257m6410,-1646l6464,-1646m6410,-2036l6464,-2036m6410,-2425l6464,-2425m6410,-2814l6464,-2814m6410,-3203l6464,-3203m6410,-3593l6464,-3593m6464,-2425l10965,-2425e" filled="false" stroked="true" strokeweight=".267602pt" strokecolor="#858585">
              <v:path arrowok="t"/>
              <v:stroke dashstyle="solid"/>
            </v:shape>
            <v:shape style="position:absolute;left:6503;top:-2951;width:4423;height:1763" coordorigin="6503,-2951" coordsize="4423,1763" path="m6503,-2757l6583,-2794,6661,-2617,6740,-2609,6820,-2579,6898,-2395,6977,-2364,7056,-2377,7135,-2519,7214,-2628,7293,-2642,7372,-2726,7451,-2736,7530,-2757,7609,-2672,7688,-2474,7767,-2282,7846,-1941,7925,-1694,8004,-1216,8082,-1189,8162,-1662,8241,-2083,8319,-2326,8399,-2481,8478,-2490,8556,-2363,8636,-2326,8715,-2372,8793,-2421,8872,-2210,8952,-2002,9030,-2227,9109,-2243,9189,-2131,9268,-2228,9346,-2331,9425,-2460,9505,-2785,9583,-2896,9662,-2937,9742,-2951,9820,-2863,9899,-2782,9979,-2747,10057,-2734,10136,-2699,10215,-2626,10294,-2510,10373,-2396,10452,-2238,10531,-2410,10610,-2468,10689,-2510,10768,-2400,10847,-2436,10926,-2471e" filled="false" stroked="true" strokeweight="1.013025pt" strokecolor="#0000ff">
              <v:path arrowok="t"/>
              <v:stroke dashstyle="solid"/>
            </v:shape>
            <v:shape style="position:absolute;left:6503;top:-3158;width:4344;height:2244" coordorigin="6503,-3158" coordsize="4344,2244" path="m6503,-2730l6583,-2580,6661,-2410,6740,-2337,6820,-2428,6898,-2587,6977,-2863,7056,-3158,7135,-2942,7214,-2729,7293,-2454,7372,-2187,7451,-2381,7530,-2446,7609,-2554,7688,-2615,7767,-2525,7846,-2310,7925,-1909,8004,-1325,8082,-914,8162,-950,8241,-1252,8319,-1710,8399,-2167,8478,-2433,8556,-2520,8636,-2586,8715,-2560,8793,-2381,8872,-2294,8952,-2185,9030,-2248,9109,-2205,9189,-2396,9268,-2396,9346,-2310,9425,-2373,9505,-2265,9583,-2390,9662,-2534,9742,-2720,9820,-2777,9899,-2875,9979,-2704,10057,-2576,10136,-2433,10215,-2350,10294,-2329,10373,-2308,10452,-2365,10531,-2422,10610,-2441,10689,-2419,10768,-2399,10847,-2320e" filled="false" stroked="true" strokeweight="1.006568pt" strokecolor="#ff00ff">
              <v:path arrowok="t"/>
              <v:stroke dashstyle="solid"/>
            </v:shape>
            <v:line style="position:absolute" from="7465,-3422" to="7601,-3422" stroked="true" strokeweight="1.025033pt" strokecolor="#0000ff">
              <v:stroke dashstyle="solid"/>
            </v:line>
            <v:line style="position:absolute" from="7465,-3038" to="7601,-3038" stroked="true" strokeweight="1.025033pt" strokecolor="#ff00ff">
              <v:stroke dashstyle="solid"/>
            </v:line>
            <v:shape style="position:absolute;left:8585;top:-2220;width:58;height:762" coordorigin="8585,-2219" coordsize="58,762" path="m8614,-2204l8611,-2198,8611,-1458,8618,-1458,8618,-2198,8614,-2204xm8614,-2219l8586,-2167,8585,-2165,8586,-2163,8588,-2162,8589,-2161,8591,-2162,8592,-2163,8611,-2198,8611,-2212,8618,-2212,8614,-2219xm8618,-2212l8618,-2212,8618,-2198,8636,-2163,8637,-2162,8639,-2161,8641,-2162,8642,-2163,8643,-2165,8642,-2167,8618,-2212xm8618,-2212l8611,-2212,8611,-2198,8614,-2204,8611,-2210,8618,-2210,8618,-2212xm8618,-2210l8617,-2210,8614,-2204,8618,-2198,8618,-2210xm8617,-2210l8611,-2210,8614,-2204,8617,-2210xe" filled="true" fillcolor="#000000" stroked="false">
              <v:path arrowok="t"/>
              <v:fill type="solid"/>
            </v:shape>
            <w10:wrap type="none"/>
          </v:group>
        </w:pict>
      </w:r>
      <w:r>
        <w:rPr>
          <w:sz w:val="16"/>
        </w:rPr>
        <w:t>Note: The left chart shows the average (and range of) changes in retail sales volumes and monthly GDP in months with average snow depth of at least 1cm. These months are February 2009, January 2010, December 2010, January 2013, and March 2013. Snow depth also exceeded that mark in Dec-09, but we have excluded that month because it was followed by even deeper snow in January 2010. Sources: ONS, European Commission, British Chambers of Commerce, Markit, Lloyds Business Bulletin, ICAEW and BoE</w:t>
      </w:r>
    </w:p>
    <w:p>
      <w:pPr>
        <w:spacing w:after="0" w:line="444" w:lineRule="auto"/>
        <w:jc w:val="left"/>
        <w:rPr>
          <w:sz w:val="16"/>
        </w:rPr>
        <w:sectPr>
          <w:pgSz w:w="11910" w:h="16840"/>
          <w:pgMar w:header="0" w:footer="1338" w:top="158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065"/>
        <w:gridCol w:w="117"/>
        <w:gridCol w:w="109"/>
        <w:gridCol w:w="5064"/>
        <w:gridCol w:w="113"/>
      </w:tblGrid>
      <w:tr>
        <w:trPr>
          <w:trHeight w:val="676" w:hRule="atLeast"/>
        </w:trPr>
        <w:tc>
          <w:tcPr>
            <w:tcW w:w="5293" w:type="dxa"/>
            <w:gridSpan w:val="3"/>
            <w:tcBorders>
              <w:bottom w:val="single" w:sz="8" w:space="0" w:color="000000"/>
            </w:tcBorders>
          </w:tcPr>
          <w:p>
            <w:pPr>
              <w:pStyle w:val="TableParagraph"/>
              <w:spacing w:line="338" w:lineRule="exact" w:before="25"/>
              <w:ind w:left="107" w:right="49"/>
              <w:rPr>
                <w:sz w:val="20"/>
              </w:rPr>
            </w:pPr>
            <w:r>
              <w:rPr>
                <w:sz w:val="20"/>
              </w:rPr>
              <w:t>Figure 8. UK – Spreads on Fixed Mortgage Rates, 1995- 18</w:t>
            </w:r>
          </w:p>
        </w:tc>
        <w:tc>
          <w:tcPr>
            <w:tcW w:w="5286" w:type="dxa"/>
            <w:gridSpan w:val="3"/>
            <w:tcBorders>
              <w:bottom w:val="single" w:sz="8" w:space="0" w:color="000000"/>
            </w:tcBorders>
          </w:tcPr>
          <w:p>
            <w:pPr>
              <w:pStyle w:val="TableParagraph"/>
              <w:spacing w:line="338" w:lineRule="exact" w:before="25"/>
              <w:ind w:left="108"/>
              <w:rPr>
                <w:sz w:val="20"/>
              </w:rPr>
            </w:pPr>
            <w:r>
              <w:rPr>
                <w:sz w:val="20"/>
              </w:rPr>
              <w:t>Figure 9. UK – Surveys of Firms’ Hiring Intentions, and YoY Employment Growth, 1999-2018</w:t>
            </w:r>
          </w:p>
        </w:tc>
      </w:tr>
      <w:tr>
        <w:trPr>
          <w:trHeight w:val="3690" w:hRule="atLeast"/>
        </w:trPr>
        <w:tc>
          <w:tcPr>
            <w:tcW w:w="111" w:type="dxa"/>
            <w:tcBorders>
              <w:right w:val="single" w:sz="4" w:space="0" w:color="858585"/>
            </w:tcBorders>
          </w:tcPr>
          <w:p>
            <w:pPr>
              <w:pStyle w:val="TableParagraph"/>
              <w:rPr>
                <w:rFonts w:ascii="Times New Roman"/>
                <w:sz w:val="16"/>
              </w:rPr>
            </w:pPr>
          </w:p>
        </w:tc>
        <w:tc>
          <w:tcPr>
            <w:tcW w:w="5065" w:type="dxa"/>
            <w:tcBorders>
              <w:top w:val="single" w:sz="8" w:space="0" w:color="000000"/>
              <w:left w:val="single" w:sz="4" w:space="0" w:color="858585"/>
              <w:right w:val="single" w:sz="4" w:space="0" w:color="858585"/>
            </w:tcBorders>
          </w:tcPr>
          <w:p>
            <w:pPr>
              <w:pStyle w:val="TableParagraph"/>
              <w:spacing w:before="7"/>
              <w:ind w:left="74"/>
              <w:rPr>
                <w:rFonts w:ascii="Calibri"/>
                <w:b/>
                <w:sz w:val="18"/>
              </w:rPr>
            </w:pPr>
            <w:r>
              <w:rPr>
                <w:rFonts w:ascii="Calibri"/>
                <w:b/>
                <w:w w:val="92"/>
                <w:sz w:val="18"/>
              </w:rPr>
              <w:t>6</w:t>
            </w:r>
          </w:p>
          <w:p>
            <w:pPr>
              <w:pStyle w:val="TableParagraph"/>
              <w:spacing w:line="218" w:lineRule="exact" w:before="5"/>
              <w:ind w:left="528"/>
              <w:rPr>
                <w:rFonts w:ascii="Calibri"/>
                <w:b/>
                <w:sz w:val="18"/>
              </w:rPr>
            </w:pPr>
            <w:r>
              <w:rPr>
                <w:rFonts w:ascii="Calibri"/>
                <w:b/>
                <w:w w:val="92"/>
                <w:sz w:val="18"/>
              </w:rPr>
              <w:t>%</w:t>
            </w:r>
          </w:p>
          <w:p>
            <w:pPr>
              <w:pStyle w:val="TableParagraph"/>
              <w:tabs>
                <w:tab w:pos="508" w:val="left" w:leader="none"/>
              </w:tabs>
              <w:spacing w:line="258" w:lineRule="exact"/>
              <w:ind w:left="74"/>
              <w:rPr>
                <w:rFonts w:ascii="Calibri"/>
                <w:b/>
                <w:sz w:val="18"/>
              </w:rPr>
            </w:pPr>
            <w:r>
              <w:rPr>
                <w:rFonts w:ascii="Calibri"/>
                <w:b/>
                <w:position w:val="4"/>
                <w:sz w:val="18"/>
              </w:rPr>
              <w:t>5</w:t>
              <w:tab/>
            </w:r>
            <w:r>
              <w:rPr>
                <w:rFonts w:ascii="Calibri"/>
                <w:b/>
                <w:sz w:val="18"/>
              </w:rPr>
              <w:t>2</w:t>
            </w:r>
            <w:r>
              <w:rPr>
                <w:rFonts w:ascii="Calibri"/>
                <w:b/>
                <w:spacing w:val="-7"/>
                <w:sz w:val="18"/>
              </w:rPr>
              <w:t> </w:t>
            </w:r>
            <w:r>
              <w:rPr>
                <w:rFonts w:ascii="Calibri"/>
                <w:b/>
                <w:sz w:val="18"/>
              </w:rPr>
              <w:t>Year</w:t>
            </w:r>
            <w:r>
              <w:rPr>
                <w:rFonts w:ascii="Calibri"/>
                <w:b/>
                <w:spacing w:val="-7"/>
                <w:sz w:val="18"/>
              </w:rPr>
              <w:t> </w:t>
            </w:r>
            <w:r>
              <w:rPr>
                <w:rFonts w:ascii="Calibri"/>
                <w:b/>
                <w:sz w:val="18"/>
              </w:rPr>
              <w:t>Fixed</w:t>
            </w:r>
            <w:r>
              <w:rPr>
                <w:rFonts w:ascii="Calibri"/>
                <w:b/>
                <w:spacing w:val="-6"/>
                <w:sz w:val="18"/>
              </w:rPr>
              <w:t> </w:t>
            </w:r>
            <w:r>
              <w:rPr>
                <w:rFonts w:ascii="Calibri"/>
                <w:b/>
                <w:sz w:val="18"/>
              </w:rPr>
              <w:t>Mortgage</w:t>
            </w:r>
            <w:r>
              <w:rPr>
                <w:rFonts w:ascii="Calibri"/>
                <w:b/>
                <w:spacing w:val="-7"/>
                <w:sz w:val="18"/>
              </w:rPr>
              <w:t> </w:t>
            </w:r>
            <w:r>
              <w:rPr>
                <w:rFonts w:ascii="Calibri"/>
                <w:b/>
                <w:sz w:val="18"/>
              </w:rPr>
              <w:t>(75%</w:t>
            </w:r>
            <w:r>
              <w:rPr>
                <w:rFonts w:ascii="Calibri"/>
                <w:b/>
                <w:spacing w:val="-7"/>
                <w:sz w:val="18"/>
              </w:rPr>
              <w:t> </w:t>
            </w:r>
            <w:r>
              <w:rPr>
                <w:rFonts w:ascii="Calibri"/>
                <w:b/>
                <w:sz w:val="18"/>
              </w:rPr>
              <w:t>LTV)</w:t>
            </w:r>
          </w:p>
          <w:p>
            <w:pPr>
              <w:pStyle w:val="TableParagraph"/>
              <w:tabs>
                <w:tab w:pos="508" w:val="left" w:leader="none"/>
              </w:tabs>
              <w:spacing w:before="175"/>
              <w:ind w:left="74"/>
              <w:rPr>
                <w:rFonts w:ascii="Calibri"/>
                <w:b/>
                <w:sz w:val="18"/>
              </w:rPr>
            </w:pPr>
            <w:r>
              <w:rPr>
                <w:rFonts w:ascii="Calibri"/>
                <w:b/>
                <w:position w:val="7"/>
                <w:sz w:val="18"/>
              </w:rPr>
              <w:t>4</w:t>
              <w:tab/>
            </w:r>
            <w:r>
              <w:rPr>
                <w:rFonts w:ascii="Calibri"/>
                <w:b/>
                <w:sz w:val="18"/>
              </w:rPr>
              <w:t>2</w:t>
            </w:r>
            <w:r>
              <w:rPr>
                <w:rFonts w:ascii="Calibri"/>
                <w:b/>
                <w:spacing w:val="-8"/>
                <w:sz w:val="18"/>
              </w:rPr>
              <w:t> </w:t>
            </w:r>
            <w:r>
              <w:rPr>
                <w:rFonts w:ascii="Calibri"/>
                <w:b/>
                <w:sz w:val="18"/>
              </w:rPr>
              <w:t>Year</w:t>
            </w:r>
            <w:r>
              <w:rPr>
                <w:rFonts w:ascii="Calibri"/>
                <w:b/>
                <w:spacing w:val="-7"/>
                <w:sz w:val="18"/>
              </w:rPr>
              <w:t> </w:t>
            </w:r>
            <w:r>
              <w:rPr>
                <w:rFonts w:ascii="Calibri"/>
                <w:b/>
                <w:sz w:val="18"/>
              </w:rPr>
              <w:t>Fixed</w:t>
            </w:r>
            <w:r>
              <w:rPr>
                <w:rFonts w:ascii="Calibri"/>
                <w:b/>
                <w:spacing w:val="-7"/>
                <w:sz w:val="18"/>
              </w:rPr>
              <w:t> </w:t>
            </w:r>
            <w:r>
              <w:rPr>
                <w:rFonts w:ascii="Calibri"/>
                <w:b/>
                <w:sz w:val="18"/>
              </w:rPr>
              <w:t>Mortgage</w:t>
            </w:r>
            <w:r>
              <w:rPr>
                <w:rFonts w:ascii="Calibri"/>
                <w:b/>
                <w:spacing w:val="-7"/>
                <w:sz w:val="18"/>
              </w:rPr>
              <w:t> </w:t>
            </w:r>
            <w:r>
              <w:rPr>
                <w:rFonts w:ascii="Calibri"/>
                <w:b/>
                <w:sz w:val="18"/>
              </w:rPr>
              <w:t>(90/95%</w:t>
            </w:r>
            <w:r>
              <w:rPr>
                <w:rFonts w:ascii="Calibri"/>
                <w:b/>
                <w:spacing w:val="-8"/>
                <w:sz w:val="18"/>
              </w:rPr>
              <w:t> </w:t>
            </w:r>
            <w:r>
              <w:rPr>
                <w:rFonts w:ascii="Calibri"/>
                <w:b/>
                <w:sz w:val="18"/>
              </w:rPr>
              <w:t>LTV)</w:t>
            </w:r>
          </w:p>
          <w:p>
            <w:pPr>
              <w:pStyle w:val="TableParagraph"/>
              <w:tabs>
                <w:tab w:pos="508" w:val="left" w:leader="none"/>
              </w:tabs>
              <w:spacing w:line="379" w:lineRule="auto" w:before="155"/>
              <w:ind w:left="74" w:right="2279"/>
              <w:rPr>
                <w:rFonts w:ascii="Calibri"/>
                <w:b/>
                <w:sz w:val="18"/>
              </w:rPr>
            </w:pPr>
            <w:r>
              <w:rPr>
                <w:rFonts w:ascii="Calibri"/>
                <w:b/>
                <w:position w:val="9"/>
                <w:sz w:val="18"/>
              </w:rPr>
              <w:t>3</w:t>
              <w:tab/>
            </w:r>
            <w:r>
              <w:rPr>
                <w:rFonts w:ascii="Calibri"/>
                <w:b/>
                <w:w w:val="95"/>
                <w:sz w:val="18"/>
              </w:rPr>
              <w:t>5</w:t>
            </w:r>
            <w:r>
              <w:rPr>
                <w:rFonts w:ascii="Calibri"/>
                <w:b/>
                <w:spacing w:val="-15"/>
                <w:w w:val="95"/>
                <w:sz w:val="18"/>
              </w:rPr>
              <w:t> </w:t>
            </w:r>
            <w:r>
              <w:rPr>
                <w:rFonts w:ascii="Calibri"/>
                <w:b/>
                <w:w w:val="95"/>
                <w:sz w:val="18"/>
              </w:rPr>
              <w:t>Year</w:t>
            </w:r>
            <w:r>
              <w:rPr>
                <w:rFonts w:ascii="Calibri"/>
                <w:b/>
                <w:spacing w:val="-14"/>
                <w:w w:val="95"/>
                <w:sz w:val="18"/>
              </w:rPr>
              <w:t> </w:t>
            </w:r>
            <w:r>
              <w:rPr>
                <w:rFonts w:ascii="Calibri"/>
                <w:b/>
                <w:w w:val="95"/>
                <w:sz w:val="18"/>
              </w:rPr>
              <w:t>Fixed</w:t>
            </w:r>
            <w:r>
              <w:rPr>
                <w:rFonts w:ascii="Calibri"/>
                <w:b/>
                <w:spacing w:val="-15"/>
                <w:w w:val="95"/>
                <w:sz w:val="18"/>
              </w:rPr>
              <w:t> </w:t>
            </w:r>
            <w:r>
              <w:rPr>
                <w:rFonts w:ascii="Calibri"/>
                <w:b/>
                <w:w w:val="95"/>
                <w:sz w:val="18"/>
              </w:rPr>
              <w:t>Mortgage</w:t>
            </w:r>
            <w:r>
              <w:rPr>
                <w:rFonts w:ascii="Calibri"/>
                <w:b/>
                <w:spacing w:val="-14"/>
                <w:w w:val="95"/>
                <w:sz w:val="18"/>
              </w:rPr>
              <w:t> </w:t>
            </w:r>
            <w:r>
              <w:rPr>
                <w:rFonts w:ascii="Calibri"/>
                <w:b/>
                <w:w w:val="95"/>
                <w:sz w:val="18"/>
              </w:rPr>
              <w:t>(75%</w:t>
            </w:r>
            <w:r>
              <w:rPr>
                <w:rFonts w:ascii="Calibri"/>
                <w:b/>
                <w:spacing w:val="-15"/>
                <w:w w:val="95"/>
                <w:sz w:val="18"/>
              </w:rPr>
              <w:t> </w:t>
            </w:r>
            <w:r>
              <w:rPr>
                <w:rFonts w:ascii="Calibri"/>
                <w:b/>
                <w:w w:val="95"/>
                <w:sz w:val="18"/>
              </w:rPr>
              <w:t>LTV) </w:t>
            </w:r>
            <w:r>
              <w:rPr>
                <w:rFonts w:ascii="Calibri"/>
                <w:b/>
                <w:sz w:val="18"/>
              </w:rPr>
              <w:t>2</w:t>
            </w:r>
          </w:p>
          <w:p>
            <w:pPr>
              <w:pStyle w:val="TableParagraph"/>
              <w:spacing w:before="94"/>
              <w:ind w:left="74"/>
              <w:rPr>
                <w:rFonts w:ascii="Calibri"/>
                <w:b/>
                <w:sz w:val="18"/>
              </w:rPr>
            </w:pPr>
            <w:r>
              <w:rPr>
                <w:rFonts w:ascii="Calibri"/>
                <w:b/>
                <w:w w:val="92"/>
                <w:sz w:val="18"/>
              </w:rPr>
              <w:t>1</w:t>
            </w:r>
          </w:p>
          <w:p>
            <w:pPr>
              <w:pStyle w:val="TableParagraph"/>
              <w:spacing w:before="1"/>
              <w:rPr>
                <w:sz w:val="19"/>
              </w:rPr>
            </w:pPr>
          </w:p>
          <w:p>
            <w:pPr>
              <w:pStyle w:val="TableParagraph"/>
              <w:ind w:left="74"/>
              <w:rPr>
                <w:rFonts w:ascii="Calibri"/>
                <w:b/>
                <w:sz w:val="18"/>
              </w:rPr>
            </w:pPr>
            <w:r>
              <w:rPr>
                <w:rFonts w:ascii="Calibri"/>
                <w:b/>
                <w:w w:val="92"/>
                <w:sz w:val="18"/>
              </w:rPr>
              <w:t>0</w:t>
            </w:r>
          </w:p>
          <w:p>
            <w:pPr>
              <w:pStyle w:val="TableParagraph"/>
              <w:spacing w:before="2"/>
              <w:rPr>
                <w:sz w:val="19"/>
              </w:rPr>
            </w:pPr>
          </w:p>
          <w:p>
            <w:pPr>
              <w:pStyle w:val="TableParagraph"/>
              <w:ind w:left="24"/>
              <w:rPr>
                <w:rFonts w:ascii="Calibri"/>
                <w:b/>
                <w:sz w:val="18"/>
              </w:rPr>
            </w:pPr>
            <w:r>
              <w:rPr>
                <w:rFonts w:ascii="Calibri"/>
                <w:b/>
                <w:sz w:val="18"/>
              </w:rPr>
              <w:t>-1</w:t>
            </w:r>
          </w:p>
          <w:p>
            <w:pPr>
              <w:pStyle w:val="TableParagraph"/>
              <w:tabs>
                <w:tab w:pos="737" w:val="left" w:leader="none"/>
                <w:tab w:pos="1322" w:val="left" w:leader="none"/>
                <w:tab w:pos="1908" w:val="left" w:leader="none"/>
                <w:tab w:pos="2493" w:val="left" w:leader="none"/>
                <w:tab w:pos="3078" w:val="left" w:leader="none"/>
                <w:tab w:pos="3663" w:val="left" w:leader="none"/>
                <w:tab w:pos="4248" w:val="left" w:leader="none"/>
              </w:tabs>
              <w:spacing w:before="20"/>
              <w:ind w:left="152"/>
              <w:rPr>
                <w:rFonts w:ascii="Calibri"/>
                <w:b/>
                <w:sz w:val="18"/>
              </w:rPr>
            </w:pPr>
            <w:r>
              <w:rPr>
                <w:rFonts w:ascii="Calibri"/>
                <w:b/>
                <w:sz w:val="18"/>
              </w:rPr>
              <w:t>1995</w:t>
              <w:tab/>
              <w:t>1998</w:t>
              <w:tab/>
              <w:t>2001</w:t>
              <w:tab/>
              <w:t>2004</w:t>
              <w:tab/>
              <w:t>2007</w:t>
              <w:tab/>
              <w:t>2010</w:t>
              <w:tab/>
              <w:t>2013</w:t>
              <w:tab/>
              <w:t>2016</w:t>
            </w:r>
          </w:p>
        </w:tc>
        <w:tc>
          <w:tcPr>
            <w:tcW w:w="117" w:type="dxa"/>
            <w:tcBorders>
              <w:left w:val="single" w:sz="4" w:space="0" w:color="858585"/>
            </w:tcBorders>
          </w:tcPr>
          <w:p>
            <w:pPr>
              <w:pStyle w:val="TableParagraph"/>
              <w:rPr>
                <w:rFonts w:ascii="Times New Roman"/>
                <w:sz w:val="16"/>
              </w:rPr>
            </w:pPr>
          </w:p>
        </w:tc>
        <w:tc>
          <w:tcPr>
            <w:tcW w:w="109" w:type="dxa"/>
            <w:tcBorders>
              <w:right w:val="single" w:sz="4" w:space="0" w:color="858585"/>
            </w:tcBorders>
          </w:tcPr>
          <w:p>
            <w:pPr>
              <w:pStyle w:val="TableParagraph"/>
              <w:rPr>
                <w:rFonts w:ascii="Times New Roman"/>
                <w:sz w:val="16"/>
              </w:rPr>
            </w:pPr>
          </w:p>
        </w:tc>
        <w:tc>
          <w:tcPr>
            <w:tcW w:w="5064" w:type="dxa"/>
            <w:tcBorders>
              <w:top w:val="single" w:sz="8" w:space="0" w:color="000000"/>
              <w:left w:val="single" w:sz="4" w:space="0" w:color="858585"/>
              <w:right w:val="single" w:sz="4" w:space="0" w:color="858585"/>
            </w:tcBorders>
          </w:tcPr>
          <w:p>
            <w:pPr>
              <w:pStyle w:val="TableParagraph"/>
              <w:tabs>
                <w:tab w:pos="4793" w:val="left" w:leader="none"/>
              </w:tabs>
              <w:spacing w:line="174" w:lineRule="exact"/>
              <w:ind w:left="62"/>
              <w:rPr>
                <w:rFonts w:ascii="Calibri"/>
                <w:b/>
                <w:sz w:val="18"/>
              </w:rPr>
            </w:pPr>
            <w:r>
              <w:rPr>
                <w:rFonts w:ascii="Calibri"/>
                <w:b/>
                <w:sz w:val="18"/>
              </w:rPr>
              <w:t>2.0</w:t>
              <w:tab/>
              <w:t>3</w:t>
            </w:r>
          </w:p>
          <w:p>
            <w:pPr>
              <w:pStyle w:val="TableParagraph"/>
              <w:tabs>
                <w:tab w:pos="788" w:val="left" w:leader="none"/>
                <w:tab w:pos="5005" w:val="right" w:leader="none"/>
              </w:tabs>
              <w:spacing w:line="184" w:lineRule="auto"/>
              <w:ind w:left="62"/>
              <w:rPr>
                <w:rFonts w:ascii="Calibri"/>
                <w:b/>
                <w:sz w:val="18"/>
              </w:rPr>
            </w:pPr>
            <w:r>
              <w:rPr>
                <w:rFonts w:ascii="Calibri"/>
                <w:b/>
                <w:position w:val="-11"/>
                <w:sz w:val="18"/>
              </w:rPr>
              <w:t>1.5</w:t>
              <w:tab/>
            </w:r>
            <w:r>
              <w:rPr>
                <w:rFonts w:ascii="Calibri"/>
                <w:b/>
                <w:sz w:val="18"/>
              </w:rPr>
              <w:t>Average</w:t>
            </w:r>
            <w:r>
              <w:rPr>
                <w:rFonts w:ascii="Calibri"/>
                <w:b/>
                <w:spacing w:val="-19"/>
                <w:sz w:val="18"/>
              </w:rPr>
              <w:t> </w:t>
            </w:r>
            <w:r>
              <w:rPr>
                <w:rFonts w:ascii="Calibri"/>
                <w:b/>
                <w:sz w:val="18"/>
              </w:rPr>
              <w:t>of</w:t>
            </w:r>
            <w:r>
              <w:rPr>
                <w:rFonts w:ascii="Calibri"/>
                <w:b/>
                <w:spacing w:val="-18"/>
                <w:sz w:val="18"/>
              </w:rPr>
              <w:t> </w:t>
            </w:r>
            <w:r>
              <w:rPr>
                <w:rFonts w:ascii="Calibri"/>
                <w:b/>
                <w:sz w:val="18"/>
              </w:rPr>
              <w:t>Surveys</w:t>
            </w:r>
            <w:r>
              <w:rPr>
                <w:rFonts w:ascii="Calibri"/>
                <w:b/>
                <w:spacing w:val="-18"/>
                <w:sz w:val="18"/>
              </w:rPr>
              <w:t> </w:t>
            </w:r>
            <w:r>
              <w:rPr>
                <w:rFonts w:ascii="Calibri"/>
                <w:b/>
                <w:sz w:val="18"/>
              </w:rPr>
              <w:t>of</w:t>
            </w:r>
            <w:r>
              <w:rPr>
                <w:rFonts w:ascii="Calibri"/>
                <w:b/>
                <w:spacing w:val="-19"/>
                <w:sz w:val="18"/>
              </w:rPr>
              <w:t> </w:t>
            </w:r>
            <w:r>
              <w:rPr>
                <w:rFonts w:ascii="Calibri"/>
                <w:b/>
                <w:sz w:val="18"/>
              </w:rPr>
              <w:t>Firms'</w:t>
            </w:r>
            <w:r>
              <w:rPr>
                <w:rFonts w:ascii="Calibri"/>
                <w:b/>
                <w:spacing w:val="-19"/>
                <w:sz w:val="18"/>
              </w:rPr>
              <w:t> </w:t>
            </w:r>
            <w:r>
              <w:rPr>
                <w:rFonts w:ascii="Calibri"/>
                <w:b/>
                <w:sz w:val="18"/>
              </w:rPr>
              <w:t>Hiring</w:t>
            </w:r>
            <w:r>
              <w:rPr>
                <w:rFonts w:ascii="Calibri"/>
                <w:b/>
                <w:spacing w:val="-18"/>
                <w:sz w:val="18"/>
              </w:rPr>
              <w:t> </w:t>
            </w:r>
            <w:r>
              <w:rPr>
                <w:rFonts w:ascii="Calibri"/>
                <w:b/>
                <w:sz w:val="18"/>
              </w:rPr>
              <w:t>Intentions</w:t>
            </w:r>
            <w:r>
              <w:rPr>
                <w:rFonts w:ascii="Calibri"/>
                <w:b/>
                <w:spacing w:val="-19"/>
                <w:sz w:val="18"/>
              </w:rPr>
              <w:t> </w:t>
            </w:r>
            <w:r>
              <w:rPr>
                <w:rFonts w:ascii="Calibri"/>
                <w:b/>
                <w:sz w:val="18"/>
              </w:rPr>
              <w:t>(left)</w:t>
              <w:tab/>
            </w:r>
            <w:r>
              <w:rPr>
                <w:rFonts w:ascii="Calibri"/>
                <w:b/>
                <w:position w:val="-11"/>
                <w:sz w:val="18"/>
              </w:rPr>
              <w:t>2.5</w:t>
            </w:r>
          </w:p>
          <w:p>
            <w:pPr>
              <w:pStyle w:val="TableParagraph"/>
              <w:tabs>
                <w:tab w:pos="3452" w:val="left" w:leader="none"/>
              </w:tabs>
              <w:spacing w:line="160" w:lineRule="exact"/>
              <w:ind w:left="48"/>
              <w:jc w:val="center"/>
              <w:rPr>
                <w:rFonts w:ascii="Calibri"/>
                <w:b/>
                <w:sz w:val="18"/>
              </w:rPr>
            </w:pPr>
            <w:r>
              <w:rPr>
                <w:rFonts w:ascii="Calibri"/>
                <w:b/>
                <w:w w:val="95"/>
                <w:sz w:val="18"/>
              </w:rPr>
              <w:t>Employment Growth</w:t>
            </w:r>
            <w:r>
              <w:rPr>
                <w:rFonts w:ascii="Calibri"/>
                <w:b/>
                <w:spacing w:val="-28"/>
                <w:w w:val="95"/>
                <w:sz w:val="18"/>
              </w:rPr>
              <w:t> </w:t>
            </w:r>
            <w:r>
              <w:rPr>
                <w:rFonts w:ascii="Calibri"/>
                <w:b/>
                <w:w w:val="95"/>
                <w:sz w:val="18"/>
              </w:rPr>
              <w:t>YoY</w:t>
            </w:r>
            <w:r>
              <w:rPr>
                <w:rFonts w:ascii="Calibri"/>
                <w:b/>
                <w:spacing w:val="-13"/>
                <w:w w:val="95"/>
                <w:sz w:val="18"/>
              </w:rPr>
              <w:t> </w:t>
            </w:r>
            <w:r>
              <w:rPr>
                <w:rFonts w:ascii="Calibri"/>
                <w:b/>
                <w:w w:val="95"/>
                <w:sz w:val="18"/>
              </w:rPr>
              <w:t>(right)</w:t>
              <w:tab/>
            </w:r>
            <w:r>
              <w:rPr>
                <w:rFonts w:ascii="Calibri"/>
                <w:b/>
                <w:position w:val="-3"/>
                <w:sz w:val="18"/>
              </w:rPr>
              <w:t>%</w:t>
            </w:r>
          </w:p>
          <w:p>
            <w:pPr>
              <w:pStyle w:val="TableParagraph"/>
              <w:tabs>
                <w:tab w:pos="4793" w:val="left" w:leader="none"/>
              </w:tabs>
              <w:spacing w:line="158" w:lineRule="exact"/>
              <w:ind w:left="62"/>
              <w:rPr>
                <w:rFonts w:ascii="Calibri"/>
                <w:b/>
                <w:sz w:val="18"/>
              </w:rPr>
            </w:pPr>
            <w:r>
              <w:rPr>
                <w:rFonts w:ascii="Calibri"/>
                <w:b/>
                <w:sz w:val="18"/>
              </w:rPr>
              <w:t>1.0</w:t>
              <w:tab/>
              <w:t>2</w:t>
            </w:r>
          </w:p>
          <w:p>
            <w:pPr>
              <w:pStyle w:val="TableParagraph"/>
              <w:tabs>
                <w:tab w:pos="4793" w:val="left" w:leader="none"/>
              </w:tabs>
              <w:spacing w:before="41"/>
              <w:ind w:left="62"/>
              <w:rPr>
                <w:rFonts w:ascii="Calibri"/>
                <w:b/>
                <w:sz w:val="18"/>
              </w:rPr>
            </w:pPr>
            <w:r>
              <w:rPr>
                <w:rFonts w:ascii="Calibri"/>
                <w:b/>
                <w:sz w:val="18"/>
              </w:rPr>
              <w:t>0.5</w:t>
              <w:tab/>
              <w:t>1.5</w:t>
            </w:r>
          </w:p>
          <w:p>
            <w:pPr>
              <w:pStyle w:val="TableParagraph"/>
              <w:tabs>
                <w:tab w:pos="4793" w:val="left" w:leader="none"/>
              </w:tabs>
              <w:spacing w:before="61"/>
              <w:ind w:left="62"/>
              <w:rPr>
                <w:rFonts w:ascii="Calibri"/>
                <w:b/>
                <w:sz w:val="18"/>
              </w:rPr>
            </w:pPr>
            <w:r>
              <w:rPr>
                <w:rFonts w:ascii="Calibri"/>
                <w:b/>
                <w:sz w:val="18"/>
              </w:rPr>
              <w:t>0.0</w:t>
              <w:tab/>
              <w:t>1</w:t>
            </w:r>
          </w:p>
          <w:p>
            <w:pPr>
              <w:pStyle w:val="TableParagraph"/>
              <w:tabs>
                <w:tab w:pos="4793" w:val="left" w:leader="none"/>
              </w:tabs>
              <w:spacing w:before="60"/>
              <w:ind w:left="11"/>
              <w:rPr>
                <w:rFonts w:ascii="Calibri"/>
                <w:b/>
                <w:sz w:val="18"/>
              </w:rPr>
            </w:pPr>
            <w:r>
              <w:rPr>
                <w:rFonts w:ascii="Calibri"/>
                <w:b/>
                <w:sz w:val="18"/>
              </w:rPr>
              <w:t>-0.5</w:t>
              <w:tab/>
              <w:t>0.5</w:t>
            </w:r>
          </w:p>
          <w:p>
            <w:pPr>
              <w:pStyle w:val="TableParagraph"/>
              <w:tabs>
                <w:tab w:pos="4793" w:val="left" w:leader="none"/>
              </w:tabs>
              <w:spacing w:line="210" w:lineRule="exact" w:before="60"/>
              <w:ind w:left="11"/>
              <w:rPr>
                <w:rFonts w:ascii="Calibri"/>
                <w:b/>
                <w:sz w:val="18"/>
              </w:rPr>
            </w:pPr>
            <w:r>
              <w:rPr>
                <w:rFonts w:ascii="Calibri"/>
                <w:b/>
                <w:sz w:val="18"/>
              </w:rPr>
              <w:t>-1.0</w:t>
              <w:tab/>
              <w:t>0</w:t>
            </w:r>
          </w:p>
          <w:p>
            <w:pPr>
              <w:pStyle w:val="TableParagraph"/>
              <w:tabs>
                <w:tab w:pos="3245" w:val="left" w:leader="none"/>
                <w:tab w:pos="4793" w:val="left" w:leader="none"/>
              </w:tabs>
              <w:spacing w:line="170" w:lineRule="auto" w:before="17"/>
              <w:ind w:left="11" w:right="-15"/>
              <w:jc w:val="center"/>
              <w:rPr>
                <w:rFonts w:ascii="Calibri"/>
                <w:b/>
                <w:sz w:val="18"/>
              </w:rPr>
            </w:pPr>
            <w:r>
              <w:rPr>
                <w:rFonts w:ascii="Calibri"/>
                <w:b/>
                <w:position w:val="-7"/>
                <w:sz w:val="18"/>
              </w:rPr>
              <w:t>-1.5</w:t>
              <w:tab/>
            </w:r>
            <w:r>
              <w:rPr>
                <w:rFonts w:ascii="Calibri"/>
                <w:b/>
                <w:sz w:val="18"/>
              </w:rPr>
              <w:t>Current</w:t>
            </w:r>
            <w:r>
              <w:rPr>
                <w:rFonts w:ascii="Calibri"/>
                <w:b/>
                <w:spacing w:val="-20"/>
                <w:sz w:val="18"/>
              </w:rPr>
              <w:t> </w:t>
            </w:r>
            <w:r>
              <w:rPr>
                <w:rFonts w:ascii="Calibri"/>
                <w:b/>
                <w:sz w:val="18"/>
              </w:rPr>
              <w:t>Pace</w:t>
            </w:r>
            <w:r>
              <w:rPr>
                <w:rFonts w:ascii="Calibri"/>
                <w:b/>
                <w:spacing w:val="-18"/>
                <w:sz w:val="18"/>
              </w:rPr>
              <w:t> </w:t>
            </w:r>
            <w:r>
              <w:rPr>
                <w:rFonts w:ascii="Calibri"/>
                <w:b/>
                <w:sz w:val="18"/>
              </w:rPr>
              <w:t>of</w:t>
              <w:tab/>
            </w:r>
            <w:r>
              <w:rPr>
                <w:rFonts w:ascii="Calibri"/>
                <w:b/>
                <w:w w:val="90"/>
                <w:position w:val="-7"/>
                <w:sz w:val="18"/>
              </w:rPr>
              <w:t>-0.5</w:t>
            </w:r>
          </w:p>
          <w:p>
            <w:pPr>
              <w:pStyle w:val="TableParagraph"/>
              <w:spacing w:line="140" w:lineRule="exact"/>
              <w:ind w:left="3245"/>
              <w:rPr>
                <w:rFonts w:ascii="Calibri"/>
                <w:b/>
                <w:sz w:val="18"/>
              </w:rPr>
            </w:pPr>
            <w:r>
              <w:rPr>
                <w:rFonts w:ascii="Calibri"/>
                <w:b/>
                <w:sz w:val="18"/>
              </w:rPr>
              <w:t>Workforce</w:t>
            </w:r>
          </w:p>
          <w:p>
            <w:pPr>
              <w:pStyle w:val="TableParagraph"/>
              <w:tabs>
                <w:tab w:pos="3245" w:val="left" w:leader="none"/>
                <w:tab w:pos="4793" w:val="left" w:leader="none"/>
              </w:tabs>
              <w:spacing w:line="250" w:lineRule="exact"/>
              <w:ind w:left="11"/>
              <w:rPr>
                <w:rFonts w:ascii="Calibri"/>
                <w:b/>
                <w:sz w:val="18"/>
              </w:rPr>
            </w:pPr>
            <w:r>
              <w:rPr>
                <w:rFonts w:ascii="Calibri"/>
                <w:b/>
                <w:position w:val="9"/>
                <w:sz w:val="18"/>
              </w:rPr>
              <w:t>-2.0</w:t>
              <w:tab/>
            </w:r>
            <w:r>
              <w:rPr>
                <w:rFonts w:ascii="Calibri"/>
                <w:b/>
                <w:sz w:val="18"/>
              </w:rPr>
              <w:t>Growth</w:t>
            </w:r>
            <w:r>
              <w:rPr>
                <w:rFonts w:ascii="Calibri"/>
                <w:b/>
                <w:spacing w:val="-20"/>
                <w:sz w:val="18"/>
              </w:rPr>
              <w:t> </w:t>
            </w:r>
            <w:r>
              <w:rPr>
                <w:rFonts w:ascii="Calibri"/>
                <w:b/>
                <w:sz w:val="18"/>
              </w:rPr>
              <w:t>(right</w:t>
              <w:tab/>
            </w:r>
            <w:r>
              <w:rPr>
                <w:rFonts w:ascii="Calibri"/>
                <w:b/>
                <w:position w:val="9"/>
                <w:sz w:val="18"/>
              </w:rPr>
              <w:t>-1</w:t>
            </w:r>
          </w:p>
          <w:p>
            <w:pPr>
              <w:pStyle w:val="TableParagraph"/>
              <w:tabs>
                <w:tab w:pos="3245" w:val="left" w:leader="none"/>
                <w:tab w:pos="4793" w:val="left" w:leader="none"/>
              </w:tabs>
              <w:spacing w:line="242" w:lineRule="exact"/>
              <w:ind w:left="11" w:right="-15"/>
              <w:rPr>
                <w:rFonts w:ascii="Calibri"/>
                <w:b/>
                <w:sz w:val="18"/>
              </w:rPr>
            </w:pPr>
            <w:r>
              <w:rPr>
                <w:rFonts w:ascii="Calibri"/>
                <w:b/>
                <w:position w:val="4"/>
                <w:sz w:val="18"/>
              </w:rPr>
              <w:t>-2.5</w:t>
              <w:tab/>
            </w:r>
            <w:r>
              <w:rPr>
                <w:rFonts w:ascii="Calibri"/>
                <w:b/>
                <w:sz w:val="18"/>
              </w:rPr>
              <w:t>axis)</w:t>
            </w:r>
            <w:r>
              <w:rPr>
                <w:rFonts w:ascii="Calibri"/>
                <w:b/>
                <w:spacing w:val="-18"/>
                <w:sz w:val="18"/>
              </w:rPr>
              <w:t> </w:t>
            </w:r>
            <w:r>
              <w:rPr>
                <w:rFonts w:ascii="Calibri"/>
                <w:b/>
                <w:sz w:val="18"/>
              </w:rPr>
              <w:t>=</w:t>
            </w:r>
            <w:r>
              <w:rPr>
                <w:rFonts w:ascii="Calibri"/>
                <w:b/>
                <w:spacing w:val="-17"/>
                <w:sz w:val="18"/>
              </w:rPr>
              <w:t> </w:t>
            </w:r>
            <w:r>
              <w:rPr>
                <w:rFonts w:ascii="Calibri"/>
                <w:b/>
                <w:sz w:val="18"/>
              </w:rPr>
              <w:t>0.9%</w:t>
            </w:r>
            <w:r>
              <w:rPr>
                <w:rFonts w:ascii="Calibri"/>
                <w:b/>
                <w:spacing w:val="-16"/>
                <w:sz w:val="18"/>
              </w:rPr>
              <w:t> </w:t>
            </w:r>
            <w:r>
              <w:rPr>
                <w:rFonts w:ascii="Calibri"/>
                <w:b/>
                <w:sz w:val="18"/>
              </w:rPr>
              <w:t>YoY</w:t>
              <w:tab/>
            </w:r>
            <w:r>
              <w:rPr>
                <w:rFonts w:ascii="Calibri"/>
                <w:b/>
                <w:w w:val="90"/>
                <w:position w:val="4"/>
                <w:sz w:val="18"/>
              </w:rPr>
              <w:t>-1.5</w:t>
            </w:r>
          </w:p>
          <w:p>
            <w:pPr>
              <w:pStyle w:val="TableParagraph"/>
              <w:tabs>
                <w:tab w:pos="561" w:val="left" w:leader="none"/>
                <w:tab w:pos="4793" w:val="left" w:leader="none"/>
              </w:tabs>
              <w:spacing w:line="228" w:lineRule="auto" w:before="28"/>
              <w:ind w:left="11"/>
              <w:rPr>
                <w:rFonts w:ascii="Calibri"/>
                <w:b/>
                <w:sz w:val="18"/>
              </w:rPr>
            </w:pPr>
            <w:r>
              <w:rPr>
                <w:rFonts w:ascii="Calibri"/>
                <w:b/>
                <w:sz w:val="18"/>
              </w:rPr>
              <w:t>-3.0</w:t>
              <w:tab/>
            </w:r>
            <w:r>
              <w:rPr>
                <w:rFonts w:ascii="Calibri"/>
                <w:b/>
                <w:position w:val="-6"/>
                <w:sz w:val="18"/>
              </w:rPr>
              <w:t>sd</w:t>
              <w:tab/>
            </w:r>
            <w:r>
              <w:rPr>
                <w:rFonts w:ascii="Calibri"/>
                <w:b/>
                <w:sz w:val="18"/>
              </w:rPr>
              <w:t>-2</w:t>
            </w:r>
          </w:p>
          <w:p>
            <w:pPr>
              <w:pStyle w:val="TableParagraph"/>
              <w:tabs>
                <w:tab w:pos="4793" w:val="left" w:leader="none"/>
              </w:tabs>
              <w:spacing w:line="215" w:lineRule="exact"/>
              <w:ind w:left="11" w:right="-15"/>
              <w:rPr>
                <w:rFonts w:ascii="Calibri"/>
                <w:b/>
                <w:sz w:val="18"/>
              </w:rPr>
            </w:pPr>
            <w:r>
              <w:rPr>
                <w:rFonts w:ascii="Calibri"/>
                <w:b/>
                <w:sz w:val="18"/>
              </w:rPr>
              <w:t>-3.5</w:t>
              <w:tab/>
            </w:r>
            <w:r>
              <w:rPr>
                <w:rFonts w:ascii="Calibri"/>
                <w:b/>
                <w:w w:val="90"/>
                <w:sz w:val="18"/>
              </w:rPr>
              <w:t>-2.5</w:t>
            </w:r>
          </w:p>
          <w:p>
            <w:pPr>
              <w:pStyle w:val="TableParagraph"/>
              <w:tabs>
                <w:tab w:pos="935" w:val="left" w:leader="none"/>
                <w:tab w:pos="1582" w:val="left" w:leader="none"/>
                <w:tab w:pos="2230" w:val="left" w:leader="none"/>
                <w:tab w:pos="2878" w:val="left" w:leader="none"/>
                <w:tab w:pos="3526" w:val="left" w:leader="none"/>
                <w:tab w:pos="4174" w:val="left" w:leader="none"/>
              </w:tabs>
              <w:spacing w:before="20"/>
              <w:ind w:left="287"/>
              <w:rPr>
                <w:rFonts w:ascii="Calibri"/>
                <w:b/>
                <w:sz w:val="18"/>
              </w:rPr>
            </w:pPr>
            <w:r>
              <w:rPr>
                <w:rFonts w:ascii="Calibri"/>
                <w:b/>
                <w:sz w:val="18"/>
              </w:rPr>
              <w:t>1999</w:t>
              <w:tab/>
              <w:t>2002</w:t>
              <w:tab/>
              <w:t>2005</w:t>
              <w:tab/>
              <w:t>2008</w:t>
              <w:tab/>
              <w:t>2011</w:t>
              <w:tab/>
              <w:t>2014</w:t>
              <w:tab/>
              <w:t>2017</w:t>
            </w:r>
          </w:p>
        </w:tc>
        <w:tc>
          <w:tcPr>
            <w:tcW w:w="113" w:type="dxa"/>
            <w:tcBorders>
              <w:left w:val="single" w:sz="4" w:space="0" w:color="858585"/>
            </w:tcBorders>
          </w:tcPr>
          <w:p>
            <w:pPr>
              <w:pStyle w:val="TableParagraph"/>
              <w:rPr>
                <w:rFonts w:ascii="Times New Roman"/>
                <w:sz w:val="16"/>
              </w:rPr>
            </w:pPr>
          </w:p>
        </w:tc>
      </w:tr>
    </w:tbl>
    <w:p>
      <w:pPr>
        <w:pStyle w:val="BodyText"/>
        <w:spacing w:before="9"/>
        <w:rPr>
          <w:sz w:val="6"/>
        </w:rPr>
      </w:pPr>
    </w:p>
    <w:p>
      <w:pPr>
        <w:spacing w:line="444" w:lineRule="auto" w:before="96"/>
        <w:ind w:left="673" w:right="1125" w:firstLine="0"/>
        <w:jc w:val="left"/>
        <w:rPr>
          <w:sz w:val="16"/>
        </w:rPr>
      </w:pPr>
      <w:r>
        <w:rPr/>
        <w:pict>
          <v:group style="position:absolute;margin-left:46.895618pt;margin-top:-181.659744pt;width:230.3pt;height:154.2pt;mso-position-horizontal-relative:page;mso-position-vertical-relative:paragraph;z-index:-253443072" coordorigin="938,-3633" coordsize="4606,3084">
            <v:rect style="position:absolute;left:990;top:-3631;width:4551;height:3078" filled="false" stroked="true" strokeweight=".267489pt" strokecolor="#000000">
              <v:stroke dashstyle="solid"/>
            </v:rect>
            <v:shape style="position:absolute;left:760;top:1557;width:152;height:8028" coordorigin="761,1558" coordsize="152,8028" path="m990,-553l990,-3630m938,-553l990,-553m938,-992l990,-992m938,-1432l990,-1432m938,-1871l990,-1871m938,-2311l990,-2311m938,-2751l990,-2751m938,-3191l990,-3191m938,-3630l990,-3630e" filled="false" stroked="true" strokeweight=".262422pt" strokecolor="#858585">
              <v:path arrowok="t"/>
              <v:stroke dashstyle="solid"/>
            </v:shape>
            <v:shape style="position:absolute;left:987;top:-3253;width:4554;height:2495" type="#_x0000_t75" stroked="false">
              <v:imagedata r:id="rId58" o:title=""/>
            </v:shape>
            <w10:wrap type="none"/>
          </v:group>
        </w:pict>
      </w:r>
      <w:r>
        <w:rPr/>
        <w:pict>
          <v:group style="position:absolute;margin-left:317.218323pt;margin-top:-182.809875pt;width:215.8pt;height:154.2pt;mso-position-horizontal-relative:page;mso-position-vertical-relative:paragraph;z-index:-253442048" coordorigin="6344,-3656" coordsize="4316,3084">
            <v:rect style="position:absolute;left:6396;top:-3654;width:4211;height:3078" filled="false" stroked="true" strokeweight=".266553pt" strokecolor="#000000">
              <v:stroke dashstyle="solid"/>
            </v:rect>
            <v:shape style="position:absolute;left:1092;top:1497;width:12488;height:8028" coordorigin="1092,1498" coordsize="12488,8028" path="m10607,-576l10607,-3653m10607,-576l10660,-576m10607,-855l10660,-855m10607,-1135l10660,-1135m10607,-1415l10660,-1415m10607,-1695l10660,-1695m10607,-1974l10660,-1974m10607,-2255l10660,-2255m10607,-2535l10660,-2535m10607,-2814l10660,-2814m10607,-3094l10660,-3094m10607,-3374l10660,-3374m10607,-3653l10660,-3653m6397,-576l6397,-3653m6344,-576l6397,-576m6344,-855l6397,-855m6344,-1135l6397,-1135m6344,-1415l6397,-1415m6344,-1695l6397,-1695m6344,-1974l6397,-1974m6344,-2255l6397,-2255m6344,-2535l6397,-2535m6344,-2814l6397,-2814m6344,-3094l6397,-3094m6344,-3374l6397,-3374m6344,-3653l6397,-3653m6397,-2535l10607,-2535e" filled="false" stroked="true" strokeweight=".262422pt" strokecolor="#858585">
              <v:path arrowok="t"/>
              <v:stroke dashstyle="solid"/>
            </v:shape>
            <v:shape style="position:absolute;left:6423;top:-3194;width:4103;height:2512" coordorigin="6424,-3193" coordsize="4103,2512" path="m6424,-2376l6478,-2609,6532,-2671,6586,-2954,6640,-2858,6694,-2992,6747,-3193,6802,-3070,6856,-2787,6910,-2588,6964,-2414,7018,-2231,7072,-2202,7126,-2554,7180,-2472,7233,-2467,7287,-2311,7341,-2267,7395,-2429,7450,-2676,7504,-2800,7558,-2856,7612,-2939,7666,-2882,7719,-2797,7773,-2778,7827,-2544,7935,-2595,7989,-2689,8043,-2805,8097,-2983,8152,-3083,8205,-3028,8259,-2994,8313,-2853,8367,-2565,8421,-2225,8475,-1810,8529,-1101,8583,-682,8637,-1103,8691,-1511,8745,-2034,8799,-2163,8853,-2351,8907,-2319,8961,-2266,9015,-2456,9069,-2377,9123,-2266,9177,-2086,9231,-2140,9285,-2253,9338,-2185,9392,-2341,9446,-2438,9501,-2430,9555,-2704,9609,-2926,9663,-3009,9717,-3090,9771,-3104,9824,-3044,9878,-3011,9932,-2958,9986,-2801,10040,-2811,10094,-2732,10149,-2641,10203,-2506,10257,-2561,10310,-2609,10364,-2662,10418,-2778,10472,-2664,10526,-2697e" filled="false" stroked="true" strokeweight=".984898pt" strokecolor="#0000ff">
              <v:path arrowok="t"/>
              <v:stroke dashstyle="solid"/>
            </v:shape>
            <v:shape style="position:absolute;left:6423;top:-3389;width:4103;height:2692" coordorigin="6424,-3388" coordsize="4103,2692" path="m6424,-2676l6478,-2696,6532,-2670,6586,-2611,6640,-2728,6694,-2827,6747,-2625,6802,-2651,6856,-2500,6910,-2322,6964,-2396,7018,-2242,7072,-2365,7126,-2397,7180,-2556,7233,-2604,7287,-2549,7341,-2632,7395,-2498,7450,-2608,7504,-2585,7558,-2427,7612,-2487,7666,-2619,7719,-2584,7773,-2743,7827,-2698,7881,-2380,7935,-2609,7989,-2527,8043,-2509,8097,-2493,8152,-2258,8205,-2382,8259,-2513,8313,-2765,8367,-2882,8421,-2630,8475,-2098,8529,-1833,8583,-1157,8637,-697,8691,-1120,8745,-1062,8799,-1546,8853,-2567,8907,-2406,8961,-2618,9015,-2722,9069,-2013,9123,-1954,9177,-1899,9231,-2087,9285,-2738,9338,-2831,9392,-3005,9446,-2711,9501,-2447,9555,-2870,9609,-2799,9663,-3388,9717,-3296,9771,-3124,9824,-3224,9878,-2866,9932,-2862,9986,-3019,10040,-2929,10094,-2797,10149,-2990,10203,-2577,10257,-2523,10310,-2632,10364,-2642,10418,-2547,10472,-2681,10526,-2725e" filled="false" stroked="true" strokeweight=".982083pt" strokecolor="#ff00ff">
              <v:path arrowok="t"/>
              <v:stroke dashstyle="solid"/>
            </v:shape>
            <v:shape style="position:absolute;left:10472;top:-2479;width:108;height:2" coordorigin="10472,-2478" coordsize="108,0" path="m10472,-2478l10526,-2478,10580,-2478e" filled="false" stroked="true" strokeweight=".828093pt" strokecolor="#66ff33">
              <v:path arrowok="t"/>
              <v:stroke dashstyle="solid"/>
            </v:shape>
            <v:rect style="position:absolute;left:10447;top:-2506;width:49;height:54" filled="true" fillcolor="#66ff33" stroked="false">
              <v:fill type="solid"/>
            </v:rect>
            <v:rect style="position:absolute;left:10447;top:-2506;width:49;height:54" filled="false" stroked="true" strokeweight=".261014pt" strokecolor="#66ff33">
              <v:stroke dashstyle="solid"/>
            </v:rect>
            <v:rect style="position:absolute;left:10502;top:-2506;width:49;height:54" filled="true" fillcolor="#66ff33" stroked="false">
              <v:fill type="solid"/>
            </v:rect>
            <v:rect style="position:absolute;left:10502;top:-2506;width:49;height:54" filled="false" stroked="true" strokeweight=".261014pt" strokecolor="#66ff33">
              <v:stroke dashstyle="solid"/>
            </v:rect>
            <v:rect style="position:absolute;left:10555;top:-2506;width:49;height:54" filled="true" fillcolor="#66ff33" stroked="false">
              <v:fill type="solid"/>
            </v:rect>
            <v:rect style="position:absolute;left:10555;top:-2506;width:49;height:54" filled="false" stroked="true" strokeweight=".261014pt" strokecolor="#66ff33">
              <v:stroke dashstyle="solid"/>
            </v:rect>
            <v:line style="position:absolute" from="6611,-3494" to="6743,-3494" stroked="true" strokeweight="1.012114pt" strokecolor="#0000ff">
              <v:stroke dashstyle="solid"/>
            </v:line>
            <v:line style="position:absolute" from="6611,-3229" to="6743,-3229" stroked="true" strokeweight="1.012114pt" strokecolor="#ff00ff">
              <v:stroke dashstyle="solid"/>
            </v:line>
            <v:shape style="position:absolute;left:10114;top:-2346;width:339;height:419" coordorigin="10115,-2345" coordsize="339,419" path="m10444,-2334l10438,-2332,10115,-1931,10120,-1926,10443,-2327,10444,-2334xm10452,-2342l10446,-2342,10451,-2337,10443,-2327,10435,-2286,10437,-2284,10440,-2283,10442,-2285,10442,-2287,10452,-2342xm10453,-2345l10402,-2327,10400,-2326,10399,-2324,10400,-2320,10402,-2319,10404,-2320,10438,-2332,10446,-2342,10452,-2342,10453,-2345xm10448,-2340l10445,-2340,10450,-2336,10444,-2334,10443,-2327,10451,-2337,10448,-2340xm10446,-2342l10438,-2332,10444,-2334,10445,-2340,10448,-2340,10446,-2342xm10445,-2340l10444,-2334,10450,-2336,10445,-2340xe" filled="true" fillcolor="#000000" stroked="false">
              <v:path arrowok="t"/>
              <v:fill type="solid"/>
            </v:shape>
            <w10:wrap type="none"/>
          </v:group>
        </w:pict>
      </w:r>
      <w:r>
        <w:rPr>
          <w:sz w:val="16"/>
        </w:rPr>
        <w:t>Note: The left chart shows spreads between the average quoted rates on new mortgages and swap rates of the relevant maturity. Spreads versus OIS rates have fallen even more markedly in recent years. The high LTV series is for 95% LTV loans to April 2008, 90% LTV loans since then. The right chart shows a weighted average of hiring intentions from various surveys. Sources: Manpower, British Chambers of Commerce, REC Survey of Jobs, CBI, ONS and BoE</w:t>
      </w:r>
    </w:p>
    <w:p>
      <w:pPr>
        <w:pStyle w:val="BodyText"/>
      </w:pPr>
    </w:p>
    <w:p>
      <w:pPr>
        <w:pStyle w:val="BodyText"/>
        <w:spacing w:before="8"/>
        <w:rPr>
          <w:sz w:val="2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065"/>
        <w:gridCol w:w="117"/>
        <w:gridCol w:w="109"/>
        <w:gridCol w:w="5049"/>
        <w:gridCol w:w="127"/>
      </w:tblGrid>
      <w:tr>
        <w:trPr>
          <w:trHeight w:val="680" w:hRule="atLeast"/>
        </w:trPr>
        <w:tc>
          <w:tcPr>
            <w:tcW w:w="5293" w:type="dxa"/>
            <w:gridSpan w:val="3"/>
            <w:tcBorders>
              <w:bottom w:val="single" w:sz="6" w:space="0" w:color="000000"/>
            </w:tcBorders>
          </w:tcPr>
          <w:p>
            <w:pPr>
              <w:pStyle w:val="TableParagraph"/>
              <w:spacing w:line="340" w:lineRule="exact" w:before="23"/>
              <w:ind w:left="107" w:right="49"/>
              <w:rPr>
                <w:sz w:val="20"/>
              </w:rPr>
            </w:pPr>
            <w:r>
              <w:rPr>
                <w:sz w:val="20"/>
              </w:rPr>
              <w:t>Figure 10. UK, US and Euro Area – Implied Forward Rates as of 16 April 2018</w:t>
            </w:r>
          </w:p>
        </w:tc>
        <w:tc>
          <w:tcPr>
            <w:tcW w:w="5285" w:type="dxa"/>
            <w:gridSpan w:val="3"/>
            <w:tcBorders>
              <w:bottom w:val="single" w:sz="6" w:space="0" w:color="000000"/>
            </w:tcBorders>
          </w:tcPr>
          <w:p>
            <w:pPr>
              <w:pStyle w:val="TableParagraph"/>
              <w:spacing w:line="340" w:lineRule="exact" w:before="23"/>
              <w:ind w:left="108" w:right="522"/>
              <w:rPr>
                <w:sz w:val="20"/>
              </w:rPr>
            </w:pPr>
            <w:r>
              <w:rPr>
                <w:sz w:val="20"/>
              </w:rPr>
              <w:t>Figure 11. UK, US and Euro Area – Implied Forward Rate 10 Years Ahead (From Govt Curves), 2000-18</w:t>
            </w:r>
          </w:p>
        </w:tc>
      </w:tr>
      <w:tr>
        <w:trPr>
          <w:trHeight w:val="3534" w:hRule="atLeast"/>
        </w:trPr>
        <w:tc>
          <w:tcPr>
            <w:tcW w:w="111" w:type="dxa"/>
            <w:tcBorders>
              <w:bottom w:val="nil"/>
              <w:right w:val="single" w:sz="4" w:space="0" w:color="858585"/>
            </w:tcBorders>
          </w:tcPr>
          <w:p>
            <w:pPr>
              <w:pStyle w:val="TableParagraph"/>
              <w:rPr>
                <w:rFonts w:ascii="Times New Roman"/>
                <w:sz w:val="16"/>
              </w:rPr>
            </w:pPr>
          </w:p>
        </w:tc>
        <w:tc>
          <w:tcPr>
            <w:tcW w:w="5065" w:type="dxa"/>
            <w:tcBorders>
              <w:top w:val="single" w:sz="6" w:space="0" w:color="000000"/>
              <w:left w:val="single" w:sz="4" w:space="0" w:color="858585"/>
              <w:bottom w:val="single" w:sz="4" w:space="0" w:color="858585"/>
              <w:right w:val="single" w:sz="4" w:space="0" w:color="858585"/>
            </w:tcBorders>
          </w:tcPr>
          <w:p>
            <w:pPr>
              <w:pStyle w:val="TableParagraph"/>
              <w:spacing w:line="202" w:lineRule="exact"/>
              <w:ind w:left="61"/>
              <w:rPr>
                <w:rFonts w:ascii="Calibri"/>
                <w:b/>
                <w:sz w:val="18"/>
              </w:rPr>
            </w:pPr>
            <w:r>
              <w:rPr>
                <w:rFonts w:ascii="Calibri"/>
                <w:b/>
                <w:sz w:val="18"/>
              </w:rPr>
              <w:t>3.5</w:t>
            </w:r>
          </w:p>
          <w:p>
            <w:pPr>
              <w:pStyle w:val="TableParagraph"/>
              <w:tabs>
                <w:tab w:pos="541" w:val="left" w:leader="none"/>
              </w:tabs>
              <w:spacing w:line="314" w:lineRule="auto" w:before="98"/>
              <w:ind w:left="61" w:right="4390"/>
              <w:rPr>
                <w:rFonts w:ascii="Calibri"/>
                <w:b/>
                <w:sz w:val="18"/>
              </w:rPr>
            </w:pPr>
            <w:r>
              <w:rPr>
                <w:rFonts w:ascii="Calibri"/>
                <w:b/>
                <w:sz w:val="18"/>
              </w:rPr>
              <w:t>3.0</w:t>
              <w:tab/>
            </w:r>
            <w:r>
              <w:rPr>
                <w:rFonts w:ascii="Calibri"/>
                <w:b/>
                <w:spacing w:val="-18"/>
                <w:position w:val="-2"/>
                <w:sz w:val="18"/>
              </w:rPr>
              <w:t>% </w:t>
            </w:r>
            <w:r>
              <w:rPr>
                <w:rFonts w:ascii="Calibri"/>
                <w:b/>
                <w:sz w:val="18"/>
              </w:rPr>
              <w:t>2.5</w:t>
            </w:r>
          </w:p>
          <w:p>
            <w:pPr>
              <w:pStyle w:val="TableParagraph"/>
              <w:spacing w:before="31"/>
              <w:ind w:left="61"/>
              <w:rPr>
                <w:rFonts w:ascii="Calibri"/>
                <w:b/>
                <w:sz w:val="18"/>
              </w:rPr>
            </w:pPr>
            <w:r>
              <w:rPr>
                <w:rFonts w:ascii="Calibri"/>
                <w:b/>
                <w:sz w:val="18"/>
              </w:rPr>
              <w:t>2.0</w:t>
            </w:r>
          </w:p>
          <w:p>
            <w:pPr>
              <w:pStyle w:val="TableParagraph"/>
              <w:spacing w:before="99"/>
              <w:ind w:left="61"/>
              <w:rPr>
                <w:rFonts w:ascii="Calibri"/>
                <w:b/>
                <w:sz w:val="18"/>
              </w:rPr>
            </w:pPr>
            <w:r>
              <w:rPr>
                <w:rFonts w:ascii="Calibri"/>
                <w:b/>
                <w:sz w:val="18"/>
              </w:rPr>
              <w:t>1.5</w:t>
            </w:r>
          </w:p>
          <w:p>
            <w:pPr>
              <w:pStyle w:val="TableParagraph"/>
              <w:spacing w:before="98"/>
              <w:ind w:left="61"/>
              <w:rPr>
                <w:rFonts w:ascii="Calibri"/>
                <w:b/>
                <w:sz w:val="18"/>
              </w:rPr>
            </w:pPr>
            <w:r>
              <w:rPr>
                <w:rFonts w:ascii="Calibri"/>
                <w:b/>
                <w:sz w:val="18"/>
              </w:rPr>
              <w:t>1.0</w:t>
            </w:r>
          </w:p>
          <w:p>
            <w:pPr>
              <w:pStyle w:val="TableParagraph"/>
              <w:spacing w:line="177" w:lineRule="exact" w:before="99"/>
              <w:ind w:left="61"/>
              <w:rPr>
                <w:rFonts w:ascii="Calibri"/>
                <w:b/>
                <w:sz w:val="18"/>
              </w:rPr>
            </w:pPr>
            <w:r>
              <w:rPr>
                <w:rFonts w:ascii="Calibri"/>
                <w:b/>
                <w:sz w:val="18"/>
              </w:rPr>
              <w:t>0.5</w:t>
            </w:r>
          </w:p>
          <w:p>
            <w:pPr>
              <w:pStyle w:val="TableParagraph"/>
              <w:spacing w:line="159" w:lineRule="exact"/>
              <w:ind w:left="2400"/>
              <w:rPr>
                <w:rFonts w:ascii="Calibri"/>
                <w:b/>
                <w:sz w:val="18"/>
              </w:rPr>
            </w:pPr>
            <w:r>
              <w:rPr>
                <w:rFonts w:ascii="Calibri"/>
                <w:b/>
                <w:sz w:val="18"/>
              </w:rPr>
              <w:t>UK (Govt curve) UK (OIS curve)</w:t>
            </w:r>
          </w:p>
          <w:p>
            <w:pPr>
              <w:pStyle w:val="TableParagraph"/>
              <w:tabs>
                <w:tab w:pos="2206" w:val="left" w:leader="none"/>
                <w:tab w:pos="3569" w:val="left" w:leader="none"/>
              </w:tabs>
              <w:spacing w:line="174" w:lineRule="exact"/>
              <w:ind w:left="61"/>
              <w:rPr>
                <w:rFonts w:ascii="Calibri"/>
                <w:b/>
                <w:sz w:val="18"/>
              </w:rPr>
            </w:pPr>
            <w:r>
              <w:rPr>
                <w:rFonts w:ascii="Calibri"/>
                <w:b/>
                <w:sz w:val="18"/>
              </w:rPr>
              <w:t>0.0</w:t>
              <w:tab/>
            </w:r>
            <w:r>
              <w:rPr>
                <w:rFonts w:ascii="Calibri"/>
                <w:b/>
                <w:w w:val="92"/>
                <w:sz w:val="18"/>
                <w:u w:val="thick" w:color="66FF33"/>
              </w:rPr>
              <w:t> </w:t>
            </w:r>
            <w:r>
              <w:rPr>
                <w:rFonts w:ascii="Calibri"/>
                <w:b/>
                <w:sz w:val="18"/>
                <w:u w:val="thick" w:color="66FF33"/>
              </w:rPr>
              <w:t>   </w:t>
            </w:r>
            <w:r>
              <w:rPr>
                <w:rFonts w:ascii="Calibri"/>
                <w:b/>
                <w:spacing w:val="10"/>
                <w:sz w:val="18"/>
                <w:u w:val="thick" w:color="66FF33"/>
              </w:rPr>
              <w:t> </w:t>
            </w:r>
            <w:r>
              <w:rPr>
                <w:rFonts w:ascii="Calibri"/>
                <w:b/>
                <w:sz w:val="18"/>
              </w:rPr>
              <w:tab/>
            </w:r>
            <w:r>
              <w:rPr>
                <w:rFonts w:ascii="Calibri"/>
                <w:b/>
                <w:w w:val="92"/>
                <w:sz w:val="18"/>
                <w:u w:val="thick" w:color="66FF33"/>
              </w:rPr>
              <w:t> </w:t>
            </w:r>
            <w:r>
              <w:rPr>
                <w:rFonts w:ascii="Calibri"/>
                <w:b/>
                <w:spacing w:val="10"/>
                <w:sz w:val="18"/>
                <w:u w:val="thick" w:color="66FF33"/>
              </w:rPr>
              <w:t> </w:t>
            </w:r>
          </w:p>
          <w:p>
            <w:pPr>
              <w:pStyle w:val="TableParagraph"/>
              <w:tabs>
                <w:tab w:pos="3763" w:val="left" w:leader="none"/>
              </w:tabs>
              <w:spacing w:line="159" w:lineRule="exact"/>
              <w:ind w:left="2400"/>
              <w:rPr>
                <w:rFonts w:ascii="Calibri"/>
                <w:b/>
                <w:sz w:val="18"/>
              </w:rPr>
            </w:pPr>
            <w:r>
              <w:rPr>
                <w:rFonts w:ascii="Calibri"/>
                <w:b/>
                <w:sz w:val="18"/>
              </w:rPr>
              <w:t>EA</w:t>
            </w:r>
            <w:r>
              <w:rPr>
                <w:rFonts w:ascii="Calibri"/>
                <w:b/>
                <w:spacing w:val="-22"/>
                <w:sz w:val="18"/>
              </w:rPr>
              <w:t> </w:t>
            </w:r>
            <w:r>
              <w:rPr>
                <w:rFonts w:ascii="Calibri"/>
                <w:b/>
                <w:sz w:val="18"/>
              </w:rPr>
              <w:t>(Govt</w:t>
            </w:r>
            <w:r>
              <w:rPr>
                <w:rFonts w:ascii="Calibri"/>
                <w:b/>
                <w:spacing w:val="-22"/>
                <w:sz w:val="18"/>
              </w:rPr>
              <w:t> </w:t>
            </w:r>
            <w:r>
              <w:rPr>
                <w:rFonts w:ascii="Calibri"/>
                <w:b/>
                <w:sz w:val="18"/>
              </w:rPr>
              <w:t>curve)</w:t>
              <w:tab/>
              <w:t>EA (OIS</w:t>
            </w:r>
            <w:r>
              <w:rPr>
                <w:rFonts w:ascii="Calibri"/>
                <w:b/>
                <w:spacing w:val="-22"/>
                <w:sz w:val="18"/>
              </w:rPr>
              <w:t> </w:t>
            </w:r>
            <w:r>
              <w:rPr>
                <w:rFonts w:ascii="Calibri"/>
                <w:b/>
                <w:sz w:val="18"/>
              </w:rPr>
              <w:t>curve)</w:t>
            </w:r>
          </w:p>
          <w:p>
            <w:pPr>
              <w:pStyle w:val="TableParagraph"/>
              <w:spacing w:line="174" w:lineRule="exact"/>
              <w:ind w:left="10"/>
              <w:rPr>
                <w:rFonts w:ascii="Calibri"/>
                <w:b/>
                <w:sz w:val="18"/>
              </w:rPr>
            </w:pPr>
            <w:r>
              <w:rPr>
                <w:rFonts w:ascii="Calibri"/>
                <w:b/>
                <w:sz w:val="18"/>
              </w:rPr>
              <w:t>-0.5</w:t>
            </w:r>
          </w:p>
          <w:p>
            <w:pPr>
              <w:pStyle w:val="TableParagraph"/>
              <w:spacing w:line="159" w:lineRule="exact"/>
              <w:ind w:left="2400"/>
              <w:rPr>
                <w:rFonts w:ascii="Calibri"/>
                <w:b/>
                <w:sz w:val="18"/>
              </w:rPr>
            </w:pPr>
            <w:r>
              <w:rPr>
                <w:rFonts w:ascii="Calibri"/>
                <w:b/>
                <w:sz w:val="18"/>
              </w:rPr>
              <w:t>US (Govt curve) US (OIS curve)</w:t>
            </w:r>
          </w:p>
          <w:p>
            <w:pPr>
              <w:pStyle w:val="TableParagraph"/>
              <w:spacing w:line="171" w:lineRule="exact"/>
              <w:ind w:left="10"/>
              <w:rPr>
                <w:rFonts w:ascii="Calibri"/>
                <w:b/>
                <w:sz w:val="18"/>
              </w:rPr>
            </w:pPr>
            <w:r>
              <w:rPr>
                <w:rFonts w:ascii="Calibri"/>
                <w:b/>
                <w:sz w:val="18"/>
              </w:rPr>
              <w:t>-1.0</w:t>
            </w:r>
          </w:p>
          <w:p>
            <w:pPr>
              <w:pStyle w:val="TableParagraph"/>
              <w:tabs>
                <w:tab w:pos="1274" w:val="left" w:leader="none"/>
                <w:tab w:pos="1706" w:val="left" w:leader="none"/>
                <w:tab w:pos="3883" w:val="left" w:leader="none"/>
                <w:tab w:pos="4879" w:val="right" w:leader="none"/>
              </w:tabs>
              <w:spacing w:line="218" w:lineRule="exact" w:before="16"/>
              <w:ind w:left="404"/>
              <w:rPr>
                <w:rFonts w:ascii="Calibri"/>
                <w:b/>
                <w:sz w:val="18"/>
              </w:rPr>
            </w:pPr>
            <w:r>
              <w:rPr>
                <w:rFonts w:ascii="Calibri"/>
                <w:b/>
                <w:position w:val="11"/>
                <w:sz w:val="18"/>
              </w:rPr>
              <w:t>0</w:t>
              <w:tab/>
              <w:t>2</w:t>
              <w:tab/>
            </w:r>
            <w:r>
              <w:rPr>
                <w:rFonts w:ascii="Calibri"/>
                <w:b/>
                <w:sz w:val="18"/>
              </w:rPr>
              <w:t>Horiz </w:t>
            </w:r>
            <w:r>
              <w:rPr>
                <w:rFonts w:ascii="Calibri"/>
                <w:b/>
                <w:position w:val="11"/>
                <w:sz w:val="18"/>
              </w:rPr>
              <w:t>4 </w:t>
            </w:r>
            <w:r>
              <w:rPr>
                <w:rFonts w:ascii="Calibri"/>
                <w:b/>
                <w:sz w:val="18"/>
              </w:rPr>
              <w:t>(In</w:t>
            </w:r>
            <w:r>
              <w:rPr>
                <w:rFonts w:ascii="Calibri"/>
                <w:b/>
                <w:spacing w:val="5"/>
                <w:sz w:val="18"/>
              </w:rPr>
              <w:t> </w:t>
            </w:r>
            <w:r>
              <w:rPr>
                <w:rFonts w:ascii="Calibri"/>
                <w:b/>
                <w:sz w:val="18"/>
              </w:rPr>
              <w:t>Years)</w:t>
            </w:r>
            <w:r>
              <w:rPr>
                <w:rFonts w:ascii="Calibri"/>
                <w:b/>
                <w:spacing w:val="20"/>
                <w:sz w:val="18"/>
              </w:rPr>
              <w:t> </w:t>
            </w:r>
            <w:r>
              <w:rPr>
                <w:rFonts w:ascii="Calibri"/>
                <w:b/>
                <w:position w:val="11"/>
                <w:sz w:val="18"/>
              </w:rPr>
              <w:t>6</w:t>
              <w:tab/>
              <w:t>8</w:t>
              <w:tab/>
              <w:t>10</w:t>
            </w:r>
          </w:p>
          <w:p>
            <w:pPr>
              <w:pStyle w:val="TableParagraph"/>
              <w:spacing w:line="112" w:lineRule="exact"/>
              <w:ind w:left="2040" w:right="2781"/>
              <w:jc w:val="center"/>
              <w:rPr>
                <w:rFonts w:ascii="Calibri"/>
                <w:b/>
                <w:sz w:val="18"/>
              </w:rPr>
            </w:pPr>
            <w:r>
              <w:rPr>
                <w:rFonts w:ascii="Calibri"/>
                <w:b/>
                <w:sz w:val="18"/>
              </w:rPr>
              <w:t>on</w:t>
            </w:r>
          </w:p>
        </w:tc>
        <w:tc>
          <w:tcPr>
            <w:tcW w:w="117" w:type="dxa"/>
            <w:tcBorders>
              <w:left w:val="single" w:sz="4" w:space="0" w:color="858585"/>
              <w:bottom w:val="nil"/>
            </w:tcBorders>
          </w:tcPr>
          <w:p>
            <w:pPr>
              <w:pStyle w:val="TableParagraph"/>
              <w:rPr>
                <w:rFonts w:ascii="Times New Roman"/>
                <w:sz w:val="16"/>
              </w:rPr>
            </w:pPr>
          </w:p>
        </w:tc>
        <w:tc>
          <w:tcPr>
            <w:tcW w:w="109" w:type="dxa"/>
            <w:vMerge w:val="restart"/>
            <w:tcBorders>
              <w:right w:val="single" w:sz="4" w:space="0" w:color="858585"/>
            </w:tcBorders>
          </w:tcPr>
          <w:p>
            <w:pPr>
              <w:pStyle w:val="TableParagraph"/>
              <w:rPr>
                <w:rFonts w:ascii="Times New Roman"/>
                <w:sz w:val="16"/>
              </w:rPr>
            </w:pPr>
          </w:p>
        </w:tc>
        <w:tc>
          <w:tcPr>
            <w:tcW w:w="5049" w:type="dxa"/>
            <w:vMerge w:val="restart"/>
            <w:tcBorders>
              <w:top w:val="single" w:sz="6" w:space="0" w:color="000000"/>
              <w:left w:val="single" w:sz="4" w:space="0" w:color="858585"/>
              <w:right w:val="single" w:sz="4" w:space="0" w:color="858585"/>
            </w:tcBorders>
          </w:tcPr>
          <w:p>
            <w:pPr>
              <w:pStyle w:val="TableParagraph"/>
              <w:spacing w:line="208" w:lineRule="exact"/>
              <w:ind w:left="48"/>
              <w:rPr>
                <w:rFonts w:ascii="Calibri"/>
                <w:b/>
                <w:sz w:val="18"/>
              </w:rPr>
            </w:pPr>
            <w:r>
              <w:rPr>
                <w:rFonts w:ascii="Calibri"/>
                <w:b/>
                <w:w w:val="91"/>
                <w:sz w:val="18"/>
              </w:rPr>
              <w:t>8</w:t>
            </w:r>
          </w:p>
          <w:p>
            <w:pPr>
              <w:pStyle w:val="TableParagraph"/>
              <w:tabs>
                <w:tab w:pos="1223" w:val="left" w:leader="none"/>
                <w:tab w:pos="2064" w:val="left" w:leader="none"/>
                <w:tab w:pos="2910" w:val="left" w:leader="none"/>
              </w:tabs>
              <w:spacing w:line="424" w:lineRule="auto" w:before="71"/>
              <w:ind w:left="48" w:right="1927"/>
              <w:rPr>
                <w:rFonts w:ascii="Calibri"/>
                <w:b/>
                <w:sz w:val="18"/>
              </w:rPr>
            </w:pPr>
            <w:r>
              <w:rPr>
                <w:rFonts w:ascii="Calibri"/>
                <w:b/>
                <w:position w:val="-8"/>
                <w:sz w:val="18"/>
              </w:rPr>
              <w:t>7</w:t>
              <w:tab/>
            </w:r>
            <w:r>
              <w:rPr>
                <w:rFonts w:ascii="Calibri"/>
                <w:b/>
                <w:sz w:val="18"/>
              </w:rPr>
              <w:t>EA</w:t>
              <w:tab/>
              <w:t>US</w:t>
              <w:tab/>
            </w:r>
            <w:r>
              <w:rPr>
                <w:rFonts w:ascii="Calibri"/>
                <w:b/>
                <w:spacing w:val="-9"/>
                <w:w w:val="95"/>
                <w:sz w:val="18"/>
              </w:rPr>
              <w:t>UK </w:t>
            </w:r>
            <w:r>
              <w:rPr>
                <w:rFonts w:ascii="Calibri"/>
                <w:b/>
                <w:sz w:val="18"/>
              </w:rPr>
              <w:t>6</w:t>
            </w:r>
          </w:p>
          <w:p>
            <w:pPr>
              <w:pStyle w:val="TableParagraph"/>
              <w:spacing w:line="216" w:lineRule="exact"/>
              <w:ind w:left="48"/>
              <w:rPr>
                <w:rFonts w:ascii="Calibri"/>
                <w:b/>
                <w:sz w:val="18"/>
              </w:rPr>
            </w:pPr>
            <w:r>
              <w:rPr>
                <w:rFonts w:ascii="Calibri"/>
                <w:b/>
                <w:w w:val="91"/>
                <w:sz w:val="18"/>
              </w:rPr>
              <w:t>5</w:t>
            </w:r>
          </w:p>
          <w:p>
            <w:pPr>
              <w:pStyle w:val="TableParagraph"/>
              <w:spacing w:before="4"/>
              <w:rPr>
                <w:sz w:val="14"/>
              </w:rPr>
            </w:pPr>
          </w:p>
          <w:p>
            <w:pPr>
              <w:pStyle w:val="TableParagraph"/>
              <w:ind w:left="48"/>
              <w:rPr>
                <w:rFonts w:ascii="Calibri"/>
                <w:b/>
                <w:sz w:val="18"/>
              </w:rPr>
            </w:pPr>
            <w:r>
              <w:rPr>
                <w:rFonts w:ascii="Calibri"/>
                <w:b/>
                <w:w w:val="92"/>
                <w:sz w:val="18"/>
              </w:rPr>
              <w:t>4</w:t>
            </w:r>
          </w:p>
          <w:p>
            <w:pPr>
              <w:pStyle w:val="TableParagraph"/>
              <w:spacing w:before="4"/>
              <w:rPr>
                <w:sz w:val="14"/>
              </w:rPr>
            </w:pPr>
          </w:p>
          <w:p>
            <w:pPr>
              <w:pStyle w:val="TableParagraph"/>
              <w:spacing w:before="1"/>
              <w:ind w:left="48"/>
              <w:rPr>
                <w:rFonts w:ascii="Calibri"/>
                <w:b/>
                <w:sz w:val="18"/>
              </w:rPr>
            </w:pPr>
            <w:r>
              <w:rPr>
                <w:rFonts w:ascii="Calibri"/>
                <w:b/>
                <w:w w:val="92"/>
                <w:sz w:val="18"/>
              </w:rPr>
              <w:t>3</w:t>
            </w:r>
          </w:p>
          <w:p>
            <w:pPr>
              <w:pStyle w:val="TableParagraph"/>
              <w:tabs>
                <w:tab w:pos="414" w:val="left" w:leader="none"/>
              </w:tabs>
              <w:spacing w:before="49"/>
              <w:ind w:left="48"/>
              <w:rPr>
                <w:rFonts w:ascii="Calibri"/>
                <w:b/>
                <w:sz w:val="18"/>
              </w:rPr>
            </w:pPr>
            <w:r>
              <w:rPr>
                <w:rFonts w:ascii="Calibri"/>
                <w:b/>
                <w:position w:val="-11"/>
                <w:sz w:val="18"/>
              </w:rPr>
              <w:t>2</w:t>
              <w:tab/>
            </w:r>
            <w:r>
              <w:rPr>
                <w:rFonts w:ascii="Calibri"/>
                <w:b/>
                <w:sz w:val="18"/>
              </w:rPr>
              <w:t>%</w:t>
            </w:r>
          </w:p>
          <w:p>
            <w:pPr>
              <w:pStyle w:val="TableParagraph"/>
              <w:spacing w:before="161"/>
              <w:ind w:left="48"/>
              <w:rPr>
                <w:rFonts w:ascii="Calibri"/>
                <w:b/>
                <w:sz w:val="18"/>
              </w:rPr>
            </w:pPr>
            <w:r>
              <w:rPr>
                <w:rFonts w:ascii="Calibri"/>
                <w:b/>
                <w:w w:val="91"/>
                <w:sz w:val="18"/>
              </w:rPr>
              <w:t>1</w:t>
            </w:r>
          </w:p>
          <w:p>
            <w:pPr>
              <w:pStyle w:val="TableParagraph"/>
              <w:spacing w:before="4"/>
              <w:rPr>
                <w:sz w:val="14"/>
              </w:rPr>
            </w:pPr>
          </w:p>
          <w:p>
            <w:pPr>
              <w:pStyle w:val="TableParagraph"/>
              <w:ind w:left="48"/>
              <w:rPr>
                <w:rFonts w:ascii="Calibri"/>
                <w:b/>
                <w:sz w:val="18"/>
              </w:rPr>
            </w:pPr>
            <w:r>
              <w:rPr>
                <w:rFonts w:ascii="Calibri"/>
                <w:b/>
                <w:w w:val="91"/>
                <w:sz w:val="18"/>
              </w:rPr>
              <w:t>0</w:t>
            </w:r>
          </w:p>
          <w:p>
            <w:pPr>
              <w:pStyle w:val="TableParagraph"/>
              <w:tabs>
                <w:tab w:pos="878" w:val="left" w:leader="none"/>
                <w:tab w:pos="1638" w:val="left" w:leader="none"/>
                <w:tab w:pos="2397" w:val="left" w:leader="none"/>
                <w:tab w:pos="3157" w:val="left" w:leader="none"/>
                <w:tab w:pos="3917" w:val="left" w:leader="none"/>
                <w:tab w:pos="4677" w:val="left" w:leader="none"/>
              </w:tabs>
              <w:spacing w:before="20"/>
              <w:ind w:left="118"/>
              <w:rPr>
                <w:rFonts w:ascii="Calibri"/>
                <w:b/>
                <w:sz w:val="18"/>
              </w:rPr>
            </w:pPr>
            <w:r>
              <w:rPr>
                <w:rFonts w:ascii="Calibri"/>
                <w:b/>
                <w:sz w:val="18"/>
              </w:rPr>
              <w:t>2000</w:t>
              <w:tab/>
              <w:t>2003</w:t>
              <w:tab/>
              <w:t>2006</w:t>
              <w:tab/>
              <w:t>2009</w:t>
              <w:tab/>
              <w:t>2012</w:t>
              <w:tab/>
              <w:t>2015</w:t>
              <w:tab/>
            </w:r>
            <w:r>
              <w:rPr>
                <w:rFonts w:ascii="Calibri"/>
                <w:b/>
                <w:w w:val="95"/>
                <w:sz w:val="18"/>
              </w:rPr>
              <w:t>2018</w:t>
            </w:r>
          </w:p>
        </w:tc>
        <w:tc>
          <w:tcPr>
            <w:tcW w:w="127" w:type="dxa"/>
            <w:vMerge w:val="restart"/>
            <w:tcBorders>
              <w:left w:val="single" w:sz="4" w:space="0" w:color="858585"/>
            </w:tcBorders>
          </w:tcPr>
          <w:p>
            <w:pPr>
              <w:pStyle w:val="TableParagraph"/>
              <w:rPr>
                <w:rFonts w:ascii="Times New Roman"/>
                <w:sz w:val="16"/>
              </w:rPr>
            </w:pPr>
          </w:p>
        </w:tc>
      </w:tr>
      <w:tr>
        <w:trPr>
          <w:trHeight w:val="151" w:hRule="atLeast"/>
        </w:trPr>
        <w:tc>
          <w:tcPr>
            <w:tcW w:w="5293" w:type="dxa"/>
            <w:gridSpan w:val="3"/>
            <w:tcBorders>
              <w:top w:val="single" w:sz="4" w:space="0" w:color="858585"/>
            </w:tcBorders>
          </w:tcPr>
          <w:p>
            <w:pPr>
              <w:pStyle w:val="TableParagraph"/>
              <w:rPr>
                <w:rFonts w:ascii="Times New Roman"/>
                <w:sz w:val="8"/>
              </w:rPr>
            </w:pPr>
          </w:p>
        </w:tc>
        <w:tc>
          <w:tcPr>
            <w:tcW w:w="109" w:type="dxa"/>
            <w:vMerge/>
            <w:tcBorders>
              <w:top w:val="nil"/>
              <w:right w:val="single" w:sz="4" w:space="0" w:color="858585"/>
            </w:tcBorders>
          </w:tcPr>
          <w:p>
            <w:pPr>
              <w:rPr>
                <w:sz w:val="2"/>
                <w:szCs w:val="2"/>
              </w:rPr>
            </w:pPr>
          </w:p>
        </w:tc>
        <w:tc>
          <w:tcPr>
            <w:tcW w:w="5049" w:type="dxa"/>
            <w:vMerge/>
            <w:tcBorders>
              <w:top w:val="nil"/>
              <w:left w:val="single" w:sz="4" w:space="0" w:color="858585"/>
              <w:right w:val="single" w:sz="4" w:space="0" w:color="858585"/>
            </w:tcBorders>
          </w:tcPr>
          <w:p>
            <w:pPr>
              <w:rPr>
                <w:sz w:val="2"/>
                <w:szCs w:val="2"/>
              </w:rPr>
            </w:pPr>
          </w:p>
        </w:tc>
        <w:tc>
          <w:tcPr>
            <w:tcW w:w="127" w:type="dxa"/>
            <w:vMerge/>
            <w:tcBorders>
              <w:top w:val="nil"/>
              <w:left w:val="single" w:sz="4" w:space="0" w:color="858585"/>
            </w:tcBorders>
          </w:tcPr>
          <w:p>
            <w:pPr>
              <w:rPr>
                <w:sz w:val="2"/>
                <w:szCs w:val="2"/>
              </w:rPr>
            </w:pPr>
          </w:p>
        </w:tc>
      </w:tr>
    </w:tbl>
    <w:p>
      <w:pPr>
        <w:spacing w:before="152"/>
        <w:ind w:left="673" w:right="0" w:firstLine="0"/>
        <w:jc w:val="left"/>
        <w:rPr>
          <w:sz w:val="16"/>
        </w:rPr>
      </w:pPr>
      <w:r>
        <w:rPr/>
        <w:pict>
          <v:group style="position:absolute;margin-left:52.640232pt;margin-top:-180.295425pt;width:222.05pt;height:143.5pt;mso-position-horizontal-relative:page;mso-position-vertical-relative:paragraph;z-index:-253441024" coordorigin="1053,-3606" coordsize="4441,2870">
            <v:rect style="position:absolute;left:1105;top:-3604;width:4386;height:2865" filled="false" stroked="true" strokeweight=".262889pt" strokecolor="#000000">
              <v:stroke dashstyle="solid"/>
            </v:rect>
            <v:shape style="position:absolute;left:1092;top:-4900;width:12828;height:7673" coordorigin="1092,-4900" coordsize="12828,7673" path="m1106,-739l1106,-3603m1053,-739l1106,-739m1053,-1057l1106,-1057m1053,-1376l1106,-1376m1053,-1694l1106,-1694m1053,-2012l1106,-2012m1053,-2330l1106,-2330m1053,-2648l1106,-2648m1053,-2966l1106,-2966m1053,-3285l1106,-3285m1053,-3603l1106,-3603m1106,-1376l5491,-1376e" filled="false" stroked="true" strokeweight=".258937pt" strokecolor="#858585">
              <v:path arrowok="t"/>
              <v:stroke dashstyle="solid"/>
            </v:shape>
            <v:shape style="position:absolute;left:1269;top:-2775;width:4204;height:923" coordorigin="1269,-2775" coordsize="4204,923" path="m1269,-1852l1341,-1889,1414,-1910,1486,-1921,1522,-1927,1559,-1934,1595,-1941,1631,-1948,1668,-1957,1703,-1966,1740,-1975,1776,-1985,1812,-1995,1849,-2004,1884,-2014,1921,-2025,1957,-2035,1993,-2046,2030,-2056,2066,-2066,2102,-2077,2138,-2087,2175,-2098,2211,-2108,2247,-2118,2284,-2128,2319,-2138,2356,-2149,2393,-2159,2428,-2168,2465,-2178,2501,-2188,2537,-2198,2574,-2208,2609,-2218,2646,-2228,2682,-2237,2718,-2246,2755,-2256,2791,-2265,2827,-2275,2863,-2284,2900,-2293,2936,-2303,2972,-2312,3008,-2321,3044,-2330,3081,-2339,3117,-2348,3153,-2356,3190,-2365,3225,-2374,3262,-2382,3298,-2391,3334,-2399,3371,-2408,3407,-2416,3443,-2424,3479,-2432,3515,-2441,3552,-2449,3588,-2457,3624,-2465,3660,-2472,3697,-2480,3733,-2488,3769,-2496,3806,-2504,3842,-2512,3878,-2520,3915,-2527,3950,-2535,3987,-2542,4023,-2549,4059,-2556,4096,-2564,4131,-2572,4168,-2579,4204,-2586,4240,-2592,4277,-2599,4313,-2607,4349,-2613,4385,-2620,4422,-2626,4458,-2633,4494,-2640,4530,-2646,4566,-2652,4603,-2658,4639,-2665,4675,-2670,4712,-2676,4747,-2682,4784,-2688,4820,-2693,4856,-2699,4893,-2704,4929,-2710,4965,-2715,5001,-2719,5037,-2725,5074,-2729,5146,-2739,5219,-2748,5255,-2752,5291,-2756,5328,-2760,5364,-2764,5400,-2768,5437,-2771,5472,-2775e" filled="false" stroked="true" strokeweight="1.116111pt" strokecolor="#0000ff">
              <v:path arrowok="t"/>
              <v:stroke dashstyle="solid"/>
            </v:shape>
            <v:shape style="position:absolute;left:1160;top:-2301;width:4312;height:551" coordorigin="1160,-2300" coordsize="4312,551" path="m1160,-1750l1196,-1810,1233,-1836,1269,-1846,1305,-1856,1341,-1870,1377,-1888,1414,-1908,1450,-1927,1522,-1963,1595,-1995,1631,-2009,1668,-2023,1703,-2037,1740,-2049,1776,-2062,1849,-2085,1921,-2107,1957,-2116,1993,-2125,2030,-2133,2066,-2140,2102,-2147,2138,-2152,2175,-2158,2211,-2162,2247,-2167,2284,-2170,2319,-2174,2356,-2176,2393,-2178,2428,-2181,2465,-2182,2501,-2184,2537,-2185,2574,-2185,2609,-2186,2646,-2187,2682,-2188,2718,-2188,2755,-2189,2791,-2189,2827,-2189,2863,-2190,2900,-2190,2936,-2191,2972,-2191,3008,-2192,3044,-2193,3081,-2194,3117,-2194,3153,-2194,3190,-2196,3225,-2197,3262,-2198,3298,-2200,3334,-2201,3371,-2202,3407,-2204,3443,-2205,3479,-2207,3515,-2209,3552,-2211,3588,-2213,3624,-2215,3660,-2217,3697,-2219,3733,-2221,3769,-2224,3806,-2226,3842,-2228,3878,-2230,3915,-2233,3950,-2236,3987,-2237,4023,-2240,4059,-2243,4096,-2245,4131,-2247,4168,-2250,4204,-2252,4240,-2254,4277,-2256,4313,-2259,4349,-2261,4385,-2263,4422,-2265,4458,-2267,4494,-2269,4530,-2271,4566,-2273,4603,-2275,4639,-2277,4675,-2279,4712,-2280,4747,-2281,4784,-2283,4820,-2285,4856,-2286,4893,-2288,4929,-2288,4965,-2290,5001,-2291,5037,-2292,5074,-2293,5110,-2294,5146,-2295,5182,-2296,5219,-2297,5255,-2297,5291,-2298,5328,-2298,5364,-2299,5400,-2299,5437,-2300,5472,-2300e" filled="false" stroked="true" strokeweight="1.118567pt" strokecolor="#0000ff">
              <v:path arrowok="t"/>
              <v:stroke dashstyle="longdash"/>
            </v:shape>
            <v:shape style="position:absolute;left:1377;top:-2539;width:4096;height:1575" coordorigin="1377,-2538" coordsize="4096,1575" path="m1377,-963l1450,-974,1522,-993,1595,-1016,1668,-1044,1740,-1075,1812,-1109,1884,-1147,1921,-1166,1957,-1186,1993,-1206,2030,-1227,2066,-1247,2102,-1268,2138,-1289,2175,-1309,2211,-1330,2247,-1350,2284,-1371,2319,-1391,2356,-1411,2393,-1431,2428,-1451,2465,-1470,2501,-1489,2537,-1508,2574,-1527,2609,-1546,2646,-1565,2682,-1583,2718,-1600,2755,-1618,2791,-1636,2827,-1654,2863,-1671,2900,-1689,2936,-1706,2972,-1722,3008,-1739,3044,-1756,3081,-1772,3117,-1789,3153,-1805,3190,-1820,3225,-1836,3262,-1851,3298,-1867,3334,-1882,3371,-1897,3407,-1911,3443,-1926,3479,-1940,3515,-1954,3552,-1969,3588,-1983,3624,-1996,3660,-2011,3697,-2024,3733,-2038,3769,-2051,3806,-2064,3842,-2077,3878,-2090,3915,-2103,3950,-2116,3987,-2128,4023,-2141,4059,-2152,4096,-2165,4131,-2176,4168,-2189,4204,-2201,4240,-2212,4277,-2224,4313,-2235,4349,-2246,4385,-2258,4422,-2269,4458,-2280,4494,-2291,4530,-2302,4566,-2313,4603,-2323,4639,-2333,4675,-2344,4712,-2354,4747,-2365,4784,-2374,4820,-2384,4856,-2394,4893,-2404,4929,-2414,4965,-2423,5001,-2433,5037,-2442,5074,-2451,5110,-2460,5146,-2469,5182,-2477,5219,-2486,5255,-2494,5291,-2502,5328,-2510,5364,-2517,5400,-2525,5437,-2532,5472,-2538e" filled="false" stroked="true" strokeweight="1.109319pt" strokecolor="#66ff33">
              <v:path arrowok="t"/>
              <v:stroke dashstyle="solid"/>
            </v:shape>
            <v:shape style="position:absolute;left:1160;top:-2439;width:4312;height:1295" coordorigin="1160,-2438" coordsize="4312,1295" path="m1160,-1148l1196,-1148,1233,-1147,1269,-1146,1305,-1144,1341,-1144,1377,-1144,1450,-1149,1522,-1163,1595,-1187,1668,-1217,1740,-1251,1812,-1289,1849,-1307,1884,-1327,1921,-1347,1957,-1367,1993,-1386,2030,-1406,2066,-1425,2102,-1445,2175,-1482,2247,-1518,2284,-1536,2319,-1554,2356,-1571,2393,-1589,2428,-1605,2465,-1622,2501,-1638,2537,-1654,2574,-1670,2609,-1686,2646,-1702,2682,-1717,2718,-1732,2755,-1746,2791,-1761,2827,-1776,2863,-1789,2900,-1804,2936,-1817,2972,-1832,3008,-1845,3044,-1858,3081,-1871,3117,-1884,3153,-1897,3190,-1910,3225,-1922,3262,-1934,3298,-1946,3334,-1958,3371,-1970,3407,-1982,3443,-1993,3479,-2004,3515,-2016,3552,-2027,3588,-2038,3624,-2048,3660,-2059,3697,-2070,3733,-2080,3769,-2090,3806,-2100,3842,-2110,3878,-2120,3915,-2130,3950,-2140,3987,-2150,4023,-2159,4059,-2168,4096,-2177,4131,-2186,4168,-2194,4204,-2203,4240,-2212,4277,-2220,4313,-2229,4349,-2237,4385,-2245,4422,-2254,4458,-2262,4494,-2270,4530,-2277,4566,-2285,4603,-2292,4639,-2299,4675,-2306,4712,-2314,4747,-2321,4784,-2328,4820,-2334,4856,-2341,4893,-2348,4929,-2354,4965,-2360,5001,-2366,5037,-2373,5074,-2379,5110,-2384,5146,-2391,5182,-2396,5219,-2401,5255,-2408,5291,-2413,5328,-2418,5364,-2423,5400,-2428,5437,-2433,5472,-2438e" filled="false" stroked="true" strokeweight="1.113103pt" strokecolor="#66ff33">
              <v:path arrowok="t"/>
              <v:stroke dashstyle="longdash"/>
            </v:shape>
            <v:shape style="position:absolute;left:1269;top:-3281;width:4204;height:587" coordorigin="1269,-3280" coordsize="4204,587" path="m1269,-2693l1305,-2752,1341,-2800,1414,-2873,1486,-2924,1559,-2962,1631,-2993,1703,-3019,1776,-3041,1849,-3061,1921,-3079,1957,-3087,1993,-3096,2030,-3103,2066,-3111,2102,-3118,2138,-3124,2175,-3132,2211,-3138,2247,-3144,2284,-3150,2319,-3157,2356,-3162,2393,-3167,2428,-3173,2465,-3178,2501,-3183,2537,-3188,2574,-3192,2609,-3197,2646,-3201,2682,-3206,2718,-3210,2755,-3214,2791,-3218,2827,-3221,2863,-3225,2900,-3228,2936,-3232,2972,-3235,3008,-3237,3044,-3241,3081,-3244,3117,-3246,3153,-3248,3190,-3251,3225,-3253,3262,-3255,3298,-3257,3334,-3259,3371,-3261,3407,-3262,3443,-3264,3479,-3266,3515,-3268,3552,-3269,3588,-3269,3624,-3271,3660,-3272,3697,-3273,3733,-3274,3769,-3275,3806,-3276,3842,-3277,3878,-3277,3915,-3278,3950,-3278,3987,-3278,4023,-3279,4059,-3279,4096,-3279,4131,-3280,4168,-3280,4204,-3280,4603,-3280,4639,-3279,4675,-3279,4712,-3279,4747,-3279,4784,-3278,4820,-3278,4856,-3278,4893,-3278,4929,-3278,4965,-3278,5001,-3278,5037,-3277,5074,-3277,5110,-3277,5146,-3277,5182,-3276,5219,-3276,5255,-3276,5291,-3275,5328,-3275,5364,-3275,5400,-3275,5437,-3275,5472,-3274e" filled="false" stroked="true" strokeweight="1.118313pt" strokecolor="#ff00ff">
              <v:path arrowok="t"/>
              <v:stroke dashstyle="solid"/>
            </v:shape>
            <v:shape style="position:absolute;left:1160;top:-3025;width:4312;height:565" coordorigin="1160,-3024" coordsize="4312,565" path="m1160,-2460l1196,-2515,1233,-2572,1269,-2607,1305,-2637,1341,-2669,1377,-2701,1414,-2734,1450,-2769,1486,-2805,1522,-2844,1559,-2882,1631,-2942,1703,-2982,1776,-3004,1849,-3017,1921,-3022,1957,-3023,1993,-3024,2030,-3024,2066,-3023,2102,-3021,2138,-3020,2175,-3017,2211,-3014,2247,-3011,2284,-3008,2319,-3004,2356,-3001,2393,-2997,2428,-2994,2465,-2991,2501,-2988,2537,-2985,2574,-2983,2609,-2980,2646,-2977,2682,-2976,2718,-2974,2755,-2972,2791,-2970,2827,-2969,2863,-2968,2900,-2967,2936,-2966,2972,-2965,3008,-2964,3044,-2963,3081,-2962,3117,-2962,3153,-2961,3190,-2961,3225,-2960,3262,-2960,3298,-2960,3334,-2960,3371,-2960,3407,-2960,3443,-2960,3479,-2960,3515,-2960,3552,-2960,3588,-2960,3624,-2960,3660,-2960,3697,-2961,3733,-2961,3769,-2962,3806,-2962,3842,-2963,3878,-2963,3915,-2964,3950,-2964,3987,-2965,4023,-2966,4059,-2967,4096,-2967,4131,-2968,4168,-2968,4204,-2969,4240,-2970,4277,-2971,4313,-2972,4349,-2973,4385,-2974,4422,-2975,4458,-2976,4494,-2977,4530,-2977,4566,-2978,4603,-2979,4639,-2980,4675,-2981,4712,-2982,4747,-2984,4784,-2985,4820,-2985,4856,-2986,4893,-2987,4929,-2988,4965,-2990,5001,-2991,5037,-2992,5074,-2993,5110,-2994,5146,-2995,5182,-2996,5219,-2997,5255,-2998,5291,-2999,5328,-3000,5364,-3002,5400,-3003,5437,-3003,5472,-3004e" filled="false" stroked="true" strokeweight="1.118499pt" strokecolor="#ff00ff">
              <v:path arrowok="t"/>
              <v:stroke dashstyle="longdash"/>
            </v:shape>
            <v:line style="position:absolute" from="2884,-1559" to="3058,-1559" stroked="true" strokeweight="1.119879pt" strokecolor="#0000ff">
              <v:stroke dashstyle="solid"/>
            </v:line>
            <v:line style="position:absolute" from="4248,-1559" to="4422,-1559" stroked="true" strokeweight="1.119879pt" strokecolor="#0000ff">
              <v:stroke dashstyle="longdash"/>
            </v:line>
            <v:line style="position:absolute" from="2884,-862" to="3058,-862" stroked="true" strokeweight="1.119879pt" strokecolor="#ff00ff">
              <v:stroke dashstyle="solid"/>
            </v:line>
            <v:line style="position:absolute" from="4248,-862" to="4422,-862" stroked="true" strokeweight="1.119879pt" strokecolor="#ff00ff">
              <v:stroke dashstyle="longdash"/>
            </v:line>
            <w10:wrap type="none"/>
          </v:group>
        </w:pict>
      </w:r>
      <w:r>
        <w:rPr/>
        <w:pict>
          <v:group style="position:absolute;margin-left:310.105988pt;margin-top:-180.105957pt;width:234.8pt;height:154.25pt;mso-position-horizontal-relative:page;mso-position-vertical-relative:paragraph;z-index:-253440000" coordorigin="6202,-3602" coordsize="4696,3085">
            <v:rect style="position:absolute;left:6254;top:-3600;width:4642;height:3079" filled="false" stroked="true" strokeweight=".268025pt" strokecolor="#000000">
              <v:stroke dashstyle="solid"/>
            </v:rect>
            <v:shape style="position:absolute;left:681;top:-4900;width:13606;height:8012" coordorigin="682,-4900" coordsize="13606,8012" path="m6254,-521l6254,-3599m6202,-521l6254,-521m6202,-905l6254,-905m6202,-1290l6254,-1290m6202,-1675l6254,-1675m6202,-2060l6254,-2060m6202,-2445l6254,-2445m6202,-2829l6254,-2829m6202,-3214l6254,-3214m6202,-3599l6254,-3599m6254,-521l10895,-521e" filled="false" stroked="true" strokeweight=".262520pt" strokecolor="#858585">
              <v:path arrowok="t"/>
              <v:stroke dashstyle="solid"/>
            </v:shape>
            <v:shape style="position:absolute;left:6254;top:-2924;width:4220;height:2020" coordorigin="6255,-2924" coordsize="4220,2020" path="m6255,-2924l6275,-2793,6296,-2714,6317,-2669,6338,-2648,6359,-2619,6381,-2613,6402,-2556,6424,-2617,6444,-2654,6466,-2636,6487,-2622,6509,-2633,6528,-2590,6549,-2621,6570,-2723,6592,-2806,6612,-2832,6634,-2837,6655,-2791,6676,-2906,6698,-2798,6718,-2640,6740,-2689,6761,-2675,6781,-2690,6803,-2743,6823,-2758,6845,-2749,6866,-2715,6887,-2699,6909,-2628,6929,-2607,6951,-2697,6972,-2710,6993,-2655,7015,-2615,7034,-2594,7055,-2615,7076,-2645,7097,-2565,7118,-2528,7140,-2618,7161,-2550,7182,-2585,7203,-2590,7224,-2618,7246,-2600,7267,-2607,7288,-2616,7309,-2576,7330,-2605,7352,-2618,7372,-2599,7394,-2559,7415,-2508,7436,-2468,7458,-2452,7478,-2409,7500,-2287,7521,-2237,7540,-2207,7562,-2296,7583,-2241,7604,-2176,7625,-2113,7646,-2126,7668,-2121,7689,-2049,7710,-2062,7732,-2088,7753,-2009,7774,-1975,7794,-2024,7815,-2064,7836,-2189,7857,-2217,7878,-2204,7900,-2196,7921,-2142,7942,-2065,7963,-2058,7984,-2010,8006,-2027,8027,-2121,8047,-2138,8069,-2125,8089,-2204,8111,-2239,8132,-2344,8153,-2322,8175,-2313,8195,-2339,8217,-2335,8237,-2337,8259,-2368,8281,-2371,8300,-2448,8322,-2450,8343,-2456,8364,-2446,8385,-2456,8406,-2467,8428,-2447,8449,-2503,8470,-2516,8491,-2560,8512,-2311,8534,-2530,8554,-2608,8575,-2611,8596,-2582,8617,-2637,8638,-2641,8660,-2584,8681,-2438,8702,-2496,8723,-2512,8744,-2512,8766,-2500,8787,-2520,8806,-2486,8828,-2448,8848,-2423,8870,-2353,8891,-2323,8912,-2245,8934,-2088,8954,-2068,8976,-2062,8997,-2149,9019,-2306,9040,-2325,9060,-2361,9081,-2314,9102,-2320,9123,-2253,9144,-2272,9166,-2235,9187,-2184,9208,-2043,9229,-2163,9250,-2301,9272,-2175,9293,-2217,9313,-2216,9334,-2205,9355,-2192,9377,-2042,9398,-1974,9419,-1931,9440,-1906,9462,-1992,9483,-1954,9504,-1936,9526,-1919,9547,-1963,9566,-2014,9588,-2012,9608,-1910,9630,-1905,9651,-1968,9672,-2012,9694,-2059,9714,-2125,9736,-2094,9757,-2089,9778,-2098,9800,-2080,9820,-2012,9841,-1968,9862,-1927,9883,-1873,9904,-1882,9926,-1791,9947,-1649,9968,-1660,9989,-1573,10010,-1523,10032,-1375,10053,-1183,10072,-1106,10094,-1018,10114,-938,10136,-1241,10157,-1465,10178,-1452,10200,-1395,10220,-1411,10242,-1349,10263,-1376,10285,-1425,10306,-1394,10326,-1240,10348,-1211,10368,-1176,10390,-1158,10411,-1016,10432,-904,10454,-918,10474,-965e" filled="false" stroked="true" strokeweight="1.130824pt" strokecolor="#66ff33">
              <v:path arrowok="t"/>
              <v:stroke dashstyle="solid"/>
            </v:shape>
            <v:shape style="position:absolute;left:10474;top:-1452;width:380;height:487" coordorigin="10474,-1452" coordsize="380,487" path="m10474,-965l10496,-1022,10517,-1205,10538,-1319,10560,-1387,10579,-1452,10600,-1413,10621,-1354,10642,-1354,10664,-1298,10685,-1367,10706,-1302,10728,-1329,10749,-1331,10770,-1289,10792,-1246,10813,-1296,10832,-1314,10854,-1252e" filled="false" stroked="true" strokeweight="1.079381pt" strokecolor="#66ff33">
              <v:path arrowok="t"/>
              <v:stroke dashstyle="solid"/>
            </v:shape>
            <v:shape style="position:absolute;left:6254;top:-3237;width:4220;height:1891" coordorigin="6255,-3236" coordsize="4220,1891" path="m6255,-3236l6275,-2976,6296,-2897,6317,-2828,6338,-2944,6359,-2883,6381,-2873,6402,-2798,6424,-2928,6444,-2930,6466,-2865,6487,-2766,6509,-2848,6528,-2830,6549,-2820,6570,-3001,6592,-3037,6612,-3007,6634,-2984,6655,-2941,6676,-3037,6698,-2990,6718,-2975,6740,-3183,6761,-3112,6781,-3073,6803,-3168,6823,-3131,6845,-3144,6866,-3114,6887,-3123,6909,-3061,6929,-2925,6951,-3026,6972,-3023,6993,-3022,7015,-3028,7034,-2957,7055,-2934,7076,-2971,7097,-2797,7118,-2727,7140,-2993,7161,-3197,7182,-3111,7203,-3107,7224,-3034,7246,-3004,7267,-2970,7288,-2933,7309,-2848,7330,-3005,7352,-3079,7372,-3045,7394,-2954,7415,-2887,7436,-2805,7458,-2774,7478,-2751,7500,-2726,7521,-2618,7540,-2500,7562,-2588,7583,-2533,7604,-2435,7625,-2329,7646,-2356,7668,-2351,7689,-2376,7710,-2439,7732,-2472,7753,-2421,7774,-2378,7794,-2371,7815,-2462,7836,-2612,7857,-2667,7878,-2619,7900,-2598,7921,-2542,7942,-2486,7963,-2480,7984,-2415,8006,-2421,8027,-2473,8047,-2470,8069,-2462,8089,-2521,8111,-2516,8132,-2631,8153,-2616,8175,-2614,8195,-2590,8217,-2592,8237,-2557,8259,-2634,8281,-2621,8300,-2752,8322,-2791,8343,-2737,8364,-2717,8385,-2726,8406,-2715,8428,-2702,8449,-2659,8470,-2959,8491,-2974,8512,-2422,8534,-2541,8554,-2653,8575,-2592,8596,-2628,8617,-2817,8638,-2871,8660,-2817,8681,-2750,8702,-2662,8723,-2660,8744,-2737,8766,-2821,8787,-2841,8806,-2864,8828,-2843,8848,-2834,8870,-2660,8891,-2593,8912,-2543,8934,-2408,8954,-2392,8976,-2458,8997,-2608,9019,-2740,9040,-2797,9060,-2800,9081,-2734,9102,-2740,9123,-2656,9144,-2669,9166,-2705,9187,-2337,9208,-2073,9229,-2099,9250,-2050,9272,-2025,9293,-2049,9313,-2071,9334,-2153,9355,-2109,9377,-1929,9398,-1783,9419,-1752,9440,-1849,9462,-1921,9483,-1918,9504,-1848,9526,-1894,9547,-2016,9566,-2071,9588,-2071,9608,-1935,9630,-2026,9651,-2168,9672,-2293,9694,-2377,9714,-2377,9736,-2331,9757,-2428,9778,-2467,9800,-2367,9820,-2304,9841,-2231,9862,-2155,9883,-2073,9904,-2073,9926,-2004,9947,-1923,9968,-1940,9989,-1851,10010,-1838,10032,-1691,10053,-1546,10072,-1608,10094,-1629,10114,-1624,10136,-1789,10157,-1834,10178,-1794,10200,-1695,10220,-1761,10242,-1717,10263,-1754,10285,-1704,10306,-1677,10326,-1560,10348,-1563,10368,-1550,10390,-1539,10411,-1444,10432,-1346,10454,-1374,10474,-1424e" filled="false" stroked="true" strokeweight="1.13309pt" strokecolor="#ff00ff">
              <v:path arrowok="t"/>
              <v:stroke dashstyle="solid"/>
            </v:shape>
            <v:shape style="position:absolute;left:10474;top:-1789;width:380;height:365" coordorigin="10474,-1789" coordsize="380,365" path="m10474,-1424l10496,-1499,10517,-1667,10538,-1789,10560,-1742,10579,-1746,10600,-1753,10621,-1687,10642,-1704,10664,-1620,10685,-1682,10706,-1637,10728,-1610,10749,-1643,10770,-1603,10792,-1578,10813,-1622,10832,-1753,10854,-1718e" filled="false" stroked="true" strokeweight="1.096195pt" strokecolor="#ff00ff">
              <v:path arrowok="t"/>
              <v:stroke dashstyle="solid"/>
            </v:shape>
            <v:shape style="position:absolute;left:6254;top:-2784;width:4220;height:1618" coordorigin="6255,-2784" coordsize="4220,1618" path="m6255,-2121l6275,-2057,6296,-2002,6317,-2048,6338,-2107,6359,-2094,6381,-2129,6402,-2180,6424,-2251,6444,-2238,6466,-2172,6487,-2114,6509,-2118,6528,-2143,6549,-2156,6570,-2343,6592,-2389,6612,-2407,6634,-2367,6655,-2307,6676,-2414,6698,-2357,6718,-2254,6740,-2322,6761,-2348,6781,-2345,6803,-2444,6823,-2460,6845,-2489,6866,-2427,6887,-2407,6909,-2366,6929,-2275,6951,-2360,6972,-2383,6993,-2350,7015,-2312,7034,-2312,7055,-2388,7076,-2432,7097,-2346,7118,-2335,7140,-2448,7161,-2393,7182,-2424,7203,-2435,7224,-2455,7246,-2426,7267,-2397,7288,-2406,7309,-2354,7330,-2426,7352,-2447,7372,-2430,7394,-2389,7415,-2355,7436,-2345,7458,-2332,7478,-2301,7500,-2257,7521,-2277,7540,-2266,7562,-2340,7583,-2295,7604,-2226,7625,-2189,7646,-2203,7668,-2194,7689,-2156,7710,-2194,7732,-2142,7753,-2097,7774,-2014,7794,-2050,7815,-2105,7836,-2192,7857,-2204,7878,-2214,7900,-2204,7921,-2174,7942,-2121,7963,-2125,7984,-2081,8006,-2108,8027,-2160,8047,-2178,8069,-2160,8089,-2281,8111,-2315,8132,-2407,8153,-2378,8175,-2301,8195,-2313,8217,-2332,8237,-2302,8259,-2317,8281,-2294,8300,-2401,8322,-2438,8343,-2534,8364,-2526,8385,-2480,8406,-2489,8428,-2441,8449,-2416,8470,-2544,8491,-2596,8512,-2320,8534,-2444,8554,-2574,8575,-2418,8596,-2494,8617,-2624,8638,-2625,8660,-2532,8681,-2465,8702,-2454,8723,-2450,8744,-2524,8766,-2610,8787,-2625,8806,-2720,8828,-2773,8848,-2784,8870,-2678,8891,-2630,8912,-2616,8934,-2516,8954,-2480,8976,-2498,8997,-2610,9019,-2656,9040,-2633,9060,-2631,9081,-2610,9102,-2614,9123,-2574,9144,-2621,9166,-2633,9187,-2450,9208,-2228,9229,-2131,9250,-2036,9272,-2038,9293,-2002,9313,-2136,9334,-2157,9355,-2097,9377,-1967,9398,-1849,9419,-1824,9440,-1837,9462,-1867,9483,-1884,9504,-1875,9526,-1892,9547,-1994,9566,-2084,9588,-2039,9608,-1930,9630,-1986,9651,-2102,9672,-2198,9694,-2287,9714,-2285,9736,-2204,9757,-2254,9778,-2295,9800,-2210,9820,-2155,9841,-2144,9862,-2119,9883,-2067,9904,-2075,9926,-2007,9947,-1908,9968,-1882,9989,-1801,10010,-1765,10032,-1626,10053,-1459,10072,-1511,10094,-1531,10114,-1509,10136,-1658,10157,-1738,10178,-1697,10200,-1602,10220,-1593,10242,-1611,10263,-1661,10285,-1639,10306,-1601,10326,-1538,10348,-1565,10368,-1588,10390,-1556,10411,-1446,10432,-1280,10454,-1166,10474,-1219e" filled="false" stroked="true" strokeweight="1.137697pt" strokecolor="#0000ff">
              <v:path arrowok="t"/>
              <v:stroke dashstyle="solid"/>
            </v:shape>
            <v:shape style="position:absolute;left:10474;top:-1548;width:380;height:329" coordorigin="10474,-1548" coordsize="380,329" path="m10474,-1219l10496,-1344,10517,-1499,10538,-1548,10560,-1530,10579,-1498,10600,-1448,10621,-1379,10642,-1413,10664,-1387,10685,-1471,10706,-1408,10728,-1425,10749,-1458,10770,-1414,10792,-1371,10813,-1393,10832,-1458,10854,-1391e" filled="false" stroked="true" strokeweight="1.102268pt" strokecolor="#0000ff">
              <v:path arrowok="t"/>
              <v:stroke dashstyle="solid"/>
            </v:shape>
            <v:line style="position:absolute" from="7045,-3308" to="7178,-3308" stroked="true" strokeweight="1.152809pt" strokecolor="#66ff33">
              <v:stroke dashstyle="solid"/>
            </v:line>
            <v:line style="position:absolute" from="7886,-3308" to="8019,-3308" stroked="true" strokeweight="1.152809pt" strokecolor="#ff00ff">
              <v:stroke dashstyle="solid"/>
            </v:line>
            <v:line style="position:absolute" from="8732,-3308" to="8864,-3308" stroked="true" strokeweight="1.152809pt" strokecolor="#0000ff">
              <v:stroke dashstyle="solid"/>
            </v:line>
            <w10:wrap type="none"/>
          </v:group>
        </w:pict>
      </w:r>
      <w:r>
        <w:rPr>
          <w:sz w:val="16"/>
        </w:rPr>
        <w:t>Sources: Bank of England</w:t>
      </w:r>
    </w:p>
    <w:p>
      <w:pPr>
        <w:spacing w:after="0"/>
        <w:jc w:val="left"/>
        <w:rPr>
          <w:sz w:val="16"/>
        </w:rPr>
        <w:sectPr>
          <w:pgSz w:w="11910" w:h="16840"/>
          <w:pgMar w:header="0" w:footer="1338" w:top="1580" w:bottom="1520" w:left="460" w:right="0"/>
        </w:sectPr>
      </w:pPr>
    </w:p>
    <w:p>
      <w:pPr>
        <w:pStyle w:val="BodyText"/>
      </w:pPr>
    </w:p>
    <w:p>
      <w:pPr>
        <w:pStyle w:val="BodyText"/>
        <w:spacing w:before="3" w:after="1"/>
        <w:rPr>
          <w:sz w:val="1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90"/>
        <w:gridCol w:w="125"/>
        <w:gridCol w:w="111"/>
        <w:gridCol w:w="5235"/>
        <w:gridCol w:w="122"/>
      </w:tblGrid>
      <w:tr>
        <w:trPr>
          <w:trHeight w:val="681" w:hRule="atLeast"/>
        </w:trPr>
        <w:tc>
          <w:tcPr>
            <w:tcW w:w="5226" w:type="dxa"/>
            <w:gridSpan w:val="3"/>
            <w:tcBorders>
              <w:bottom w:val="single" w:sz="6" w:space="0" w:color="000000"/>
            </w:tcBorders>
          </w:tcPr>
          <w:p>
            <w:pPr>
              <w:pStyle w:val="TableParagraph"/>
              <w:spacing w:line="340" w:lineRule="exact" w:before="23"/>
              <w:ind w:left="107" w:right="297"/>
              <w:rPr>
                <w:sz w:val="20"/>
              </w:rPr>
            </w:pPr>
            <w:r>
              <w:rPr>
                <w:sz w:val="20"/>
              </w:rPr>
              <w:t>Figure 12. UK – External Forecasters Expectations for Bank Rate Five Years Ahead, 1998-2018</w:t>
            </w:r>
          </w:p>
        </w:tc>
        <w:tc>
          <w:tcPr>
            <w:tcW w:w="5468" w:type="dxa"/>
            <w:gridSpan w:val="3"/>
            <w:tcBorders>
              <w:bottom w:val="single" w:sz="6" w:space="0" w:color="000000"/>
            </w:tcBorders>
          </w:tcPr>
          <w:p>
            <w:pPr>
              <w:pStyle w:val="TableParagraph"/>
              <w:spacing w:before="107"/>
              <w:ind w:left="110"/>
              <w:rPr>
                <w:sz w:val="20"/>
              </w:rPr>
            </w:pPr>
            <w:r>
              <w:rPr>
                <w:sz w:val="20"/>
              </w:rPr>
              <w:t>Figure 13. UK – Jobless Rate and Pay Growth, 1990-2018</w:t>
            </w:r>
          </w:p>
        </w:tc>
      </w:tr>
      <w:tr>
        <w:trPr>
          <w:trHeight w:val="3384" w:hRule="atLeast"/>
        </w:trPr>
        <w:tc>
          <w:tcPr>
            <w:tcW w:w="111" w:type="dxa"/>
            <w:vMerge w:val="restart"/>
            <w:tcBorders>
              <w:right w:val="single" w:sz="4" w:space="0" w:color="858585"/>
            </w:tcBorders>
          </w:tcPr>
          <w:p>
            <w:pPr>
              <w:pStyle w:val="TableParagraph"/>
              <w:rPr>
                <w:rFonts w:ascii="Times New Roman"/>
                <w:sz w:val="16"/>
              </w:rPr>
            </w:pPr>
          </w:p>
        </w:tc>
        <w:tc>
          <w:tcPr>
            <w:tcW w:w="4990" w:type="dxa"/>
            <w:vMerge w:val="restart"/>
            <w:tcBorders>
              <w:top w:val="single" w:sz="6" w:space="0" w:color="000000"/>
              <w:left w:val="single" w:sz="4" w:space="0" w:color="858585"/>
              <w:right w:val="single" w:sz="4" w:space="0" w:color="858585"/>
            </w:tcBorders>
          </w:tcPr>
          <w:p>
            <w:pPr>
              <w:pStyle w:val="TableParagraph"/>
              <w:spacing w:line="186" w:lineRule="exact"/>
              <w:ind w:left="10"/>
              <w:rPr>
                <w:rFonts w:ascii="Calibri"/>
                <w:b/>
                <w:sz w:val="18"/>
              </w:rPr>
            </w:pPr>
            <w:r>
              <w:rPr>
                <w:rFonts w:ascii="Calibri"/>
                <w:b/>
                <w:sz w:val="18"/>
              </w:rPr>
              <w:t>8.0</w:t>
            </w:r>
          </w:p>
          <w:p>
            <w:pPr>
              <w:pStyle w:val="TableParagraph"/>
              <w:tabs>
                <w:tab w:pos="2936" w:val="left" w:leader="none"/>
              </w:tabs>
              <w:spacing w:line="150" w:lineRule="exact"/>
              <w:ind w:left="484"/>
              <w:rPr>
                <w:rFonts w:ascii="Calibri"/>
                <w:b/>
                <w:sz w:val="18"/>
              </w:rPr>
            </w:pPr>
            <w:r>
              <w:rPr>
                <w:rFonts w:ascii="Calibri"/>
                <w:b/>
                <w:sz w:val="18"/>
              </w:rPr>
              <w:t>%</w:t>
              <w:tab/>
            </w:r>
            <w:r>
              <w:rPr>
                <w:rFonts w:ascii="Calibri"/>
                <w:b/>
                <w:w w:val="90"/>
                <w:sz w:val="18"/>
                <w:u w:val="thick" w:color="FF00FF"/>
              </w:rPr>
              <w:t> </w:t>
            </w:r>
            <w:r>
              <w:rPr>
                <w:rFonts w:ascii="Calibri"/>
                <w:b/>
                <w:spacing w:val="7"/>
                <w:sz w:val="18"/>
                <w:u w:val="thick" w:color="FF00FF"/>
              </w:rPr>
              <w:t> </w:t>
            </w:r>
          </w:p>
          <w:p>
            <w:pPr>
              <w:pStyle w:val="TableParagraph"/>
              <w:tabs>
                <w:tab w:pos="3081" w:val="left" w:leader="none"/>
              </w:tabs>
              <w:spacing w:line="165" w:lineRule="auto"/>
              <w:ind w:left="10"/>
              <w:rPr>
                <w:rFonts w:ascii="Calibri"/>
                <w:b/>
                <w:sz w:val="18"/>
              </w:rPr>
            </w:pPr>
            <w:r>
              <w:rPr>
                <w:rFonts w:ascii="Calibri"/>
                <w:b/>
                <w:position w:val="-8"/>
                <w:sz w:val="18"/>
              </w:rPr>
              <w:t>7.0</w:t>
              <w:tab/>
            </w:r>
            <w:r>
              <w:rPr>
                <w:rFonts w:ascii="Calibri"/>
                <w:b/>
                <w:sz w:val="18"/>
              </w:rPr>
              <w:t>Average of</w:t>
            </w:r>
            <w:r>
              <w:rPr>
                <w:rFonts w:ascii="Calibri"/>
                <w:b/>
                <w:spacing w:val="-23"/>
                <w:sz w:val="18"/>
              </w:rPr>
              <w:t> </w:t>
            </w:r>
            <w:r>
              <w:rPr>
                <w:rFonts w:ascii="Calibri"/>
                <w:b/>
                <w:sz w:val="18"/>
              </w:rPr>
              <w:t>External</w:t>
            </w:r>
          </w:p>
          <w:p>
            <w:pPr>
              <w:pStyle w:val="TableParagraph"/>
              <w:spacing w:line="177" w:lineRule="exact"/>
              <w:ind w:left="3081"/>
              <w:rPr>
                <w:rFonts w:ascii="Calibri"/>
                <w:b/>
                <w:sz w:val="18"/>
              </w:rPr>
            </w:pPr>
            <w:r>
              <w:rPr>
                <w:rFonts w:ascii="Calibri"/>
                <w:b/>
                <w:sz w:val="18"/>
              </w:rPr>
              <w:t>Forecasts</w:t>
            </w:r>
          </w:p>
          <w:p>
            <w:pPr>
              <w:pStyle w:val="TableParagraph"/>
              <w:spacing w:before="3"/>
              <w:ind w:left="10"/>
              <w:rPr>
                <w:rFonts w:ascii="Calibri"/>
                <w:b/>
                <w:sz w:val="18"/>
              </w:rPr>
            </w:pPr>
            <w:r>
              <w:rPr>
                <w:rFonts w:ascii="Calibri"/>
                <w:b/>
                <w:sz w:val="18"/>
              </w:rPr>
              <w:t>6.0</w:t>
            </w:r>
          </w:p>
          <w:p>
            <w:pPr>
              <w:pStyle w:val="TableParagraph"/>
              <w:spacing w:before="4"/>
              <w:rPr>
                <w:sz w:val="14"/>
              </w:rPr>
            </w:pPr>
          </w:p>
          <w:p>
            <w:pPr>
              <w:pStyle w:val="TableParagraph"/>
              <w:ind w:left="10"/>
              <w:rPr>
                <w:rFonts w:ascii="Calibri"/>
                <w:b/>
                <w:sz w:val="18"/>
              </w:rPr>
            </w:pPr>
            <w:r>
              <w:rPr>
                <w:rFonts w:ascii="Calibri"/>
                <w:b/>
                <w:sz w:val="18"/>
              </w:rPr>
              <w:t>5.0</w:t>
            </w:r>
          </w:p>
          <w:p>
            <w:pPr>
              <w:pStyle w:val="TableParagraph"/>
              <w:spacing w:before="5"/>
              <w:rPr>
                <w:sz w:val="14"/>
              </w:rPr>
            </w:pPr>
          </w:p>
          <w:p>
            <w:pPr>
              <w:pStyle w:val="TableParagraph"/>
              <w:ind w:left="10"/>
              <w:rPr>
                <w:rFonts w:ascii="Calibri"/>
                <w:b/>
                <w:sz w:val="18"/>
              </w:rPr>
            </w:pPr>
            <w:r>
              <w:rPr>
                <w:rFonts w:ascii="Calibri"/>
                <w:b/>
                <w:sz w:val="18"/>
              </w:rPr>
              <w:t>4.0</w:t>
            </w:r>
          </w:p>
          <w:p>
            <w:pPr>
              <w:pStyle w:val="TableParagraph"/>
              <w:spacing w:before="4"/>
              <w:rPr>
                <w:sz w:val="14"/>
              </w:rPr>
            </w:pPr>
          </w:p>
          <w:p>
            <w:pPr>
              <w:pStyle w:val="TableParagraph"/>
              <w:ind w:left="10"/>
              <w:rPr>
                <w:rFonts w:ascii="Calibri"/>
                <w:b/>
                <w:sz w:val="18"/>
              </w:rPr>
            </w:pPr>
            <w:r>
              <w:rPr>
                <w:rFonts w:ascii="Calibri"/>
                <w:b/>
                <w:sz w:val="18"/>
              </w:rPr>
              <w:t>3.0</w:t>
            </w:r>
          </w:p>
          <w:p>
            <w:pPr>
              <w:pStyle w:val="TableParagraph"/>
              <w:tabs>
                <w:tab w:pos="1054" w:val="left" w:leader="none"/>
              </w:tabs>
              <w:spacing w:line="163" w:lineRule="auto" w:before="77"/>
              <w:ind w:left="1054" w:right="2728" w:hanging="1045"/>
              <w:rPr>
                <w:rFonts w:ascii="Calibri"/>
                <w:b/>
                <w:sz w:val="18"/>
              </w:rPr>
            </w:pPr>
            <w:r>
              <w:rPr>
                <w:rFonts w:ascii="Calibri"/>
                <w:b/>
                <w:position w:val="-10"/>
                <w:sz w:val="18"/>
              </w:rPr>
              <w:t>2.0</w:t>
              <w:tab/>
            </w:r>
            <w:r>
              <w:rPr>
                <w:rFonts w:ascii="Calibri"/>
                <w:b/>
                <w:w w:val="90"/>
                <w:sz w:val="18"/>
              </w:rPr>
              <w:t>Range of External </w:t>
            </w:r>
            <w:r>
              <w:rPr>
                <w:rFonts w:ascii="Calibri"/>
                <w:b/>
                <w:sz w:val="18"/>
              </w:rPr>
              <w:t>Forecasts</w:t>
            </w:r>
          </w:p>
          <w:p>
            <w:pPr>
              <w:pStyle w:val="TableParagraph"/>
              <w:spacing w:before="64"/>
              <w:ind w:left="10"/>
              <w:rPr>
                <w:rFonts w:ascii="Calibri"/>
                <w:b/>
                <w:sz w:val="18"/>
              </w:rPr>
            </w:pPr>
            <w:r>
              <w:rPr>
                <w:rFonts w:ascii="Calibri"/>
                <w:b/>
                <w:sz w:val="18"/>
              </w:rPr>
              <w:t>1.0</w:t>
            </w:r>
          </w:p>
          <w:p>
            <w:pPr>
              <w:pStyle w:val="TableParagraph"/>
              <w:spacing w:before="4"/>
              <w:rPr>
                <w:sz w:val="14"/>
              </w:rPr>
            </w:pPr>
          </w:p>
          <w:p>
            <w:pPr>
              <w:pStyle w:val="TableParagraph"/>
              <w:ind w:left="10"/>
              <w:rPr>
                <w:rFonts w:ascii="Calibri"/>
                <w:b/>
                <w:sz w:val="18"/>
              </w:rPr>
            </w:pPr>
            <w:r>
              <w:rPr>
                <w:rFonts w:ascii="Calibri"/>
                <w:b/>
                <w:sz w:val="18"/>
              </w:rPr>
              <w:t>0.0</w:t>
            </w:r>
          </w:p>
          <w:p>
            <w:pPr>
              <w:pStyle w:val="TableParagraph"/>
              <w:tabs>
                <w:tab w:pos="1085" w:val="left" w:leader="none"/>
                <w:tab w:pos="1939" w:val="left" w:leader="none"/>
                <w:tab w:pos="2794" w:val="left" w:leader="none"/>
                <w:tab w:pos="3648" w:val="left" w:leader="none"/>
                <w:tab w:pos="4502" w:val="left" w:leader="none"/>
              </w:tabs>
              <w:spacing w:before="20"/>
              <w:ind w:left="232"/>
              <w:rPr>
                <w:rFonts w:ascii="Calibri"/>
                <w:b/>
                <w:sz w:val="18"/>
              </w:rPr>
            </w:pPr>
            <w:r>
              <w:rPr>
                <w:rFonts w:ascii="Calibri"/>
                <w:b/>
                <w:sz w:val="18"/>
              </w:rPr>
              <w:t>1998</w:t>
              <w:tab/>
              <w:t>2002</w:t>
              <w:tab/>
              <w:t>2006</w:t>
              <w:tab/>
              <w:t>2010</w:t>
              <w:tab/>
              <w:t>2014</w:t>
              <w:tab/>
              <w:t>2018</w:t>
            </w:r>
          </w:p>
        </w:tc>
        <w:tc>
          <w:tcPr>
            <w:tcW w:w="125" w:type="dxa"/>
            <w:vMerge w:val="restart"/>
            <w:tcBorders>
              <w:left w:val="single" w:sz="4" w:space="0" w:color="858585"/>
            </w:tcBorders>
          </w:tcPr>
          <w:p>
            <w:pPr>
              <w:pStyle w:val="TableParagraph"/>
              <w:rPr>
                <w:rFonts w:ascii="Times New Roman"/>
                <w:sz w:val="16"/>
              </w:rPr>
            </w:pPr>
          </w:p>
        </w:tc>
        <w:tc>
          <w:tcPr>
            <w:tcW w:w="111" w:type="dxa"/>
            <w:tcBorders>
              <w:bottom w:val="nil"/>
              <w:right w:val="single" w:sz="4" w:space="0" w:color="858585"/>
            </w:tcBorders>
          </w:tcPr>
          <w:p>
            <w:pPr>
              <w:pStyle w:val="TableParagraph"/>
              <w:rPr>
                <w:rFonts w:ascii="Times New Roman"/>
                <w:sz w:val="16"/>
              </w:rPr>
            </w:pPr>
          </w:p>
        </w:tc>
        <w:tc>
          <w:tcPr>
            <w:tcW w:w="5235" w:type="dxa"/>
            <w:tcBorders>
              <w:top w:val="single" w:sz="6" w:space="0" w:color="000000"/>
              <w:left w:val="single" w:sz="4" w:space="0" w:color="858585"/>
              <w:bottom w:val="single" w:sz="4" w:space="0" w:color="858585"/>
              <w:right w:val="single" w:sz="4" w:space="0" w:color="858585"/>
            </w:tcBorders>
          </w:tcPr>
          <w:p>
            <w:pPr>
              <w:pStyle w:val="TableParagraph"/>
              <w:spacing w:line="189" w:lineRule="exact" w:before="105"/>
              <w:ind w:left="326"/>
              <w:rPr>
                <w:rFonts w:ascii="Calibri"/>
                <w:b/>
                <w:sz w:val="17"/>
              </w:rPr>
            </w:pPr>
            <w:r>
              <w:rPr>
                <w:rFonts w:ascii="Calibri"/>
                <w:b/>
                <w:sz w:val="17"/>
              </w:rPr>
              <w:t>12</w:t>
            </w:r>
          </w:p>
          <w:p>
            <w:pPr>
              <w:pStyle w:val="TableParagraph"/>
              <w:spacing w:line="159" w:lineRule="exact"/>
              <w:ind w:left="750"/>
              <w:rPr>
                <w:rFonts w:ascii="Calibri"/>
                <w:b/>
                <w:sz w:val="17"/>
              </w:rPr>
            </w:pPr>
            <w:r>
              <w:rPr>
                <w:rFonts w:ascii="Calibri"/>
                <w:b/>
                <w:w w:val="100"/>
                <w:sz w:val="17"/>
              </w:rPr>
              <w:t>%</w:t>
            </w:r>
          </w:p>
          <w:p>
            <w:pPr>
              <w:pStyle w:val="TableParagraph"/>
              <w:tabs>
                <w:tab w:pos="2440" w:val="left" w:leader="none"/>
              </w:tabs>
              <w:spacing w:line="194" w:lineRule="auto"/>
              <w:ind w:left="326"/>
              <w:rPr>
                <w:rFonts w:ascii="Calibri"/>
                <w:b/>
                <w:sz w:val="17"/>
              </w:rPr>
            </w:pPr>
            <w:r>
              <w:rPr>
                <w:rFonts w:ascii="Calibri"/>
                <w:b/>
                <w:position w:val="-5"/>
                <w:sz w:val="17"/>
              </w:rPr>
              <w:t>10</w:t>
              <w:tab/>
            </w:r>
            <w:r>
              <w:rPr>
                <w:rFonts w:ascii="Calibri"/>
                <w:b/>
                <w:sz w:val="17"/>
              </w:rPr>
              <w:t>1990</w:t>
            </w:r>
          </w:p>
          <w:p>
            <w:pPr>
              <w:pStyle w:val="TableParagraph"/>
              <w:spacing w:before="178"/>
              <w:ind w:left="413"/>
              <w:rPr>
                <w:rFonts w:ascii="Calibri"/>
                <w:b/>
                <w:sz w:val="17"/>
              </w:rPr>
            </w:pPr>
            <w:r>
              <w:rPr>
                <w:rFonts w:ascii="Calibri"/>
                <w:b/>
                <w:w w:val="100"/>
                <w:sz w:val="17"/>
              </w:rPr>
              <w:t>8</w:t>
            </w:r>
          </w:p>
          <w:p>
            <w:pPr>
              <w:pStyle w:val="TableParagraph"/>
              <w:spacing w:before="11"/>
              <w:rPr>
                <w:sz w:val="13"/>
              </w:rPr>
            </w:pPr>
          </w:p>
          <w:p>
            <w:pPr>
              <w:pStyle w:val="TableParagraph"/>
              <w:tabs>
                <w:tab w:pos="920" w:val="left" w:leader="none"/>
              </w:tabs>
              <w:ind w:left="413"/>
              <w:rPr>
                <w:rFonts w:ascii="Calibri"/>
                <w:b/>
                <w:sz w:val="17"/>
              </w:rPr>
            </w:pPr>
            <w:r>
              <w:rPr>
                <w:rFonts w:ascii="Calibri"/>
                <w:b/>
                <w:sz w:val="17"/>
              </w:rPr>
              <w:t>6</w:t>
              <w:tab/>
            </w:r>
            <w:r>
              <w:rPr>
                <w:rFonts w:ascii="Calibri"/>
                <w:b/>
                <w:position w:val="1"/>
                <w:sz w:val="17"/>
              </w:rPr>
              <w:t>2000-08</w:t>
            </w:r>
          </w:p>
          <w:p>
            <w:pPr>
              <w:pStyle w:val="TableParagraph"/>
              <w:spacing w:before="9"/>
              <w:rPr>
                <w:sz w:val="14"/>
              </w:rPr>
            </w:pPr>
          </w:p>
          <w:p>
            <w:pPr>
              <w:pStyle w:val="TableParagraph"/>
              <w:spacing w:line="205" w:lineRule="exact" w:before="1"/>
              <w:ind w:left="413"/>
              <w:rPr>
                <w:rFonts w:ascii="Calibri"/>
                <w:b/>
                <w:sz w:val="17"/>
              </w:rPr>
            </w:pPr>
            <w:r>
              <w:rPr>
                <w:rFonts w:ascii="Calibri"/>
                <w:b/>
                <w:w w:val="100"/>
                <w:sz w:val="17"/>
              </w:rPr>
              <w:t>4</w:t>
            </w:r>
          </w:p>
          <w:p>
            <w:pPr>
              <w:pStyle w:val="TableParagraph"/>
              <w:spacing w:line="190" w:lineRule="exact"/>
              <w:ind w:left="4734"/>
              <w:rPr>
                <w:rFonts w:ascii="Calibri"/>
                <w:b/>
                <w:sz w:val="17"/>
              </w:rPr>
            </w:pPr>
            <w:r>
              <w:rPr>
                <w:rFonts w:ascii="Calibri"/>
                <w:b/>
                <w:sz w:val="17"/>
              </w:rPr>
              <w:t>1993</w:t>
            </w:r>
          </w:p>
          <w:p>
            <w:pPr>
              <w:pStyle w:val="TableParagraph"/>
              <w:tabs>
                <w:tab w:pos="3286" w:val="left" w:leader="none"/>
              </w:tabs>
              <w:spacing w:line="193" w:lineRule="exact"/>
              <w:ind w:left="413"/>
              <w:rPr>
                <w:rFonts w:ascii="Calibri"/>
                <w:b/>
                <w:sz w:val="17"/>
              </w:rPr>
            </w:pPr>
            <w:r>
              <w:rPr>
                <w:rFonts w:ascii="Calibri"/>
                <w:b/>
                <w:sz w:val="17"/>
              </w:rPr>
              <w:t>2</w:t>
              <w:tab/>
              <w:t>2011</w:t>
            </w:r>
          </w:p>
          <w:p>
            <w:pPr>
              <w:pStyle w:val="TableParagraph"/>
              <w:tabs>
                <w:tab w:pos="757" w:val="left" w:leader="none"/>
              </w:tabs>
              <w:spacing w:line="165" w:lineRule="auto" w:before="109"/>
              <w:ind w:left="413"/>
              <w:rPr>
                <w:rFonts w:ascii="Calibri"/>
                <w:b/>
                <w:sz w:val="17"/>
              </w:rPr>
            </w:pPr>
            <w:r>
              <w:rPr>
                <w:rFonts w:ascii="Calibri"/>
                <w:b/>
                <w:position w:val="-7"/>
                <w:sz w:val="17"/>
              </w:rPr>
              <w:t>0</w:t>
              <w:tab/>
            </w:r>
            <w:r>
              <w:rPr>
                <w:rFonts w:ascii="Calibri"/>
                <w:b/>
                <w:sz w:val="17"/>
              </w:rPr>
              <w:t>2018</w:t>
            </w:r>
            <w:r>
              <w:rPr>
                <w:rFonts w:ascii="Calibri"/>
                <w:b/>
                <w:spacing w:val="1"/>
                <w:sz w:val="17"/>
              </w:rPr>
              <w:t> </w:t>
            </w:r>
            <w:r>
              <w:rPr>
                <w:rFonts w:ascii="Calibri"/>
                <w:b/>
                <w:sz w:val="17"/>
              </w:rPr>
              <w:t>to</w:t>
            </w:r>
          </w:p>
          <w:p>
            <w:pPr>
              <w:pStyle w:val="TableParagraph"/>
              <w:spacing w:line="169" w:lineRule="exact"/>
              <w:ind w:left="757"/>
              <w:rPr>
                <w:rFonts w:ascii="Calibri"/>
                <w:b/>
                <w:sz w:val="17"/>
              </w:rPr>
            </w:pPr>
            <w:r>
              <w:rPr>
                <w:rFonts w:ascii="Calibri"/>
                <w:b/>
                <w:sz w:val="17"/>
              </w:rPr>
              <w:t>date</w:t>
            </w:r>
          </w:p>
          <w:p>
            <w:pPr>
              <w:pStyle w:val="TableParagraph"/>
              <w:spacing w:line="199" w:lineRule="exact" w:before="46"/>
              <w:ind w:left="361"/>
              <w:rPr>
                <w:rFonts w:ascii="Calibri"/>
                <w:b/>
                <w:sz w:val="17"/>
              </w:rPr>
            </w:pPr>
            <w:r>
              <w:rPr>
                <w:rFonts w:ascii="Calibri"/>
                <w:b/>
                <w:sz w:val="17"/>
              </w:rPr>
              <w:t>-2</w:t>
            </w:r>
          </w:p>
          <w:p>
            <w:pPr>
              <w:pStyle w:val="TableParagraph"/>
              <w:tabs>
                <w:tab w:pos="1250" w:val="left" w:leader="none"/>
                <w:tab w:pos="1884" w:val="left" w:leader="none"/>
                <w:tab w:pos="2518" w:val="left" w:leader="none"/>
                <w:tab w:pos="3152" w:val="left" w:leader="none"/>
                <w:tab w:pos="3786" w:val="left" w:leader="none"/>
                <w:tab w:pos="4377" w:val="left" w:leader="none"/>
                <w:tab w:pos="5011" w:val="left" w:leader="none"/>
              </w:tabs>
              <w:spacing w:line="196" w:lineRule="exact"/>
              <w:ind w:left="616"/>
              <w:rPr>
                <w:rFonts w:ascii="Calibri"/>
                <w:b/>
                <w:sz w:val="17"/>
              </w:rPr>
            </w:pPr>
            <w:r>
              <w:rPr>
                <w:rFonts w:ascii="Calibri"/>
                <w:b/>
                <w:sz w:val="17"/>
              </w:rPr>
              <w:t>4</w:t>
              <w:tab/>
              <w:t>5</w:t>
              <w:tab/>
              <w:t>6</w:t>
              <w:tab/>
              <w:t>7</w:t>
              <w:tab/>
              <w:t>8</w:t>
              <w:tab/>
              <w:t>9</w:t>
              <w:tab/>
              <w:t>10 </w:t>
            </w:r>
            <w:r>
              <w:rPr>
                <w:rFonts w:ascii="Calibri"/>
                <w:b/>
                <w:spacing w:val="11"/>
                <w:sz w:val="17"/>
              </w:rPr>
              <w:t> </w:t>
            </w:r>
            <w:r>
              <w:rPr>
                <w:rFonts w:ascii="Calibri"/>
                <w:position w:val="6"/>
                <w:sz w:val="14"/>
              </w:rPr>
              <w:t>%</w:t>
              <w:tab/>
            </w:r>
            <w:r>
              <w:rPr>
                <w:rFonts w:ascii="Calibri"/>
                <w:b/>
                <w:sz w:val="17"/>
              </w:rPr>
              <w:t>11</w:t>
            </w:r>
          </w:p>
          <w:p>
            <w:pPr>
              <w:pStyle w:val="TableParagraph"/>
              <w:spacing w:line="172" w:lineRule="exact"/>
              <w:ind w:left="1810" w:right="2472"/>
              <w:jc w:val="center"/>
              <w:rPr>
                <w:rFonts w:ascii="Calibri"/>
                <w:b/>
                <w:sz w:val="17"/>
              </w:rPr>
            </w:pPr>
            <w:r>
              <w:rPr>
                <w:rFonts w:ascii="Calibri"/>
                <w:b/>
                <w:sz w:val="17"/>
              </w:rPr>
              <w:t>Jobless  Rate</w:t>
            </w:r>
          </w:p>
        </w:tc>
        <w:tc>
          <w:tcPr>
            <w:tcW w:w="122" w:type="dxa"/>
            <w:tcBorders>
              <w:left w:val="single" w:sz="4" w:space="0" w:color="858585"/>
              <w:bottom w:val="nil"/>
            </w:tcBorders>
          </w:tcPr>
          <w:p>
            <w:pPr>
              <w:pStyle w:val="TableParagraph"/>
              <w:rPr>
                <w:rFonts w:ascii="Times New Roman"/>
                <w:sz w:val="16"/>
              </w:rPr>
            </w:pPr>
          </w:p>
        </w:tc>
      </w:tr>
      <w:tr>
        <w:trPr>
          <w:trHeight w:val="301" w:hRule="atLeast"/>
        </w:trPr>
        <w:tc>
          <w:tcPr>
            <w:tcW w:w="111" w:type="dxa"/>
            <w:vMerge/>
            <w:tcBorders>
              <w:top w:val="nil"/>
              <w:right w:val="single" w:sz="4" w:space="0" w:color="858585"/>
            </w:tcBorders>
          </w:tcPr>
          <w:p>
            <w:pPr>
              <w:rPr>
                <w:sz w:val="2"/>
                <w:szCs w:val="2"/>
              </w:rPr>
            </w:pPr>
          </w:p>
        </w:tc>
        <w:tc>
          <w:tcPr>
            <w:tcW w:w="4990" w:type="dxa"/>
            <w:vMerge/>
            <w:tcBorders>
              <w:top w:val="nil"/>
              <w:left w:val="single" w:sz="4" w:space="0" w:color="858585"/>
              <w:right w:val="single" w:sz="4" w:space="0" w:color="858585"/>
            </w:tcBorders>
          </w:tcPr>
          <w:p>
            <w:pPr>
              <w:rPr>
                <w:sz w:val="2"/>
                <w:szCs w:val="2"/>
              </w:rPr>
            </w:pPr>
          </w:p>
        </w:tc>
        <w:tc>
          <w:tcPr>
            <w:tcW w:w="125" w:type="dxa"/>
            <w:vMerge/>
            <w:tcBorders>
              <w:top w:val="nil"/>
              <w:left w:val="single" w:sz="4" w:space="0" w:color="858585"/>
            </w:tcBorders>
          </w:tcPr>
          <w:p>
            <w:pPr>
              <w:rPr>
                <w:sz w:val="2"/>
                <w:szCs w:val="2"/>
              </w:rPr>
            </w:pPr>
          </w:p>
        </w:tc>
        <w:tc>
          <w:tcPr>
            <w:tcW w:w="5468" w:type="dxa"/>
            <w:gridSpan w:val="3"/>
            <w:tcBorders>
              <w:top w:val="single" w:sz="4" w:space="0" w:color="858585"/>
            </w:tcBorders>
          </w:tcPr>
          <w:p>
            <w:pPr>
              <w:pStyle w:val="TableParagraph"/>
              <w:rPr>
                <w:rFonts w:ascii="Times New Roman"/>
                <w:sz w:val="16"/>
              </w:rPr>
            </w:pPr>
          </w:p>
        </w:tc>
      </w:tr>
    </w:tbl>
    <w:p>
      <w:pPr>
        <w:spacing w:line="444" w:lineRule="auto" w:before="152"/>
        <w:ind w:left="673" w:right="1133" w:firstLine="0"/>
        <w:jc w:val="left"/>
        <w:rPr>
          <w:sz w:val="16"/>
        </w:rPr>
      </w:pPr>
      <w:r>
        <w:rPr/>
        <w:pict>
          <v:group style="position:absolute;margin-left:49.849403pt;margin-top:-180.05545pt;width:218.9pt;height:154.2pt;mso-position-horizontal-relative:page;mso-position-vertical-relative:paragraph;z-index:-253438976" coordorigin="997,-3601" coordsize="4378,3084">
            <v:rect style="position:absolute;left:1048;top:-3599;width:4324;height:3079" filled="false" stroked="true" strokeweight=".265563pt" strokecolor="#000000">
              <v:stroke dashstyle="solid"/>
            </v:rect>
            <v:shape style="position:absolute;left:1075;top:-3330;width:4270;height:2791" coordorigin="1075,-3329" coordsize="4270,2791" path="m5021,-1136l4865,-1136,4918,-712,4971,-712,5025,-635,5078,-635,5131,-558,5185,-558,5238,-539,5292,-712,5345,-1097,5025,-1097,5021,-1136xm4275,-1097l4117,-1097,4171,-616,4224,-712,4275,-1097xm4453,-1113l4277,-1113,4331,-920,4384,-920,4438,-1059,4453,-1113xm5012,-1251l4491,-1251,4544,-1174,4598,-1174,4651,-943,4704,-1020,4811,-1020,4865,-1136,5021,-1136,5012,-1251xm4811,-1020l4704,-1020,4758,-943,4811,-1020xm3837,-1213l3690,-1213,3744,-982,3797,-982,3837,-1213xm4171,-2252l3263,-2252,3317,-2229,3370,-1674,3424,-1674,3477,-1290,3530,-1213,3584,-1059,3690,-1213,3837,-1213,3851,-1290,3904,-1328,5006,-1328,4993,-1482,4384,-1482,4360,-1748,4277,-1748,4224,-1905,4171,-2252xm5006,-1328l3904,-1328,3957,-1251,4011,-1059,4064,-1097,4275,-1097,4277,-1113,4453,-1113,4491,-1251,5012,-1251,5006,-1328xm5238,-1790l5131,-1790,5078,-1097,5345,-1097,5345,-1351,5292,-1351,5238,-1790xm5345,-1555l5292,-1351,5345,-1351,5345,-1555xm4491,-2155l4438,-1532,4384,-1482,4993,-1482,4974,-1713,4865,-1713,4811,-1790,4790,-1867,4544,-1867,4491,-2155xm4918,-1828l4865,-1713,4974,-1713,4971,-1751,4918,-1828xm4331,-2059l4277,-1748,4360,-1748,4331,-2059xm2926,-1998l2356,-1998,2410,-1994,2463,-1994,2516,-1982,2570,-1963,2730,-1963,2783,-1855,2837,-1855,2890,-1867,2926,-1998xm4598,-1982l4544,-1867,4790,-1867,4779,-1905,4704,-1905,4598,-1982xm1590,-2317l1235,-2317,1289,-1905,1342,-1944,1396,-2136,1449,-2136,1502,-2213,1568,-2213,1590,-2317xm4758,-1982l4704,-1905,4779,-1905,4758,-1982xm2018,-2175l1929,-2175,1983,-1944,2018,-2175xm1075,-3291l1075,-2444,1129,-1948,1182,-2252,1235,-2317,1590,-2317,1609,-2406,1662,-2444,2036,-2444,1983,-2637,1929,-2637,1908,-2713,1502,-2713,1479,-2829,1342,-2829,1289,-2944,1278,-3021,1182,-3021,1129,-3252,1075,-3291xm3157,-2252l2143,-2252,2196,-2132,2249,-1982,2303,-1998,2926,-1998,2943,-2059,3103,-2059,3157,-2252xm2303,-2675l2143,-2675,2089,-2444,1823,-2444,1876,-2136,1929,-2175,2018,-2175,2036,-2290,3584,-2290,3559,-2540,2516,-2540,2510,-2560,2356,-2560,2303,-2675xm1568,-2213l1502,-2213,1556,-2155,1568,-2213xm1823,-2444l1662,-2444,1716,-2252,1769,-2406,1823,-2444xm3637,-2406l3584,-2290,2036,-2290,2089,-2252,4011,-2252,4007,-2265,3797,-2265,3772,-2403,3690,-2403,3637,-2406xm3957,-2444l3904,-2444,3851,-2437,3797,-2265,4007,-2265,3957,-2444xm3744,-2560l3690,-2403,3772,-2403,3744,-2560xm2676,-3060l2623,-2713,2570,-2560,2516,-2540,3370,-2540,3352,-2625,2997,-2625,2986,-2675,2837,-2675,2791,-2906,2730,-2906,2676,-3060xm3530,-2829l3424,-2829,3370,-2540,3559,-2540,3530,-2829xm2410,-2752l2356,-2560,2510,-2560,2463,-2713,2410,-2752xm3157,-2925l3103,-2829,3050,-2637,2997,-2625,3352,-2625,3350,-2637,3210,-2637,3157,-2925xm3317,-2790l3263,-2675,3210,-2637,3350,-2637,3317,-2790xm2943,-2867l2890,-2829,2837,-2675,2986,-2675,2943,-2867xm1556,-2752l1502,-2713,1609,-2713,1556,-2752xm1823,-2867l1769,-2867,1716,-2829,1662,-2829,1609,-2713,1908,-2713,1876,-2829,1823,-2867xm1396,-3214l1342,-2829,1479,-2829,1449,-2983,1396,-3214xm2783,-2944l2730,-2906,2791,-2906,2783,-2944xm1235,-3329l1182,-3021,1278,-3021,1235,-3329xe" filled="true" fillcolor="#b8cde4" stroked="false">
              <v:path arrowok="t"/>
              <v:fill type="solid"/>
            </v:shape>
            <v:shape style="position:absolute;left:945;top:1208;width:12848;height:8033" coordorigin="946,1208" coordsize="12848,8033" path="m1048,-520l1048,-3598m997,-520l1048,-520m997,-905l1048,-905m997,-1290l1048,-1290m997,-1674l1048,-1674m997,-2059l1048,-2059m997,-2444l1048,-2444m997,-2829l1048,-2829m997,-3214l1048,-3214m997,-3598l1048,-3598m1048,-520l5372,-520e" filled="false" stroked="true" strokeweight=".260535pt" strokecolor="#858585">
              <v:path arrowok="t"/>
              <v:stroke dashstyle="solid"/>
            </v:shape>
            <v:shape style="position:absolute;left:1075;top:-2899;width:4271;height:2071" coordorigin="1075,-2898" coordsize="4271,2071" path="m1075,-2898l1129,-2729,1182,-2764,1235,-2679,1289,-2364,1342,-2394,1395,-2575,1449,-2621,1502,-2429,1556,-2498,1609,-2598,1663,-2579,1716,-2479,1769,-2637,1823,-2618,1876,-2618,1929,-2433,1983,-2302,2036,-2413,2089,-2371,2142,-2444,2196,-2378,2249,-2352,2303,-2417,2356,-2371,2410,-2290,2463,-2306,2517,-2352,2570,-2329,2623,-2390,2677,-2359,2730,-2290,2783,-2306,2836,-2260,2890,-2336,2943,-2387,2996,-2317,3050,-2505,3103,-2544,3157,-2548,3210,-2440,3264,-2444,3317,-2459,3370,-2248,3424,-2194,3477,-2052,3530,-2071,3584,-1940,3637,-2041,3690,-1973,3744,-1810,3797,-1663,3850,-1951,3904,-1966,3957,-1891,4011,-1722,4064,-1734,4118,-1726,4171,-1530,4224,-1305,4278,-1486,4331,-1434,4384,-1347,4438,-1379,4491,-1599,4544,-1549,4598,-1567,4651,-1531,4704,-1559,4757,-1559,4811,-1520,4865,-1520,4918,-1443,4972,-1328,5025,-905,5078,-828,5132,-1020,5185,-1020,5238,-1032,5291,-1174,5345,-1339e" filled="false" stroked="true" strokeweight="1.125222pt" strokecolor="#ff00ff">
              <v:path arrowok="t"/>
              <v:stroke dashstyle="solid"/>
            </v:shape>
            <v:shape style="position:absolute;left:2352;top:-2112;width:56;height:614" coordorigin="2352,-2111" coordsize="56,614" path="m2380,-2097l2376,-2090,2376,-1498,2383,-1498,2383,-2090,2380,-2097xm2380,-2111l2353,-2060,2352,-2058,2353,-2056,2354,-2055,2356,-2054,2358,-2054,2359,-2056,2376,-2090,2376,-2104,2384,-2104,2380,-2111xm2384,-2104l2383,-2104,2383,-2090,2402,-2054,2404,-2054,2405,-2055,2407,-2056,2407,-2058,2406,-2060,2384,-2104xm2383,-2104l2376,-2104,2376,-2090,2380,-2097,2377,-2102,2383,-2102,2383,-2104xm2383,-2102l2383,-2102,2380,-2097,2383,-2090,2383,-2102xm2383,-2102l2377,-2102,2380,-2097,2383,-2102xe" filled="true" fillcolor="#000000" stroked="false">
              <v:path arrowok="t"/>
              <v:fill type="solid"/>
            </v:shape>
            <w10:wrap type="none"/>
          </v:group>
        </w:pict>
      </w:r>
      <w:r>
        <w:rPr/>
        <w:pict>
          <v:group style="position:absolute;margin-left:325.437622pt;margin-top:-174.482056pt;width:224.8pt;height:132.550pt;mso-position-horizontal-relative:page;mso-position-vertical-relative:paragraph;z-index:-253437952" coordorigin="6509,-3490" coordsize="4496,2651">
            <v:rect style="position:absolute;left:6562;top:-3488;width:4439;height:2646" filled="false" stroked="true" strokeweight=".256804pt" strokecolor="#000000">
              <v:stroke dashstyle="solid"/>
            </v:rect>
            <v:shape style="position:absolute;left:1701;top:1544;width:12579;height:7421" coordorigin="1702,1544" coordsize="12579,7421" path="m6563,-842l6563,-3487m6509,-842l6563,-842m6509,-1220l6563,-1220m6509,-1597l6563,-1597m6509,-1975l6563,-1975m6509,-2353l6563,-2353m6509,-2732l6563,-2732m6509,-3109l6563,-3109m6509,-3487l6563,-3487m6563,-1220l11001,-1220e" filled="false" stroked="true" strokeweight=".256918pt" strokecolor="#858585">
              <v:path arrowok="t"/>
              <v:stroke dashstyle="solid"/>
            </v:shape>
            <v:shape style="position:absolute;left:6721;top:-3067;width:3910;height:1692" coordorigin="6721,-3067" coordsize="3910,1692" path="m8491,-3067l9522,-2631,10293,-2250,10631,-1842,10124,-1972,9543,-1875,9210,-1915,8523,-2124,8011,-2265,7837,-2158,7519,-2115,7250,-2111,7319,-1956,7213,-1859,7044,-1914,7075,-2016,7440,-1954,7424,-2015,7578,-1923,8787,-1551,9019,-1579,9136,-1577,9121,-1518,8872,-1375,8037,-1439,7466,-1693,7155,-1674,6848,-1623,6721,-1763e" filled="false" stroked="true" strokeweight=".77026pt" strokecolor="#0000ff">
              <v:path arrowok="t"/>
              <v:stroke dashstyle="solid"/>
            </v:shape>
            <v:shape style="position:absolute;left:8466;top:-3093;width:50;height:50" coordorigin="8467,-3093" coordsize="50,50" path="m8492,-3093l8467,-3068,8492,-3043,8516,-3068,8492,-3093xe" filled="true" fillcolor="#0000ff" stroked="false">
              <v:path arrowok="t"/>
              <v:fill type="solid"/>
            </v:shape>
            <v:shape style="position:absolute;left:8466;top:-3093;width:50;height:50" coordorigin="8467,-3093" coordsize="50,50" path="m8492,-3093l8516,-3068,8492,-3043,8467,-3068,8492,-3093xe" filled="false" stroked="true" strokeweight=".256918pt" strokecolor="#0000ff">
              <v:path arrowok="t"/>
              <v:stroke dashstyle="solid"/>
            </v:shape>
            <v:shape style="position:absolute;left:9496;top:-2657;width:50;height:50" coordorigin="9496,-2656" coordsize="50,50" path="m9521,-2656l9496,-2631,9521,-2607,9546,-2631,9521,-2656xe" filled="true" fillcolor="#0000ff" stroked="false">
              <v:path arrowok="t"/>
              <v:fill type="solid"/>
            </v:shape>
            <v:shape style="position:absolute;left:9496;top:-2657;width:50;height:50" coordorigin="9496,-2656" coordsize="50,50" path="m9521,-2656l9546,-2631,9521,-2607,9496,-2631,9521,-2656xe" filled="false" stroked="true" strokeweight=".256918pt" strokecolor="#0000ff">
              <v:path arrowok="t"/>
              <v:stroke dashstyle="solid"/>
            </v:shape>
            <v:shape style="position:absolute;left:10267;top:-2275;width:50;height:50" coordorigin="10268,-2275" coordsize="50,50" path="m10293,-2275l10268,-2250,10293,-2225,10317,-2250,10293,-2275xe" filled="true" fillcolor="#0000ff" stroked="false">
              <v:path arrowok="t"/>
              <v:fill type="solid"/>
            </v:shape>
            <v:shape style="position:absolute;left:10267;top:-2275;width:50;height:50" coordorigin="10268,-2275" coordsize="50,50" path="m10293,-2275l10317,-2250,10293,-2225,10268,-2250,10293,-2275xe" filled="false" stroked="true" strokeweight=".256918pt" strokecolor="#0000ff">
              <v:path arrowok="t"/>
              <v:stroke dashstyle="solid"/>
            </v:shape>
            <v:shape style="position:absolute;left:10606;top:-1867;width:50;height:50" coordorigin="10606,-1867" coordsize="50,50" path="m10631,-1867l10606,-1842,10631,-1817,10656,-1842,10631,-1867xe" filled="true" fillcolor="#0000ff" stroked="false">
              <v:path arrowok="t"/>
              <v:fill type="solid"/>
            </v:shape>
            <v:shape style="position:absolute;left:10606;top:-1867;width:50;height:50" coordorigin="10606,-1867" coordsize="50,50" path="m10631,-1867l10656,-1842,10631,-1817,10606,-1842,10631,-1867xe" filled="false" stroked="true" strokeweight=".256918pt" strokecolor="#0000ff">
              <v:path arrowok="t"/>
              <v:stroke dashstyle="solid"/>
            </v:shape>
            <v:shape style="position:absolute;left:10098;top:-1997;width:50;height:50" coordorigin="10099,-1997" coordsize="50,50" path="m10124,-1997l10099,-1972,10124,-1947,10148,-1972,10124,-1997xe" filled="true" fillcolor="#0000ff" stroked="false">
              <v:path arrowok="t"/>
              <v:fill type="solid"/>
            </v:shape>
            <v:shape style="position:absolute;left:10098;top:-1997;width:50;height:50" coordorigin="10099,-1997" coordsize="50,50" path="m10124,-1997l10148,-1972,10124,-1947,10099,-1972,10124,-1997xe" filled="false" stroked="true" strokeweight=".256918pt" strokecolor="#0000ff">
              <v:path arrowok="t"/>
              <v:stroke dashstyle="solid"/>
            </v:shape>
            <v:shape style="position:absolute;left:9517;top:-1901;width:50;height:50" coordorigin="9518,-1901" coordsize="50,50" path="m9543,-1901l9518,-1876,9543,-1851,9567,-1876,9543,-1901xe" filled="true" fillcolor="#0000ff" stroked="false">
              <v:path arrowok="t"/>
              <v:fill type="solid"/>
            </v:shape>
            <v:shape style="position:absolute;left:9517;top:-1901;width:50;height:50" coordorigin="9518,-1901" coordsize="50,50" path="m9543,-1901l9567,-1876,9543,-1851,9518,-1876,9543,-1901xe" filled="false" stroked="true" strokeweight=".256918pt" strokecolor="#0000ff">
              <v:path arrowok="t"/>
              <v:stroke dashstyle="solid"/>
            </v:shape>
            <v:shape style="position:absolute;left:9184;top:-1941;width:50;height:50" coordorigin="9185,-1941" coordsize="50,50" path="m9210,-1941l9185,-1916,9210,-1891,9235,-1916,9210,-1941xe" filled="true" fillcolor="#0000ff" stroked="false">
              <v:path arrowok="t"/>
              <v:fill type="solid"/>
            </v:shape>
            <v:shape style="position:absolute;left:9184;top:-1941;width:50;height:50" coordorigin="9185,-1941" coordsize="50,50" path="m9210,-1941l9235,-1916,9210,-1891,9185,-1916,9210,-1941xe" filled="false" stroked="true" strokeweight=".256918pt" strokecolor="#0000ff">
              <v:path arrowok="t"/>
              <v:stroke dashstyle="solid"/>
            </v:shape>
            <v:shape style="position:absolute;left:8498;top:-2150;width:50;height:50" coordorigin="8498,-2150" coordsize="50,50" path="m8523,-2150l8498,-2125,8523,-2100,8548,-2125,8523,-2150xe" filled="true" fillcolor="#0000ff" stroked="false">
              <v:path arrowok="t"/>
              <v:fill type="solid"/>
            </v:shape>
            <v:shape style="position:absolute;left:8498;top:-2150;width:50;height:50" coordorigin="8498,-2150" coordsize="50,50" path="m8523,-2150l8548,-2125,8523,-2100,8498,-2125,8523,-2150xe" filled="false" stroked="true" strokeweight=".256918pt" strokecolor="#0000ff">
              <v:path arrowok="t"/>
              <v:stroke dashstyle="solid"/>
            </v:shape>
            <v:shape style="position:absolute;left:7985;top:-2291;width:50;height:50" coordorigin="7986,-2291" coordsize="50,50" path="m8011,-2291l7986,-2266,8011,-2241,8035,-2266,8011,-2291xe" filled="true" fillcolor="#0000ff" stroked="false">
              <v:path arrowok="t"/>
              <v:fill type="solid"/>
            </v:shape>
            <v:shape style="position:absolute;left:7985;top:-2291;width:50;height:50" coordorigin="7986,-2291" coordsize="50,50" path="m8011,-2291l8035,-2266,8011,-2241,7986,-2266,8011,-2291xe" filled="false" stroked="true" strokeweight=".256918pt" strokecolor="#0000ff">
              <v:path arrowok="t"/>
              <v:stroke dashstyle="solid"/>
            </v:shape>
            <v:shape style="position:absolute;left:7810;top:-2184;width:50;height:50" coordorigin="7811,-2184" coordsize="50,50" path="m7836,-2184l7811,-2159,7836,-2134,7861,-2159,7836,-2184xe" filled="true" fillcolor="#0000ff" stroked="false">
              <v:path arrowok="t"/>
              <v:fill type="solid"/>
            </v:shape>
            <v:shape style="position:absolute;left:7810;top:-2184;width:50;height:50" coordorigin="7811,-2184" coordsize="50,50" path="m7836,-2184l7861,-2159,7836,-2134,7811,-2159,7836,-2184xe" filled="false" stroked="true" strokeweight=".256918pt" strokecolor="#0000ff">
              <v:path arrowok="t"/>
              <v:stroke dashstyle="solid"/>
            </v:shape>
            <v:shape style="position:absolute;left:7493;top:-2140;width:50;height:50" coordorigin="7494,-2139" coordsize="50,50" path="m7519,-2139l7494,-2115,7519,-2090,7543,-2115,7519,-2139xe" filled="true" fillcolor="#0000ff" stroked="false">
              <v:path arrowok="t"/>
              <v:fill type="solid"/>
            </v:shape>
            <v:shape style="position:absolute;left:7493;top:-2140;width:50;height:50" coordorigin="7494,-2139" coordsize="50,50" path="m7519,-2139l7543,-2115,7519,-2090,7494,-2115,7519,-2139xe" filled="false" stroked="true" strokeweight=".256918pt" strokecolor="#0000ff">
              <v:path arrowok="t"/>
              <v:stroke dashstyle="solid"/>
            </v:shape>
            <v:shape style="position:absolute;left:7224;top:-2137;width:50;height:50" coordorigin="7225,-2137" coordsize="50,50" path="m7250,-2137l7225,-2112,7250,-2087,7274,-2112,7250,-2137xe" filled="true" fillcolor="#0000ff" stroked="false">
              <v:path arrowok="t"/>
              <v:fill type="solid"/>
            </v:shape>
            <v:shape style="position:absolute;left:7224;top:-2137;width:50;height:50" coordorigin="7225,-2137" coordsize="50,50" path="m7250,-2137l7274,-2112,7250,-2087,7225,-2112,7250,-2137xe" filled="false" stroked="true" strokeweight=".256918pt" strokecolor="#0000ff">
              <v:path arrowok="t"/>
              <v:stroke dashstyle="solid"/>
            </v:shape>
            <v:shape style="position:absolute;left:7293;top:-1983;width:50;height:50" coordorigin="7293,-1982" coordsize="50,50" path="m7318,-1982l7293,-1957,7318,-1932,7343,-1957,7318,-1982xe" filled="true" fillcolor="#0000ff" stroked="false">
              <v:path arrowok="t"/>
              <v:fill type="solid"/>
            </v:shape>
            <v:shape style="position:absolute;left:7293;top:-1983;width:50;height:50" coordorigin="7293,-1982" coordsize="50,50" path="m7318,-1982l7343,-1957,7318,-1932,7293,-1957,7318,-1982xe" filled="false" stroked="true" strokeweight=".256918pt" strokecolor="#0000ff">
              <v:path arrowok="t"/>
              <v:stroke dashstyle="solid"/>
            </v:shape>
            <v:shape style="position:absolute;left:7187;top:-1884;width:50;height:50" coordorigin="7188,-1884" coordsize="50,50" path="m7213,-1884l7188,-1859,7213,-1834,7237,-1859,7213,-1884xe" filled="true" fillcolor="#0000ff" stroked="false">
              <v:path arrowok="t"/>
              <v:fill type="solid"/>
            </v:shape>
            <v:shape style="position:absolute;left:7187;top:-1884;width:50;height:50" coordorigin="7188,-1884" coordsize="50,50" path="m7213,-1884l7237,-1859,7213,-1834,7188,-1859,7213,-1884xe" filled="false" stroked="true" strokeweight=".256918pt" strokecolor="#0000ff">
              <v:path arrowok="t"/>
              <v:stroke dashstyle="solid"/>
            </v:shape>
            <v:shape style="position:absolute;left:7018;top:-1939;width:50;height:50" coordorigin="7019,-1938" coordsize="50,50" path="m7044,-1938l7019,-1913,7044,-1889,7069,-1913,7044,-1938xe" filled="true" fillcolor="#0000ff" stroked="false">
              <v:path arrowok="t"/>
              <v:fill type="solid"/>
            </v:shape>
            <v:shape style="position:absolute;left:7018;top:-1939;width:50;height:50" coordorigin="7019,-1938" coordsize="50,50" path="m7044,-1938l7069,-1913,7044,-1889,7019,-1913,7044,-1938xe" filled="false" stroked="true" strokeweight=".256918pt" strokecolor="#0000ff">
              <v:path arrowok="t"/>
              <v:stroke dashstyle="solid"/>
            </v:shape>
            <v:shape style="position:absolute;left:7050;top:-2042;width:50;height:50" coordorigin="7051,-2042" coordsize="50,50" path="m7076,-2042l7051,-2017,7076,-1992,7100,-2017,7076,-2042xe" filled="true" fillcolor="#0000ff" stroked="false">
              <v:path arrowok="t"/>
              <v:fill type="solid"/>
            </v:shape>
            <v:shape style="position:absolute;left:7050;top:-2042;width:50;height:50" coordorigin="7051,-2042" coordsize="50,50" path="m7076,-2042l7100,-2017,7076,-1992,7051,-2017,7076,-2042xe" filled="false" stroked="true" strokeweight=".256918pt" strokecolor="#0000ff">
              <v:path arrowok="t"/>
              <v:stroke dashstyle="solid"/>
            </v:shape>
            <v:shape style="position:absolute;left:7414;top:-1980;width:50;height:50" coordorigin="7415,-1979" coordsize="50,50" path="m7440,-1979l7415,-1955,7440,-1930,7465,-1955,7440,-1979xe" filled="true" fillcolor="#0000ff" stroked="false">
              <v:path arrowok="t"/>
              <v:fill type="solid"/>
            </v:shape>
            <v:shape style="position:absolute;left:7414;top:-1980;width:50;height:50" coordorigin="7415,-1979" coordsize="50,50" path="m7440,-1979l7465,-1955,7440,-1930,7415,-1955,7440,-1979xe" filled="false" stroked="true" strokeweight=".256918pt" strokecolor="#0000ff">
              <v:path arrowok="t"/>
              <v:stroke dashstyle="solid"/>
            </v:shape>
            <v:shape style="position:absolute;left:7398;top:-2040;width:50;height:50" coordorigin="7399,-2039" coordsize="50,50" path="m7424,-2039l7399,-2014,7424,-1990,7448,-2014,7424,-2039xe" filled="true" fillcolor="#0000ff" stroked="false">
              <v:path arrowok="t"/>
              <v:fill type="solid"/>
            </v:shape>
            <v:shape style="position:absolute;left:7398;top:-2040;width:50;height:50" coordorigin="7399,-2039" coordsize="50,50" path="m7424,-2039l7448,-2014,7424,-1990,7399,-2014,7424,-2039xe" filled="false" stroked="true" strokeweight=".256918pt" strokecolor="#0000ff">
              <v:path arrowok="t"/>
              <v:stroke dashstyle="solid"/>
            </v:shape>
            <v:shape style="position:absolute;left:7551;top:-1948;width:50;height:50" coordorigin="7552,-1948" coordsize="50,50" path="m7577,-1948l7552,-1923,7577,-1898,7602,-1923,7577,-1948xe" filled="true" fillcolor="#0000ff" stroked="false">
              <v:path arrowok="t"/>
              <v:fill type="solid"/>
            </v:shape>
            <v:shape style="position:absolute;left:7551;top:-1948;width:50;height:50" coordorigin="7552,-1948" coordsize="50,50" path="m7577,-1948l7602,-1923,7577,-1898,7552,-1923,7577,-1948xe" filled="false" stroked="true" strokeweight=".256918pt" strokecolor="#0000ff">
              <v:path arrowok="t"/>
              <v:stroke dashstyle="solid"/>
            </v:shape>
            <v:shape style="position:absolute;left:8762;top:-1577;width:50;height:50" coordorigin="8762,-1577" coordsize="50,50" path="m8787,-1577l8762,-1552,8787,-1527,8812,-1552,8787,-1577xe" filled="true" fillcolor="#0000ff" stroked="false">
              <v:path arrowok="t"/>
              <v:fill type="solid"/>
            </v:shape>
            <v:shape style="position:absolute;left:8762;top:-1577;width:50;height:50" coordorigin="8762,-1577" coordsize="50,50" path="m8787,-1577l8812,-1552,8787,-1527,8762,-1552,8787,-1577xe" filled="false" stroked="true" strokeweight=".256918pt" strokecolor="#0000ff">
              <v:path arrowok="t"/>
              <v:stroke dashstyle="solid"/>
            </v:shape>
            <v:shape style="position:absolute;left:8994;top:-1604;width:50;height:50" coordorigin="8995,-1604" coordsize="50,50" path="m9020,-1604l8995,-1579,9020,-1554,9044,-1579,9020,-1604xe" filled="true" fillcolor="#0000ff" stroked="false">
              <v:path arrowok="t"/>
              <v:fill type="solid"/>
            </v:shape>
            <v:shape style="position:absolute;left:8994;top:-1604;width:50;height:50" coordorigin="8995,-1604" coordsize="50,50" path="m9020,-1604l9044,-1579,9020,-1554,8995,-1579,9020,-1604xe" filled="false" stroked="true" strokeweight=".256918pt" strokecolor="#0000ff">
              <v:path arrowok="t"/>
              <v:stroke dashstyle="solid"/>
            </v:shape>
            <v:shape style="position:absolute;left:9111;top:-1602;width:50;height:50" coordorigin="9111,-1601" coordsize="50,50" path="m9136,-1601l9111,-1576,9136,-1552,9161,-1576,9136,-1601xe" filled="true" fillcolor="#0000ff" stroked="false">
              <v:path arrowok="t"/>
              <v:fill type="solid"/>
            </v:shape>
            <v:shape style="position:absolute;left:9111;top:-1602;width:50;height:50" coordorigin="9111,-1601" coordsize="50,50" path="m9136,-1601l9161,-1576,9136,-1552,9111,-1576,9136,-1601xe" filled="false" stroked="true" strokeweight=".256918pt" strokecolor="#0000ff">
              <v:path arrowok="t"/>
              <v:stroke dashstyle="solid"/>
            </v:shape>
            <v:shape style="position:absolute;left:9094;top:-1544;width:50;height:50" coordorigin="9095,-1543" coordsize="50,50" path="m9120,-1543l9095,-1518,9120,-1494,9145,-1518,9120,-1543xe" filled="true" fillcolor="#0000ff" stroked="false">
              <v:path arrowok="t"/>
              <v:fill type="solid"/>
            </v:shape>
            <v:shape style="position:absolute;left:9094;top:-1544;width:50;height:50" coordorigin="9095,-1543" coordsize="50,50" path="m9120,-1543l9145,-1518,9120,-1494,9095,-1518,9120,-1543xe" filled="false" stroked="true" strokeweight=".256918pt" strokecolor="#0000ff">
              <v:path arrowok="t"/>
              <v:stroke dashstyle="solid"/>
            </v:shape>
            <v:shape style="position:absolute;left:8846;top:-1402;width:50;height:50" coordorigin="8846,-1401" coordsize="50,50" path="m8871,-1401l8846,-1376,8871,-1351,8896,-1376,8871,-1401xe" filled="true" fillcolor="#0000ff" stroked="false">
              <v:path arrowok="t"/>
              <v:fill type="solid"/>
            </v:shape>
            <v:shape style="position:absolute;left:8846;top:-1402;width:50;height:50" coordorigin="8846,-1401" coordsize="50,50" path="m8871,-1401l8896,-1376,8871,-1351,8846,-1376,8871,-1401xe" filled="false" stroked="true" strokeweight=".256918pt" strokecolor="#0000ff">
              <v:path arrowok="t"/>
              <v:stroke dashstyle="solid"/>
            </v:shape>
            <v:shape style="position:absolute;left:8011;top:-1465;width:50;height:50" coordorigin="8011,-1464" coordsize="50,50" path="m8036,-1464l8011,-1439,8036,-1415,8061,-1439,8036,-1464xe" filled="true" fillcolor="#0000ff" stroked="false">
              <v:path arrowok="t"/>
              <v:fill type="solid"/>
            </v:shape>
            <v:shape style="position:absolute;left:8011;top:-1465;width:50;height:50" coordorigin="8011,-1464" coordsize="50,50" path="m8036,-1464l8061,-1439,8036,-1415,8011,-1439,8036,-1464xe" filled="false" stroked="true" strokeweight=".256918pt" strokecolor="#0000ff">
              <v:path arrowok="t"/>
              <v:stroke dashstyle="solid"/>
            </v:shape>
            <v:shape style="position:absolute;left:7441;top:-1718;width:50;height:50" coordorigin="7441,-1718" coordsize="50,50" path="m7466,-1718l7441,-1693,7466,-1668,7491,-1693,7466,-1718xe" filled="true" fillcolor="#0000ff" stroked="false">
              <v:path arrowok="t"/>
              <v:fill type="solid"/>
            </v:shape>
            <v:shape style="position:absolute;left:7441;top:-1718;width:50;height:50" coordorigin="7441,-1718" coordsize="50,50" path="m7466,-1718l7491,-1693,7466,-1668,7441,-1693,7466,-1718xe" filled="false" stroked="true" strokeweight=".256918pt" strokecolor="#0000ff">
              <v:path arrowok="t"/>
              <v:stroke dashstyle="solid"/>
            </v:shape>
            <v:shape style="position:absolute;left:7129;top:-1699;width:50;height:50" coordorigin="7129,-1699" coordsize="50,50" path="m7154,-1699l7129,-1674,7154,-1649,7179,-1674,7154,-1699xe" filled="true" fillcolor="#0000ff" stroked="false">
              <v:path arrowok="t"/>
              <v:fill type="solid"/>
            </v:shape>
            <v:shape style="position:absolute;left:7129;top:-1699;width:50;height:50" coordorigin="7129,-1699" coordsize="50,50" path="m7154,-1699l7179,-1674,7154,-1649,7129,-1674,7154,-1699xe" filled="false" stroked="true" strokeweight=".256918pt" strokecolor="#0000ff">
              <v:path arrowok="t"/>
              <v:stroke dashstyle="solid"/>
            </v:shape>
            <v:shape style="position:absolute;left:6823;top:-1648;width:50;height:50" coordorigin="6823,-1648" coordsize="50,50" path="m6848,-1648l6823,-1623,6848,-1598,6873,-1623,6848,-1648xe" filled="true" fillcolor="#0000ff" stroked="false">
              <v:path arrowok="t"/>
              <v:fill type="solid"/>
            </v:shape>
            <v:shape style="position:absolute;left:6823;top:-1648;width:50;height:50" coordorigin="6823,-1648" coordsize="50,50" path="m6848,-1648l6873,-1623,6848,-1598,6823,-1623,6848,-1648xe" filled="false" stroked="true" strokeweight=".256918pt" strokecolor="#0000ff">
              <v:path arrowok="t"/>
              <v:stroke dashstyle="solid"/>
            </v:shape>
            <v:shape style="position:absolute;left:6696;top:-1789;width:50;height:50" coordorigin="6696,-1789" coordsize="50,50" path="m6721,-1789l6696,-1764,6721,-1739,6746,-1764,6721,-1789xe" filled="true" fillcolor="#0000ff" stroked="false">
              <v:path arrowok="t"/>
              <v:fill type="solid"/>
            </v:shape>
            <v:shape style="position:absolute;left:6696;top:-1789;width:50;height:50" coordorigin="6696,-1789" coordsize="50,50" path="m6721,-1789l6746,-1764,6721,-1739,6696,-1764,6721,-1789xe" filled="false" stroked="true" strokeweight=".256918pt" strokecolor="#0000ff">
              <v:path arrowok="t"/>
              <v:stroke dashstyle="solid"/>
            </v:shape>
            <v:shape style="position:absolute;left:6891;top:-2240;width:728;height:462" coordorigin="6891,-2240" coordsize="728,462" path="m6891,-2009l6928,-2110,6971,-2153,7027,-2189,7095,-2216,7172,-2233,7255,-2240,7338,-2233,7415,-2216,7483,-2189,7539,-2153,7582,-2110,7619,-2009,7609,-1956,7539,-1865,7483,-1829,7415,-1802,7338,-1785,7255,-1778,7172,-1785,7095,-1802,7027,-1829,6971,-1865,6928,-1908,6891,-2009xe" filled="false" stroked="true" strokeweight=".34242pt" strokecolor="#000000">
              <v:path arrowok="t"/>
              <v:stroke dashstyle="shortdash"/>
            </v:shape>
            <v:shape style="position:absolute;left:6695;top:-1715;width:58;height:285" coordorigin="6696,-1714" coordsize="58,285" path="m6725,-1701l6721,-1695,6721,-1430,6728,-1430,6728,-1695,6725,-1701xm6725,-1714l6697,-1666,6696,-1665,6696,-1663,6700,-1661,6702,-1661,6703,-1663,6721,-1695,6721,-1707,6729,-1707,6725,-1714xm6729,-1707l6728,-1707,6728,-1695,6747,-1663,6748,-1661,6750,-1661,6753,-1663,6754,-1665,6753,-1666,6729,-1707xm6728,-1707l6721,-1707,6721,-1695,6725,-1701,6722,-1706,6728,-1706,6728,-1707xm6728,-1706l6728,-1706,6725,-1701,6728,-1695,6728,-1706xm6728,-1706l6722,-1706,6725,-1701,6728,-1706xe" filled="true" fillcolor="#000000" stroked="false">
              <v:path arrowok="t"/>
              <v:fill type="solid"/>
            </v:shape>
            <w10:wrap type="none"/>
          </v:group>
        </w:pict>
      </w:r>
      <w:r>
        <w:rPr/>
        <w:pict>
          <v:shape style="position:absolute;margin-left:300.230377pt;margin-top:-124.668732pt;width:10.6pt;height:59.25pt;mso-position-horizontal-relative:page;mso-position-vertical-relative:paragraph;z-index:-253434880" type="#_x0000_t202" filled="false" stroked="false">
            <v:textbox inset="0,0,0,0" style="layout-flow:vertical;mso-layout-flow-alt:bottom-to-top">
              <w:txbxContent>
                <w:p>
                  <w:pPr>
                    <w:spacing w:line="194" w:lineRule="exact" w:before="0"/>
                    <w:ind w:left="20" w:right="0" w:firstLine="0"/>
                    <w:jc w:val="left"/>
                    <w:rPr>
                      <w:rFonts w:ascii="Calibri"/>
                      <w:b/>
                      <w:sz w:val="17"/>
                    </w:rPr>
                  </w:pPr>
                  <w:r>
                    <w:rPr>
                      <w:rFonts w:ascii="Calibri"/>
                      <w:b/>
                      <w:sz w:val="17"/>
                    </w:rPr>
                    <w:t>YoY Pay Growth</w:t>
                  </w:r>
                </w:p>
              </w:txbxContent>
            </v:textbox>
            <w10:wrap type="none"/>
          </v:shape>
        </w:pict>
      </w:r>
      <w:r>
        <w:rPr>
          <w:sz w:val="16"/>
        </w:rPr>
        <w:t>Note: In the right chart, pay growth is measured by the YoY growth of average earnings excluding bonuses. The 2018 figure is based on pay growth and unemployment to end-February.</w:t>
      </w:r>
    </w:p>
    <w:p>
      <w:pPr>
        <w:spacing w:line="182" w:lineRule="exact" w:before="0"/>
        <w:ind w:left="673" w:right="0" w:firstLine="0"/>
        <w:jc w:val="left"/>
        <w:rPr>
          <w:sz w:val="16"/>
        </w:rPr>
      </w:pPr>
      <w:r>
        <w:rPr>
          <w:sz w:val="16"/>
        </w:rPr>
        <w:t>Sources: HM Treasury, ONS and BoE</w:t>
      </w:r>
    </w:p>
    <w:p>
      <w:pPr>
        <w:pStyle w:val="BodyText"/>
      </w:pPr>
    </w:p>
    <w:p>
      <w:pPr>
        <w:pStyle w:val="BodyText"/>
      </w:pPr>
    </w:p>
    <w:p>
      <w:pPr>
        <w:pStyle w:val="BodyText"/>
        <w:spacing w:before="5"/>
        <w:rPr>
          <w:sz w:val="19"/>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795"/>
        <w:gridCol w:w="346"/>
        <w:gridCol w:w="110"/>
        <w:gridCol w:w="5020"/>
        <w:gridCol w:w="198"/>
      </w:tblGrid>
      <w:tr>
        <w:trPr>
          <w:trHeight w:val="680" w:hRule="atLeast"/>
        </w:trPr>
        <w:tc>
          <w:tcPr>
            <w:tcW w:w="5252" w:type="dxa"/>
            <w:gridSpan w:val="3"/>
            <w:tcBorders>
              <w:bottom w:val="single" w:sz="6" w:space="0" w:color="000000"/>
            </w:tcBorders>
          </w:tcPr>
          <w:p>
            <w:pPr>
              <w:pStyle w:val="TableParagraph"/>
              <w:spacing w:line="340" w:lineRule="exact" w:before="23"/>
              <w:ind w:left="107" w:right="291"/>
              <w:rPr>
                <w:sz w:val="20"/>
              </w:rPr>
            </w:pPr>
            <w:r>
              <w:rPr>
                <w:sz w:val="20"/>
              </w:rPr>
              <w:t>Figure 14. UK – OECD Estimates of UK NAIRU, 2001- 19</w:t>
            </w:r>
          </w:p>
        </w:tc>
        <w:tc>
          <w:tcPr>
            <w:tcW w:w="5328" w:type="dxa"/>
            <w:gridSpan w:val="3"/>
            <w:tcBorders>
              <w:bottom w:val="single" w:sz="6" w:space="0" w:color="000000"/>
            </w:tcBorders>
          </w:tcPr>
          <w:p>
            <w:pPr>
              <w:pStyle w:val="TableParagraph"/>
              <w:spacing w:line="340" w:lineRule="exact" w:before="23"/>
              <w:ind w:left="110"/>
              <w:rPr>
                <w:sz w:val="20"/>
              </w:rPr>
            </w:pPr>
            <w:r>
              <w:rPr>
                <w:sz w:val="20"/>
              </w:rPr>
              <w:t>Figure 15. UK – Estimated Impact of 100bp Rise in Bank Rate on Real GDP and CPI Inflation</w:t>
            </w:r>
          </w:p>
        </w:tc>
      </w:tr>
      <w:tr>
        <w:trPr>
          <w:trHeight w:val="3586" w:hRule="atLeast"/>
        </w:trPr>
        <w:tc>
          <w:tcPr>
            <w:tcW w:w="111" w:type="dxa"/>
            <w:tcBorders>
              <w:bottom w:val="nil"/>
              <w:right w:val="single" w:sz="4" w:space="0" w:color="858585"/>
            </w:tcBorders>
          </w:tcPr>
          <w:p>
            <w:pPr>
              <w:pStyle w:val="TableParagraph"/>
              <w:rPr>
                <w:rFonts w:ascii="Times New Roman"/>
                <w:sz w:val="16"/>
              </w:rPr>
            </w:pPr>
          </w:p>
        </w:tc>
        <w:tc>
          <w:tcPr>
            <w:tcW w:w="4795" w:type="dxa"/>
            <w:tcBorders>
              <w:top w:val="single" w:sz="6" w:space="0" w:color="000000"/>
              <w:left w:val="single" w:sz="4" w:space="0" w:color="858585"/>
              <w:bottom w:val="single" w:sz="4" w:space="0" w:color="858585"/>
              <w:right w:val="single" w:sz="4" w:space="0" w:color="858585"/>
            </w:tcBorders>
          </w:tcPr>
          <w:p>
            <w:pPr>
              <w:pStyle w:val="TableParagraph"/>
              <w:spacing w:line="206" w:lineRule="exact"/>
              <w:ind w:left="9"/>
              <w:rPr>
                <w:rFonts w:ascii="Calibri"/>
                <w:b/>
                <w:sz w:val="18"/>
              </w:rPr>
            </w:pPr>
            <w:r>
              <w:rPr>
                <w:rFonts w:ascii="Calibri"/>
                <w:b/>
                <w:w w:val="95"/>
                <w:sz w:val="18"/>
              </w:rPr>
              <w:t>7.5</w:t>
            </w:r>
          </w:p>
          <w:p>
            <w:pPr>
              <w:pStyle w:val="TableParagraph"/>
              <w:spacing w:line="183" w:lineRule="exact" w:before="78"/>
              <w:ind w:left="419"/>
              <w:rPr>
                <w:rFonts w:ascii="Calibri"/>
                <w:b/>
                <w:sz w:val="18"/>
              </w:rPr>
            </w:pPr>
            <w:r>
              <w:rPr>
                <w:rFonts w:ascii="Calibri"/>
                <w:b/>
                <w:w w:val="87"/>
                <w:sz w:val="18"/>
              </w:rPr>
              <w:t>%</w:t>
            </w:r>
          </w:p>
          <w:p>
            <w:pPr>
              <w:pStyle w:val="TableParagraph"/>
              <w:tabs>
                <w:tab w:pos="1158" w:val="left" w:leader="none"/>
              </w:tabs>
              <w:spacing w:line="187" w:lineRule="auto"/>
              <w:ind w:left="9"/>
              <w:rPr>
                <w:rFonts w:ascii="Calibri"/>
                <w:b/>
                <w:sz w:val="18"/>
              </w:rPr>
            </w:pPr>
            <w:r>
              <w:rPr>
                <w:rFonts w:ascii="Calibri"/>
                <w:b/>
                <w:w w:val="95"/>
                <w:position w:val="-5"/>
                <w:sz w:val="18"/>
              </w:rPr>
              <w:t>7.0</w:t>
              <w:tab/>
            </w:r>
            <w:r>
              <w:rPr>
                <w:rFonts w:ascii="Calibri"/>
                <w:b/>
                <w:w w:val="95"/>
                <w:sz w:val="18"/>
              </w:rPr>
              <w:t>Real-Time</w:t>
            </w:r>
            <w:r>
              <w:rPr>
                <w:rFonts w:ascii="Calibri"/>
                <w:b/>
                <w:spacing w:val="-6"/>
                <w:w w:val="95"/>
                <w:sz w:val="18"/>
              </w:rPr>
              <w:t> </w:t>
            </w:r>
            <w:r>
              <w:rPr>
                <w:rFonts w:ascii="Calibri"/>
                <w:b/>
                <w:w w:val="95"/>
                <w:sz w:val="18"/>
              </w:rPr>
              <w:t>Estimates</w:t>
            </w:r>
          </w:p>
          <w:p>
            <w:pPr>
              <w:pStyle w:val="TableParagraph"/>
              <w:spacing w:before="8"/>
              <w:rPr>
                <w:sz w:val="26"/>
              </w:rPr>
            </w:pPr>
          </w:p>
          <w:p>
            <w:pPr>
              <w:pStyle w:val="TableParagraph"/>
              <w:tabs>
                <w:tab w:pos="1158" w:val="left" w:leader="none"/>
              </w:tabs>
              <w:spacing w:line="554" w:lineRule="auto"/>
              <w:ind w:left="9" w:right="2559"/>
              <w:rPr>
                <w:rFonts w:ascii="Calibri"/>
                <w:b/>
                <w:sz w:val="18"/>
              </w:rPr>
            </w:pPr>
            <w:r>
              <w:rPr>
                <w:rFonts w:ascii="Calibri"/>
                <w:b/>
                <w:w w:val="95"/>
                <w:sz w:val="18"/>
              </w:rPr>
              <w:t>6.5</w:t>
              <w:tab/>
            </w:r>
            <w:r>
              <w:rPr>
                <w:rFonts w:ascii="Calibri"/>
                <w:b/>
                <w:w w:val="90"/>
                <w:sz w:val="18"/>
              </w:rPr>
              <w:t>Latest</w:t>
            </w:r>
            <w:r>
              <w:rPr>
                <w:rFonts w:ascii="Calibri"/>
                <w:b/>
                <w:spacing w:val="-15"/>
                <w:w w:val="90"/>
                <w:sz w:val="18"/>
              </w:rPr>
              <w:t> </w:t>
            </w:r>
            <w:r>
              <w:rPr>
                <w:rFonts w:ascii="Calibri"/>
                <w:b/>
                <w:spacing w:val="-3"/>
                <w:w w:val="90"/>
                <w:sz w:val="18"/>
              </w:rPr>
              <w:t>Estimates </w:t>
            </w:r>
            <w:r>
              <w:rPr>
                <w:rFonts w:ascii="Calibri"/>
                <w:b/>
                <w:w w:val="95"/>
                <w:sz w:val="18"/>
              </w:rPr>
              <w:t>6.0</w:t>
            </w:r>
          </w:p>
          <w:p>
            <w:pPr>
              <w:pStyle w:val="TableParagraph"/>
              <w:spacing w:before="2"/>
              <w:ind w:left="9"/>
              <w:rPr>
                <w:rFonts w:ascii="Calibri"/>
                <w:b/>
                <w:sz w:val="18"/>
              </w:rPr>
            </w:pPr>
            <w:r>
              <w:rPr>
                <w:rFonts w:ascii="Calibri"/>
                <w:b/>
                <w:w w:val="95"/>
                <w:sz w:val="18"/>
              </w:rPr>
              <w:t>5.5</w:t>
            </w:r>
          </w:p>
          <w:p>
            <w:pPr>
              <w:pStyle w:val="TableParagraph"/>
              <w:spacing w:before="2"/>
              <w:rPr>
                <w:sz w:val="14"/>
              </w:rPr>
            </w:pPr>
          </w:p>
          <w:p>
            <w:pPr>
              <w:pStyle w:val="TableParagraph"/>
              <w:spacing w:line="172" w:lineRule="exact"/>
              <w:ind w:left="1701"/>
              <w:rPr>
                <w:rFonts w:ascii="Calibri"/>
                <w:b/>
                <w:sz w:val="18"/>
              </w:rPr>
            </w:pPr>
            <w:r>
              <w:rPr>
                <w:rFonts w:ascii="Calibri"/>
                <w:b/>
                <w:w w:val="95"/>
                <w:sz w:val="18"/>
              </w:rPr>
              <w:t>Range Of Published Estimates</w:t>
            </w:r>
          </w:p>
          <w:p>
            <w:pPr>
              <w:pStyle w:val="TableParagraph"/>
              <w:tabs>
                <w:tab w:pos="1701" w:val="left" w:leader="none"/>
              </w:tabs>
              <w:spacing w:line="272" w:lineRule="exact"/>
              <w:ind w:left="9"/>
              <w:rPr>
                <w:rFonts w:ascii="Calibri"/>
                <w:b/>
                <w:sz w:val="18"/>
              </w:rPr>
            </w:pPr>
            <w:r>
              <w:rPr>
                <w:rFonts w:ascii="Calibri"/>
                <w:b/>
                <w:w w:val="95"/>
                <w:position w:val="10"/>
                <w:sz w:val="18"/>
              </w:rPr>
              <w:t>5.0</w:t>
              <w:tab/>
            </w:r>
            <w:r>
              <w:rPr>
                <w:rFonts w:ascii="Calibri"/>
                <w:b/>
                <w:w w:val="95"/>
                <w:sz w:val="18"/>
              </w:rPr>
              <w:t>For That</w:t>
            </w:r>
            <w:r>
              <w:rPr>
                <w:rFonts w:ascii="Calibri"/>
                <w:b/>
                <w:spacing w:val="-11"/>
                <w:w w:val="95"/>
                <w:sz w:val="18"/>
              </w:rPr>
              <w:t> </w:t>
            </w:r>
            <w:r>
              <w:rPr>
                <w:rFonts w:ascii="Calibri"/>
                <w:b/>
                <w:w w:val="95"/>
                <w:sz w:val="18"/>
              </w:rPr>
              <w:t>Year</w:t>
            </w:r>
          </w:p>
          <w:p>
            <w:pPr>
              <w:pStyle w:val="TableParagraph"/>
              <w:spacing w:before="192"/>
              <w:ind w:left="9"/>
              <w:rPr>
                <w:rFonts w:ascii="Calibri"/>
                <w:b/>
                <w:sz w:val="18"/>
              </w:rPr>
            </w:pPr>
            <w:r>
              <w:rPr>
                <w:rFonts w:ascii="Calibri"/>
                <w:b/>
                <w:w w:val="95"/>
                <w:sz w:val="18"/>
              </w:rPr>
              <w:t>4.5</w:t>
            </w:r>
          </w:p>
          <w:p>
            <w:pPr>
              <w:pStyle w:val="TableParagraph"/>
              <w:tabs>
                <w:tab w:pos="964" w:val="left" w:leader="none"/>
                <w:tab w:pos="1621" w:val="left" w:leader="none"/>
                <w:tab w:pos="2279" w:val="left" w:leader="none"/>
                <w:tab w:pos="2936" w:val="left" w:leader="none"/>
                <w:tab w:pos="3594" w:val="left" w:leader="none"/>
                <w:tab w:pos="4251" w:val="left" w:leader="none"/>
              </w:tabs>
              <w:spacing w:before="17"/>
              <w:ind w:left="307"/>
              <w:rPr>
                <w:rFonts w:ascii="Calibri"/>
                <w:b/>
                <w:sz w:val="18"/>
              </w:rPr>
            </w:pPr>
            <w:r>
              <w:rPr>
                <w:rFonts w:ascii="Calibri"/>
                <w:b/>
                <w:w w:val="95"/>
                <w:sz w:val="18"/>
              </w:rPr>
              <w:t>2001</w:t>
              <w:tab/>
              <w:t>2004</w:t>
              <w:tab/>
              <w:t>2007</w:t>
              <w:tab/>
              <w:t>2010</w:t>
              <w:tab/>
              <w:t>2013</w:t>
              <w:tab/>
              <w:t>2016</w:t>
              <w:tab/>
              <w:t>2019</w:t>
            </w:r>
          </w:p>
        </w:tc>
        <w:tc>
          <w:tcPr>
            <w:tcW w:w="346" w:type="dxa"/>
            <w:vMerge w:val="restart"/>
            <w:tcBorders>
              <w:left w:val="single" w:sz="4" w:space="0" w:color="858585"/>
            </w:tcBorders>
          </w:tcPr>
          <w:p>
            <w:pPr>
              <w:pStyle w:val="TableParagraph"/>
              <w:rPr>
                <w:rFonts w:ascii="Times New Roman"/>
                <w:sz w:val="16"/>
              </w:rPr>
            </w:pPr>
          </w:p>
        </w:tc>
        <w:tc>
          <w:tcPr>
            <w:tcW w:w="110" w:type="dxa"/>
            <w:vMerge w:val="restart"/>
            <w:tcBorders>
              <w:right w:val="single" w:sz="4" w:space="0" w:color="858585"/>
            </w:tcBorders>
          </w:tcPr>
          <w:p>
            <w:pPr>
              <w:pStyle w:val="TableParagraph"/>
              <w:rPr>
                <w:rFonts w:ascii="Times New Roman"/>
                <w:sz w:val="16"/>
              </w:rPr>
            </w:pPr>
          </w:p>
        </w:tc>
        <w:tc>
          <w:tcPr>
            <w:tcW w:w="5020" w:type="dxa"/>
            <w:tcBorders>
              <w:top w:val="single" w:sz="6" w:space="0" w:color="000000"/>
              <w:left w:val="single" w:sz="4" w:space="0" w:color="858585"/>
              <w:bottom w:val="single" w:sz="4" w:space="0" w:color="858585"/>
              <w:right w:val="single" w:sz="4" w:space="0" w:color="858585"/>
            </w:tcBorders>
          </w:tcPr>
          <w:p>
            <w:pPr>
              <w:pStyle w:val="TableParagraph"/>
              <w:rPr>
                <w:sz w:val="20"/>
              </w:rPr>
            </w:pPr>
          </w:p>
          <w:p>
            <w:pPr>
              <w:pStyle w:val="TableParagraph"/>
              <w:ind w:left="61"/>
              <w:rPr>
                <w:rFonts w:ascii="Calibri"/>
                <w:b/>
                <w:sz w:val="18"/>
              </w:rPr>
            </w:pPr>
            <w:r>
              <w:rPr>
                <w:rFonts w:ascii="Calibri"/>
                <w:b/>
                <w:sz w:val="18"/>
              </w:rPr>
              <w:t>0.0</w:t>
            </w:r>
          </w:p>
          <w:p>
            <w:pPr>
              <w:pStyle w:val="TableParagraph"/>
              <w:rPr>
                <w:sz w:val="18"/>
              </w:rPr>
            </w:pPr>
          </w:p>
          <w:p>
            <w:pPr>
              <w:pStyle w:val="TableParagraph"/>
              <w:rPr>
                <w:sz w:val="18"/>
              </w:rPr>
            </w:pPr>
          </w:p>
          <w:p>
            <w:pPr>
              <w:pStyle w:val="TableParagraph"/>
              <w:tabs>
                <w:tab w:pos="568" w:val="left" w:leader="none"/>
              </w:tabs>
              <w:ind w:left="11"/>
              <w:rPr>
                <w:rFonts w:ascii="Calibri"/>
                <w:b/>
                <w:sz w:val="18"/>
              </w:rPr>
            </w:pPr>
            <w:r>
              <w:rPr>
                <w:rFonts w:ascii="Calibri"/>
                <w:b/>
                <w:sz w:val="18"/>
              </w:rPr>
              <w:t>-0.5</w:t>
              <w:tab/>
              <w:t>%</w:t>
            </w:r>
          </w:p>
          <w:p>
            <w:pPr>
              <w:pStyle w:val="TableParagraph"/>
              <w:rPr>
                <w:sz w:val="18"/>
              </w:rPr>
            </w:pPr>
          </w:p>
          <w:p>
            <w:pPr>
              <w:pStyle w:val="TableParagraph"/>
              <w:spacing w:before="1"/>
              <w:rPr>
                <w:sz w:val="18"/>
              </w:rPr>
            </w:pPr>
          </w:p>
          <w:p>
            <w:pPr>
              <w:pStyle w:val="TableParagraph"/>
              <w:ind w:left="11"/>
              <w:rPr>
                <w:rFonts w:ascii="Calibri"/>
                <w:b/>
                <w:sz w:val="18"/>
              </w:rPr>
            </w:pPr>
            <w:r>
              <w:rPr>
                <w:rFonts w:ascii="Calibri"/>
                <w:b/>
                <w:sz w:val="18"/>
              </w:rPr>
              <w:t>-1.0</w:t>
            </w:r>
          </w:p>
          <w:p>
            <w:pPr>
              <w:pStyle w:val="TableParagraph"/>
              <w:spacing w:before="5"/>
              <w:rPr>
                <w:sz w:val="19"/>
              </w:rPr>
            </w:pPr>
          </w:p>
          <w:p>
            <w:pPr>
              <w:pStyle w:val="TableParagraph"/>
              <w:spacing w:line="207" w:lineRule="exact"/>
              <w:ind w:right="2237"/>
              <w:jc w:val="right"/>
              <w:rPr>
                <w:rFonts w:ascii="Calibri"/>
                <w:b/>
                <w:sz w:val="18"/>
              </w:rPr>
            </w:pPr>
            <w:r>
              <w:rPr>
                <w:rFonts w:ascii="Calibri"/>
                <w:b/>
                <w:w w:val="95"/>
                <w:sz w:val="18"/>
              </w:rPr>
              <w:t>GDP Level (No FX Response)</w:t>
            </w:r>
          </w:p>
          <w:p>
            <w:pPr>
              <w:pStyle w:val="TableParagraph"/>
              <w:tabs>
                <w:tab w:pos="841" w:val="left" w:leader="none"/>
              </w:tabs>
              <w:spacing w:line="209" w:lineRule="exact"/>
              <w:ind w:right="2315"/>
              <w:jc w:val="right"/>
              <w:rPr>
                <w:rFonts w:ascii="Calibri"/>
                <w:b/>
                <w:sz w:val="18"/>
              </w:rPr>
            </w:pPr>
            <w:r>
              <w:rPr>
                <w:rFonts w:ascii="Calibri"/>
                <w:b/>
                <w:position w:val="1"/>
                <w:sz w:val="18"/>
              </w:rPr>
              <w:t>-1.5</w:t>
              <w:tab/>
            </w:r>
            <w:r>
              <w:rPr>
                <w:rFonts w:ascii="Calibri"/>
                <w:b/>
                <w:w w:val="95"/>
                <w:sz w:val="18"/>
              </w:rPr>
              <w:t>CPI</w:t>
            </w:r>
            <w:r>
              <w:rPr>
                <w:rFonts w:ascii="Calibri"/>
                <w:b/>
                <w:spacing w:val="-20"/>
                <w:w w:val="95"/>
                <w:sz w:val="18"/>
              </w:rPr>
              <w:t> </w:t>
            </w:r>
            <w:r>
              <w:rPr>
                <w:rFonts w:ascii="Calibri"/>
                <w:b/>
                <w:w w:val="95"/>
                <w:sz w:val="18"/>
              </w:rPr>
              <w:t>Level</w:t>
            </w:r>
            <w:r>
              <w:rPr>
                <w:rFonts w:ascii="Calibri"/>
                <w:b/>
                <w:spacing w:val="-20"/>
                <w:w w:val="95"/>
                <w:sz w:val="18"/>
              </w:rPr>
              <w:t> </w:t>
            </w:r>
            <w:r>
              <w:rPr>
                <w:rFonts w:ascii="Calibri"/>
                <w:b/>
                <w:w w:val="95"/>
                <w:sz w:val="18"/>
              </w:rPr>
              <w:t>(No</w:t>
            </w:r>
            <w:r>
              <w:rPr>
                <w:rFonts w:ascii="Calibri"/>
                <w:b/>
                <w:spacing w:val="-20"/>
                <w:w w:val="95"/>
                <w:sz w:val="18"/>
              </w:rPr>
              <w:t> </w:t>
            </w:r>
            <w:r>
              <w:rPr>
                <w:rFonts w:ascii="Calibri"/>
                <w:b/>
                <w:w w:val="95"/>
                <w:sz w:val="18"/>
              </w:rPr>
              <w:t>FX</w:t>
            </w:r>
            <w:r>
              <w:rPr>
                <w:rFonts w:ascii="Calibri"/>
                <w:b/>
                <w:spacing w:val="-20"/>
                <w:w w:val="95"/>
                <w:sz w:val="18"/>
              </w:rPr>
              <w:t> </w:t>
            </w:r>
            <w:r>
              <w:rPr>
                <w:rFonts w:ascii="Calibri"/>
                <w:b/>
                <w:w w:val="95"/>
                <w:sz w:val="18"/>
              </w:rPr>
              <w:t>Response)</w:t>
            </w:r>
          </w:p>
          <w:p>
            <w:pPr>
              <w:pStyle w:val="TableParagraph"/>
              <w:spacing w:line="204" w:lineRule="exact"/>
              <w:ind w:left="660"/>
              <w:rPr>
                <w:rFonts w:ascii="Calibri"/>
                <w:b/>
                <w:sz w:val="18"/>
              </w:rPr>
            </w:pPr>
            <w:r>
              <w:rPr>
                <w:rFonts w:ascii="Calibri"/>
                <w:b/>
                <w:w w:val="91"/>
                <w:sz w:val="18"/>
              </w:rPr>
              <w:t> </w:t>
            </w:r>
            <w:r>
              <w:rPr>
                <w:rFonts w:ascii="Calibri"/>
                <w:b/>
                <w:sz w:val="18"/>
              </w:rPr>
              <w:t>    GDP Level (With FX Response)</w:t>
            </w:r>
          </w:p>
          <w:p>
            <w:pPr>
              <w:pStyle w:val="TableParagraph"/>
              <w:spacing w:line="208" w:lineRule="exact"/>
              <w:ind w:left="660"/>
              <w:rPr>
                <w:rFonts w:ascii="Calibri"/>
                <w:b/>
                <w:sz w:val="18"/>
              </w:rPr>
            </w:pPr>
            <w:r>
              <w:rPr>
                <w:rFonts w:ascii="Calibri"/>
                <w:b/>
                <w:w w:val="91"/>
                <w:sz w:val="18"/>
              </w:rPr>
              <w:t> </w:t>
            </w:r>
            <w:r>
              <w:rPr>
                <w:rFonts w:ascii="Calibri"/>
                <w:b/>
                <w:sz w:val="18"/>
              </w:rPr>
              <w:t>    CPI Level (With FX Response)</w:t>
            </w:r>
          </w:p>
          <w:p>
            <w:pPr>
              <w:pStyle w:val="TableParagraph"/>
              <w:spacing w:line="216" w:lineRule="exact"/>
              <w:ind w:left="11"/>
              <w:rPr>
                <w:rFonts w:ascii="Calibri"/>
                <w:b/>
                <w:sz w:val="18"/>
              </w:rPr>
            </w:pPr>
            <w:r>
              <w:rPr>
                <w:rFonts w:ascii="Calibri"/>
                <w:b/>
                <w:sz w:val="18"/>
              </w:rPr>
              <w:t>-2.0</w:t>
            </w:r>
          </w:p>
          <w:p>
            <w:pPr>
              <w:pStyle w:val="TableParagraph"/>
              <w:tabs>
                <w:tab w:pos="1238" w:val="left" w:leader="none"/>
                <w:tab w:pos="1923" w:val="left" w:leader="none"/>
                <w:tab w:pos="2607" w:val="left" w:leader="none"/>
                <w:tab w:pos="3292" w:val="left" w:leader="none"/>
                <w:tab w:pos="3934" w:val="left" w:leader="none"/>
                <w:tab w:pos="4619" w:val="left" w:leader="none"/>
              </w:tabs>
              <w:spacing w:line="204" w:lineRule="exact" w:before="16"/>
              <w:ind w:left="554"/>
              <w:rPr>
                <w:rFonts w:ascii="Calibri"/>
                <w:b/>
                <w:sz w:val="18"/>
              </w:rPr>
            </w:pPr>
            <w:r>
              <w:rPr>
                <w:rFonts w:ascii="Calibri"/>
                <w:b/>
                <w:sz w:val="18"/>
              </w:rPr>
              <w:t>0</w:t>
              <w:tab/>
              <w:t>2</w:t>
              <w:tab/>
              <w:t>4</w:t>
              <w:tab/>
              <w:t>6</w:t>
              <w:tab/>
              <w:t>8</w:t>
              <w:tab/>
              <w:t>10</w:t>
              <w:tab/>
              <w:t>12</w:t>
            </w:r>
          </w:p>
          <w:p>
            <w:pPr>
              <w:pStyle w:val="TableParagraph"/>
              <w:spacing w:line="204" w:lineRule="exact"/>
              <w:ind w:left="1027"/>
              <w:rPr>
                <w:rFonts w:ascii="Calibri"/>
                <w:b/>
                <w:sz w:val="18"/>
              </w:rPr>
            </w:pPr>
            <w:r>
              <w:rPr>
                <w:rFonts w:ascii="Calibri"/>
                <w:b/>
                <w:sz w:val="18"/>
              </w:rPr>
              <w:t>Quarters After Rate Rise (Occurs in Quarter 1</w:t>
            </w:r>
          </w:p>
        </w:tc>
        <w:tc>
          <w:tcPr>
            <w:tcW w:w="198" w:type="dxa"/>
            <w:vMerge w:val="restart"/>
            <w:tcBorders>
              <w:left w:val="single" w:sz="4" w:space="0" w:color="858585"/>
            </w:tcBorders>
          </w:tcPr>
          <w:p>
            <w:pPr>
              <w:pStyle w:val="TableParagraph"/>
              <w:rPr>
                <w:rFonts w:ascii="Times New Roman"/>
                <w:sz w:val="16"/>
              </w:rPr>
            </w:pPr>
          </w:p>
        </w:tc>
      </w:tr>
      <w:tr>
        <w:trPr>
          <w:trHeight w:val="99" w:hRule="atLeast"/>
        </w:trPr>
        <w:tc>
          <w:tcPr>
            <w:tcW w:w="111" w:type="dxa"/>
            <w:tcBorders>
              <w:top w:val="nil"/>
              <w:right w:val="nil"/>
            </w:tcBorders>
          </w:tcPr>
          <w:p>
            <w:pPr>
              <w:pStyle w:val="TableParagraph"/>
              <w:rPr>
                <w:rFonts w:ascii="Times New Roman"/>
                <w:sz w:val="4"/>
              </w:rPr>
            </w:pPr>
          </w:p>
        </w:tc>
        <w:tc>
          <w:tcPr>
            <w:tcW w:w="4795" w:type="dxa"/>
            <w:tcBorders>
              <w:top w:val="single" w:sz="4" w:space="0" w:color="858585"/>
              <w:left w:val="nil"/>
              <w:right w:val="nil"/>
            </w:tcBorders>
          </w:tcPr>
          <w:p>
            <w:pPr>
              <w:pStyle w:val="TableParagraph"/>
              <w:rPr>
                <w:rFonts w:ascii="Times New Roman"/>
                <w:sz w:val="4"/>
              </w:rPr>
            </w:pPr>
          </w:p>
        </w:tc>
        <w:tc>
          <w:tcPr>
            <w:tcW w:w="346" w:type="dxa"/>
            <w:vMerge/>
            <w:tcBorders>
              <w:top w:val="nil"/>
              <w:left w:val="single" w:sz="4"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5020" w:type="dxa"/>
            <w:tcBorders>
              <w:top w:val="single" w:sz="4" w:space="0" w:color="858585"/>
              <w:left w:val="nil"/>
              <w:right w:val="nil"/>
            </w:tcBorders>
          </w:tcPr>
          <w:p>
            <w:pPr>
              <w:pStyle w:val="TableParagraph"/>
              <w:rPr>
                <w:rFonts w:ascii="Times New Roman"/>
                <w:sz w:val="4"/>
              </w:rPr>
            </w:pPr>
          </w:p>
        </w:tc>
        <w:tc>
          <w:tcPr>
            <w:tcW w:w="198" w:type="dxa"/>
            <w:vMerge/>
            <w:tcBorders>
              <w:top w:val="nil"/>
              <w:left w:val="single" w:sz="4" w:space="0" w:color="858585"/>
            </w:tcBorders>
          </w:tcPr>
          <w:p>
            <w:pPr>
              <w:rPr>
                <w:sz w:val="2"/>
                <w:szCs w:val="2"/>
              </w:rPr>
            </w:pPr>
          </w:p>
        </w:tc>
      </w:tr>
    </w:tbl>
    <w:p>
      <w:pPr>
        <w:spacing w:line="444" w:lineRule="auto" w:before="152"/>
        <w:ind w:left="673" w:right="1667" w:firstLine="0"/>
        <w:jc w:val="left"/>
        <w:rPr>
          <w:sz w:val="16"/>
        </w:rPr>
      </w:pPr>
      <w:r>
        <w:rPr/>
        <w:pict>
          <v:group style="position:absolute;margin-left:49.23893pt;margin-top:-180.112045pt;width:210.8pt;height:152.950pt;mso-position-horizontal-relative:page;mso-position-vertical-relative:paragraph;z-index:-253436928" coordorigin="985,-3602" coordsize="4216,3059">
            <v:rect style="position:absolute;left:1034;top:-3600;width:4164;height:3053" filled="false" stroked="true" strokeweight=".260695pt" strokecolor="#000000">
              <v:stroke dashstyle="solid"/>
            </v:rect>
            <v:shape style="position:absolute;left:1144;top:-3005;width:3725;height:1848" coordorigin="1144,-3005" coordsize="3725,1848" path="m1144,-2491l1144,-1606,1363,-1395,1582,-1259,1801,-1157,2020,-1157,2240,-1352,2897,-1352,3116,-1398,3294,-1747,1582,-1747,1363,-2246,1144,-2491xm4347,-2254l3773,-2254,3992,-1981,4212,-1635,4431,-1429,4650,-1158,4869,-1259,4869,-1463,4699,-1836,4431,-1836,4347,-2254xm1801,-1759l1582,-1747,3294,-1747,3299,-1757,2020,-1757,1801,-1759xm3773,-3005l3554,-3000,3335,-2953,3116,-2821,2897,-2639,2678,-2242,2240,-1843,2020,-1757,3299,-1757,3335,-1827,3554,-1988,3773,-2254,4347,-2254,4212,-2935,3992,-2980,3773,-3005xm4650,-1944l4431,-1836,4699,-1836,4650,-1944xe" filled="true" fillcolor="#9dc3e6" stroked="false">
              <v:path arrowok="t"/>
              <v:fill type="solid"/>
            </v:shape>
            <v:shape style="position:absolute;left:945;top:-4910;width:12860;height:8021" coordorigin="946,-4910" coordsize="12860,8021" path="m1034,-547l1034,-3600m985,-547l1034,-547m985,-1055l1034,-1055m985,-1564l1034,-1564m985,-2073l1034,-2073m985,-2582l1034,-2582m985,-3091l1034,-3091m985,-3600l1034,-3600m1034,-547l5197,-547e" filled="false" stroked="true" strokeweight=".254958pt" strokecolor="#858585">
              <v:path arrowok="t"/>
              <v:stroke dashstyle="solid"/>
            </v:shape>
            <v:shape style="position:absolute;left:1144;top:-3005;width:3506;height:1848" coordorigin="1144,-3005" coordsize="3506,1848" path="m1144,-2491l1363,-1394,1582,-1259,1802,-1157,2020,-1349,2240,-1352,2459,-1352,2678,-1399,2897,-1635,3116,-1724,3335,-1985,3554,-3000,3774,-3005,3992,-2760,4212,-2041,4431,-1429,4649,-1158e" filled="false" stroked="true" strokeweight=".974384pt" strokecolor="#ff00ff">
              <v:path arrowok="t"/>
              <v:stroke dashstyle="solid"/>
            </v:shape>
            <v:shape style="position:absolute;left:1114;top:-2525;width:59;height:69" coordorigin="1114,-2525" coordsize="59,69" path="m1144,-2525l1114,-2491,1144,-2456,1173,-2491,1144,-2525xe" filled="true" fillcolor="#ff00ff" stroked="false">
              <v:path arrowok="t"/>
              <v:fill type="solid"/>
            </v:shape>
            <v:shape style="position:absolute;left:1113;top:-2526;width:60;height:70" coordorigin="1114,-2525" coordsize="60,70" path="m1144,-2525l1144,-2525,1144,-2525,1173,-2491,1173,-2491,1173,-2491,1144,-2456,1144,-2456,1144,-2456,1114,-2491,1114,-2491,1114,-2491,1144,-2525xe" filled="false" stroked="true" strokeweight=".252116pt" strokecolor="#ff00ff">
              <v:path arrowok="t"/>
              <v:stroke dashstyle="solid"/>
            </v:shape>
            <v:shape style="position:absolute;left:1333;top:-1430;width:59;height:69" coordorigin="1333,-1430" coordsize="59,69" path="m1363,-1430l1333,-1395,1363,-1361,1392,-1395,1363,-1430xe" filled="true" fillcolor="#ff00ff" stroked="false">
              <v:path arrowok="t"/>
              <v:fill type="solid"/>
            </v:shape>
            <v:shape style="position:absolute;left:1333;top:-1430;width:60;height:70" coordorigin="1333,-1430" coordsize="60,70" path="m1363,-1430l1363,-1430,1363,-1430,1392,-1395,1393,-1395,1392,-1395,1363,-1361,1363,-1361,1363,-1361,1333,-1395,1333,-1395,1333,-1395,1363,-1430xe" filled="false" stroked="true" strokeweight=".252116pt" strokecolor="#ff00ff">
              <v:path arrowok="t"/>
              <v:stroke dashstyle="solid"/>
            </v:shape>
            <v:shape style="position:absolute;left:1552;top:-1294;width:59;height:69" coordorigin="1552,-1293" coordsize="59,69" path="m1582,-1293l1552,-1259,1582,-1225,1611,-1259,1582,-1293xe" filled="true" fillcolor="#ff00ff" stroked="false">
              <v:path arrowok="t"/>
              <v:fill type="solid"/>
            </v:shape>
            <v:shape style="position:absolute;left:1551;top:-1294;width:60;height:70" coordorigin="1552,-1294" coordsize="60,70" path="m1582,-1293l1582,-1294,1582,-1293,1611,-1259,1611,-1259,1611,-1259,1582,-1225,1582,-1224,1582,-1225,1552,-1259,1552,-1259,1552,-1259,1582,-1293xe" filled="false" stroked="true" strokeweight=".252116pt" strokecolor="#ff00ff">
              <v:path arrowok="t"/>
              <v:stroke dashstyle="solid"/>
            </v:shape>
            <v:shape style="position:absolute;left:1771;top:-1193;width:59;height:69" coordorigin="1771,-1192" coordsize="59,69" path="m1801,-1192l1771,-1158,1801,-1124,1830,-1158,1801,-1192xe" filled="true" fillcolor="#ff00ff" stroked="false">
              <v:path arrowok="t"/>
              <v:fill type="solid"/>
            </v:shape>
            <v:shape style="position:absolute;left:1771;top:-1193;width:60;height:70" coordorigin="1771,-1192" coordsize="60,70" path="m1801,-1192l1801,-1192,1801,-1192,1830,-1158,1831,-1158,1830,-1158,1801,-1124,1801,-1123,1801,-1124,1771,-1158,1771,-1158,1771,-1158,1801,-1192xe" filled="false" stroked="true" strokeweight=".252116pt" strokecolor="#ff00ff">
              <v:path arrowok="t"/>
              <v:stroke dashstyle="solid"/>
            </v:shape>
            <v:shape style="position:absolute;left:1990;top:-1383;width:59;height:69" coordorigin="1991,-1383" coordsize="59,69" path="m2020,-1383l1991,-1349,2020,-1314,2050,-1349,2020,-1383xe" filled="true" fillcolor="#ff00ff" stroked="false">
              <v:path arrowok="t"/>
              <v:fill type="solid"/>
            </v:shape>
            <v:shape style="position:absolute;left:1990;top:-1384;width:60;height:70" coordorigin="1990,-1383" coordsize="60,70" path="m2020,-1383l2020,-1383,2020,-1383,2050,-1349,2050,-1349,2050,-1349,2020,-1314,2020,-1314,2020,-1314,1991,-1349,1990,-1349,1991,-1349,2020,-1383xe" filled="false" stroked="true" strokeweight=".252116pt" strokecolor="#ff00ff">
              <v:path arrowok="t"/>
              <v:stroke dashstyle="solid"/>
            </v:shape>
            <v:shape style="position:absolute;left:2209;top:-1387;width:59;height:69" coordorigin="2209,-1387" coordsize="59,69" path="m2239,-1387l2209,-1352,2239,-1318,2268,-1352,2239,-1387xe" filled="true" fillcolor="#ff00ff" stroked="false">
              <v:path arrowok="t"/>
              <v:fill type="solid"/>
            </v:shape>
            <v:shape style="position:absolute;left:2208;top:-1388;width:60;height:70" coordorigin="2209,-1387" coordsize="60,70" path="m2239,-1387l2239,-1387,2239,-1387,2268,-1352,2269,-1352,2268,-1352,2239,-1318,2239,-1318,2239,-1318,2209,-1352,2209,-1352,2209,-1352,2239,-1387xe" filled="false" stroked="true" strokeweight=".252116pt" strokecolor="#ff00ff">
              <v:path arrowok="t"/>
              <v:stroke dashstyle="solid"/>
            </v:shape>
            <v:shape style="position:absolute;left:2428;top:-1387;width:59;height:69" coordorigin="2429,-1387" coordsize="59,69" path="m2458,-1387l2429,-1352,2458,-1318,2488,-1352,2458,-1387xe" filled="true" fillcolor="#ff00ff" stroked="false">
              <v:path arrowok="t"/>
              <v:fill type="solid"/>
            </v:shape>
            <v:shape style="position:absolute;left:2428;top:-1388;width:60;height:70" coordorigin="2428,-1387" coordsize="60,70" path="m2458,-1387l2458,-1387,2458,-1387,2488,-1352,2488,-1352,2488,-1352,2458,-1318,2458,-1318,2458,-1318,2429,-1352,2428,-1352,2429,-1352,2458,-1387xe" filled="false" stroked="true" strokeweight=".252116pt" strokecolor="#ff00ff">
              <v:path arrowok="t"/>
              <v:stroke dashstyle="solid"/>
            </v:shape>
            <v:shape style="position:absolute;left:2648;top:-1434;width:59;height:69" coordorigin="2648,-1433" coordsize="59,69" path="m2678,-1433l2648,-1399,2678,-1365,2707,-1399,2678,-1433xe" filled="true" fillcolor="#ff00ff" stroked="false">
              <v:path arrowok="t"/>
              <v:fill type="solid"/>
            </v:shape>
            <v:shape style="position:absolute;left:2647;top:-1434;width:60;height:70" coordorigin="2648,-1434" coordsize="60,70" path="m2678,-1433l2678,-1434,2678,-1433,2707,-1399,2707,-1399,2707,-1399,2678,-1365,2678,-1364,2678,-1365,2648,-1399,2648,-1399,2648,-1399,2678,-1433xe" filled="false" stroked="true" strokeweight=".252116pt" strokecolor="#ff00ff">
              <v:path arrowok="t"/>
              <v:stroke dashstyle="solid"/>
            </v:shape>
            <v:shape style="position:absolute;left:2866;top:-1670;width:59;height:69" coordorigin="2867,-1670" coordsize="59,69" path="m2896,-1670l2867,-1636,2896,-1601,2926,-1636,2896,-1670xe" filled="true" fillcolor="#ff00ff" stroked="false">
              <v:path arrowok="t"/>
              <v:fill type="solid"/>
            </v:shape>
            <v:shape style="position:absolute;left:2866;top:-1671;width:60;height:70" coordorigin="2866,-1670" coordsize="60,70" path="m2896,-1670l2896,-1670,2896,-1670,2926,-1636,2926,-1636,2926,-1636,2896,-1601,2896,-1601,2896,-1601,2867,-1636,2866,-1636,2867,-1636,2896,-1670xe" filled="false" stroked="true" strokeweight=".252116pt" strokecolor="#ff00ff">
              <v:path arrowok="t"/>
              <v:stroke dashstyle="solid"/>
            </v:shape>
            <v:shape style="position:absolute;left:3086;top:-1760;width:59;height:69" coordorigin="3086,-1759" coordsize="59,69" path="m3115,-1759l3086,-1725,3115,-1691,3145,-1725,3115,-1759xe" filled="true" fillcolor="#ff00ff" stroked="false">
              <v:path arrowok="t"/>
              <v:fill type="solid"/>
            </v:shape>
            <v:shape style="position:absolute;left:3085;top:-1760;width:60;height:70" coordorigin="3086,-1760" coordsize="60,70" path="m3115,-1759l3115,-1760,3115,-1759,3145,-1725,3145,-1725,3145,-1725,3115,-1691,3115,-1690,3115,-1691,3086,-1725,3086,-1725,3086,-1725,3115,-1759xe" filled="false" stroked="true" strokeweight=".252116pt" strokecolor="#ff00ff">
              <v:path arrowok="t"/>
              <v:stroke dashstyle="solid"/>
            </v:shape>
            <v:shape style="position:absolute;left:3305;top:-2021;width:59;height:69" coordorigin="3305,-2021" coordsize="59,69" path="m3335,-2021l3305,-1986,3335,-1952,3364,-1986,3335,-2021xe" filled="true" fillcolor="#ff00ff" stroked="false">
              <v:path arrowok="t"/>
              <v:fill type="solid"/>
            </v:shape>
            <v:shape style="position:absolute;left:3304;top:-2021;width:60;height:70" coordorigin="3305,-2021" coordsize="60,70" path="m3335,-2021l3335,-2021,3335,-2021,3364,-1986,3365,-1986,3364,-1986,3335,-1952,3335,-1952,3335,-1952,3305,-1986,3305,-1986,3305,-1986,3335,-2021xe" filled="false" stroked="true" strokeweight=".252116pt" strokecolor="#ff00ff">
              <v:path arrowok="t"/>
              <v:stroke dashstyle="solid"/>
            </v:shape>
            <v:shape style="position:absolute;left:3524;top:-3035;width:59;height:69" coordorigin="3525,-3035" coordsize="59,69" path="m3554,-3035l3525,-3000,3554,-2966,3584,-3000,3554,-3035xe" filled="true" fillcolor="#ff00ff" stroked="false">
              <v:path arrowok="t"/>
              <v:fill type="solid"/>
            </v:shape>
            <v:shape style="position:absolute;left:3524;top:-3035;width:60;height:70" coordorigin="3524,-3035" coordsize="60,70" path="m3554,-3035l3554,-3035,3554,-3035,3584,-3000,3584,-3000,3584,-3000,3554,-2966,3554,-2966,3554,-2966,3525,-3000,3524,-3000,3525,-3000,3554,-3035xe" filled="false" stroked="true" strokeweight=".252116pt" strokecolor="#ff00ff">
              <v:path arrowok="t"/>
              <v:stroke dashstyle="solid"/>
            </v:shape>
            <v:shape style="position:absolute;left:3743;top:-3040;width:59;height:69" coordorigin="3743,-3039" coordsize="59,69" path="m3773,-3039l3743,-3005,3773,-2971,3802,-3005,3773,-3039xe" filled="true" fillcolor="#ff00ff" stroked="false">
              <v:path arrowok="t"/>
              <v:fill type="solid"/>
            </v:shape>
            <v:shape style="position:absolute;left:3742;top:-3040;width:60;height:70" coordorigin="3743,-3040" coordsize="60,70" path="m3773,-3039l3773,-3040,3773,-3039,3802,-3005,3803,-3005,3802,-3005,3773,-2971,3773,-2970,3773,-2971,3743,-3005,3743,-3005,3743,-3005,3773,-3039xe" filled="false" stroked="true" strokeweight=".252116pt" strokecolor="#ff00ff">
              <v:path arrowok="t"/>
              <v:stroke dashstyle="solid"/>
            </v:shape>
            <v:shape style="position:absolute;left:3962;top:-2796;width:59;height:69" coordorigin="3963,-2795" coordsize="59,69" path="m3992,-2795l3963,-2761,3992,-2727,4022,-2761,3992,-2795xe" filled="true" fillcolor="#ff00ff" stroked="false">
              <v:path arrowok="t"/>
              <v:fill type="solid"/>
            </v:shape>
            <v:shape style="position:absolute;left:3962;top:-2796;width:60;height:70" coordorigin="3962,-2796" coordsize="60,70" path="m3992,-2795l3992,-2796,3992,-2795,4022,-2761,4022,-2761,4022,-2761,3992,-2727,3992,-2726,3992,-2727,3963,-2761,3962,-2761,3963,-2761,3992,-2795xe" filled="false" stroked="true" strokeweight=".252116pt" strokecolor="#ff00ff">
              <v:path arrowok="t"/>
              <v:stroke dashstyle="solid"/>
            </v:shape>
            <v:shape style="position:absolute;left:4182;top:-2077;width:59;height:69" coordorigin="4182,-2076" coordsize="59,69" path="m4212,-2076l4182,-2042,4212,-2008,4241,-2042,4212,-2076xe" filled="true" fillcolor="#ff00ff" stroked="false">
              <v:path arrowok="t"/>
              <v:fill type="solid"/>
            </v:shape>
            <v:shape style="position:absolute;left:4181;top:-2077;width:60;height:70" coordorigin="4182,-2077" coordsize="60,70" path="m4212,-2076l4212,-2077,4212,-2076,4241,-2042,4241,-2042,4241,-2042,4212,-2008,4212,-2007,4212,-2008,4182,-2042,4182,-2042,4182,-2042,4212,-2076xe" filled="false" stroked="true" strokeweight=".252116pt" strokecolor="#ff00ff">
              <v:path arrowok="t"/>
              <v:stroke dashstyle="solid"/>
            </v:shape>
            <v:shape style="position:absolute;left:4400;top:-1464;width:59;height:69" coordorigin="4401,-1463" coordsize="59,69" path="m4430,-1463l4401,-1429,4430,-1395,4460,-1429,4430,-1463xe" filled="true" fillcolor="#ff00ff" stroked="false">
              <v:path arrowok="t"/>
              <v:fill type="solid"/>
            </v:shape>
            <v:shape style="position:absolute;left:4400;top:-1464;width:60;height:70" coordorigin="4400,-1464" coordsize="60,70" path="m4430,-1463l4430,-1464,4430,-1463,4460,-1429,4460,-1429,4460,-1429,4430,-1395,4430,-1394,4430,-1395,4401,-1429,4400,-1429,4401,-1429,4430,-1463xe" filled="false" stroked="true" strokeweight=".252116pt" strokecolor="#ff00ff">
              <v:path arrowok="t"/>
              <v:stroke dashstyle="solid"/>
            </v:shape>
            <v:shape style="position:absolute;left:4619;top:-1193;width:59;height:69" coordorigin="4620,-1192" coordsize="59,69" path="m4649,-1192l4620,-1158,4649,-1124,4679,-1158,4649,-1192xe" filled="true" fillcolor="#ff00ff" stroked="false">
              <v:path arrowok="t"/>
              <v:fill type="solid"/>
            </v:shape>
            <v:shape style="position:absolute;left:4619;top:-1193;width:60;height:70" coordorigin="4620,-1192" coordsize="60,70" path="m4649,-1192l4649,-1192,4649,-1192,4679,-1158,4679,-1158,4679,-1158,4649,-1124,4649,-1123,4649,-1124,4620,-1158,4620,-1158,4620,-1158,4649,-1192xe" filled="false" stroked="true" strokeweight=".252116pt" strokecolor="#ff00ff">
              <v:path arrowok="t"/>
              <v:stroke dashstyle="solid"/>
            </v:shape>
            <v:shape style="position:absolute;left:1144;top:-2255;width:3944;height:1098" coordorigin="1144,-2255" coordsize="3944,1098" path="m1144,-1828l1363,-1707,1582,-1747,1802,-1759,2020,-1757,2240,-1798,2459,-1860,2678,-1984,2897,-2088,3116,-2179,3335,-2216,3554,-2210,3774,-2255,3992,-1982,4212,-1636,4431,-1429,4649,-1158,4869,-1259,5088,-1276e" filled="false" stroked="true" strokeweight=".994775pt" strokecolor="#0000ff">
              <v:path arrowok="t"/>
              <v:stroke dashstyle="solid"/>
            </v:shape>
            <v:rect style="position:absolute;left:1120;top:-1855;width:46;height:53" filled="true" fillcolor="#0000ff" stroked="false">
              <v:fill type="solid"/>
            </v:rect>
            <v:rect style="position:absolute;left:1120;top:-1855;width:46;height:53" filled="false" stroked="true" strokeweight=".252116pt" strokecolor="#0000ff">
              <v:stroke dashstyle="solid"/>
            </v:rect>
            <v:rect style="position:absolute;left:1340;top:-1735;width:46;height:53" filled="true" fillcolor="#0000ff" stroked="false">
              <v:fill type="solid"/>
            </v:rect>
            <v:rect style="position:absolute;left:1340;top:-1735;width:46;height:53" filled="false" stroked="true" strokeweight=".252116pt" strokecolor="#0000ff">
              <v:stroke dashstyle="solid"/>
            </v:rect>
            <v:rect style="position:absolute;left:1558;top:-1775;width:46;height:53" filled="true" fillcolor="#0000ff" stroked="false">
              <v:fill type="solid"/>
            </v:rect>
            <v:rect style="position:absolute;left:1558;top:-1775;width:46;height:53" filled="false" stroked="true" strokeweight=".252116pt" strokecolor="#0000ff">
              <v:stroke dashstyle="solid"/>
            </v:rect>
            <v:rect style="position:absolute;left:1778;top:-1787;width:46;height:53" filled="true" fillcolor="#0000ff" stroked="false">
              <v:fill type="solid"/>
            </v:rect>
            <v:rect style="position:absolute;left:1778;top:-1787;width:46;height:53" filled="false" stroked="true" strokeweight=".252116pt" strokecolor="#0000ff">
              <v:stroke dashstyle="solid"/>
            </v:rect>
            <v:rect style="position:absolute;left:1997;top:-1784;width:46;height:53" filled="true" fillcolor="#0000ff" stroked="false">
              <v:fill type="solid"/>
            </v:rect>
            <v:rect style="position:absolute;left:1997;top:-1784;width:46;height:53" filled="false" stroked="true" strokeweight=".252116pt" strokecolor="#0000ff">
              <v:stroke dashstyle="solid"/>
            </v:rect>
            <v:rect style="position:absolute;left:2216;top:-1825;width:46;height:53" filled="true" fillcolor="#0000ff" stroked="false">
              <v:fill type="solid"/>
            </v:rect>
            <v:rect style="position:absolute;left:2216;top:-1825;width:46;height:53" filled="false" stroked="true" strokeweight=".252116pt" strokecolor="#0000ff">
              <v:stroke dashstyle="solid"/>
            </v:rect>
            <v:rect style="position:absolute;left:2435;top:-1887;width:46;height:53" filled="true" fillcolor="#0000ff" stroked="false">
              <v:fill type="solid"/>
            </v:rect>
            <v:rect style="position:absolute;left:2435;top:-1887;width:46;height:53" filled="false" stroked="true" strokeweight=".252116pt" strokecolor="#0000ff">
              <v:stroke dashstyle="solid"/>
            </v:rect>
            <v:rect style="position:absolute;left:2654;top:-2011;width:46;height:53" filled="true" fillcolor="#0000ff" stroked="false">
              <v:fill type="solid"/>
            </v:rect>
            <v:rect style="position:absolute;left:2654;top:-2011;width:46;height:53" filled="false" stroked="true" strokeweight=".252116pt" strokecolor="#0000ff">
              <v:stroke dashstyle="solid"/>
            </v:rect>
            <v:rect style="position:absolute;left:2873;top:-2116;width:46;height:53" filled="true" fillcolor="#0000ff" stroked="false">
              <v:fill type="solid"/>
            </v:rect>
            <v:rect style="position:absolute;left:2873;top:-2116;width:46;height:53" filled="false" stroked="true" strokeweight=".252116pt" strokecolor="#0000ff">
              <v:stroke dashstyle="solid"/>
            </v:rect>
            <v:rect style="position:absolute;left:3092;top:-2206;width:46;height:53" filled="true" fillcolor="#0000ff" stroked="false">
              <v:fill type="solid"/>
            </v:rect>
            <v:rect style="position:absolute;left:3092;top:-2206;width:46;height:53" filled="false" stroked="true" strokeweight=".252116pt" strokecolor="#0000ff">
              <v:stroke dashstyle="solid"/>
            </v:rect>
            <v:rect style="position:absolute;left:3312;top:-2243;width:46;height:53" filled="true" fillcolor="#0000ff" stroked="false">
              <v:fill type="solid"/>
            </v:rect>
            <v:rect style="position:absolute;left:3312;top:-2243;width:46;height:53" filled="false" stroked="true" strokeweight=".252116pt" strokecolor="#0000ff">
              <v:stroke dashstyle="solid"/>
            </v:rect>
            <v:rect style="position:absolute;left:3531;top:-2237;width:46;height:53" filled="true" fillcolor="#0000ff" stroked="false">
              <v:fill type="solid"/>
            </v:rect>
            <v:rect style="position:absolute;left:3531;top:-2237;width:46;height:53" filled="false" stroked="true" strokeweight=".252116pt" strokecolor="#0000ff">
              <v:stroke dashstyle="solid"/>
            </v:rect>
            <v:rect style="position:absolute;left:3749;top:-2282;width:46;height:53" filled="true" fillcolor="#0000ff" stroked="false">
              <v:fill type="solid"/>
            </v:rect>
            <v:rect style="position:absolute;left:3749;top:-2282;width:46;height:53" filled="false" stroked="true" strokeweight=".252116pt" strokecolor="#0000ff">
              <v:stroke dashstyle="solid"/>
            </v:rect>
            <v:rect style="position:absolute;left:3969;top:-2010;width:46;height:53" filled="true" fillcolor="#0000ff" stroked="false">
              <v:fill type="solid"/>
            </v:rect>
            <v:rect style="position:absolute;left:3969;top:-2010;width:46;height:53" filled="false" stroked="true" strokeweight=".252116pt" strokecolor="#0000ff">
              <v:stroke dashstyle="solid"/>
            </v:rect>
            <v:rect style="position:absolute;left:4188;top:-1663;width:46;height:53" filled="true" fillcolor="#0000ff" stroked="false">
              <v:fill type="solid"/>
            </v:rect>
            <v:rect style="position:absolute;left:4188;top:-1663;width:46;height:53" filled="false" stroked="true" strokeweight=".252116pt" strokecolor="#0000ff">
              <v:stroke dashstyle="solid"/>
            </v:rect>
            <v:rect style="position:absolute;left:4407;top:-1456;width:46;height:53" filled="true" fillcolor="#0000ff" stroked="false">
              <v:fill type="solid"/>
            </v:rect>
            <v:rect style="position:absolute;left:4407;top:-1456;width:46;height:53" filled="false" stroked="true" strokeweight=".252116pt" strokecolor="#0000ff">
              <v:stroke dashstyle="solid"/>
            </v:rect>
            <v:rect style="position:absolute;left:4626;top:-1185;width:46;height:53" filled="true" fillcolor="#0000ff" stroked="false">
              <v:fill type="solid"/>
            </v:rect>
            <v:rect style="position:absolute;left:4626;top:-1185;width:46;height:53" filled="false" stroked="true" strokeweight=".252116pt" strokecolor="#0000ff">
              <v:stroke dashstyle="solid"/>
            </v:rect>
            <v:rect style="position:absolute;left:4846;top:-1286;width:46;height:53" filled="true" fillcolor="#0000ff" stroked="false">
              <v:fill type="solid"/>
            </v:rect>
            <v:rect style="position:absolute;left:4846;top:-1286;width:46;height:53" filled="false" stroked="true" strokeweight=".252116pt" strokecolor="#0000ff">
              <v:stroke dashstyle="solid"/>
            </v:rect>
            <v:rect style="position:absolute;left:5064;top:-1304;width:46;height:53" filled="true" fillcolor="#0000ff" stroked="false">
              <v:fill type="solid"/>
            </v:rect>
            <v:rect style="position:absolute;left:5064;top:-1304;width:46;height:53" filled="false" stroked="true" strokeweight=".252116pt" strokecolor="#0000ff">
              <v:stroke dashstyle="solid"/>
            </v:rect>
            <v:line style="position:absolute" from="1697,-3156" to="1823,-3156" stroked="true" strokeweight="1.004828pt" strokecolor="#ff00ff">
              <v:stroke dashstyle="solid"/>
            </v:line>
            <v:shape style="position:absolute;left:1730;top:-3191;width:59;height:69" coordorigin="1730,-3190" coordsize="59,69" path="m1760,-3190l1730,-3156,1760,-3122,1789,-3156,1760,-3190xe" filled="true" fillcolor="#ff00ff" stroked="false">
              <v:path arrowok="t"/>
              <v:fill type="solid"/>
            </v:shape>
            <v:shape style="position:absolute;left:1730;top:-3191;width:59;height:69" coordorigin="1730,-3190" coordsize="59,69" path="m1760,-3190l1789,-3156,1760,-3122,1730,-3156,1760,-3190e" filled="false" stroked="true" strokeweight=".252116pt" strokecolor="#ff00ff">
              <v:path arrowok="t"/>
              <v:stroke dashstyle="solid"/>
            </v:shape>
            <v:line style="position:absolute" from="1697,-2581" to="1823,-2581" stroked="true" strokeweight="1.004828pt" strokecolor="#0000ff">
              <v:stroke dashstyle="solid"/>
            </v:line>
            <v:rect style="position:absolute;left:1737;top:-2608;width:46;height:53" filled="true" fillcolor="#0000ff" stroked="false">
              <v:fill type="solid"/>
            </v:rect>
            <v:rect style="position:absolute;left:1737;top:-2608;width:46;height:53" filled="false" stroked="true" strokeweight=".252116pt" strokecolor="#0000ff">
              <v:stroke dashstyle="solid"/>
            </v:rect>
            <v:shape style="position:absolute;left:3199;top:-1748;width:54;height:454" coordorigin="3200,-1748" coordsize="54,454" path="m3226,-1733l3223,-1727,3223,-1294,3229,-1294,3229,-1727,3226,-1733xm3226,-1748l3201,-1697,3200,-1695,3200,-1693,3202,-1692,3203,-1691,3205,-1691,3206,-1693,3223,-1727,3223,-1741,3230,-1741,3226,-1748xm3230,-1741l3229,-1741,3229,-1727,3247,-1691,3249,-1691,3251,-1692,3252,-1693,3253,-1695,3252,-1697,3230,-1741xm3229,-1741l3223,-1741,3223,-1727,3226,-1733,3224,-1739,3229,-1739,3229,-1741xm3229,-1739l3229,-1739,3226,-1733,3229,-1727,3229,-1739xm3229,-1739l3224,-1739,3226,-1733,3229,-1739xe" filled="true" fillcolor="#000000" stroked="false">
              <v:path arrowok="t"/>
              <v:fill type="solid"/>
            </v:shape>
            <w10:wrap type="none"/>
          </v:group>
        </w:pict>
      </w:r>
      <w:r>
        <w:rPr/>
        <w:pict>
          <v:group style="position:absolute;margin-left:315.060455pt;margin-top:-180.600479pt;width:225.2pt;height:139.8pt;mso-position-horizontal-relative:page;mso-position-vertical-relative:paragraph;z-index:-253435904" coordorigin="6301,-3612" coordsize="4504,2796">
            <v:rect style="position:absolute;left:6353;top:-3610;width:4449;height:2791" filled="false" stroked="true" strokeweight=".264064pt" strokecolor="#000000">
              <v:stroke dashstyle="solid"/>
            </v:rect>
            <v:shape style="position:absolute;left:1092;top:-4925;width:13133;height:7416" coordorigin="1092,-4924" coordsize="13133,7416" path="m6353,-819l6353,-3609m6301,-819l6353,-819m6301,-1453l6353,-1453m6301,-2088l6353,-2088m6301,-2722l6353,-2722m6301,-3356l6353,-3356m6353,-3356l10802,-3356e" filled="false" stroked="true" strokeweight=".258807pt" strokecolor="#858585">
              <v:path arrowok="t"/>
              <v:stroke dashstyle="solid"/>
            </v:shape>
            <v:shape style="position:absolute;left:6524;top:-3356;width:4107;height:1177" coordorigin="6524,-3356" coordsize="4107,1177" path="m6524,-3356l6867,-3173,7209,-2934,7551,-2824,7893,-2712,8236,-2614,8578,-2530,8920,-2451,9262,-2381,9604,-2320,9946,-2266,10288,-2219,10631,-2179e" filled="false" stroked="true" strokeweight=".986516pt" strokecolor="#ff00ff">
              <v:path arrowok="t"/>
              <v:stroke dashstyle="solid"/>
            </v:shape>
            <v:shape style="position:absolute;left:6524;top:-3356;width:4107;height:927" coordorigin="6524,-3356" coordsize="4107,927" path="m6524,-3356l6867,-3356,7209,-3341,7551,-3302,7893,-3248,8236,-3180,8578,-3099,8920,-3009,9262,-2908,9604,-2798,9946,-2682,10288,-2558,10631,-2429e" filled="false" stroked="true" strokeweight=".988945pt" strokecolor="#0000ff">
              <v:path arrowok="t"/>
              <v:stroke dashstyle="solid"/>
            </v:shape>
            <v:shape style="position:absolute;left:6524;top:-3357;width:4107;height:1778" coordorigin="6525,-3356" coordsize="4107,1778" path="m6525,-3356l6867,-3113,7209,-2728,7551,-2460,7893,-2221,8235,-2030,8577,-1884,8919,-1771,9262,-1691,9604,-1633,9947,-1600,10289,-1582,10631,-1578e" filled="false" stroked="true" strokeweight="1.11279pt" strokecolor="#0000ff">
              <v:path arrowok="t"/>
              <v:stroke dashstyle="longdash"/>
            </v:shape>
            <v:shape style="position:absolute;left:6524;top:-3357;width:4107;height:2485" coordorigin="6525,-3356" coordsize="4107,2485" path="m6525,-3356l6867,-3250,7209,-3017,7551,-2776,7893,-2556,8235,-2334,8577,-2113,8919,-1892,9262,-1673,9604,-1458,9947,-1254,10289,-1059,10631,-871e" filled="false" stroked="true" strokeweight="1.101704pt" strokecolor="#ff00ff">
              <v:path arrowok="t"/>
              <v:stroke dashstyle="longdash"/>
            </v:shape>
            <v:line style="position:absolute" from="6589,-1645" to="6762,-1645" stroked="true" strokeweight=".993234pt" strokecolor="#ff00ff">
              <v:stroke dashstyle="solid"/>
            </v:line>
            <v:line style="position:absolute" from="6589,-1440" to="6762,-1440" stroked="true" strokeweight=".993234pt" strokecolor="#0000ff">
              <v:stroke dashstyle="solid"/>
            </v:line>
            <v:line style="position:absolute" from="6589,-1236" to="6762,-1236" stroked="true" strokeweight="1.128675pt" strokecolor="#0000ff">
              <v:stroke dashstyle="longdash"/>
            </v:line>
            <v:line style="position:absolute" from="6589,-1032" to="6762,-1032" stroked="true" strokeweight="1.128675pt" strokecolor="#ff00ff">
              <v:stroke dashstyle="longdash"/>
            </v:line>
            <w10:wrap type="none"/>
          </v:group>
        </w:pict>
      </w:r>
      <w:r>
        <w:rPr>
          <w:sz w:val="16"/>
        </w:rPr>
        <w:t>Note: In the left chart, the real-time estimates are those made in the middle of each year. The shaded area shows the range of estimates for the NAIRU in each year published by the OECD in different editions of the Economic Outlook. In the right chart, the simulations assume that the change in interest rates unwinds over the subsequent 3 years.</w:t>
      </w:r>
    </w:p>
    <w:p>
      <w:pPr>
        <w:spacing w:line="183" w:lineRule="exact" w:before="0"/>
        <w:ind w:left="673" w:right="0" w:firstLine="0"/>
        <w:jc w:val="left"/>
        <w:rPr>
          <w:sz w:val="16"/>
        </w:rPr>
      </w:pPr>
      <w:r>
        <w:rPr>
          <w:sz w:val="16"/>
        </w:rPr>
        <w:t>Sources: HM Treasury and BoE</w:t>
      </w:r>
    </w:p>
    <w:p>
      <w:pPr>
        <w:spacing w:after="0" w:line="183" w:lineRule="exact"/>
        <w:jc w:val="left"/>
        <w:rPr>
          <w:sz w:val="16"/>
        </w:rPr>
        <w:sectPr>
          <w:pgSz w:w="11910" w:h="16840"/>
          <w:pgMar w:header="0" w:footer="1338" w:top="1580" w:bottom="1520" w:left="460" w:right="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245"/>
        <w:gridCol w:w="110"/>
        <w:gridCol w:w="111"/>
        <w:gridCol w:w="4810"/>
        <w:gridCol w:w="194"/>
      </w:tblGrid>
      <w:tr>
        <w:trPr>
          <w:trHeight w:val="1019" w:hRule="atLeast"/>
        </w:trPr>
        <w:tc>
          <w:tcPr>
            <w:tcW w:w="5466" w:type="dxa"/>
            <w:gridSpan w:val="3"/>
            <w:tcBorders>
              <w:bottom w:val="single" w:sz="6" w:space="0" w:color="000000"/>
            </w:tcBorders>
          </w:tcPr>
          <w:p>
            <w:pPr>
              <w:pStyle w:val="TableParagraph"/>
              <w:spacing w:before="108"/>
              <w:ind w:left="107"/>
              <w:rPr>
                <w:sz w:val="20"/>
              </w:rPr>
            </w:pPr>
            <w:r>
              <w:rPr>
                <w:sz w:val="20"/>
              </w:rPr>
              <w:t>Figure 16. UK – Housing Tenure, 1981-2015</w:t>
            </w:r>
          </w:p>
        </w:tc>
        <w:tc>
          <w:tcPr>
            <w:tcW w:w="5115" w:type="dxa"/>
            <w:gridSpan w:val="3"/>
            <w:tcBorders>
              <w:bottom w:val="single" w:sz="6" w:space="0" w:color="000000"/>
            </w:tcBorders>
          </w:tcPr>
          <w:p>
            <w:pPr>
              <w:pStyle w:val="TableParagraph"/>
              <w:spacing w:line="352" w:lineRule="auto" w:before="108"/>
              <w:ind w:left="110"/>
              <w:rPr>
                <w:sz w:val="20"/>
              </w:rPr>
            </w:pPr>
            <w:r>
              <w:rPr>
                <w:sz w:val="20"/>
              </w:rPr>
              <w:t>Figure 17. UK – Net Balance of People That Believe Higher Interest Rates Would Be “Best for the British</w:t>
            </w:r>
          </w:p>
          <w:p>
            <w:pPr>
              <w:pStyle w:val="TableParagraph"/>
              <w:spacing w:line="213" w:lineRule="exact" w:before="3"/>
              <w:ind w:left="110"/>
              <w:rPr>
                <w:sz w:val="20"/>
              </w:rPr>
            </w:pPr>
            <w:r>
              <w:rPr>
                <w:sz w:val="20"/>
              </w:rPr>
              <w:t>Economy” and “Best for You Personally”, 1999-18</w:t>
            </w:r>
          </w:p>
        </w:tc>
      </w:tr>
      <w:tr>
        <w:trPr>
          <w:trHeight w:val="3717" w:hRule="atLeast"/>
        </w:trPr>
        <w:tc>
          <w:tcPr>
            <w:tcW w:w="111" w:type="dxa"/>
            <w:tcBorders>
              <w:right w:val="single" w:sz="4" w:space="0" w:color="858585"/>
            </w:tcBorders>
          </w:tcPr>
          <w:p>
            <w:pPr>
              <w:pStyle w:val="TableParagraph"/>
              <w:rPr>
                <w:rFonts w:ascii="Times New Roman"/>
                <w:sz w:val="16"/>
              </w:rPr>
            </w:pPr>
          </w:p>
        </w:tc>
        <w:tc>
          <w:tcPr>
            <w:tcW w:w="5245" w:type="dxa"/>
            <w:tcBorders>
              <w:top w:val="single" w:sz="6" w:space="0" w:color="000000"/>
              <w:left w:val="single" w:sz="4" w:space="0" w:color="858585"/>
              <w:right w:val="single" w:sz="4" w:space="0" w:color="858585"/>
            </w:tcBorders>
          </w:tcPr>
          <w:p>
            <w:pPr>
              <w:pStyle w:val="TableParagraph"/>
              <w:spacing w:line="182" w:lineRule="exact" w:before="11"/>
              <w:ind w:left="10"/>
              <w:rPr>
                <w:rFonts w:ascii="Calibri"/>
                <w:b/>
                <w:sz w:val="18"/>
              </w:rPr>
            </w:pPr>
            <w:r>
              <w:rPr>
                <w:rFonts w:ascii="Calibri"/>
                <w:b/>
                <w:sz w:val="18"/>
              </w:rPr>
              <w:t>50</w:t>
            </w:r>
          </w:p>
          <w:p>
            <w:pPr>
              <w:pStyle w:val="TableParagraph"/>
              <w:tabs>
                <w:tab w:pos="3062" w:val="left" w:leader="none"/>
              </w:tabs>
              <w:spacing w:line="172" w:lineRule="exact"/>
              <w:ind w:left="890"/>
              <w:rPr>
                <w:rFonts w:ascii="Calibri"/>
                <w:b/>
                <w:sz w:val="18"/>
              </w:rPr>
            </w:pPr>
            <w:r>
              <w:rPr>
                <w:rFonts w:ascii="Calibri"/>
                <w:b/>
                <w:sz w:val="18"/>
              </w:rPr>
              <w:t>Owned</w:t>
            </w:r>
            <w:r>
              <w:rPr>
                <w:rFonts w:ascii="Calibri"/>
                <w:b/>
                <w:spacing w:val="-21"/>
                <w:sz w:val="18"/>
              </w:rPr>
              <w:t> </w:t>
            </w:r>
            <w:r>
              <w:rPr>
                <w:rFonts w:ascii="Calibri"/>
                <w:b/>
                <w:sz w:val="18"/>
              </w:rPr>
              <w:t>With</w:t>
            </w:r>
            <w:r>
              <w:rPr>
                <w:rFonts w:ascii="Calibri"/>
                <w:b/>
                <w:spacing w:val="-20"/>
                <w:sz w:val="18"/>
              </w:rPr>
              <w:t> </w:t>
            </w:r>
            <w:r>
              <w:rPr>
                <w:rFonts w:ascii="Calibri"/>
                <w:b/>
                <w:sz w:val="18"/>
              </w:rPr>
              <w:t>Mortgage</w:t>
              <w:tab/>
              <w:t>Owned</w:t>
            </w:r>
            <w:r>
              <w:rPr>
                <w:rFonts w:ascii="Calibri"/>
                <w:b/>
                <w:spacing w:val="-4"/>
                <w:sz w:val="18"/>
              </w:rPr>
              <w:t> </w:t>
            </w:r>
            <w:r>
              <w:rPr>
                <w:rFonts w:ascii="Calibri"/>
                <w:b/>
                <w:sz w:val="18"/>
              </w:rPr>
              <w:t>Outright</w:t>
            </w:r>
          </w:p>
          <w:p>
            <w:pPr>
              <w:pStyle w:val="TableParagraph"/>
              <w:tabs>
                <w:tab w:pos="738" w:val="left" w:leader="none"/>
                <w:tab w:pos="3062" w:val="left" w:leader="none"/>
              </w:tabs>
              <w:spacing w:line="285" w:lineRule="auto"/>
              <w:ind w:left="10" w:right="1234"/>
              <w:rPr>
                <w:rFonts w:ascii="Calibri"/>
                <w:b/>
                <w:sz w:val="18"/>
              </w:rPr>
            </w:pPr>
            <w:r>
              <w:rPr>
                <w:rFonts w:ascii="Calibri"/>
                <w:b/>
                <w:position w:val="8"/>
                <w:sz w:val="18"/>
              </w:rPr>
              <w:t>45</w:t>
              <w:tab/>
            </w:r>
            <w:r>
              <w:rPr>
                <w:rFonts w:ascii="Calibri"/>
                <w:b/>
                <w:position w:val="8"/>
                <w:sz w:val="18"/>
                <w:u w:val="thick" w:color="66FF33"/>
              </w:rPr>
              <w:t> </w:t>
            </w:r>
            <w:r>
              <w:rPr>
                <w:rFonts w:ascii="Calibri"/>
                <w:b/>
                <w:sz w:val="18"/>
              </w:rPr>
              <w:t>Private</w:t>
            </w:r>
            <w:r>
              <w:rPr>
                <w:rFonts w:ascii="Calibri"/>
                <w:b/>
                <w:spacing w:val="-14"/>
                <w:sz w:val="18"/>
              </w:rPr>
              <w:t> </w:t>
            </w:r>
            <w:r>
              <w:rPr>
                <w:rFonts w:ascii="Calibri"/>
                <w:b/>
                <w:sz w:val="18"/>
              </w:rPr>
              <w:t>Renter</w:t>
              <w:tab/>
            </w:r>
            <w:r>
              <w:rPr>
                <w:rFonts w:ascii="Calibri"/>
                <w:b/>
                <w:w w:val="95"/>
                <w:sz w:val="18"/>
              </w:rPr>
              <w:t>Social </w:t>
            </w:r>
            <w:r>
              <w:rPr>
                <w:rFonts w:ascii="Calibri"/>
                <w:b/>
                <w:spacing w:val="-3"/>
                <w:w w:val="95"/>
                <w:sz w:val="18"/>
              </w:rPr>
              <w:t>Renter </w:t>
            </w:r>
            <w:r>
              <w:rPr>
                <w:rFonts w:ascii="Calibri"/>
                <w:b/>
                <w:sz w:val="18"/>
              </w:rPr>
              <w:t>40</w:t>
            </w:r>
          </w:p>
          <w:p>
            <w:pPr>
              <w:pStyle w:val="TableParagraph"/>
              <w:spacing w:before="73"/>
              <w:ind w:left="10"/>
              <w:rPr>
                <w:rFonts w:ascii="Calibri"/>
                <w:b/>
                <w:sz w:val="18"/>
              </w:rPr>
            </w:pPr>
            <w:r>
              <w:rPr>
                <w:rFonts w:ascii="Calibri"/>
                <w:b/>
                <w:sz w:val="18"/>
              </w:rPr>
              <w:t>35</w:t>
            </w:r>
          </w:p>
          <w:p>
            <w:pPr>
              <w:pStyle w:val="TableParagraph"/>
              <w:spacing w:before="124"/>
              <w:ind w:left="10"/>
              <w:rPr>
                <w:rFonts w:ascii="Calibri"/>
                <w:b/>
                <w:sz w:val="18"/>
              </w:rPr>
            </w:pPr>
            <w:r>
              <w:rPr>
                <w:rFonts w:ascii="Calibri"/>
                <w:b/>
                <w:sz w:val="18"/>
              </w:rPr>
              <w:t>30</w:t>
            </w:r>
          </w:p>
          <w:p>
            <w:pPr>
              <w:pStyle w:val="TableParagraph"/>
              <w:spacing w:before="123"/>
              <w:ind w:left="10"/>
              <w:rPr>
                <w:rFonts w:ascii="Calibri"/>
                <w:b/>
                <w:sz w:val="18"/>
              </w:rPr>
            </w:pPr>
            <w:r>
              <w:rPr>
                <w:rFonts w:ascii="Calibri"/>
                <w:b/>
                <w:sz w:val="18"/>
              </w:rPr>
              <w:t>25</w:t>
            </w:r>
          </w:p>
          <w:p>
            <w:pPr>
              <w:pStyle w:val="TableParagraph"/>
              <w:spacing w:before="124"/>
              <w:ind w:left="10"/>
              <w:rPr>
                <w:rFonts w:ascii="Calibri"/>
                <w:b/>
                <w:sz w:val="18"/>
              </w:rPr>
            </w:pPr>
            <w:r>
              <w:rPr>
                <w:rFonts w:ascii="Calibri"/>
                <w:b/>
                <w:sz w:val="18"/>
              </w:rPr>
              <w:t>20</w:t>
            </w:r>
          </w:p>
          <w:p>
            <w:pPr>
              <w:pStyle w:val="TableParagraph"/>
              <w:spacing w:before="124"/>
              <w:ind w:left="10"/>
              <w:rPr>
                <w:rFonts w:ascii="Calibri"/>
                <w:b/>
                <w:sz w:val="18"/>
              </w:rPr>
            </w:pPr>
            <w:r>
              <w:rPr>
                <w:rFonts w:ascii="Calibri"/>
                <w:b/>
                <w:sz w:val="18"/>
              </w:rPr>
              <w:t>15</w:t>
            </w:r>
          </w:p>
          <w:p>
            <w:pPr>
              <w:pStyle w:val="TableParagraph"/>
              <w:tabs>
                <w:tab w:pos="524" w:val="left" w:leader="none"/>
              </w:tabs>
              <w:spacing w:before="124"/>
              <w:ind w:left="10"/>
              <w:rPr>
                <w:rFonts w:ascii="Calibri"/>
                <w:b/>
                <w:sz w:val="18"/>
              </w:rPr>
            </w:pPr>
            <w:r>
              <w:rPr>
                <w:rFonts w:ascii="Calibri"/>
                <w:b/>
                <w:sz w:val="18"/>
              </w:rPr>
              <w:t>10</w:t>
              <w:tab/>
            </w:r>
            <w:r>
              <w:rPr>
                <w:rFonts w:ascii="Calibri"/>
                <w:b/>
                <w:position w:val="-6"/>
                <w:sz w:val="18"/>
              </w:rPr>
              <w:t>%</w:t>
            </w:r>
          </w:p>
          <w:p>
            <w:pPr>
              <w:pStyle w:val="TableParagraph"/>
              <w:spacing w:before="53"/>
              <w:ind w:left="97"/>
              <w:rPr>
                <w:rFonts w:ascii="Calibri"/>
                <w:b/>
                <w:sz w:val="18"/>
              </w:rPr>
            </w:pPr>
            <w:r>
              <w:rPr>
                <w:rFonts w:ascii="Calibri"/>
                <w:b/>
                <w:w w:val="95"/>
                <w:sz w:val="18"/>
              </w:rPr>
              <w:t>5</w:t>
            </w:r>
          </w:p>
          <w:p>
            <w:pPr>
              <w:pStyle w:val="TableParagraph"/>
              <w:tabs>
                <w:tab w:pos="1046" w:val="left" w:leader="none"/>
                <w:tab w:pos="1855" w:val="left" w:leader="none"/>
                <w:tab w:pos="2664" w:val="left" w:leader="none"/>
                <w:tab w:pos="3473" w:val="left" w:leader="none"/>
                <w:tab w:pos="4282" w:val="left" w:leader="none"/>
              </w:tabs>
              <w:spacing w:before="21"/>
              <w:ind w:left="237"/>
              <w:rPr>
                <w:rFonts w:ascii="Calibri"/>
                <w:b/>
                <w:sz w:val="18"/>
              </w:rPr>
            </w:pPr>
            <w:r>
              <w:rPr>
                <w:rFonts w:ascii="Calibri"/>
                <w:b/>
                <w:sz w:val="18"/>
              </w:rPr>
              <w:t>1981</w:t>
              <w:tab/>
              <w:t>1987</w:t>
              <w:tab/>
              <w:t>1993</w:t>
              <w:tab/>
              <w:t>1999</w:t>
              <w:tab/>
              <w:t>2005</w:t>
              <w:tab/>
              <w:t>2011</w:t>
            </w:r>
          </w:p>
        </w:tc>
        <w:tc>
          <w:tcPr>
            <w:tcW w:w="110" w:type="dxa"/>
            <w:tcBorders>
              <w:left w:val="single" w:sz="4" w:space="0" w:color="858585"/>
            </w:tcBorders>
          </w:tcPr>
          <w:p>
            <w:pPr>
              <w:pStyle w:val="TableParagraph"/>
              <w:rPr>
                <w:rFonts w:ascii="Times New Roman"/>
                <w:sz w:val="16"/>
              </w:rPr>
            </w:pPr>
          </w:p>
        </w:tc>
        <w:tc>
          <w:tcPr>
            <w:tcW w:w="111" w:type="dxa"/>
            <w:tcBorders>
              <w:right w:val="single" w:sz="4" w:space="0" w:color="858585"/>
            </w:tcBorders>
          </w:tcPr>
          <w:p>
            <w:pPr>
              <w:pStyle w:val="TableParagraph"/>
              <w:rPr>
                <w:rFonts w:ascii="Times New Roman"/>
                <w:sz w:val="16"/>
              </w:rPr>
            </w:pPr>
          </w:p>
        </w:tc>
        <w:tc>
          <w:tcPr>
            <w:tcW w:w="4810" w:type="dxa"/>
            <w:tcBorders>
              <w:top w:val="single" w:sz="6" w:space="0" w:color="000000"/>
              <w:left w:val="single" w:sz="4" w:space="0" w:color="858585"/>
              <w:right w:val="single" w:sz="4" w:space="0" w:color="858585"/>
            </w:tcBorders>
          </w:tcPr>
          <w:p>
            <w:pPr>
              <w:pStyle w:val="TableParagraph"/>
              <w:spacing w:before="11"/>
              <w:ind w:left="57"/>
              <w:rPr>
                <w:rFonts w:ascii="Calibri"/>
                <w:b/>
                <w:sz w:val="18"/>
              </w:rPr>
            </w:pPr>
            <w:r>
              <w:rPr>
                <w:rFonts w:ascii="Calibri"/>
                <w:b/>
                <w:sz w:val="18"/>
              </w:rPr>
              <w:t>30</w:t>
            </w:r>
          </w:p>
          <w:p>
            <w:pPr>
              <w:pStyle w:val="TableParagraph"/>
              <w:spacing w:line="172" w:lineRule="exact" w:before="36"/>
              <w:ind w:left="2486"/>
              <w:rPr>
                <w:rFonts w:ascii="Calibri"/>
                <w:b/>
                <w:sz w:val="18"/>
              </w:rPr>
            </w:pPr>
            <w:r>
              <w:rPr>
                <w:rFonts w:ascii="Calibri"/>
                <w:b/>
                <w:sz w:val="18"/>
              </w:rPr>
              <w:t>Good for Economy</w:t>
            </w:r>
          </w:p>
          <w:p>
            <w:pPr>
              <w:pStyle w:val="TableParagraph"/>
              <w:spacing w:line="213" w:lineRule="exact"/>
              <w:ind w:left="57"/>
              <w:rPr>
                <w:rFonts w:ascii="Calibri"/>
                <w:b/>
                <w:sz w:val="18"/>
              </w:rPr>
            </w:pPr>
            <w:r>
              <w:rPr>
                <w:rFonts w:ascii="Calibri"/>
                <w:b/>
                <w:sz w:val="18"/>
              </w:rPr>
              <w:t>20 </w:t>
            </w:r>
            <w:r>
              <w:rPr>
                <w:rFonts w:ascii="Calibri"/>
                <w:b/>
                <w:position w:val="6"/>
                <w:sz w:val="18"/>
              </w:rPr>
              <w:t>%</w:t>
            </w:r>
          </w:p>
          <w:p>
            <w:pPr>
              <w:pStyle w:val="TableParagraph"/>
              <w:spacing w:line="200" w:lineRule="exact"/>
              <w:ind w:left="2486"/>
              <w:rPr>
                <w:rFonts w:ascii="Calibri"/>
                <w:b/>
                <w:sz w:val="18"/>
              </w:rPr>
            </w:pPr>
            <w:r>
              <w:rPr>
                <w:rFonts w:ascii="Calibri"/>
                <w:b/>
                <w:sz w:val="18"/>
              </w:rPr>
              <w:t>Good for Personal Situation</w:t>
            </w:r>
          </w:p>
          <w:p>
            <w:pPr>
              <w:pStyle w:val="TableParagraph"/>
              <w:spacing w:before="42"/>
              <w:ind w:left="57"/>
              <w:rPr>
                <w:rFonts w:ascii="Calibri"/>
                <w:b/>
                <w:sz w:val="18"/>
              </w:rPr>
            </w:pPr>
            <w:r>
              <w:rPr>
                <w:rFonts w:ascii="Calibri"/>
                <w:b/>
                <w:sz w:val="18"/>
              </w:rPr>
              <w:t>10</w:t>
            </w:r>
          </w:p>
          <w:p>
            <w:pPr>
              <w:pStyle w:val="TableParagraph"/>
              <w:spacing w:before="3"/>
              <w:rPr>
                <w:sz w:val="19"/>
              </w:rPr>
            </w:pPr>
          </w:p>
          <w:p>
            <w:pPr>
              <w:pStyle w:val="TableParagraph"/>
              <w:ind w:left="137"/>
              <w:rPr>
                <w:rFonts w:ascii="Calibri"/>
                <w:b/>
                <w:sz w:val="18"/>
              </w:rPr>
            </w:pPr>
            <w:r>
              <w:rPr>
                <w:rFonts w:ascii="Calibri"/>
                <w:b/>
                <w:w w:val="87"/>
                <w:sz w:val="18"/>
              </w:rPr>
              <w:t>0</w:t>
            </w:r>
          </w:p>
          <w:p>
            <w:pPr>
              <w:pStyle w:val="TableParagraph"/>
              <w:spacing w:before="4"/>
              <w:rPr>
                <w:sz w:val="19"/>
              </w:rPr>
            </w:pPr>
          </w:p>
          <w:p>
            <w:pPr>
              <w:pStyle w:val="TableParagraph"/>
              <w:ind w:left="9"/>
              <w:rPr>
                <w:rFonts w:ascii="Calibri"/>
                <w:b/>
                <w:sz w:val="18"/>
              </w:rPr>
            </w:pPr>
            <w:r>
              <w:rPr>
                <w:rFonts w:ascii="Calibri"/>
                <w:b/>
                <w:sz w:val="18"/>
              </w:rPr>
              <w:t>-10</w:t>
            </w:r>
          </w:p>
          <w:p>
            <w:pPr>
              <w:pStyle w:val="TableParagraph"/>
              <w:spacing w:before="3"/>
              <w:rPr>
                <w:sz w:val="19"/>
              </w:rPr>
            </w:pPr>
          </w:p>
          <w:p>
            <w:pPr>
              <w:pStyle w:val="TableParagraph"/>
              <w:ind w:left="9"/>
              <w:rPr>
                <w:rFonts w:ascii="Calibri"/>
                <w:b/>
                <w:sz w:val="18"/>
              </w:rPr>
            </w:pPr>
            <w:r>
              <w:rPr>
                <w:rFonts w:ascii="Calibri"/>
                <w:b/>
                <w:sz w:val="18"/>
              </w:rPr>
              <w:t>-20</w:t>
            </w:r>
          </w:p>
          <w:p>
            <w:pPr>
              <w:pStyle w:val="TableParagraph"/>
              <w:spacing w:before="4"/>
              <w:rPr>
                <w:sz w:val="19"/>
              </w:rPr>
            </w:pPr>
          </w:p>
          <w:p>
            <w:pPr>
              <w:pStyle w:val="TableParagraph"/>
              <w:ind w:left="9"/>
              <w:rPr>
                <w:rFonts w:ascii="Calibri"/>
                <w:b/>
                <w:sz w:val="18"/>
              </w:rPr>
            </w:pPr>
            <w:r>
              <w:rPr>
                <w:rFonts w:ascii="Calibri"/>
                <w:b/>
                <w:sz w:val="18"/>
              </w:rPr>
              <w:t>-30</w:t>
            </w:r>
          </w:p>
          <w:p>
            <w:pPr>
              <w:pStyle w:val="TableParagraph"/>
              <w:spacing w:before="3"/>
              <w:rPr>
                <w:sz w:val="19"/>
              </w:rPr>
            </w:pPr>
          </w:p>
          <w:p>
            <w:pPr>
              <w:pStyle w:val="TableParagraph"/>
              <w:spacing w:before="1"/>
              <w:ind w:left="9"/>
              <w:rPr>
                <w:rFonts w:ascii="Calibri"/>
                <w:b/>
                <w:sz w:val="18"/>
              </w:rPr>
            </w:pPr>
            <w:r>
              <w:rPr>
                <w:rFonts w:ascii="Calibri"/>
                <w:b/>
                <w:sz w:val="18"/>
              </w:rPr>
              <w:t>-40</w:t>
            </w:r>
          </w:p>
          <w:p>
            <w:pPr>
              <w:pStyle w:val="TableParagraph"/>
              <w:spacing w:before="20"/>
              <w:ind w:left="231"/>
              <w:rPr>
                <w:rFonts w:ascii="Calibri"/>
                <w:b/>
                <w:sz w:val="18"/>
              </w:rPr>
            </w:pPr>
            <w:r>
              <w:rPr>
                <w:rFonts w:ascii="Calibri"/>
                <w:b/>
                <w:sz w:val="18"/>
              </w:rPr>
              <w:t>1999 2001 2003 2005 2007 2009 2011 2013 2015 2017</w:t>
            </w:r>
          </w:p>
        </w:tc>
        <w:tc>
          <w:tcPr>
            <w:tcW w:w="194" w:type="dxa"/>
            <w:tcBorders>
              <w:left w:val="single" w:sz="4" w:space="0" w:color="858585"/>
            </w:tcBorders>
          </w:tcPr>
          <w:p>
            <w:pPr>
              <w:pStyle w:val="TableParagraph"/>
              <w:rPr>
                <w:rFonts w:ascii="Times New Roman"/>
                <w:sz w:val="16"/>
              </w:rPr>
            </w:pPr>
          </w:p>
        </w:tc>
      </w:tr>
    </w:tbl>
    <w:p>
      <w:pPr>
        <w:pStyle w:val="BodyText"/>
        <w:spacing w:before="9"/>
        <w:rPr>
          <w:sz w:val="6"/>
        </w:rPr>
      </w:pPr>
    </w:p>
    <w:p>
      <w:pPr>
        <w:spacing w:line="444" w:lineRule="auto" w:before="96"/>
        <w:ind w:left="673" w:right="1187" w:firstLine="0"/>
        <w:jc w:val="left"/>
        <w:rPr>
          <w:sz w:val="16"/>
        </w:rPr>
      </w:pPr>
      <w:r>
        <w:rPr/>
        <w:pict>
          <v:group style="position:absolute;margin-left:48.34269pt;margin-top:-182.827362pt;width:238.85pt;height:154.8pt;mso-position-horizontal-relative:page;mso-position-vertical-relative:paragraph;z-index:-253433856" coordorigin="967,-3657" coordsize="4777,3096">
            <v:rect style="position:absolute;left:1021;top:-3654;width:4719;height:3091" filled="false" stroked="true" strokeweight=".271016pt" strokecolor="#000000">
              <v:stroke dashstyle="solid"/>
            </v:rect>
            <v:shape style="position:absolute;left:816;top:1144;width:13347;height:8038" coordorigin="816,1145" coordsize="13347,8038" path="m1022,-564l1022,-3654m967,-564l1022,-564m967,-907l1022,-907m967,-1250l1022,-1250m967,-1593l1022,-1593m967,-1937l1022,-1937m967,-2280l1022,-2280m967,-2624l1022,-2624m967,-2967l1022,-2967m967,-3311l1022,-3311m967,-3654l1022,-3654m1022,-564l5740,-564e" filled="false" stroked="true" strokeweight=".267162pt" strokecolor="#858585">
              <v:path arrowok="t"/>
              <v:stroke dashstyle="solid"/>
            </v:shape>
            <v:shape style="position:absolute;left:1089;top:-3109;width:4584;height:900" coordorigin="1089,-3109" coordsize="4584,900" path="m1089,-2406l1224,-2474,1359,-2543,1493,-2641,1628,-2710,1763,-2779,1898,-2847,2033,-2880,2167,-2948,2302,-3018,2438,-3085,2572,-3094,2707,-3101,2842,-3092,2977,-3109,3112,-3079,3246,-3063,3381,-3057,3516,-3059,3651,-3048,3785,-3021,3920,-3011,4055,-2957,4191,-2930,4325,-2924,4460,-2874,4595,-2825,4730,-2737,4864,-2663,4999,-2604,5134,-2513,5269,-2481,5403,-2404,5538,-2318,5673,-2209e" filled="false" stroked="true" strokeweight="1.150375pt" strokecolor="#ff00ff">
              <v:path arrowok="t"/>
              <v:stroke dashstyle="solid"/>
            </v:shape>
            <v:shape style="position:absolute;left:1089;top:-2552;width:4584;height:669" coordorigin="1089,-2552" coordsize="4584,669" path="m1089,-1920l1224,-1920,1359,-1920,1493,-1957,1628,-1957,1763,-1957,1898,-1957,2033,-1955,2167,-1955,2302,-1955,2438,-1884,2572,-1897,2707,-1903,2842,-1928,2977,-1925,3112,-1960,3246,-2001,3381,-2042,3516,-2083,3651,-2122,3785,-2166,3920,-2187,4055,-2193,4191,-2252,4325,-2255,4460,-2258,4595,-2279,4730,-2320,4864,-2326,4999,-2336,5134,-2379,5269,-2360,5403,-2395,5538,-2455,5673,-2552e" filled="false" stroked="true" strokeweight="1.151684pt" strokecolor="#0000ff">
              <v:path arrowok="t"/>
              <v:stroke dashstyle="solid"/>
            </v:shape>
            <v:shape style="position:absolute;left:1089;top:-1586;width:4584;height:784" coordorigin="1089,-1586" coordsize="4584,784" path="m1089,-960l1224,-927,1359,-894,1493,-862,1628,-832,1763,-802,1898,-871,2033,-845,2167,-836,2302,-847,2438,-806,2572,-821,2707,-834,2842,-847,2977,-862,3112,-879,3246,-882,3381,-880,3516,-864,3651,-868,3785,-878,3920,-893,4055,-988,4191,-1000,4325,-1036,4460,-1103,4595,-1152,4730,-1216,4864,-1289,4999,-1344,5134,-1396,5269,-1447,5403,-1492,5538,-1527,5673,-1586e" filled="false" stroked="true" strokeweight="1.151075pt" strokecolor="#66ff33">
              <v:path arrowok="t"/>
              <v:stroke dashstyle="solid"/>
            </v:shape>
            <v:shape style="position:absolute;left:1089;top:-2464;width:4584;height:1063" coordorigin="1089,-2464" coordsize="4584,1063" path="m1089,-2464l1224,-2389,1359,-2333,1493,-2288,1628,-2244,1763,-2204,1898,-2136,2033,-2068,2167,-1995,2302,-1943,2438,-1924,2572,-1892,2707,-1866,2842,-1837,2977,-1811,3112,-1790,3246,-1765,3381,-1735,3516,-1711,3651,-1683,3785,-1655,3920,-1627,4055,-1584,4191,-1545,4325,-1511,4460,-1491,4595,-1473,4730,-1455,4864,-1451,4999,-1448,5134,-1444,5269,-1442,5403,-1439,5538,-1431,5673,-1401e" filled="false" stroked="true" strokeweight="1.149255pt" strokecolor="#ffc000">
              <v:path arrowok="t"/>
              <v:stroke dashstyle="solid"/>
            </v:shape>
            <v:line style="position:absolute" from="1416,-3509" to="1554,-3509" stroked="true" strokeweight="1.153356pt" strokecolor="#ff00ff">
              <v:stroke dashstyle="solid"/>
            </v:line>
            <v:line style="position:absolute" from="3588,-3509" to="3725,-3509" stroked="true" strokeweight="1.153356pt" strokecolor="#0000ff">
              <v:stroke dashstyle="solid"/>
            </v:line>
            <v:line style="position:absolute" from="3588,-3230" to="3725,-3230" stroked="true" strokeweight="1.153356pt" strokecolor="#ffc000">
              <v:stroke dashstyle="solid"/>
            </v:line>
            <w10:wrap type="none"/>
          </v:group>
        </w:pict>
      </w:r>
      <w:r>
        <w:rPr/>
        <w:pict>
          <v:group style="position:absolute;margin-left:322.884338pt;margin-top:-183.797241pt;width:217.35pt;height:156.8pt;mso-position-horizontal-relative:page;mso-position-vertical-relative:paragraph;z-index:-253432832" coordorigin="6458,-3676" coordsize="4347,3136">
            <v:rect style="position:absolute;left:6507;top:-3654;width:4277;height:3091" filled="false" stroked="true" strokeweight=".263063pt" strokecolor="#000000">
              <v:stroke dashstyle="solid"/>
            </v:rect>
            <v:line style="position:absolute" from="6702,-3654" to="6702,-563" stroked="true" strokeweight="1.102890pt" strokecolor="#d9d9d9">
              <v:stroke dashstyle="solid"/>
            </v:line>
            <v:rect style="position:absolute;left:6671;top:-3676;width:60;height:3136" filled="true" fillcolor="#d9d9d9" stroked="false">
              <v:fill type="solid"/>
            </v:rect>
            <v:line style="position:absolute" from="6757,-3654" to="6757,-563" stroked="true" strokeweight="1.102890pt" strokecolor="#d9d9d9">
              <v:stroke dashstyle="solid"/>
            </v:line>
            <v:rect style="position:absolute;left:6727;top:-3676;width:60;height:3136" filled="true" fillcolor="#d9d9d9" stroked="false">
              <v:fill type="solid"/>
            </v:rect>
            <v:line style="position:absolute" from="7590,-3654" to="7590,-563" stroked="true" strokeweight="1.102890pt" strokecolor="#d9d9d9">
              <v:stroke dashstyle="solid"/>
            </v:line>
            <v:rect style="position:absolute;left:7560;top:-3676;width:60;height:3136" filled="true" fillcolor="#d9d9d9" stroked="false">
              <v:fill type="solid"/>
            </v:rect>
            <v:line style="position:absolute" from="7646,-3654" to="7646,-563" stroked="true" strokeweight="1.102890pt" strokecolor="#d9d9d9">
              <v:stroke dashstyle="solid"/>
            </v:line>
            <v:rect style="position:absolute;left:7616;top:-3676;width:60;height:3136" filled="true" fillcolor="#d9d9d9" stroked="false">
              <v:fill type="solid"/>
            </v:rect>
            <v:line style="position:absolute" from="7701,-3654" to="7701,-563" stroked="true" strokeweight="1.102890pt" strokecolor="#d9d9d9">
              <v:stroke dashstyle="solid"/>
            </v:line>
            <v:rect style="position:absolute;left:7671;top:-3676;width:60;height:3136" filled="true" fillcolor="#d9d9d9" stroked="false">
              <v:fill type="solid"/>
            </v:rect>
            <v:line style="position:absolute" from="7757,-3654" to="7757,-563" stroked="true" strokeweight="1.102890pt" strokecolor="#d9d9d9">
              <v:stroke dashstyle="solid"/>
            </v:line>
            <v:rect style="position:absolute;left:7727;top:-3676;width:60;height:3136" filled="true" fillcolor="#d9d9d9" stroked="false">
              <v:fill type="solid"/>
            </v:rect>
            <v:line style="position:absolute" from="8201,-3654" to="8201,-563" stroked="true" strokeweight="1.142279pt" strokecolor="#d9d9d9">
              <v:stroke dashstyle="solid"/>
            </v:line>
            <v:rect style="position:absolute;left:8171;top:-3676;width:60;height:3136" filled="true" fillcolor="#d9d9d9" stroked="false">
              <v:fill type="solid"/>
            </v:rect>
            <v:line style="position:absolute" from="8257,-3654" to="8257,-563" stroked="true" strokeweight="1.102890pt" strokecolor="#d9d9d9">
              <v:stroke dashstyle="solid"/>
            </v:line>
            <v:rect style="position:absolute;left:8227;top:-3676;width:60;height:3136" filled="true" fillcolor="#d9d9d9" stroked="false">
              <v:fill type="solid"/>
            </v:rect>
            <v:line style="position:absolute" from="8312,-3654" to="8312,-563" stroked="true" strokeweight="1.142279pt" strokecolor="#d9d9d9">
              <v:stroke dashstyle="solid"/>
            </v:line>
            <v:rect style="position:absolute;left:8282;top:-3676;width:60;height:3136" filled="true" fillcolor="#d9d9d9" stroked="false">
              <v:fill type="solid"/>
            </v:rect>
            <v:line style="position:absolute" from="8368,-3654" to="8368,-563" stroked="true" strokeweight="1.102890pt" strokecolor="#d9d9d9">
              <v:stroke dashstyle="solid"/>
            </v:line>
            <v:rect style="position:absolute;left:8338;top:-3676;width:60;height:3136" filled="true" fillcolor="#d9d9d9" stroked="false">
              <v:fill type="solid"/>
            </v:rect>
            <v:line style="position:absolute" from="8423,-3654" to="8423,-563" stroked="true" strokeweight="1.142279pt" strokecolor="#d9d9d9">
              <v:stroke dashstyle="solid"/>
            </v:line>
            <v:rect style="position:absolute;left:8393;top:-3676;width:60;height:3136" filled="true" fillcolor="#d9d9d9" stroked="false">
              <v:fill type="solid"/>
            </v:rect>
            <v:shape style="position:absolute;left:964;top:1152;width:13241;height:8033" coordorigin="965,1152" coordsize="13241,8033" path="m10783,-563l10783,-3654m10783,-563l10804,-563m10783,-3654l10804,-3654m6507,-563l6507,-3654m6458,-563l6507,-563m6458,-1004l6507,-1004m6458,-1446l6507,-1446m6458,-1887l6507,-1887m6458,-2330l6507,-2330m6458,-2771l6507,-2771m6458,-3212l6507,-3212m6458,-3654l6507,-3654m6507,-2330l10783,-2330e" filled="false" stroked="true" strokeweight=".256680pt" strokecolor="#858585">
              <v:path arrowok="t"/>
              <v:stroke dashstyle="solid"/>
            </v:shape>
            <v:shape style="position:absolute;left:6701;top:-2815;width:4054;height:2164" coordorigin="6702,-2815" coordsize="4054,2164" path="m6702,-1932l6757,-1667,6813,-1534,6869,-1623,6924,-1667,6980,-1446,7035,-1711,7091,-1843,7146,-2020,7202,-2329,7257,-2373,7313,-2418,7368,-2329,7424,-2329,7479,-2108,7535,-2418,7590,-2638,7646,-2683,7701,-2505,7757,-2329,7812,-2020,7868,-1975,7923,-1799,7979,-1490,8034,-1711,8090,-1667,8146,-1843,8201,-1932,8257,-1799,8313,-1711,8368,-1402,8424,-1402,8479,-1004,8535,-1093,8590,-696,8646,-961,8701,-651,8757,-2505,8812,-2683,8867,-2505,8923,-2726,8978,-2726,9034,-2771,9089,-2462,9145,-2462,9200,-2638,9256,-2462,9311,-2240,9367,-2108,9422,-2197,9478,-2240,9534,-2064,9589,-2197,9645,-2020,9701,-2153,9756,-2153,9812,-2329,9867,-2329,9923,-2550,9978,-2594,10034,-2505,10089,-2594,10145,-2462,10200,-2726,10256,-2418,10311,-2638,10367,-2550,10422,-2550,10478,-2550,10533,-2726,10589,-2550,10644,-2418,10700,-2815,10755,-2683e" filled="false" stroked="true" strokeweight="1.116689pt" strokecolor="#ff00ff">
              <v:path arrowok="t"/>
              <v:stroke dashstyle="solid"/>
            </v:shape>
            <v:shape style="position:absolute;left:6701;top:-2550;width:4054;height:1502" coordorigin="6702,-2550" coordsize="4054,1502" path="m6702,-1755l6757,-1623,6813,-1578,6869,-1490,6924,-1490,6980,-1667,7035,-1843,7091,-1755,7146,-1975,7202,-1975,7257,-2020,7313,-1975,7368,-2020,7424,-2108,7479,-2020,7535,-2108,7590,-1888,7646,-1932,7701,-1667,7757,-1623,7812,-1578,7868,-1623,7923,-1402,7979,-1534,8034,-1490,8090,-1534,8146,-1534,8201,-1578,8257,-1358,8313,-1402,8368,-1269,8424,-1137,8479,-1048,8535,-1358,8590,-1181,8646,-1048,8701,-1402,8757,-2550,8812,-2505,8867,-2240,8923,-2373,8978,-2462,9034,-2285,9089,-2153,9145,-2197,9200,-2197,9256,-2064,9311,-2197,9367,-2064,9422,-2373,9478,-2285,9534,-2108,9589,-2108,9645,-1932,9701,-2108,9756,-2153,9812,-2108,9867,-2240,9923,-2462,9978,-2373,10034,-2418,10089,-2329,10145,-2329,10200,-2462,10256,-2197,10311,-2373,10367,-2153,10422,-2373,10478,-2285,10533,-2329,10589,-2108,10644,-2197,10700,-2329,10755,-2153e" filled="false" stroked="true" strokeweight="1.133824pt" strokecolor="#0000ff">
              <v:path arrowok="t"/>
              <v:stroke dashstyle="solid"/>
            </v:shape>
            <v:line style="position:absolute" from="8491,-3398" to="8617,-3398" stroked="true" strokeweight="1.154278pt" strokecolor="#ff00ff">
              <v:stroke dashstyle="solid"/>
            </v:line>
            <v:line style="position:absolute" from="8491,-3032" to="8617,-3032" stroked="true" strokeweight="1.154278pt" strokecolor="#0000ff">
              <v:stroke dashstyle="solid"/>
            </v:line>
            <w10:wrap type="none"/>
          </v:group>
        </w:pict>
      </w:r>
      <w:r>
        <w:rPr>
          <w:sz w:val="16"/>
        </w:rPr>
        <w:t>Note: In the left chart, data are for the proportion of households in each category. The latest figure is for England only. In the right chart, the shaded periods denote the MPC tightening cycles of 1999/2000, 2003/04 and 2006/07. Sources: DCLG and BoE/TNS Inflation Expectations Survey.</w:t>
      </w:r>
    </w:p>
    <w:p>
      <w:pPr>
        <w:pStyle w:val="BodyText"/>
      </w:pPr>
    </w:p>
    <w:p>
      <w:pPr>
        <w:pStyle w:val="BodyText"/>
      </w:pPr>
    </w:p>
    <w:p>
      <w:pPr>
        <w:pStyle w:val="BodyText"/>
      </w:pPr>
    </w:p>
    <w:p>
      <w:pPr>
        <w:pStyle w:val="BodyText"/>
      </w:pPr>
    </w:p>
    <w:p>
      <w:pPr>
        <w:pStyle w:val="BodyText"/>
        <w:spacing w:before="11"/>
        <w:rPr>
          <w:sz w:val="2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185"/>
        <w:gridCol w:w="146"/>
        <w:gridCol w:w="110"/>
        <w:gridCol w:w="4841"/>
        <w:gridCol w:w="212"/>
      </w:tblGrid>
      <w:tr>
        <w:trPr>
          <w:trHeight w:val="1019" w:hRule="atLeast"/>
        </w:trPr>
        <w:tc>
          <w:tcPr>
            <w:tcW w:w="5442" w:type="dxa"/>
            <w:gridSpan w:val="3"/>
            <w:tcBorders>
              <w:bottom w:val="single" w:sz="6" w:space="0" w:color="000000"/>
            </w:tcBorders>
          </w:tcPr>
          <w:p>
            <w:pPr>
              <w:pStyle w:val="TableParagraph"/>
              <w:spacing w:line="352" w:lineRule="auto" w:before="107"/>
              <w:ind w:left="107" w:right="258"/>
              <w:rPr>
                <w:sz w:val="20"/>
              </w:rPr>
            </w:pPr>
            <w:r>
              <w:rPr>
                <w:sz w:val="20"/>
              </w:rPr>
              <w:t>Figure 18. UK – Pct of People Who Expect BoE Policy Rate To Be at 0-1%, 1-2% etc in One Year’s Time, 2016-</w:t>
            </w:r>
          </w:p>
          <w:p>
            <w:pPr>
              <w:pStyle w:val="TableParagraph"/>
              <w:spacing w:line="212" w:lineRule="exact" w:before="4"/>
              <w:ind w:left="107"/>
              <w:rPr>
                <w:sz w:val="20"/>
              </w:rPr>
            </w:pPr>
            <w:r>
              <w:rPr>
                <w:sz w:val="20"/>
              </w:rPr>
              <w:t>18</w:t>
            </w:r>
          </w:p>
        </w:tc>
        <w:tc>
          <w:tcPr>
            <w:tcW w:w="5163" w:type="dxa"/>
            <w:gridSpan w:val="3"/>
            <w:tcBorders>
              <w:bottom w:val="single" w:sz="6" w:space="0" w:color="000000"/>
            </w:tcBorders>
          </w:tcPr>
          <w:p>
            <w:pPr>
              <w:pStyle w:val="TableParagraph"/>
              <w:spacing w:line="352" w:lineRule="auto" w:before="107"/>
              <w:ind w:left="107" w:right="223"/>
              <w:rPr>
                <w:sz w:val="20"/>
              </w:rPr>
            </w:pPr>
            <w:r>
              <w:rPr>
                <w:sz w:val="20"/>
              </w:rPr>
              <w:t>Figure 19. UK – Pct of People Who Expect BoE Policy Rate To Be at 0-1%, 1-2% etc in Two Years’ Time,</w:t>
            </w:r>
          </w:p>
          <w:p>
            <w:pPr>
              <w:pStyle w:val="TableParagraph"/>
              <w:spacing w:line="212" w:lineRule="exact" w:before="4"/>
              <w:ind w:left="107"/>
              <w:rPr>
                <w:sz w:val="20"/>
              </w:rPr>
            </w:pPr>
            <w:r>
              <w:rPr>
                <w:sz w:val="20"/>
              </w:rPr>
              <w:t>2016-18</w:t>
            </w:r>
          </w:p>
        </w:tc>
      </w:tr>
      <w:tr>
        <w:trPr>
          <w:trHeight w:val="3710" w:hRule="atLeast"/>
        </w:trPr>
        <w:tc>
          <w:tcPr>
            <w:tcW w:w="111" w:type="dxa"/>
            <w:tcBorders>
              <w:right w:val="single" w:sz="4" w:space="0" w:color="858585"/>
            </w:tcBorders>
          </w:tcPr>
          <w:p>
            <w:pPr>
              <w:pStyle w:val="TableParagraph"/>
              <w:rPr>
                <w:rFonts w:ascii="Times New Roman"/>
                <w:sz w:val="16"/>
              </w:rPr>
            </w:pPr>
          </w:p>
        </w:tc>
        <w:tc>
          <w:tcPr>
            <w:tcW w:w="5185" w:type="dxa"/>
            <w:tcBorders>
              <w:top w:val="single" w:sz="6" w:space="0" w:color="000000"/>
              <w:left w:val="single" w:sz="4" w:space="0" w:color="858585"/>
              <w:bottom w:val="thickThinMediumGap" w:sz="2" w:space="0" w:color="000000"/>
              <w:right w:val="single" w:sz="4" w:space="0" w:color="858585"/>
            </w:tcBorders>
          </w:tcPr>
          <w:p>
            <w:pPr>
              <w:pStyle w:val="TableParagraph"/>
              <w:spacing w:line="190" w:lineRule="exact" w:before="12"/>
              <w:ind w:right="4980"/>
              <w:jc w:val="center"/>
              <w:rPr>
                <w:rFonts w:ascii="Calibri"/>
                <w:b/>
                <w:sz w:val="18"/>
              </w:rPr>
            </w:pPr>
            <w:r>
              <w:rPr>
                <w:rFonts w:ascii="Calibri"/>
                <w:b/>
                <w:w w:val="95"/>
                <w:sz w:val="18"/>
              </w:rPr>
              <w:t>60</w:t>
            </w:r>
          </w:p>
          <w:p>
            <w:pPr>
              <w:pStyle w:val="TableParagraph"/>
              <w:spacing w:line="179" w:lineRule="exact"/>
              <w:ind w:left="508"/>
              <w:rPr>
                <w:rFonts w:ascii="Calibri"/>
                <w:b/>
                <w:sz w:val="18"/>
              </w:rPr>
            </w:pPr>
            <w:r>
              <w:rPr>
                <w:rFonts w:ascii="Calibri"/>
                <w:b/>
                <w:w w:val="94"/>
                <w:sz w:val="18"/>
              </w:rPr>
              <w:t>%</w:t>
            </w:r>
          </w:p>
          <w:p>
            <w:pPr>
              <w:pStyle w:val="TableParagraph"/>
              <w:tabs>
                <w:tab w:pos="2683" w:val="left" w:leader="none"/>
              </w:tabs>
              <w:spacing w:line="223" w:lineRule="auto"/>
              <w:ind w:left="10"/>
              <w:rPr>
                <w:rFonts w:ascii="Calibri"/>
                <w:b/>
                <w:sz w:val="18"/>
              </w:rPr>
            </w:pPr>
            <w:r>
              <w:rPr>
                <w:rFonts w:ascii="Calibri"/>
                <w:b/>
                <w:position w:val="-11"/>
                <w:sz w:val="18"/>
              </w:rPr>
              <w:t>50</w:t>
              <w:tab/>
            </w:r>
            <w:r>
              <w:rPr>
                <w:rFonts w:ascii="Calibri"/>
                <w:b/>
                <w:sz w:val="18"/>
              </w:rPr>
              <w:t>Feb-16</w:t>
            </w:r>
          </w:p>
          <w:p>
            <w:pPr>
              <w:pStyle w:val="TableParagraph"/>
              <w:spacing w:line="206" w:lineRule="exact" w:before="75"/>
              <w:ind w:left="2648" w:right="1979"/>
              <w:jc w:val="center"/>
              <w:rPr>
                <w:rFonts w:ascii="Calibri"/>
                <w:b/>
                <w:sz w:val="18"/>
              </w:rPr>
            </w:pPr>
            <w:r>
              <w:rPr>
                <w:rFonts w:ascii="Calibri"/>
                <w:b/>
                <w:sz w:val="18"/>
              </w:rPr>
              <w:t>Feb-17</w:t>
            </w:r>
          </w:p>
          <w:p>
            <w:pPr>
              <w:pStyle w:val="TableParagraph"/>
              <w:spacing w:line="206" w:lineRule="exact"/>
              <w:ind w:right="4980"/>
              <w:jc w:val="center"/>
              <w:rPr>
                <w:rFonts w:ascii="Calibri"/>
                <w:b/>
                <w:sz w:val="18"/>
              </w:rPr>
            </w:pPr>
            <w:r>
              <w:rPr>
                <w:rFonts w:ascii="Calibri"/>
                <w:b/>
                <w:w w:val="95"/>
                <w:sz w:val="18"/>
              </w:rPr>
              <w:t>40</w:t>
            </w:r>
          </w:p>
          <w:p>
            <w:pPr>
              <w:pStyle w:val="TableParagraph"/>
              <w:ind w:left="2648" w:right="1979"/>
              <w:jc w:val="center"/>
              <w:rPr>
                <w:rFonts w:ascii="Calibri"/>
                <w:b/>
                <w:sz w:val="18"/>
              </w:rPr>
            </w:pPr>
            <w:r>
              <w:rPr>
                <w:rFonts w:ascii="Calibri"/>
                <w:b/>
                <w:sz w:val="18"/>
              </w:rPr>
              <w:t>Feb-18</w:t>
            </w:r>
          </w:p>
          <w:p>
            <w:pPr>
              <w:pStyle w:val="TableParagraph"/>
              <w:spacing w:before="42"/>
              <w:ind w:right="4980"/>
              <w:jc w:val="center"/>
              <w:rPr>
                <w:rFonts w:ascii="Calibri"/>
                <w:b/>
                <w:sz w:val="18"/>
              </w:rPr>
            </w:pPr>
            <w:r>
              <w:rPr>
                <w:rFonts w:ascii="Calibri"/>
                <w:b/>
                <w:w w:val="95"/>
                <w:sz w:val="18"/>
              </w:rPr>
              <w:t>30</w:t>
            </w:r>
          </w:p>
          <w:p>
            <w:pPr>
              <w:pStyle w:val="TableParagraph"/>
              <w:spacing w:before="9"/>
              <w:rPr>
                <w:sz w:val="22"/>
              </w:rPr>
            </w:pPr>
          </w:p>
          <w:p>
            <w:pPr>
              <w:pStyle w:val="TableParagraph"/>
              <w:ind w:right="4980"/>
              <w:jc w:val="center"/>
              <w:rPr>
                <w:rFonts w:ascii="Calibri"/>
                <w:b/>
                <w:sz w:val="18"/>
              </w:rPr>
            </w:pPr>
            <w:r>
              <w:rPr>
                <w:rFonts w:ascii="Calibri"/>
                <w:b/>
                <w:w w:val="95"/>
                <w:sz w:val="18"/>
              </w:rPr>
              <w:t>20</w:t>
            </w:r>
          </w:p>
          <w:p>
            <w:pPr>
              <w:pStyle w:val="TableParagraph"/>
              <w:spacing w:before="9"/>
              <w:rPr>
                <w:sz w:val="22"/>
              </w:rPr>
            </w:pPr>
          </w:p>
          <w:p>
            <w:pPr>
              <w:pStyle w:val="TableParagraph"/>
              <w:ind w:right="4980"/>
              <w:jc w:val="center"/>
              <w:rPr>
                <w:rFonts w:ascii="Calibri"/>
                <w:b/>
                <w:sz w:val="18"/>
              </w:rPr>
            </w:pPr>
            <w:r>
              <w:rPr>
                <w:rFonts w:ascii="Calibri"/>
                <w:b/>
                <w:w w:val="95"/>
                <w:sz w:val="18"/>
              </w:rPr>
              <w:t>10</w:t>
            </w:r>
          </w:p>
          <w:p>
            <w:pPr>
              <w:pStyle w:val="TableParagraph"/>
              <w:spacing w:before="9"/>
              <w:rPr>
                <w:sz w:val="22"/>
              </w:rPr>
            </w:pPr>
          </w:p>
          <w:p>
            <w:pPr>
              <w:pStyle w:val="TableParagraph"/>
              <w:ind w:right="4893"/>
              <w:jc w:val="center"/>
              <w:rPr>
                <w:rFonts w:ascii="Calibri"/>
                <w:b/>
                <w:sz w:val="18"/>
              </w:rPr>
            </w:pPr>
            <w:r>
              <w:rPr>
                <w:rFonts w:ascii="Calibri"/>
                <w:b/>
                <w:w w:val="94"/>
                <w:sz w:val="18"/>
              </w:rPr>
              <w:t>0</w:t>
            </w:r>
          </w:p>
          <w:p>
            <w:pPr>
              <w:pStyle w:val="TableParagraph"/>
              <w:tabs>
                <w:tab w:pos="761" w:val="left" w:leader="none"/>
                <w:tab w:pos="1523" w:val="left" w:leader="none"/>
                <w:tab w:pos="2285" w:val="left" w:leader="none"/>
                <w:tab w:pos="3074" w:val="left" w:leader="none"/>
                <w:tab w:pos="3727" w:val="left" w:leader="none"/>
              </w:tabs>
              <w:spacing w:before="22"/>
              <w:ind w:right="449"/>
              <w:jc w:val="right"/>
              <w:rPr>
                <w:rFonts w:ascii="Calibri"/>
                <w:b/>
                <w:sz w:val="18"/>
              </w:rPr>
            </w:pPr>
            <w:r>
              <w:rPr>
                <w:rFonts w:ascii="Calibri"/>
                <w:b/>
                <w:sz w:val="18"/>
              </w:rPr>
              <w:t>0-1</w:t>
              <w:tab/>
              <w:t>1-2</w:t>
              <w:tab/>
              <w:t>2-3</w:t>
              <w:tab/>
              <w:t>3-4</w:t>
              <w:tab/>
              <w:t>4+</w:t>
              <w:tab/>
            </w:r>
            <w:r>
              <w:rPr>
                <w:rFonts w:ascii="Calibri"/>
                <w:b/>
                <w:spacing w:val="-2"/>
                <w:w w:val="95"/>
                <w:sz w:val="18"/>
              </w:rPr>
              <w:t>Don't</w:t>
            </w:r>
          </w:p>
          <w:p>
            <w:pPr>
              <w:pStyle w:val="TableParagraph"/>
              <w:spacing w:before="8"/>
              <w:ind w:right="441"/>
              <w:jc w:val="right"/>
              <w:rPr>
                <w:rFonts w:ascii="Calibri"/>
                <w:b/>
                <w:sz w:val="18"/>
              </w:rPr>
            </w:pPr>
            <w:r>
              <w:rPr>
                <w:rFonts w:ascii="Calibri"/>
                <w:b/>
                <w:w w:val="90"/>
                <w:sz w:val="18"/>
              </w:rPr>
              <w:t>Know</w:t>
            </w:r>
          </w:p>
        </w:tc>
        <w:tc>
          <w:tcPr>
            <w:tcW w:w="146" w:type="dxa"/>
            <w:tcBorders>
              <w:left w:val="single" w:sz="4" w:space="0" w:color="858585"/>
            </w:tcBorders>
          </w:tcPr>
          <w:p>
            <w:pPr>
              <w:pStyle w:val="TableParagraph"/>
              <w:rPr>
                <w:rFonts w:ascii="Times New Roman"/>
                <w:sz w:val="16"/>
              </w:rPr>
            </w:pPr>
          </w:p>
        </w:tc>
        <w:tc>
          <w:tcPr>
            <w:tcW w:w="110" w:type="dxa"/>
            <w:tcBorders>
              <w:right w:val="single" w:sz="4" w:space="0" w:color="858585"/>
            </w:tcBorders>
          </w:tcPr>
          <w:p>
            <w:pPr>
              <w:pStyle w:val="TableParagraph"/>
              <w:rPr>
                <w:rFonts w:ascii="Times New Roman"/>
                <w:sz w:val="16"/>
              </w:rPr>
            </w:pPr>
          </w:p>
        </w:tc>
        <w:tc>
          <w:tcPr>
            <w:tcW w:w="4841" w:type="dxa"/>
            <w:tcBorders>
              <w:top w:val="single" w:sz="6" w:space="0" w:color="000000"/>
              <w:left w:val="single" w:sz="4" w:space="0" w:color="858585"/>
              <w:bottom w:val="thickThinMediumGap" w:sz="2" w:space="0" w:color="000000"/>
              <w:right w:val="single" w:sz="4" w:space="0" w:color="858585"/>
            </w:tcBorders>
          </w:tcPr>
          <w:p>
            <w:pPr>
              <w:pStyle w:val="TableParagraph"/>
              <w:spacing w:line="190" w:lineRule="exact" w:before="12"/>
              <w:ind w:left="9"/>
              <w:rPr>
                <w:rFonts w:ascii="Calibri"/>
                <w:b/>
                <w:sz w:val="18"/>
              </w:rPr>
            </w:pPr>
            <w:r>
              <w:rPr>
                <w:rFonts w:ascii="Calibri"/>
                <w:b/>
                <w:sz w:val="18"/>
              </w:rPr>
              <w:t>40</w:t>
            </w:r>
          </w:p>
          <w:p>
            <w:pPr>
              <w:pStyle w:val="TableParagraph"/>
              <w:spacing w:line="181" w:lineRule="exact"/>
              <w:ind w:left="474"/>
              <w:rPr>
                <w:rFonts w:ascii="Calibri"/>
                <w:b/>
                <w:sz w:val="18"/>
              </w:rPr>
            </w:pPr>
            <w:r>
              <w:rPr>
                <w:rFonts w:ascii="Calibri"/>
                <w:b/>
                <w:w w:val="87"/>
                <w:sz w:val="18"/>
              </w:rPr>
              <w:t>%</w:t>
            </w:r>
          </w:p>
          <w:p>
            <w:pPr>
              <w:pStyle w:val="TableParagraph"/>
              <w:tabs>
                <w:tab w:pos="2504" w:val="left" w:leader="none"/>
              </w:tabs>
              <w:spacing w:line="210" w:lineRule="exact"/>
              <w:ind w:left="9"/>
              <w:rPr>
                <w:rFonts w:ascii="Calibri"/>
                <w:b/>
                <w:sz w:val="18"/>
              </w:rPr>
            </w:pPr>
            <w:r>
              <w:rPr>
                <w:rFonts w:ascii="Calibri"/>
                <w:b/>
                <w:sz w:val="18"/>
              </w:rPr>
              <w:t>35</w:t>
              <w:tab/>
              <w:t>Feb-16</w:t>
            </w:r>
          </w:p>
          <w:p>
            <w:pPr>
              <w:pStyle w:val="TableParagraph"/>
              <w:tabs>
                <w:tab w:pos="2504" w:val="left" w:leader="none"/>
              </w:tabs>
              <w:spacing w:before="140"/>
              <w:ind w:left="9"/>
              <w:rPr>
                <w:rFonts w:ascii="Calibri"/>
                <w:b/>
                <w:sz w:val="18"/>
              </w:rPr>
            </w:pPr>
            <w:r>
              <w:rPr>
                <w:rFonts w:ascii="Calibri"/>
                <w:b/>
                <w:position w:val="5"/>
                <w:sz w:val="18"/>
              </w:rPr>
              <w:t>30</w:t>
              <w:tab/>
            </w:r>
            <w:r>
              <w:rPr>
                <w:rFonts w:ascii="Calibri"/>
                <w:b/>
                <w:sz w:val="18"/>
              </w:rPr>
              <w:t>Feb-17</w:t>
            </w:r>
          </w:p>
          <w:p>
            <w:pPr>
              <w:pStyle w:val="TableParagraph"/>
              <w:tabs>
                <w:tab w:pos="2504" w:val="left" w:leader="none"/>
              </w:tabs>
              <w:spacing w:before="93"/>
              <w:ind w:left="9"/>
              <w:rPr>
                <w:rFonts w:ascii="Calibri"/>
                <w:b/>
                <w:sz w:val="18"/>
              </w:rPr>
            </w:pPr>
            <w:r>
              <w:rPr>
                <w:rFonts w:ascii="Calibri"/>
                <w:b/>
                <w:position w:val="10"/>
                <w:sz w:val="18"/>
              </w:rPr>
              <w:t>25</w:t>
              <w:tab/>
            </w:r>
            <w:r>
              <w:rPr>
                <w:rFonts w:ascii="Calibri"/>
                <w:b/>
                <w:sz w:val="18"/>
              </w:rPr>
              <w:t>Feb-18</w:t>
            </w:r>
          </w:p>
          <w:p>
            <w:pPr>
              <w:pStyle w:val="TableParagraph"/>
              <w:spacing w:before="41"/>
              <w:ind w:left="9"/>
              <w:rPr>
                <w:rFonts w:ascii="Calibri"/>
                <w:b/>
                <w:sz w:val="18"/>
              </w:rPr>
            </w:pPr>
            <w:r>
              <w:rPr>
                <w:rFonts w:ascii="Calibri"/>
                <w:b/>
                <w:sz w:val="18"/>
              </w:rPr>
              <w:t>20</w:t>
            </w:r>
          </w:p>
          <w:p>
            <w:pPr>
              <w:pStyle w:val="TableParagraph"/>
              <w:spacing w:before="142"/>
              <w:ind w:left="9"/>
              <w:rPr>
                <w:rFonts w:ascii="Calibri"/>
                <w:b/>
                <w:sz w:val="18"/>
              </w:rPr>
            </w:pPr>
            <w:r>
              <w:rPr>
                <w:rFonts w:ascii="Calibri"/>
                <w:b/>
                <w:sz w:val="18"/>
              </w:rPr>
              <w:t>15</w:t>
            </w:r>
          </w:p>
          <w:p>
            <w:pPr>
              <w:pStyle w:val="TableParagraph"/>
              <w:spacing w:before="141"/>
              <w:ind w:left="9"/>
              <w:rPr>
                <w:rFonts w:ascii="Calibri"/>
                <w:b/>
                <w:sz w:val="18"/>
              </w:rPr>
            </w:pPr>
            <w:r>
              <w:rPr>
                <w:rFonts w:ascii="Calibri"/>
                <w:b/>
                <w:sz w:val="18"/>
              </w:rPr>
              <w:t>10</w:t>
            </w:r>
          </w:p>
          <w:p>
            <w:pPr>
              <w:pStyle w:val="TableParagraph"/>
              <w:spacing w:before="142"/>
              <w:ind w:left="90"/>
              <w:rPr>
                <w:rFonts w:ascii="Calibri"/>
                <w:b/>
                <w:sz w:val="18"/>
              </w:rPr>
            </w:pPr>
            <w:r>
              <w:rPr>
                <w:rFonts w:ascii="Calibri"/>
                <w:b/>
                <w:w w:val="87"/>
                <w:sz w:val="18"/>
              </w:rPr>
              <w:t>5</w:t>
            </w:r>
          </w:p>
          <w:p>
            <w:pPr>
              <w:pStyle w:val="TableParagraph"/>
              <w:spacing w:before="141"/>
              <w:ind w:left="90"/>
              <w:rPr>
                <w:rFonts w:ascii="Calibri"/>
                <w:b/>
                <w:sz w:val="18"/>
              </w:rPr>
            </w:pPr>
            <w:r>
              <w:rPr>
                <w:rFonts w:ascii="Calibri"/>
                <w:b/>
                <w:w w:val="87"/>
                <w:sz w:val="18"/>
              </w:rPr>
              <w:t>0</w:t>
            </w:r>
          </w:p>
          <w:p>
            <w:pPr>
              <w:pStyle w:val="TableParagraph"/>
              <w:tabs>
                <w:tab w:pos="711" w:val="left" w:leader="none"/>
                <w:tab w:pos="1422" w:val="left" w:leader="none"/>
                <w:tab w:pos="2133" w:val="left" w:leader="none"/>
                <w:tab w:pos="2869" w:val="left" w:leader="none"/>
                <w:tab w:pos="3479" w:val="left" w:leader="none"/>
              </w:tabs>
              <w:spacing w:before="22"/>
              <w:ind w:right="419"/>
              <w:jc w:val="right"/>
              <w:rPr>
                <w:rFonts w:ascii="Calibri"/>
                <w:b/>
                <w:sz w:val="18"/>
              </w:rPr>
            </w:pPr>
            <w:r>
              <w:rPr>
                <w:rFonts w:ascii="Calibri"/>
                <w:b/>
                <w:sz w:val="18"/>
              </w:rPr>
              <w:t>0-1</w:t>
              <w:tab/>
              <w:t>1-2</w:t>
              <w:tab/>
              <w:t>2-3</w:t>
              <w:tab/>
              <w:t>3-4</w:t>
              <w:tab/>
              <w:t>4+</w:t>
              <w:tab/>
            </w:r>
            <w:r>
              <w:rPr>
                <w:rFonts w:ascii="Calibri"/>
                <w:b/>
                <w:spacing w:val="-2"/>
                <w:w w:val="85"/>
                <w:sz w:val="18"/>
              </w:rPr>
              <w:t>Don't</w:t>
            </w:r>
          </w:p>
          <w:p>
            <w:pPr>
              <w:pStyle w:val="TableParagraph"/>
              <w:spacing w:before="8"/>
              <w:ind w:right="412"/>
              <w:jc w:val="right"/>
              <w:rPr>
                <w:rFonts w:ascii="Calibri"/>
                <w:b/>
                <w:sz w:val="18"/>
              </w:rPr>
            </w:pPr>
            <w:r>
              <w:rPr>
                <w:rFonts w:ascii="Calibri"/>
                <w:b/>
                <w:w w:val="85"/>
                <w:sz w:val="18"/>
              </w:rPr>
              <w:t>Know</w:t>
            </w:r>
          </w:p>
        </w:tc>
        <w:tc>
          <w:tcPr>
            <w:tcW w:w="212" w:type="dxa"/>
            <w:tcBorders>
              <w:left w:val="single" w:sz="4" w:space="0" w:color="858585"/>
            </w:tcBorders>
          </w:tcPr>
          <w:p>
            <w:pPr>
              <w:pStyle w:val="TableParagraph"/>
              <w:rPr>
                <w:rFonts w:ascii="Times New Roman"/>
                <w:sz w:val="16"/>
              </w:rPr>
            </w:pPr>
          </w:p>
        </w:tc>
      </w:tr>
    </w:tbl>
    <w:p>
      <w:pPr>
        <w:spacing w:before="157"/>
        <w:ind w:left="673" w:right="0" w:firstLine="0"/>
        <w:jc w:val="left"/>
        <w:rPr>
          <w:sz w:val="16"/>
        </w:rPr>
      </w:pPr>
      <w:r>
        <w:rPr/>
        <w:pict>
          <v:group style="position:absolute;margin-left:48.171619pt;margin-top:-179.770905pt;width:231.35pt;height:144.75pt;mso-position-horizontal-relative:page;mso-position-vertical-relative:paragraph;z-index:-253431808" coordorigin="963,-3595" coordsize="4627,2895">
            <v:rect style="position:absolute;left:1017;top:-3593;width:4570;height:2889" filled="false" stroked="true" strokeweight=".272202pt" strokecolor="#000000">
              <v:stroke dashstyle="solid"/>
            </v:rect>
            <v:rect style="position:absolute;left:1144;top:-3256;width:170;height:2552" filled="true" fillcolor="#ff00ff" stroked="false">
              <v:fill type="solid"/>
            </v:rect>
            <v:rect style="position:absolute;left:1144;top:-3256;width:170;height:2552" filled="false" stroked="true" strokeweight=".254608pt" strokecolor="#ff00ff">
              <v:stroke dashstyle="solid"/>
            </v:rect>
            <v:rect style="position:absolute;left:1905;top:-1571;width:170;height:867" filled="true" fillcolor="#ff00ff" stroked="false">
              <v:fill type="solid"/>
            </v:rect>
            <v:rect style="position:absolute;left:1905;top:-1571;width:170;height:867" filled="false" stroked="true" strokeweight=".255414pt" strokecolor="#ff00ff">
              <v:stroke dashstyle="solid"/>
            </v:rect>
            <v:rect style="position:absolute;left:2667;top:-897;width:170;height:193" filled="true" fillcolor="#ff00ff" stroked="false">
              <v:fill type="solid"/>
            </v:rect>
            <v:rect style="position:absolute;left:2667;top:-897;width:170;height:193" filled="false" stroked="true" strokeweight=".265319pt" strokecolor="#ff00ff">
              <v:stroke dashstyle="solid"/>
            </v:rect>
            <v:line style="position:absolute" from="3430,-728" to="3599,-728" stroked="true" strokeweight="2.373841pt" strokecolor="#ff00ff">
              <v:stroke dashstyle="solid"/>
            </v:line>
            <v:rect style="position:absolute;left:3429;top:-752;width:170;height:48" filled="false" stroked="true" strokeweight=".277476pt" strokecolor="#ff00ff">
              <v:stroke dashstyle="solid"/>
            </v:rect>
            <v:line style="position:absolute" from="4191,-752" to="4361,-752" stroked="true" strokeweight="4.794227pt" strokecolor="#ff00ff">
              <v:stroke dashstyle="solid"/>
            </v:line>
            <v:rect style="position:absolute;left:4191;top:-800;width:170;height:96" filled="false" stroked="true" strokeweight=".273278pt" strokecolor="#ff00ff">
              <v:stroke dashstyle="solid"/>
            </v:rect>
            <v:rect style="position:absolute;left:4953;top:-1764;width:170;height:1060" filled="true" fillcolor="#ff00ff" stroked="false">
              <v:fill type="solid"/>
            </v:rect>
            <v:rect style="position:absolute;left:4953;top:-1764;width:170;height:1060" filled="false" stroked="true" strokeweight=".255119pt" strokecolor="#ff00ff">
              <v:stroke dashstyle="solid"/>
            </v:rect>
            <v:rect style="position:absolute;left:1313;top:-3256;width:170;height:2552" filled="true" fillcolor="#0000ff" stroked="false">
              <v:fill type="solid"/>
            </v:rect>
            <v:rect style="position:absolute;left:1313;top:-3256;width:170;height:2552" filled="false" stroked="true" strokeweight=".254608pt" strokecolor="#0000ff">
              <v:stroke dashstyle="solid"/>
            </v:rect>
            <v:rect style="position:absolute;left:2075;top:-1234;width:169;height:530" filled="true" fillcolor="#0000ff" stroked="false">
              <v:fill type="solid"/>
            </v:rect>
            <v:rect style="position:absolute;left:2075;top:-1234;width:169;height:530" filled="false" stroked="true" strokeweight=".256784pt" strokecolor="#0000ff">
              <v:stroke dashstyle="solid"/>
            </v:rect>
            <v:rect style="position:absolute;left:2837;top:-945;width:169;height:241" filled="true" fillcolor="#0000ff" stroked="false">
              <v:fill type="solid"/>
            </v:rect>
            <v:rect style="position:absolute;left:2837;top:-945;width:169;height:241" filled="false" stroked="true" strokeweight=".262692pt" strokecolor="#0000ff">
              <v:stroke dashstyle="solid"/>
            </v:rect>
            <v:line style="position:absolute" from="3599,-752" to="3768,-752" stroked="true" strokeweight="4.794227pt" strokecolor="#0000ff">
              <v:stroke dashstyle="solid"/>
            </v:line>
            <v:rect style="position:absolute;left:3599;top:-800;width:169;height:96" filled="false" stroked="true" strokeweight=".273232pt" strokecolor="#0000ff">
              <v:stroke dashstyle="solid"/>
            </v:rect>
            <v:line style="position:absolute" from="4361,-752" to="4530,-752" stroked="true" strokeweight="4.794227pt" strokecolor="#0000ff">
              <v:stroke dashstyle="solid"/>
            </v:line>
            <v:rect style="position:absolute;left:4361;top:-800;width:169;height:96" filled="false" stroked="true" strokeweight=".273232pt" strokecolor="#0000ff">
              <v:stroke dashstyle="solid"/>
            </v:rect>
            <v:rect style="position:absolute;left:5122;top:-1957;width:169;height:1253" filled="true" fillcolor="#0000ff" stroked="false">
              <v:fill type="solid"/>
            </v:rect>
            <v:rect style="position:absolute;left:5122;top:-1957;width:169;height:1253" filled="false" stroked="true" strokeweight=".254942pt" strokecolor="#0000ff">
              <v:stroke dashstyle="solid"/>
            </v:rect>
            <v:rect style="position:absolute;left:1483;top:-2631;width:169;height:1927" filled="true" fillcolor="#66ff33" stroked="false">
              <v:fill type="solid"/>
            </v:rect>
            <v:rect style="position:absolute;left:1483;top:-2631;width:169;height:1927" filled="false" stroked="true" strokeweight=".254688pt" strokecolor="#66ff33">
              <v:stroke dashstyle="solid"/>
            </v:rect>
            <v:rect style="position:absolute;left:2244;top:-1908;width:170;height:1204" filled="true" fillcolor="#66ff33" stroked="false">
              <v:fill type="solid"/>
            </v:rect>
            <v:rect style="position:absolute;left:2244;top:-1908;width:170;height:1204" filled="false" stroked="true" strokeweight=".254982pt" strokecolor="#66ff33">
              <v:stroke dashstyle="solid"/>
            </v:rect>
            <v:rect style="position:absolute;left:3006;top:-945;width:170;height:241" filled="true" fillcolor="#66ff33" stroked="false">
              <v:fill type="solid"/>
            </v:rect>
            <v:rect style="position:absolute;left:3006;top:-945;width:170;height:241" filled="false" stroked="true" strokeweight=".262747pt" strokecolor="#66ff33">
              <v:stroke dashstyle="solid"/>
            </v:rect>
            <v:line style="position:absolute" from="3768,-752" to="3938,-752" stroked="true" strokeweight="4.794227pt" strokecolor="#66ff33">
              <v:stroke dashstyle="solid"/>
            </v:line>
            <v:rect style="position:absolute;left:3768;top:-800;width:170;height:96" filled="false" stroked="true" strokeweight=".273278pt" strokecolor="#66ff33">
              <v:stroke dashstyle="solid"/>
            </v:rect>
            <v:rect style="position:absolute;left:4529;top:-897;width:170;height:193" filled="true" fillcolor="#66ff33" stroked="false">
              <v:fill type="solid"/>
            </v:rect>
            <v:rect style="position:absolute;left:4529;top:-897;width:170;height:193" filled="false" stroked="true" strokeweight=".265319pt" strokecolor="#66ff33">
              <v:stroke dashstyle="solid"/>
            </v:rect>
            <v:rect style="position:absolute;left:5291;top:-1860;width:170;height:1156" filled="true" fillcolor="#66ff33" stroked="false">
              <v:fill type="solid"/>
            </v:rect>
            <v:rect style="position:absolute;left:5291;top:-1860;width:170;height:1156" filled="false" stroked="true" strokeweight=".255022pt" strokecolor="#66ff33">
              <v:stroke dashstyle="solid"/>
            </v:rect>
            <v:shape style="position:absolute;left:816;top:-5940;width:13083;height:7448" coordorigin="816,-5940" coordsize="13083,7448" path="m1018,-704l1018,-3593m963,-704l1018,-704m963,-1185l1018,-1185m963,-1667l1018,-1667m963,-2149l1018,-2149m963,-2630l1018,-2630m963,-3111l1018,-3111m963,-3593l1018,-3593m1018,-704l5588,-704e" filled="false" stroked="true" strokeweight=".266887pt" strokecolor="#858585">
              <v:path arrowok="t"/>
              <v:stroke dashstyle="solid"/>
            </v:shape>
            <v:rect style="position:absolute;left:3223;top:-3286;width:94;height:103" filled="true" fillcolor="#ff00ff" stroked="false">
              <v:fill type="solid"/>
            </v:rect>
            <v:rect style="position:absolute;left:3223;top:-3286;width:94;height:103" filled="false" stroked="true" strokeweight=".265740pt" strokecolor="#ff00ff">
              <v:stroke dashstyle="solid"/>
            </v:rect>
            <v:rect style="position:absolute;left:3223;top:-2874;width:94;height:103" filled="true" fillcolor="#0000ff" stroked="false">
              <v:fill type="solid"/>
            </v:rect>
            <v:rect style="position:absolute;left:3223;top:-2874;width:94;height:103" filled="false" stroked="true" strokeweight=".265740pt" strokecolor="#0000ff">
              <v:stroke dashstyle="solid"/>
            </v:rect>
            <v:rect style="position:absolute;left:3223;top:-2461;width:94;height:103" filled="true" fillcolor="#66ff33" stroked="false">
              <v:fill type="solid"/>
            </v:rect>
            <v:rect style="position:absolute;left:3223;top:-2461;width:94;height:103" filled="false" stroked="true" strokeweight=".265740pt" strokecolor="#66ff33">
              <v:stroke dashstyle="solid"/>
            </v:rect>
            <w10:wrap type="none"/>
          </v:group>
        </w:pict>
      </w:r>
      <w:r>
        <w:rPr/>
        <w:pict>
          <v:group style="position:absolute;margin-left:319.262909pt;margin-top:-179.770905pt;width:216pt;height:144.75pt;mso-position-horizontal-relative:page;mso-position-vertical-relative:paragraph;z-index:-253430784" coordorigin="6385,-3595" coordsize="4320,2895">
            <v:rect style="position:absolute;left:6435;top:-3593;width:4267;height:2889" filled="false" stroked="true" strokeweight=".266169pt" strokecolor="#000000">
              <v:stroke dashstyle="solid"/>
            </v:rect>
            <v:rect style="position:absolute;left:6553;top:-3160;width:159;height:2456" filled="true" fillcolor="#ff00ff" stroked="false">
              <v:fill type="solid"/>
            </v:rect>
            <v:rect style="position:absolute;left:6553;top:-3160;width:159;height:2456" filled="false" stroked="true" strokeweight=".237753pt" strokecolor="#ff00ff">
              <v:stroke dashstyle="solid"/>
            </v:rect>
            <v:rect style="position:absolute;left:7265;top:-2655;width:159;height:1951" filled="true" fillcolor="#ff00ff" stroked="false">
              <v:fill type="solid"/>
            </v:rect>
            <v:rect style="position:absolute;left:7265;top:-2655;width:159;height:1951" filled="false" stroked="true" strokeweight=".237854pt" strokecolor="#ff00ff">
              <v:stroke dashstyle="solid"/>
            </v:rect>
            <v:rect style="position:absolute;left:7976;top:-1282;width:159;height:578" filled="true" fillcolor="#ff00ff" stroked="false">
              <v:fill type="solid"/>
            </v:rect>
            <v:rect style="position:absolute;left:7976;top:-1282;width:159;height:578" filled="false" stroked="true" strokeweight=".240501pt" strokecolor="#ff00ff">
              <v:stroke dashstyle="solid"/>
            </v:rect>
            <v:rect style="position:absolute;left:8687;top:-921;width:159;height:217" filled="true" fillcolor="#ff00ff" stroked="false">
              <v:fill type="solid"/>
            </v:rect>
            <v:rect style="position:absolute;left:8687;top:-921;width:159;height:217" filled="false" stroked="true" strokeweight=".252081pt" strokecolor="#ff00ff">
              <v:stroke dashstyle="solid"/>
            </v:rect>
            <v:rect style="position:absolute;left:9398;top:-993;width:159;height:289" filled="true" fillcolor="#ff00ff" stroked="false">
              <v:fill type="solid"/>
            </v:rect>
            <v:rect style="position:absolute;left:9398;top:-993;width:159;height:289" filled="false" stroked="true" strokeweight=".247233pt" strokecolor="#ff00ff">
              <v:stroke dashstyle="solid"/>
            </v:rect>
            <v:rect style="position:absolute;left:10109;top:-2510;width:159;height:1806" filled="true" fillcolor="#ff00ff" stroked="false">
              <v:fill type="solid"/>
            </v:rect>
            <v:rect style="position:absolute;left:10109;top:-2510;width:159;height:1806" filled="false" stroked="true" strokeweight=".237899pt" strokecolor="#ff00ff">
              <v:stroke dashstyle="solid"/>
            </v:rect>
            <v:rect style="position:absolute;left:6712;top:-3376;width:159;height:2672" filled="true" fillcolor="#0000ff" stroked="false">
              <v:fill type="solid"/>
            </v:rect>
            <v:rect style="position:absolute;left:6712;top:-3376;width:159;height:2672" filled="false" stroked="true" strokeweight=".237727pt" strokecolor="#0000ff">
              <v:stroke dashstyle="solid"/>
            </v:rect>
            <v:rect style="position:absolute;left:7423;top:-1860;width:158;height:1156" filled="true" fillcolor="#0000ff" stroked="false">
              <v:fill type="solid"/>
            </v:rect>
            <v:rect style="position:absolute;left:7423;top:-1860;width:158;height:1156" filled="false" stroked="true" strokeweight=".238342pt" strokecolor="#0000ff">
              <v:stroke dashstyle="solid"/>
            </v:rect>
            <v:rect style="position:absolute;left:8134;top:-1354;width:158;height:650" filled="true" fillcolor="#0000ff" stroked="false">
              <v:fill type="solid"/>
            </v:rect>
            <v:rect style="position:absolute;left:8134;top:-1354;width:158;height:650" filled="false" stroked="true" strokeweight=".239897pt" strokecolor="#0000ff">
              <v:stroke dashstyle="solid"/>
            </v:rect>
            <v:rect style="position:absolute;left:8845;top:-993;width:158;height:289" filled="true" fillcolor="#0000ff" stroked="false">
              <v:fill type="solid"/>
            </v:rect>
            <v:rect style="position:absolute;left:8845;top:-993;width:158;height:289" filled="false" stroked="true" strokeweight=".247159pt" strokecolor="#0000ff">
              <v:stroke dashstyle="solid"/>
            </v:rect>
            <v:rect style="position:absolute;left:9556;top:-849;width:158;height:145" filled="true" fillcolor="#0000ff" stroked="false">
              <v:fill type="solid"/>
            </v:rect>
            <v:rect style="position:absolute;left:9556;top:-849;width:158;height:145" filled="false" stroked="true" strokeweight=".260262pt" strokecolor="#0000ff">
              <v:stroke dashstyle="solid"/>
            </v:rect>
            <v:rect style="position:absolute;left:10268;top:-2943;width:158;height:2239" filled="true" fillcolor="#0000ff" stroked="false">
              <v:fill type="solid"/>
            </v:rect>
            <v:rect style="position:absolute;left:10268;top:-2943;width:158;height:2239" filled="false" stroked="true" strokeweight=".237786pt" strokecolor="#0000ff">
              <v:stroke dashstyle="solid"/>
            </v:rect>
            <v:rect style="position:absolute;left:6870;top:-2221;width:158;height:1517" filled="true" fillcolor="#66ff33" stroked="false">
              <v:fill type="solid"/>
            </v:rect>
            <v:rect style="position:absolute;left:6870;top:-2221;width:158;height:1517" filled="false" stroked="true" strokeweight=".238026pt" strokecolor="#66ff33">
              <v:stroke dashstyle="solid"/>
            </v:rect>
            <v:rect style="position:absolute;left:7581;top:-2726;width:159;height:2022" filled="true" fillcolor="#66ff33" stroked="false">
              <v:fill type="solid"/>
            </v:rect>
            <v:rect style="position:absolute;left:7581;top:-2726;width:159;height:2022" filled="false" stroked="true" strokeweight=".237835pt" strokecolor="#66ff33">
              <v:stroke dashstyle="solid"/>
            </v:rect>
            <v:rect style="position:absolute;left:8292;top:-1715;width:159;height:1011" filled="true" fillcolor="#66ff33" stroked="false">
              <v:fill type="solid"/>
            </v:rect>
            <v:rect style="position:absolute;left:8292;top:-1715;width:159;height:1011" filled="false" stroked="true" strokeweight=".238579pt" strokecolor="#66ff33">
              <v:stroke dashstyle="solid"/>
            </v:rect>
            <v:rect style="position:absolute;left:9003;top:-993;width:159;height:289" filled="true" fillcolor="#66ff33" stroked="false">
              <v:fill type="solid"/>
            </v:rect>
            <v:rect style="position:absolute;left:9003;top:-993;width:159;height:289" filled="false" stroked="true" strokeweight=".247233pt" strokecolor="#66ff33">
              <v:stroke dashstyle="solid"/>
            </v:rect>
            <v:rect style="position:absolute;left:9714;top:-993;width:159;height:289" filled="true" fillcolor="#66ff33" stroked="false">
              <v:fill type="solid"/>
            </v:rect>
            <v:rect style="position:absolute;left:9714;top:-993;width:159;height:289" filled="false" stroked="true" strokeweight=".247233pt" strokecolor="#66ff33">
              <v:stroke dashstyle="solid"/>
            </v:rect>
            <v:rect style="position:absolute;left:10425;top:-2871;width:159;height:2167" filled="true" fillcolor="#66ff33" stroked="false">
              <v:fill type="solid"/>
            </v:rect>
            <v:rect style="position:absolute;left:10425;top:-2871;width:159;height:2167" filled="false" stroked="true" strokeweight=".237802pt" strokecolor="#66ff33">
              <v:stroke dashstyle="solid"/>
            </v:rect>
            <v:shape style="position:absolute;left:816;top:-5940;width:13083;height:7448" coordorigin="816,-5940" coordsize="13083,7448" path="m6436,-704l6436,-3593m6385,-704l6436,-704m6385,-1065l6436,-1065m6385,-1426l6436,-1426m6385,-1788l6436,-1788m6385,-2149l6436,-2149m6385,-2509l6436,-2509m6385,-2870l6436,-2870m6385,-3231l6436,-3231m6385,-3593l6436,-3593m6436,-704l10702,-704e" filled="false" stroked="true" strokeweight=".258428pt" strokecolor="#858585">
              <v:path arrowok="t"/>
              <v:stroke dashstyle="solid"/>
            </v:shape>
            <v:rect style="position:absolute;left:8494;top:-3286;width:88;height:103" filled="true" fillcolor="#ff00ff" stroked="false">
              <v:fill type="solid"/>
            </v:rect>
            <v:rect style="position:absolute;left:8494;top:-3286;width:88;height:103" filled="false" stroked="true" strokeweight=".255086pt" strokecolor="#ff00ff">
              <v:stroke dashstyle="solid"/>
            </v:rect>
            <v:rect style="position:absolute;left:8494;top:-2874;width:88;height:103" filled="true" fillcolor="#0000ff" stroked="false">
              <v:fill type="solid"/>
            </v:rect>
            <v:rect style="position:absolute;left:8494;top:-2874;width:88;height:103" filled="false" stroked="true" strokeweight=".255086pt" strokecolor="#0000ff">
              <v:stroke dashstyle="solid"/>
            </v:rect>
            <v:rect style="position:absolute;left:8494;top:-2461;width:88;height:103" filled="true" fillcolor="#66ff33" stroked="false">
              <v:fill type="solid"/>
            </v:rect>
            <v:rect style="position:absolute;left:8494;top:-2461;width:88;height:103" filled="false" stroked="true" strokeweight=".255086pt" strokecolor="#66ff33">
              <v:stroke dashstyle="solid"/>
            </v:rect>
            <w10:wrap type="none"/>
          </v:group>
        </w:pict>
      </w:r>
      <w:r>
        <w:rPr>
          <w:sz w:val="16"/>
        </w:rPr>
        <w:t>Source: BoE/TNS Survey, 2016-18</w:t>
      </w:r>
    </w:p>
    <w:p>
      <w:pPr>
        <w:spacing w:after="0"/>
        <w:jc w:val="left"/>
        <w:rPr>
          <w:sz w:val="16"/>
        </w:rPr>
        <w:sectPr>
          <w:pgSz w:w="11910" w:h="16840"/>
          <w:pgMar w:header="0" w:footer="1338" w:top="1580" w:bottom="1520" w:left="460" w:right="0"/>
        </w:sectPr>
      </w:pPr>
    </w:p>
    <w:p>
      <w:pPr>
        <w:pStyle w:val="BodyText"/>
      </w:pPr>
    </w:p>
    <w:p>
      <w:pPr>
        <w:pStyle w:val="BodyText"/>
      </w:pPr>
    </w:p>
    <w:p>
      <w:pPr>
        <w:pStyle w:val="BodyText"/>
        <w:spacing w:before="11"/>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185"/>
        <w:gridCol w:w="120"/>
        <w:gridCol w:w="110"/>
        <w:gridCol w:w="4946"/>
        <w:gridCol w:w="112"/>
      </w:tblGrid>
      <w:tr>
        <w:trPr>
          <w:trHeight w:val="1017" w:hRule="atLeast"/>
        </w:trPr>
        <w:tc>
          <w:tcPr>
            <w:tcW w:w="5416" w:type="dxa"/>
            <w:gridSpan w:val="3"/>
            <w:tcBorders>
              <w:bottom w:val="single" w:sz="8" w:space="0" w:color="000000"/>
            </w:tcBorders>
          </w:tcPr>
          <w:p>
            <w:pPr>
              <w:pStyle w:val="TableParagraph"/>
              <w:spacing w:before="107"/>
              <w:ind w:left="107"/>
              <w:rPr>
                <w:sz w:val="20"/>
              </w:rPr>
            </w:pPr>
            <w:r>
              <w:rPr>
                <w:sz w:val="20"/>
              </w:rPr>
              <w:t>Figure 20. UK – Change in Net Balance of People Who</w:t>
            </w:r>
          </w:p>
          <w:p>
            <w:pPr>
              <w:pStyle w:val="TableParagraph"/>
              <w:spacing w:line="340" w:lineRule="atLeast" w:before="1"/>
              <w:ind w:left="107" w:right="105"/>
              <w:rPr>
                <w:sz w:val="20"/>
              </w:rPr>
            </w:pPr>
            <w:r>
              <w:rPr>
                <w:sz w:val="20"/>
              </w:rPr>
              <w:t>Judge it Is “A Good Time to Save” During Periods Of Rising BoE Policy Rate, 1997-2018</w:t>
            </w:r>
          </w:p>
        </w:tc>
        <w:tc>
          <w:tcPr>
            <w:tcW w:w="5168" w:type="dxa"/>
            <w:gridSpan w:val="3"/>
            <w:tcBorders>
              <w:bottom w:val="single" w:sz="8" w:space="0" w:color="000000"/>
            </w:tcBorders>
          </w:tcPr>
          <w:p>
            <w:pPr>
              <w:pStyle w:val="TableParagraph"/>
              <w:spacing w:before="107"/>
              <w:ind w:left="107"/>
              <w:rPr>
                <w:sz w:val="20"/>
              </w:rPr>
            </w:pPr>
            <w:r>
              <w:rPr>
                <w:sz w:val="20"/>
              </w:rPr>
              <w:t>Figure 21. UK – BoE Policy Rate and Net Balance of</w:t>
            </w:r>
          </w:p>
          <w:p>
            <w:pPr>
              <w:pStyle w:val="TableParagraph"/>
              <w:spacing w:line="340" w:lineRule="atLeast" w:before="1"/>
              <w:ind w:left="107" w:right="250"/>
              <w:rPr>
                <w:sz w:val="20"/>
              </w:rPr>
            </w:pPr>
            <w:r>
              <w:rPr>
                <w:sz w:val="20"/>
              </w:rPr>
              <w:t>People Who Judge it Is “A Good Time to Save”, 1997- 2018</w:t>
            </w:r>
          </w:p>
        </w:tc>
      </w:tr>
      <w:tr>
        <w:trPr>
          <w:trHeight w:val="3707" w:hRule="atLeast"/>
        </w:trPr>
        <w:tc>
          <w:tcPr>
            <w:tcW w:w="111" w:type="dxa"/>
            <w:tcBorders>
              <w:right w:val="single" w:sz="4" w:space="0" w:color="858585"/>
            </w:tcBorders>
          </w:tcPr>
          <w:p>
            <w:pPr>
              <w:pStyle w:val="TableParagraph"/>
              <w:rPr>
                <w:rFonts w:ascii="Times New Roman"/>
                <w:sz w:val="18"/>
              </w:rPr>
            </w:pPr>
          </w:p>
        </w:tc>
        <w:tc>
          <w:tcPr>
            <w:tcW w:w="5185" w:type="dxa"/>
            <w:tcBorders>
              <w:top w:val="single" w:sz="8" w:space="0" w:color="000000"/>
              <w:left w:val="single" w:sz="4" w:space="0" w:color="858585"/>
              <w:bottom w:val="thickThinMediumGap" w:sz="2" w:space="0" w:color="000000"/>
              <w:right w:val="single" w:sz="4" w:space="0" w:color="858585"/>
            </w:tcBorders>
          </w:tcPr>
          <w:p>
            <w:pPr>
              <w:pStyle w:val="TableParagraph"/>
              <w:spacing w:before="10"/>
              <w:ind w:left="10"/>
              <w:rPr>
                <w:rFonts w:ascii="Calibri"/>
                <w:b/>
                <w:sz w:val="18"/>
              </w:rPr>
            </w:pPr>
            <w:r>
              <w:rPr>
                <w:rFonts w:ascii="Calibri"/>
                <w:b/>
                <w:sz w:val="18"/>
              </w:rPr>
              <w:t>30</w:t>
            </w:r>
          </w:p>
          <w:p>
            <w:pPr>
              <w:pStyle w:val="TableParagraph"/>
              <w:tabs>
                <w:tab w:pos="1303" w:val="left" w:leader="none"/>
              </w:tabs>
              <w:spacing w:line="193" w:lineRule="exact" w:before="31"/>
              <w:ind w:left="398"/>
              <w:rPr>
                <w:rFonts w:ascii="Calibri"/>
                <w:b/>
                <w:sz w:val="18"/>
              </w:rPr>
            </w:pPr>
            <w:r>
              <w:rPr>
                <w:rFonts w:ascii="Calibri"/>
                <w:b/>
                <w:sz w:val="18"/>
              </w:rPr>
              <w:t>pp</w:t>
              <w:tab/>
              <w:t>Average of</w:t>
            </w:r>
            <w:r>
              <w:rPr>
                <w:rFonts w:ascii="Calibri"/>
                <w:b/>
                <w:spacing w:val="-7"/>
                <w:sz w:val="18"/>
              </w:rPr>
              <w:t> </w:t>
            </w:r>
            <w:r>
              <w:rPr>
                <w:rFonts w:ascii="Calibri"/>
                <w:b/>
                <w:sz w:val="18"/>
              </w:rPr>
              <w:t>Prior</w:t>
            </w:r>
          </w:p>
          <w:p>
            <w:pPr>
              <w:pStyle w:val="TableParagraph"/>
              <w:tabs>
                <w:tab w:pos="1303" w:val="left" w:leader="none"/>
              </w:tabs>
              <w:spacing w:line="228" w:lineRule="exact" w:before="22"/>
              <w:ind w:left="1303" w:right="2610" w:hanging="1294"/>
              <w:rPr>
                <w:rFonts w:ascii="Calibri"/>
                <w:b/>
                <w:sz w:val="18"/>
              </w:rPr>
            </w:pPr>
            <w:r>
              <w:rPr>
                <w:rFonts w:ascii="Calibri"/>
                <w:b/>
                <w:position w:val="6"/>
                <w:sz w:val="18"/>
              </w:rPr>
              <w:t>25</w:t>
              <w:tab/>
            </w:r>
            <w:r>
              <w:rPr>
                <w:rFonts w:ascii="Calibri"/>
                <w:b/>
                <w:w w:val="95"/>
                <w:sz w:val="18"/>
              </w:rPr>
              <w:t>Episodes of </w:t>
            </w:r>
            <w:r>
              <w:rPr>
                <w:rFonts w:ascii="Calibri"/>
                <w:b/>
                <w:spacing w:val="-3"/>
                <w:w w:val="95"/>
                <w:sz w:val="18"/>
              </w:rPr>
              <w:t>Rising </w:t>
            </w:r>
            <w:r>
              <w:rPr>
                <w:rFonts w:ascii="Calibri"/>
                <w:b/>
                <w:sz w:val="18"/>
              </w:rPr>
              <w:t>Rates</w:t>
            </w:r>
          </w:p>
          <w:p>
            <w:pPr>
              <w:pStyle w:val="TableParagraph"/>
              <w:spacing w:line="88" w:lineRule="exact"/>
              <w:ind w:left="10"/>
              <w:rPr>
                <w:rFonts w:ascii="Calibri"/>
                <w:b/>
                <w:sz w:val="18"/>
              </w:rPr>
            </w:pPr>
            <w:r>
              <w:rPr>
                <w:rFonts w:ascii="Calibri"/>
                <w:b/>
                <w:sz w:val="18"/>
              </w:rPr>
              <w:t>20</w:t>
            </w:r>
          </w:p>
          <w:p>
            <w:pPr>
              <w:pStyle w:val="TableParagraph"/>
              <w:spacing w:line="181" w:lineRule="exact"/>
              <w:ind w:left="1303"/>
              <w:rPr>
                <w:rFonts w:ascii="Calibri"/>
                <w:b/>
                <w:sz w:val="18"/>
              </w:rPr>
            </w:pPr>
            <w:r>
              <w:rPr>
                <w:rFonts w:ascii="Calibri"/>
                <w:b/>
                <w:sz w:val="18"/>
              </w:rPr>
              <w:t>2017-18</w:t>
            </w:r>
          </w:p>
          <w:p>
            <w:pPr>
              <w:pStyle w:val="TableParagraph"/>
              <w:spacing w:before="51"/>
              <w:ind w:left="10"/>
              <w:rPr>
                <w:rFonts w:ascii="Calibri"/>
                <w:b/>
                <w:sz w:val="18"/>
              </w:rPr>
            </w:pPr>
            <w:r>
              <w:rPr>
                <w:rFonts w:ascii="Calibri"/>
                <w:b/>
                <w:sz w:val="18"/>
              </w:rPr>
              <w:t>15</w:t>
            </w:r>
          </w:p>
          <w:p>
            <w:pPr>
              <w:pStyle w:val="TableParagraph"/>
              <w:spacing w:before="11"/>
              <w:rPr>
                <w:sz w:val="16"/>
              </w:rPr>
            </w:pPr>
          </w:p>
          <w:p>
            <w:pPr>
              <w:pStyle w:val="TableParagraph"/>
              <w:ind w:left="10"/>
              <w:rPr>
                <w:rFonts w:ascii="Calibri"/>
                <w:b/>
                <w:sz w:val="18"/>
              </w:rPr>
            </w:pPr>
            <w:r>
              <w:rPr>
                <w:rFonts w:ascii="Calibri"/>
                <w:b/>
                <w:sz w:val="18"/>
              </w:rPr>
              <w:t>10</w:t>
            </w:r>
          </w:p>
          <w:p>
            <w:pPr>
              <w:pStyle w:val="TableParagraph"/>
              <w:spacing w:before="10"/>
              <w:rPr>
                <w:sz w:val="16"/>
              </w:rPr>
            </w:pPr>
          </w:p>
          <w:p>
            <w:pPr>
              <w:pStyle w:val="TableParagraph"/>
              <w:ind w:left="96"/>
              <w:rPr>
                <w:rFonts w:ascii="Calibri"/>
                <w:b/>
                <w:sz w:val="18"/>
              </w:rPr>
            </w:pPr>
            <w:r>
              <w:rPr>
                <w:rFonts w:ascii="Calibri"/>
                <w:b/>
                <w:w w:val="94"/>
                <w:sz w:val="18"/>
              </w:rPr>
              <w:t>5</w:t>
            </w:r>
          </w:p>
          <w:p>
            <w:pPr>
              <w:pStyle w:val="TableParagraph"/>
              <w:spacing w:before="11"/>
              <w:rPr>
                <w:sz w:val="16"/>
              </w:rPr>
            </w:pPr>
          </w:p>
          <w:p>
            <w:pPr>
              <w:pStyle w:val="TableParagraph"/>
              <w:spacing w:line="188" w:lineRule="exact"/>
              <w:ind w:left="96"/>
              <w:rPr>
                <w:rFonts w:ascii="Calibri"/>
                <w:b/>
                <w:sz w:val="18"/>
              </w:rPr>
            </w:pPr>
            <w:r>
              <w:rPr>
                <w:rFonts w:ascii="Calibri"/>
                <w:b/>
                <w:w w:val="94"/>
                <w:sz w:val="18"/>
              </w:rPr>
              <w:t>0</w:t>
            </w:r>
          </w:p>
          <w:p>
            <w:pPr>
              <w:pStyle w:val="TableParagraph"/>
              <w:spacing w:line="188" w:lineRule="exact"/>
              <w:ind w:left="1279"/>
              <w:rPr>
                <w:rFonts w:ascii="Calibri"/>
                <w:b/>
                <w:sz w:val="18"/>
              </w:rPr>
            </w:pPr>
            <w:r>
              <w:rPr>
                <w:rFonts w:ascii="Calibri"/>
                <w:b/>
                <w:sz w:val="18"/>
              </w:rPr>
              <w:t>Range During Prior Episodes of Rising Rates</w:t>
            </w:r>
          </w:p>
          <w:p>
            <w:pPr>
              <w:pStyle w:val="TableParagraph"/>
              <w:spacing w:before="39"/>
              <w:ind w:left="44"/>
              <w:rPr>
                <w:rFonts w:ascii="Calibri"/>
                <w:b/>
                <w:sz w:val="18"/>
              </w:rPr>
            </w:pPr>
            <w:r>
              <w:rPr>
                <w:rFonts w:ascii="Calibri"/>
                <w:b/>
                <w:sz w:val="18"/>
              </w:rPr>
              <w:t>-5</w:t>
            </w:r>
          </w:p>
          <w:p>
            <w:pPr>
              <w:pStyle w:val="TableParagraph"/>
              <w:tabs>
                <w:tab w:pos="1045" w:val="left" w:leader="none"/>
                <w:tab w:pos="1643" w:val="left" w:leader="none"/>
                <w:tab w:pos="2242" w:val="left" w:leader="none"/>
                <w:tab w:pos="2841" w:val="left" w:leader="none"/>
                <w:tab w:pos="3439" w:val="left" w:leader="none"/>
                <w:tab w:pos="3995" w:val="left" w:leader="none"/>
                <w:tab w:pos="4593" w:val="left" w:leader="none"/>
              </w:tabs>
              <w:spacing w:line="198" w:lineRule="exact" w:before="22"/>
              <w:ind w:left="420"/>
              <w:rPr>
                <w:rFonts w:ascii="Calibri"/>
                <w:b/>
                <w:sz w:val="18"/>
              </w:rPr>
            </w:pPr>
            <w:r>
              <w:rPr>
                <w:rFonts w:ascii="Calibri"/>
                <w:b/>
                <w:sz w:val="18"/>
              </w:rPr>
              <w:t>-2</w:t>
              <w:tab/>
              <w:t>0</w:t>
              <w:tab/>
              <w:t>2</w:t>
              <w:tab/>
              <w:t>4</w:t>
              <w:tab/>
              <w:t>6</w:t>
              <w:tab/>
              <w:t>8</w:t>
              <w:tab/>
              <w:t>10</w:t>
              <w:tab/>
              <w:t>12</w:t>
            </w:r>
          </w:p>
          <w:p>
            <w:pPr>
              <w:pStyle w:val="TableParagraph"/>
              <w:spacing w:line="198" w:lineRule="exact"/>
              <w:ind w:left="1082"/>
              <w:rPr>
                <w:rFonts w:ascii="Calibri"/>
                <w:b/>
                <w:sz w:val="18"/>
              </w:rPr>
            </w:pPr>
            <w:r>
              <w:rPr>
                <w:rFonts w:ascii="Calibri"/>
                <w:b/>
                <w:sz w:val="18"/>
              </w:rPr>
              <w:t>Months Before/After First Rate Hike</w:t>
            </w:r>
          </w:p>
        </w:tc>
        <w:tc>
          <w:tcPr>
            <w:tcW w:w="120" w:type="dxa"/>
            <w:tcBorders>
              <w:left w:val="single" w:sz="4" w:space="0" w:color="858585"/>
            </w:tcBorders>
          </w:tcPr>
          <w:p>
            <w:pPr>
              <w:pStyle w:val="TableParagraph"/>
              <w:rPr>
                <w:rFonts w:ascii="Times New Roman"/>
                <w:sz w:val="18"/>
              </w:rPr>
            </w:pPr>
          </w:p>
        </w:tc>
        <w:tc>
          <w:tcPr>
            <w:tcW w:w="110" w:type="dxa"/>
            <w:tcBorders>
              <w:right w:val="single" w:sz="4" w:space="0" w:color="858585"/>
            </w:tcBorders>
          </w:tcPr>
          <w:p>
            <w:pPr>
              <w:pStyle w:val="TableParagraph"/>
              <w:rPr>
                <w:rFonts w:ascii="Times New Roman"/>
                <w:sz w:val="18"/>
              </w:rPr>
            </w:pPr>
          </w:p>
        </w:tc>
        <w:tc>
          <w:tcPr>
            <w:tcW w:w="4946" w:type="dxa"/>
            <w:tcBorders>
              <w:top w:val="single" w:sz="8" w:space="0" w:color="000000"/>
              <w:left w:val="single" w:sz="4" w:space="0" w:color="858585"/>
              <w:bottom w:val="thickThinMediumGap" w:sz="2" w:space="0" w:color="000000"/>
              <w:right w:val="single" w:sz="4" w:space="0" w:color="858585"/>
            </w:tcBorders>
          </w:tcPr>
          <w:p>
            <w:pPr>
              <w:pStyle w:val="TableParagraph"/>
              <w:tabs>
                <w:tab w:pos="4709" w:val="left" w:leader="none"/>
              </w:tabs>
              <w:spacing w:line="216" w:lineRule="exact" w:before="10"/>
              <w:ind w:left="45"/>
              <w:rPr>
                <w:rFonts w:ascii="Calibri"/>
                <w:b/>
                <w:sz w:val="18"/>
              </w:rPr>
            </w:pPr>
            <w:r>
              <w:rPr>
                <w:rFonts w:ascii="Calibri"/>
                <w:b/>
                <w:sz w:val="18"/>
              </w:rPr>
              <w:t>8</w:t>
              <w:tab/>
              <w:t>50</w:t>
            </w:r>
          </w:p>
          <w:p>
            <w:pPr>
              <w:pStyle w:val="TableParagraph"/>
              <w:spacing w:line="194" w:lineRule="exact"/>
              <w:ind w:left="847"/>
              <w:rPr>
                <w:rFonts w:ascii="Calibri"/>
                <w:b/>
                <w:sz w:val="18"/>
              </w:rPr>
            </w:pPr>
            <w:r>
              <w:rPr>
                <w:rFonts w:ascii="Calibri"/>
                <w:b/>
                <w:sz w:val="18"/>
              </w:rPr>
              <w:t>BoE Policy</w:t>
            </w:r>
          </w:p>
          <w:p>
            <w:pPr>
              <w:pStyle w:val="TableParagraph"/>
              <w:tabs>
                <w:tab w:pos="847" w:val="left" w:leader="none"/>
                <w:tab w:pos="2674" w:val="left" w:leader="none"/>
                <w:tab w:pos="4873" w:val="right" w:leader="none"/>
              </w:tabs>
              <w:spacing w:line="288" w:lineRule="exact"/>
              <w:ind w:left="45"/>
              <w:rPr>
                <w:rFonts w:ascii="Calibri"/>
                <w:b/>
                <w:sz w:val="18"/>
              </w:rPr>
            </w:pPr>
            <w:r>
              <w:rPr>
                <w:rFonts w:ascii="Calibri"/>
                <w:b/>
                <w:position w:val="9"/>
                <w:sz w:val="18"/>
              </w:rPr>
              <w:t>7</w:t>
              <w:tab/>
            </w:r>
            <w:r>
              <w:rPr>
                <w:rFonts w:ascii="Calibri"/>
                <w:b/>
                <w:position w:val="4"/>
                <w:sz w:val="18"/>
              </w:rPr>
              <w:t>Rate</w:t>
            </w:r>
            <w:r>
              <w:rPr>
                <w:rFonts w:ascii="Calibri"/>
                <w:b/>
                <w:spacing w:val="-19"/>
                <w:position w:val="4"/>
                <w:sz w:val="18"/>
              </w:rPr>
              <w:t> </w:t>
            </w:r>
            <w:r>
              <w:rPr>
                <w:rFonts w:ascii="Calibri"/>
                <w:b/>
                <w:position w:val="4"/>
                <w:sz w:val="18"/>
              </w:rPr>
              <w:t>(left)</w:t>
              <w:tab/>
            </w:r>
            <w:r>
              <w:rPr>
                <w:rFonts w:ascii="Calibri"/>
                <w:b/>
                <w:sz w:val="18"/>
              </w:rPr>
              <w:t>Net Balance</w:t>
            </w:r>
            <w:r>
              <w:rPr>
                <w:rFonts w:ascii="Calibri"/>
                <w:b/>
                <w:spacing w:val="-28"/>
                <w:sz w:val="18"/>
              </w:rPr>
              <w:t> </w:t>
            </w:r>
            <w:r>
              <w:rPr>
                <w:rFonts w:ascii="Calibri"/>
                <w:b/>
                <w:sz w:val="18"/>
              </w:rPr>
              <w:t>of</w:t>
            </w:r>
            <w:r>
              <w:rPr>
                <w:rFonts w:ascii="Calibri"/>
                <w:b/>
                <w:spacing w:val="-13"/>
                <w:sz w:val="18"/>
              </w:rPr>
              <w:t> </w:t>
            </w:r>
            <w:r>
              <w:rPr>
                <w:rFonts w:ascii="Calibri"/>
                <w:b/>
                <w:sz w:val="18"/>
              </w:rPr>
              <w:t>People</w:t>
              <w:tab/>
            </w:r>
            <w:r>
              <w:rPr>
                <w:rFonts w:ascii="Calibri"/>
                <w:b/>
                <w:position w:val="9"/>
                <w:sz w:val="18"/>
              </w:rPr>
              <w:t>40</w:t>
            </w:r>
          </w:p>
          <w:p>
            <w:pPr>
              <w:pStyle w:val="TableParagraph"/>
              <w:tabs>
                <w:tab w:pos="2674" w:val="left" w:leader="none"/>
                <w:tab w:pos="4873" w:val="right" w:leader="none"/>
              </w:tabs>
              <w:spacing w:line="175" w:lineRule="auto" w:before="34"/>
              <w:ind w:left="45"/>
              <w:rPr>
                <w:rFonts w:ascii="Calibri"/>
                <w:b/>
                <w:sz w:val="18"/>
              </w:rPr>
            </w:pPr>
            <w:r>
              <w:rPr>
                <w:rFonts w:ascii="Calibri"/>
                <w:b/>
                <w:position w:val="-6"/>
                <w:sz w:val="18"/>
              </w:rPr>
              <w:t>6</w:t>
              <w:tab/>
            </w:r>
            <w:r>
              <w:rPr>
                <w:rFonts w:ascii="Calibri"/>
                <w:b/>
                <w:sz w:val="18"/>
              </w:rPr>
              <w:t>Who</w:t>
            </w:r>
            <w:r>
              <w:rPr>
                <w:rFonts w:ascii="Calibri"/>
                <w:b/>
                <w:spacing w:val="-21"/>
                <w:sz w:val="18"/>
              </w:rPr>
              <w:t> </w:t>
            </w:r>
            <w:r>
              <w:rPr>
                <w:rFonts w:ascii="Calibri"/>
                <w:b/>
                <w:sz w:val="18"/>
              </w:rPr>
              <w:t>Believe</w:t>
            </w:r>
            <w:r>
              <w:rPr>
                <w:rFonts w:ascii="Calibri"/>
                <w:b/>
                <w:spacing w:val="-20"/>
                <w:sz w:val="18"/>
              </w:rPr>
              <w:t> </w:t>
            </w:r>
            <w:r>
              <w:rPr>
                <w:rFonts w:ascii="Calibri"/>
                <w:b/>
                <w:sz w:val="18"/>
              </w:rPr>
              <w:t>"Good</w:t>
            </w:r>
            <w:r>
              <w:rPr>
                <w:rFonts w:ascii="Calibri"/>
                <w:b/>
                <w:spacing w:val="-22"/>
                <w:sz w:val="18"/>
              </w:rPr>
              <w:t> </w:t>
            </w:r>
            <w:r>
              <w:rPr>
                <w:rFonts w:ascii="Calibri"/>
                <w:b/>
                <w:sz w:val="18"/>
              </w:rPr>
              <w:t>Time</w:t>
              <w:tab/>
            </w:r>
            <w:r>
              <w:rPr>
                <w:rFonts w:ascii="Calibri"/>
                <w:b/>
                <w:position w:val="-6"/>
                <w:sz w:val="18"/>
              </w:rPr>
              <w:t>30</w:t>
            </w:r>
          </w:p>
          <w:p>
            <w:pPr>
              <w:pStyle w:val="TableParagraph"/>
              <w:spacing w:line="188" w:lineRule="exact"/>
              <w:ind w:left="2674"/>
              <w:rPr>
                <w:rFonts w:ascii="Calibri"/>
                <w:b/>
                <w:sz w:val="18"/>
              </w:rPr>
            </w:pPr>
            <w:r>
              <w:rPr>
                <w:rFonts w:ascii="Calibri"/>
                <w:b/>
                <w:sz w:val="18"/>
              </w:rPr>
              <w:t>to Save" (right)</w:t>
            </w:r>
          </w:p>
          <w:p>
            <w:pPr>
              <w:pStyle w:val="TableParagraph"/>
              <w:tabs>
                <w:tab w:pos="4709" w:val="left" w:leader="none"/>
              </w:tabs>
              <w:spacing w:before="16"/>
              <w:ind w:left="45"/>
              <w:rPr>
                <w:rFonts w:ascii="Calibri"/>
                <w:b/>
                <w:sz w:val="18"/>
              </w:rPr>
            </w:pPr>
            <w:r>
              <w:rPr>
                <w:rFonts w:ascii="Calibri"/>
                <w:b/>
                <w:sz w:val="18"/>
              </w:rPr>
              <w:t>5</w:t>
              <w:tab/>
              <w:t>20</w:t>
            </w:r>
          </w:p>
          <w:p>
            <w:pPr>
              <w:pStyle w:val="TableParagraph"/>
              <w:spacing w:before="8"/>
              <w:rPr>
                <w:sz w:val="14"/>
              </w:rPr>
            </w:pPr>
          </w:p>
          <w:p>
            <w:pPr>
              <w:pStyle w:val="TableParagraph"/>
              <w:tabs>
                <w:tab w:pos="4709" w:val="left" w:leader="none"/>
              </w:tabs>
              <w:ind w:left="45"/>
              <w:rPr>
                <w:rFonts w:ascii="Calibri"/>
                <w:b/>
                <w:sz w:val="18"/>
              </w:rPr>
            </w:pPr>
            <w:r>
              <w:rPr>
                <w:rFonts w:ascii="Calibri"/>
                <w:b/>
                <w:sz w:val="18"/>
              </w:rPr>
              <w:t>4</w:t>
              <w:tab/>
              <w:t>10</w:t>
            </w:r>
          </w:p>
          <w:p>
            <w:pPr>
              <w:pStyle w:val="TableParagraph"/>
              <w:spacing w:before="9"/>
              <w:rPr>
                <w:sz w:val="14"/>
              </w:rPr>
            </w:pPr>
          </w:p>
          <w:p>
            <w:pPr>
              <w:pStyle w:val="TableParagraph"/>
              <w:tabs>
                <w:tab w:pos="4709" w:val="left" w:leader="none"/>
              </w:tabs>
              <w:ind w:left="45"/>
              <w:rPr>
                <w:rFonts w:ascii="Calibri"/>
                <w:b/>
                <w:sz w:val="18"/>
              </w:rPr>
            </w:pPr>
            <w:r>
              <w:rPr>
                <w:rFonts w:ascii="Calibri"/>
                <w:b/>
                <w:sz w:val="18"/>
              </w:rPr>
              <w:t>3</w:t>
              <w:tab/>
              <w:t>0</w:t>
            </w:r>
          </w:p>
          <w:p>
            <w:pPr>
              <w:pStyle w:val="TableParagraph"/>
              <w:spacing w:before="9"/>
              <w:rPr>
                <w:sz w:val="14"/>
              </w:rPr>
            </w:pPr>
          </w:p>
          <w:p>
            <w:pPr>
              <w:pStyle w:val="TableParagraph"/>
              <w:tabs>
                <w:tab w:pos="4709" w:val="left" w:leader="none"/>
              </w:tabs>
              <w:ind w:left="45"/>
              <w:rPr>
                <w:rFonts w:ascii="Calibri"/>
                <w:b/>
                <w:sz w:val="18"/>
              </w:rPr>
            </w:pPr>
            <w:r>
              <w:rPr>
                <w:rFonts w:ascii="Calibri"/>
                <w:b/>
                <w:sz w:val="18"/>
              </w:rPr>
              <w:t>2</w:t>
              <w:tab/>
            </w:r>
            <w:r>
              <w:rPr>
                <w:rFonts w:ascii="Calibri"/>
                <w:b/>
                <w:w w:val="90"/>
                <w:sz w:val="18"/>
              </w:rPr>
              <w:t>-10</w:t>
            </w:r>
          </w:p>
          <w:p>
            <w:pPr>
              <w:pStyle w:val="TableParagraph"/>
              <w:spacing w:before="9"/>
              <w:rPr>
                <w:sz w:val="14"/>
              </w:rPr>
            </w:pPr>
          </w:p>
          <w:p>
            <w:pPr>
              <w:pStyle w:val="TableParagraph"/>
              <w:tabs>
                <w:tab w:pos="331" w:val="left" w:leader="none"/>
                <w:tab w:pos="4709" w:val="left" w:leader="none"/>
              </w:tabs>
              <w:ind w:left="45"/>
              <w:rPr>
                <w:rFonts w:ascii="Calibri"/>
                <w:b/>
                <w:sz w:val="18"/>
              </w:rPr>
            </w:pPr>
            <w:r>
              <w:rPr>
                <w:rFonts w:ascii="Calibri"/>
                <w:b/>
                <w:sz w:val="18"/>
              </w:rPr>
              <w:t>1</w:t>
              <w:tab/>
            </w:r>
            <w:r>
              <w:rPr>
                <w:rFonts w:ascii="Calibri"/>
                <w:b/>
                <w:position w:val="-1"/>
                <w:sz w:val="18"/>
              </w:rPr>
              <w:t>%</w:t>
              <w:tab/>
            </w:r>
            <w:r>
              <w:rPr>
                <w:rFonts w:ascii="Calibri"/>
                <w:b/>
                <w:w w:val="90"/>
                <w:sz w:val="18"/>
              </w:rPr>
              <w:t>-20</w:t>
            </w:r>
          </w:p>
          <w:p>
            <w:pPr>
              <w:pStyle w:val="TableParagraph"/>
              <w:tabs>
                <w:tab w:pos="4709" w:val="left" w:leader="none"/>
              </w:tabs>
              <w:spacing w:before="150"/>
              <w:ind w:left="45"/>
              <w:rPr>
                <w:rFonts w:ascii="Calibri"/>
                <w:b/>
                <w:sz w:val="18"/>
              </w:rPr>
            </w:pPr>
            <w:r>
              <w:rPr>
                <w:rFonts w:ascii="Calibri"/>
                <w:b/>
                <w:sz w:val="18"/>
              </w:rPr>
              <w:t>0</w:t>
              <w:tab/>
            </w:r>
            <w:r>
              <w:rPr>
                <w:rFonts w:ascii="Calibri"/>
                <w:b/>
                <w:w w:val="90"/>
                <w:sz w:val="18"/>
              </w:rPr>
              <w:t>-30</w:t>
            </w:r>
          </w:p>
          <w:p>
            <w:pPr>
              <w:pStyle w:val="TableParagraph"/>
              <w:tabs>
                <w:tab w:pos="723" w:val="left" w:leader="none"/>
                <w:tab w:pos="1326" w:val="left" w:leader="none"/>
                <w:tab w:pos="1928" w:val="left" w:leader="none"/>
                <w:tab w:pos="2530" w:val="left" w:leader="none"/>
                <w:tab w:pos="3132" w:val="left" w:leader="none"/>
                <w:tab w:pos="3734" w:val="left" w:leader="none"/>
                <w:tab w:pos="4336" w:val="left" w:leader="none"/>
              </w:tabs>
              <w:spacing w:before="23"/>
              <w:ind w:left="122"/>
              <w:rPr>
                <w:rFonts w:ascii="Calibri"/>
                <w:b/>
                <w:sz w:val="18"/>
              </w:rPr>
            </w:pPr>
            <w:r>
              <w:rPr>
                <w:rFonts w:ascii="Calibri"/>
                <w:b/>
                <w:sz w:val="18"/>
              </w:rPr>
              <w:t>1997</w:t>
              <w:tab/>
              <w:t>2000</w:t>
              <w:tab/>
              <w:t>2003</w:t>
              <w:tab/>
              <w:t>2006</w:t>
              <w:tab/>
              <w:t>2009</w:t>
              <w:tab/>
              <w:t>2012</w:t>
              <w:tab/>
              <w:t>2015</w:t>
              <w:tab/>
              <w:t>2018</w:t>
            </w:r>
          </w:p>
        </w:tc>
        <w:tc>
          <w:tcPr>
            <w:tcW w:w="112" w:type="dxa"/>
            <w:tcBorders>
              <w:left w:val="single" w:sz="4" w:space="0" w:color="858585"/>
            </w:tcBorders>
          </w:tcPr>
          <w:p>
            <w:pPr>
              <w:pStyle w:val="TableParagraph"/>
              <w:rPr>
                <w:rFonts w:ascii="Times New Roman"/>
                <w:sz w:val="18"/>
              </w:rPr>
            </w:pPr>
          </w:p>
        </w:tc>
      </w:tr>
    </w:tbl>
    <w:p>
      <w:pPr>
        <w:spacing w:line="444" w:lineRule="auto" w:before="156"/>
        <w:ind w:left="673" w:right="1169" w:firstLine="0"/>
        <w:jc w:val="left"/>
        <w:rPr>
          <w:sz w:val="16"/>
        </w:rPr>
      </w:pPr>
      <w:r>
        <w:rPr/>
        <w:pict>
          <v:group style="position:absolute;margin-left:48.183384pt;margin-top:-179.72522pt;width:227.3pt;height:145.2pt;mso-position-horizontal-relative:page;mso-position-vertical-relative:paragraph;z-index:-253429760" coordorigin="964,-3595" coordsize="4546,2904">
            <v:rect style="position:absolute;left:1018;top:-3592;width:4489;height:2899" filled="false" stroked="true" strokeweight=".272138pt" strokecolor="#000000">
              <v:stroke dashstyle="solid"/>
            </v:rect>
            <v:shape style="position:absolute;left:1167;top:-3344;width:4190;height:2237" coordorigin="1167,-3344" coordsize="4190,2237" path="m3262,-2731l2963,-2557,2664,-2350,2364,-2101,2065,-2052,1766,-1985,1467,-1356,1167,-1107,1467,-1232,1766,-1422,2065,-1563,3361,-1563,3561,-1580,3861,-1588,4793,-1588,5058,-2101,5357,-2317,5357,-2565,3561,-2565,3262,-2731xm4793,-1588l3861,-1588,4160,-1190,4459,-1480,4758,-1522,4793,-1588xm3361,-1563l2065,-1563,2364,-1464,2664,-1356,2963,-1215,3262,-1555,3361,-1563xm4459,-3219l4160,-3012,3561,-2565,5357,-2565,5357,-3087,4758,-3087,4459,-3219xm5058,-3344l4758,-3087,5357,-3087,5357,-3178,5058,-3344xe" filled="true" fillcolor="#ff99ff" stroked="false">
              <v:path arrowok="t"/>
              <v:fill type="solid"/>
            </v:shape>
            <v:shape style="position:absolute;left:816;top:537;width:12843;height:7469" coordorigin="816,538" coordsize="12843,7469" path="m1018,-693l1018,-3592m964,-693l1018,-693m964,-1108l1018,-1108m964,-1521l1018,-1521m964,-1936l1018,-1936m964,-2349l1018,-2349m964,-2764l1018,-2764m964,-3178l1018,-3178m964,-3592l1018,-3592m1018,-1108l5507,-1108e" filled="false" stroked="true" strokeweight=".267056pt" strokecolor="#858585">
              <v:path arrowok="t"/>
              <v:stroke dashstyle="solid"/>
            </v:shape>
            <v:shape style="position:absolute;left:1167;top:-2731;width:4190;height:1624" coordorigin="1168,-2731" coordsize="4190,1624" path="m1168,-1107l1467,-1287,1766,-1571,2065,-1720,2364,-1772,2664,-1983,2963,-2072,3262,-2180,3561,-2013,3861,-2242,4160,-2221,4459,-2338,4758,-2383,5057,-2710,5357,-2731e" filled="false" stroked="true" strokeweight="1.150753pt" strokecolor="#ff00ff">
              <v:path arrowok="t"/>
              <v:stroke dashstyle="solid"/>
            </v:shape>
            <v:shape style="position:absolute;left:1167;top:-1812;width:1795;height:813" coordorigin="1168,-1811" coordsize="1795,813" path="m1168,-1107l1467,-999,1766,-1431,2065,-1224,2364,-1331,2664,-1712,2963,-1811e" filled="false" stroked="true" strokeweight="1.1467pt" strokecolor="#0000ff">
              <v:path arrowok="t"/>
              <v:stroke dashstyle="solid"/>
            </v:shape>
            <v:line style="position:absolute" from="1831,-3343" to="1967,-3343" stroked="true" strokeweight="1.16419pt" strokecolor="#ff00ff">
              <v:stroke dashstyle="solid"/>
            </v:line>
            <v:line style="position:absolute" from="1831,-2621" to="1967,-2621" stroked="true" strokeweight="1.16419pt" strokecolor="#0000ff">
              <v:stroke dashstyle="solid"/>
            </v:line>
            <v:shape style="position:absolute;left:4085;top:-1492;width:58;height:450" coordorigin="4086,-1492" coordsize="58,450" path="m4114,-1477l4111,-1470,4111,-1042,4118,-1042,4118,-1470,4114,-1477xm4114,-1492l4087,-1440,4086,-1438,4086,-1435,4090,-1433,4092,-1434,4093,-1436,4111,-1470,4111,-1484,4118,-1484,4114,-1492xm4118,-1484l4118,-1484,4118,-1470,4136,-1435,4137,-1434,4139,-1433,4142,-1435,4143,-1438,4142,-1440,4118,-1484xm4118,-1484l4111,-1484,4111,-1470,4114,-1477,4111,-1482,4118,-1482,4118,-1484xm4118,-1482l4117,-1482,4114,-1477,4118,-1470,4118,-1482xm4117,-1482l4111,-1482,4114,-1477,4117,-1482xe" filled="true" fillcolor="#000000" stroked="false">
              <v:path arrowok="t"/>
              <v:fill type="solid"/>
            </v:shape>
            <w10:wrap type="none"/>
          </v:group>
        </w:pict>
      </w:r>
      <w:r>
        <w:rPr/>
        <w:pict>
          <v:group style="position:absolute;margin-left:315.948517pt;margin-top:-179.72522pt;width:219.2pt;height:156.050pt;mso-position-horizontal-relative:page;mso-position-vertical-relative:paragraph;z-index:-253428736" coordorigin="6319,-3595" coordsize="4384,3121">
            <v:rect style="position:absolute;left:6369;top:-3592;width:4282;height:3116" filled="false" stroked="true" strokeweight=".266776pt" strokecolor="#000000">
              <v:stroke dashstyle="solid"/>
            </v:rect>
            <v:shape style="position:absolute;left:681;top:537;width:12994;height:8028" coordorigin="682,538" coordsize="12994,8028" path="m10651,-476l10651,-3592m10651,-476l10703,-476m10651,-866l10703,-866m10651,-1255l10703,-1255m10651,-1644l10703,-1644m10651,-2034l10703,-2034m10651,-2424l10703,-2424m10651,-2813l10703,-2813m10651,-3202l10703,-3202m10651,-3592l10703,-3592m6370,-476l6370,-3592m6319,-476l6370,-476m6319,-866l6370,-866m6319,-1255l6370,-1255m6319,-1644l6370,-1644m6319,-2034l6370,-2034m6319,-2424l6370,-2424m6319,-2813l6370,-2813m6319,-3202l6370,-3202m6319,-3592l6370,-3592m6370,-476l10651,-476e" filled="false" stroked="true" strokeweight=".261166pt" strokecolor="#858585">
              <v:path arrowok="t"/>
              <v:stroke dashstyle="solid"/>
            </v:shape>
            <v:shape style="position:absolute;left:6378;top:-3398;width:3346;height:2727" coordorigin="6378,-3398" coordsize="3346,2727" path="m6378,-2813l6395,-2813,6412,-2813,6429,-2813,6446,-2910,6463,-3008,6479,-3105,6496,-3203,6513,-3203,6529,-3203,6546,-3300,6647,-3300,6663,-3398,6680,-3398,6697,-3398,6713,-3398,6730,-3300,6747,-3105,6763,-2910,6780,-2813,6797,-2618,6813,-2618,6830,-2521,6847,-2521,6864,-2423,6881,-2423,6898,-2423,6914,-2521,6931,-2521,6947,-2618,6964,-2618,6981,-2716,6997,-2813,7014,-2813,7031,-2813,7182,-2813,7198,-2716,7215,-2716,7232,-2618,7248,-2521,7265,-2521,7281,-2521,7298,-2423,7315,-2326,7332,-2229,7349,-2034,7366,-2034,7583,-2034,7600,-1936,7617,-1936,7633,-1936,7650,-1936,7666,-1936,7683,-1839,7700,-1839,7716,-1839,7733,-1839,7750,-1936,7766,-1936,7783,-1936,7800,-2034,7817,-2034,7834,-2034,7851,-2132,7867,-2229,7884,-2229,7901,-2326,8085,-2326,8101,-2229,8285,-2229,8302,-2326,8319,-2326,8336,-2326,8352,-2423,8369,-2423,8385,-2521,8402,-2521,8419,-2521,8435,-2521,8452,-2618,8469,-2618,8485,-2716,8502,-2716,8519,-2716,8536,-2716,8553,-2716,8570,-2618,8586,-2618,8603,-2521,8620,-2521,8636,-2423,8653,-2423,8670,-2423,8686,-2423,8703,-2423,8720,-2423,8736,-2229,8753,-1645,8770,-1255,8787,-1060,8804,-865,8820,-671,9707,-671,9724,-671e" filled="false" stroked="true" strokeweight="1.103506pt" strokecolor="#0000ff">
              <v:path arrowok="t"/>
              <v:stroke dashstyle="solid"/>
            </v:shape>
            <v:shape style="position:absolute;left:9723;top:-671;width:903;height:97" coordorigin="9724,-671" coordsize="903,97" path="m9724,-671l9724,-671,10292,-671,10308,-574,10543,-574,10559,-671,10576,-671,10592,-671,10609,-671,10626,-671e" filled="false" stroked="true" strokeweight="1.162461pt" strokecolor="#0000ff">
              <v:path arrowok="t"/>
              <v:stroke dashstyle="solid"/>
            </v:shape>
            <v:shape style="position:absolute;left:6378;top:-3246;width:3346;height:2470" coordorigin="6378,-3246" coordsize="3346,2470" path="m6378,-1987l6395,-1948,6412,-2218,6429,-2318,6446,-2369,6463,-2432,6479,-2684,6496,-2650,6513,-2669,6529,-2614,6546,-2509,6562,-2622,6579,-2614,6596,-2684,6613,-2789,6630,-2864,6647,-2914,6663,-2770,6680,-2747,6697,-2595,6713,-2611,6730,-2536,6747,-2377,6763,-2416,6780,-2054,6797,-1984,6813,-1836,6830,-1757,6847,-1784,6864,-1641,6881,-1493,6898,-1609,6914,-1652,6931,-1761,6947,-1793,6964,-2007,6981,-2123,6997,-2139,7014,-2178,7031,-2205,7047,-2256,7064,-2170,7081,-2193,7098,-2341,7115,-2241,7132,-2470,7148,-2498,7165,-2478,7182,-2486,7198,-2423,7215,-2314,7232,-2112,7248,-2245,7265,-2041,7281,-1886,7298,-1691,7315,-1773,7332,-1570,7349,-1536,7366,-1422,7382,-1255,7399,-1391,7416,-1442,7432,-1470,7449,-1434,7466,-1438,7482,-1422,7499,-1403,7516,-1247,7532,-1263,7549,-1267,7566,-1329,7583,-1286,7600,-1193,7617,-1022,7633,-1076,7650,-1555,7666,-1621,7683,-1555,7700,-1450,7716,-1574,7733,-1636,7750,-1987,7766,-2018,7783,-1890,7800,-2159,7817,-2256,7834,-2338,7851,-2077,7867,-2365,7884,-2470,7901,-2568,7917,-2505,7934,-2626,7951,-2548,7967,-2509,7984,-2626,8001,-2587,8017,-2750,8034,-2732,8051,-2611,8068,-2626,8085,-2661,8101,-2517,8118,-2641,8135,-2646,8151,-2482,8168,-2560,8185,-2707,8201,-2704,8218,-2805,8235,-2794,8251,-2774,8268,-2677,8285,-2735,8302,-2825,8319,-2903,8336,-2844,8352,-2794,8369,-2727,8385,-2887,8402,-2898,8419,-2903,8435,-2716,8452,-2852,8469,-2871,8485,-3144,8502,-3246,8519,-3070,8536,-3086,8553,-2980,8570,-2992,8586,-2770,8603,-2704,8620,-2591,8636,-2762,8653,-2529,8670,-2439,8686,-2361,8703,-2443,8720,-2311,8736,-2041,8753,-1875,8770,-1516,8787,-1103,8804,-819,8820,-776,8837,-979,8854,-877,8870,-897,8887,-931,8904,-1006,8920,-1165,8937,-1224,8954,-1185,8971,-1372,8988,-1536,9005,-1493,9021,-1255,9038,-1438,9055,-1434,9071,-1470,9088,-1445,9105,-1309,9121,-1193,9138,-1372,9154,-1473,9171,-1431,9188,-1570,9205,-1442,9222,-1699,9239,-1450,9255,-1625,9272,-1376,9289,-1341,9305,-1213,9322,-1076,9339,-1204,9355,-1158,9372,-1263,9389,-1251,9405,-1294,9422,-1313,9439,-1072,9456,-1010,9473,-1213,9489,-998,9506,-1072,9523,-920,9539,-908,9556,-970,9573,-928,9589,-974,9606,-1091,9623,-850,9639,-838,9656,-803,9673,-827,9690,-998,9707,-1006,9724,-998e" filled="false" stroked="true" strokeweight="1.110561pt" strokecolor="#ff00ff">
              <v:path arrowok="t"/>
              <v:stroke dashstyle="solid"/>
            </v:shape>
            <v:shape style="position:absolute;left:9723;top:-2128;width:903;height:1129" coordorigin="9724,-2127" coordsize="903,1129" path="m9724,-998l9740,-1231,9757,-1188,9774,-1193,9790,-1216,9807,-1247,9824,-1240,9840,-1427,9857,-1306,9873,-1376,9890,-1294,9907,-1333,9924,-1395,9941,-1372,9958,-1345,9974,-1388,9991,-1399,10008,-1403,10024,-1516,10041,-1625,10058,-1547,10074,-1718,10091,-1699,10108,-1660,10124,-1816,10141,-1664,10158,-1679,10175,-1711,10192,-1765,10208,-1648,10225,-1679,10242,-1843,10258,-1820,10275,-1757,10292,-1656,10308,-1200,10325,-1391,10342,-1298,10358,-1279,10375,-1500,10392,-1470,10409,-1500,10426,-1629,10443,-1590,10459,-1718,10476,-1633,10493,-1691,10509,-1866,10526,-1797,10543,-1746,10559,-1948,10576,-1851,10592,-1902,10609,-2081,10626,-2127e" filled="false" stroked="true" strokeweight="1.071496pt" strokecolor="#ff00ff">
              <v:path arrowok="t"/>
              <v:stroke dashstyle="solid"/>
            </v:shape>
            <v:shape style="position:absolute;left:7030;top:-3069;width:2241;height:1361" coordorigin="7031,-3068" coordsize="2241,1361" path="m7086,-2893l7085,-2895,7084,-2896,7082,-2897,7080,-2896,7062,-2860,7062,-3068,7055,-3068,7055,-2860,7037,-2896,7035,-2897,7033,-2896,7031,-2895,7031,-2893,7032,-2891,7058,-2839,7062,-2846,7085,-2891,7086,-2893m9271,-1762l9271,-1764,9269,-1765,9267,-1766,9266,-1765,9265,-1763,9247,-1729,9247,-2528,9241,-2528,9241,-1729,9222,-1765,9220,-1766,9219,-1765,9217,-1764,9216,-1762,9217,-1760,9244,-1708,9248,-1715,9270,-1760,9271,-1762e" filled="true" fillcolor="#000000" stroked="false">
              <v:path arrowok="t"/>
              <v:fill type="solid"/>
            </v:shape>
            <w10:wrap type="none"/>
          </v:group>
        </w:pict>
      </w:r>
      <w:r>
        <w:rPr>
          <w:sz w:val="16"/>
        </w:rPr>
        <w:t>In the left chart, we take the change in the survey reading from two months before the first hike in each episode of rising rates. Sources: European Commission</w:t>
      </w:r>
    </w:p>
    <w:sectPr>
      <w:pgSz w:w="11910" w:h="16840"/>
      <w:pgMar w:header="0" w:footer="1338" w:top="1580" w:bottom="1520" w:left="4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59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45843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457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23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4225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3421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420544" type="#_x0000_t202" filled="false" stroked="false">
          <v:textbox inset="0,0,0,0">
            <w:txbxContent>
              <w:p>
                <w:pPr>
                  <w:pStyle w:val="BodyText"/>
                  <w:spacing w:before="12"/>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56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5536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454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533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52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5126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450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4921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8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4716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446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4512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4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4307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442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4102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40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3897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437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3692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35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3488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433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3283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31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43078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429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2873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427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426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3425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42464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73" w:hanging="168"/>
      </w:pPr>
      <w:rPr>
        <w:rFonts w:hint="default" w:ascii="Arial" w:hAnsi="Arial" w:eastAsia="Arial" w:cs="Arial"/>
        <w:w w:val="99"/>
        <w:sz w:val="20"/>
        <w:szCs w:val="20"/>
        <w:lang w:val="en-gb" w:eastAsia="en-gb" w:bidi="en-gb"/>
      </w:rPr>
    </w:lvl>
    <w:lvl w:ilvl="1">
      <w:start w:val="0"/>
      <w:numFmt w:val="bullet"/>
      <w:lvlText w:val=""/>
      <w:lvlJc w:val="left"/>
      <w:pPr>
        <w:ind w:left="1393" w:hanging="360"/>
      </w:pPr>
      <w:rPr>
        <w:rFonts w:hint="default" w:ascii="Symbol" w:hAnsi="Symbol" w:eastAsia="Symbol" w:cs="Symbol"/>
        <w:w w:val="99"/>
        <w:sz w:val="20"/>
        <w:szCs w:val="20"/>
        <w:lang w:val="en-gb" w:eastAsia="en-gb" w:bidi="en-gb"/>
      </w:rPr>
    </w:lvl>
    <w:lvl w:ilvl="2">
      <w:start w:val="0"/>
      <w:numFmt w:val="bullet"/>
      <w:lvlText w:val="•"/>
      <w:lvlJc w:val="left"/>
      <w:pPr>
        <w:ind w:left="2516" w:hanging="360"/>
      </w:pPr>
      <w:rPr>
        <w:rFonts w:hint="default"/>
        <w:lang w:val="en-gb" w:eastAsia="en-gb" w:bidi="en-gb"/>
      </w:rPr>
    </w:lvl>
    <w:lvl w:ilvl="3">
      <w:start w:val="0"/>
      <w:numFmt w:val="bullet"/>
      <w:lvlText w:val="•"/>
      <w:lvlJc w:val="left"/>
      <w:pPr>
        <w:ind w:left="3632" w:hanging="360"/>
      </w:pPr>
      <w:rPr>
        <w:rFonts w:hint="default"/>
        <w:lang w:val="en-gb" w:eastAsia="en-gb" w:bidi="en-gb"/>
      </w:rPr>
    </w:lvl>
    <w:lvl w:ilvl="4">
      <w:start w:val="0"/>
      <w:numFmt w:val="bullet"/>
      <w:lvlText w:val="•"/>
      <w:lvlJc w:val="left"/>
      <w:pPr>
        <w:ind w:left="4748" w:hanging="360"/>
      </w:pPr>
      <w:rPr>
        <w:rFonts w:hint="default"/>
        <w:lang w:val="en-gb" w:eastAsia="en-gb" w:bidi="en-gb"/>
      </w:rPr>
    </w:lvl>
    <w:lvl w:ilvl="5">
      <w:start w:val="0"/>
      <w:numFmt w:val="bullet"/>
      <w:lvlText w:val="•"/>
      <w:lvlJc w:val="left"/>
      <w:pPr>
        <w:ind w:left="5865" w:hanging="360"/>
      </w:pPr>
      <w:rPr>
        <w:rFonts w:hint="default"/>
        <w:lang w:val="en-gb" w:eastAsia="en-gb" w:bidi="en-gb"/>
      </w:rPr>
    </w:lvl>
    <w:lvl w:ilvl="6">
      <w:start w:val="0"/>
      <w:numFmt w:val="bullet"/>
      <w:lvlText w:val="•"/>
      <w:lvlJc w:val="left"/>
      <w:pPr>
        <w:ind w:left="6981" w:hanging="360"/>
      </w:pPr>
      <w:rPr>
        <w:rFonts w:hint="default"/>
        <w:lang w:val="en-gb" w:eastAsia="en-gb" w:bidi="en-gb"/>
      </w:rPr>
    </w:lvl>
    <w:lvl w:ilvl="7">
      <w:start w:val="0"/>
      <w:numFmt w:val="bullet"/>
      <w:lvlText w:val="•"/>
      <w:lvlJc w:val="left"/>
      <w:pPr>
        <w:ind w:left="8097" w:hanging="360"/>
      </w:pPr>
      <w:rPr>
        <w:rFonts w:hint="default"/>
        <w:lang w:val="en-gb" w:eastAsia="en-gb" w:bidi="en-gb"/>
      </w:rPr>
    </w:lvl>
    <w:lvl w:ilvl="8">
      <w:start w:val="0"/>
      <w:numFmt w:val="bullet"/>
      <w:lvlText w:val="•"/>
      <w:lvlJc w:val="left"/>
      <w:pPr>
        <w:ind w:left="921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67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93" w:right="1175"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s://onlinelibrary.wiley.com/doi/pdf/10.1111/j.0036-9292.2003.05005006.x" TargetMode="External"/><Relationship Id="rId17" Type="http://schemas.openxmlformats.org/officeDocument/2006/relationships/hyperlink" Target="https://www.bankofengland.co.uk/-/media/boe/files/quarterly-bulletin/1999/monetary-policy-and-uncertainty" TargetMode="External"/><Relationship Id="rId18" Type="http://schemas.openxmlformats.org/officeDocument/2006/relationships/hyperlink" Target="https://www.bankofengland.co.uk/-/media/boe/files/speech/2014/the-future-of-monetary-policy.pdf?la=en&amp;hash=D1C6A2AD46AAAB72FF15FD4213AE57058FD90211" TargetMode="External"/><Relationship Id="rId19" Type="http://schemas.openxmlformats.org/officeDocument/2006/relationships/hyperlink" Target="https://www.federalreserve.gov/boarddocs/speeches/2004/200405202/default.htm" TargetMode="External"/><Relationship Id="rId20" Type="http://schemas.openxmlformats.org/officeDocument/2006/relationships/hyperlink" Target="http://www.nber.org/papers/w24502.pdf" TargetMode="External"/><Relationship Id="rId21" Type="http://schemas.openxmlformats.org/officeDocument/2006/relationships/hyperlink" Target="https://www.bankofengland.co.uk/news/2018/march/key-elements-of-the-2018-stress-test" TargetMode="External"/><Relationship Id="rId22" Type="http://schemas.openxmlformats.org/officeDocument/2006/relationships/hyperlink" Target="https://www.bis.org/publ/work685.pdf" TargetMode="External"/><Relationship Id="rId23" Type="http://schemas.openxmlformats.org/officeDocument/2006/relationships/hyperlink" Target="http://www.jstor.org/stable/1821642" TargetMode="External"/><Relationship Id="rId24" Type="http://schemas.openxmlformats.org/officeDocument/2006/relationships/hyperlink" Target="https://www.bankofengland.co.uk/-/media/boe/files/speech/2014/monetary-policy-asset-prices-and-distribution.pdf" TargetMode="External"/><Relationship Id="rId25" Type="http://schemas.openxmlformats.org/officeDocument/2006/relationships/hyperlink" Target="https://www.bankofengland.co.uk/-/media/boe/files/speech/2015/from-lincoln-to-lothbury-magna-carta-and-the-boe.pdf?la=en&amp;hash=F7D3E62399CEAE4F5B415CDC3518C49E8181A7F4" TargetMode="External"/><Relationship Id="rId26" Type="http://schemas.openxmlformats.org/officeDocument/2006/relationships/hyperlink" Target="https://www.bankofengland.co.uk/-/media/boe/files/speech/2017/de-globalisation-and-inflation.pdf?la=en&amp;hash=E0C5E30A659BB8F9564F3FA0B3F5C1C1A10F199F" TargetMode="External"/><Relationship Id="rId27" Type="http://schemas.openxmlformats.org/officeDocument/2006/relationships/hyperlink" Target="https://www.bankofengland.co.uk/-/media/boe/files/letter/2018/governor-cpi-letter-080218.pdf?la=en&amp;hash=39D0CD86D203550BF0A8B18EF7235B1583A86503" TargetMode="External"/><Relationship Id="rId28" Type="http://schemas.openxmlformats.org/officeDocument/2006/relationships/hyperlink" Target="https://www.bankofengland.co.uk/-/media/boe/files/working-paper/2016/monetary-policy-when-households-have-debt-new-evidence-on-the-transmission-mechanism.pdf?la=en&amp;hash=F1C10A3548F50FF64D70369564633F94FF8DC400" TargetMode="External"/><Relationship Id="rId29" Type="http://schemas.openxmlformats.org/officeDocument/2006/relationships/hyperlink" Target="https://www.bankofengland.co.uk/-/media/boe/files/quarterly-bulletin/2013/the-natural-rate-hypothesis-an-idea-past-its-sell-by-date.pdf?la=en&amp;hash=A3C932077297633F14B85826B65DEE9C48CEA560" TargetMode="External"/><Relationship Id="rId30" Type="http://schemas.openxmlformats.org/officeDocument/2006/relationships/hyperlink" Target="https://www.federalreserve.gov/newsevents/speech/files/fischer20170731a.pdf" TargetMode="External"/><Relationship Id="rId31" Type="http://schemas.openxmlformats.org/officeDocument/2006/relationships/hyperlink" Target="https://www.britac.ac.uk/pubs/proc/files/101p229-Goodhart.pdf" TargetMode="External"/><Relationship Id="rId32" Type="http://schemas.openxmlformats.org/officeDocument/2006/relationships/hyperlink" Target="http://citeseerx.ist.psu.edu/viewdoc/download?doi=10.1.1.850.8144&amp;rep=rep1&amp;type=pdf" TargetMode="External"/><Relationship Id="rId33" Type="http://schemas.openxmlformats.org/officeDocument/2006/relationships/hyperlink" Target="https://www.bis.org/publ/work656.pdf" TargetMode="External"/><Relationship Id="rId34" Type="http://schemas.openxmlformats.org/officeDocument/2006/relationships/hyperlink" Target="http://www.resolutionfoundation.org/app/uploads/2015/07/A-steady-job.pdf" TargetMode="External"/><Relationship Id="rId35" Type="http://schemas.openxmlformats.org/officeDocument/2006/relationships/hyperlink" Target="https://www.bankofengland.co.uk/-/media/boe/files/speech/2015/stuck.pdf?la=en&amp;hash=3247D34307D99E8E4E11E5B890837AD6C6CAEFFB" TargetMode="External"/><Relationship Id="rId36" Type="http://schemas.openxmlformats.org/officeDocument/2006/relationships/hyperlink" Target="https://www.brookings.edu/wp-content/uploads/2016/07/WP16-Hamilton-et-al-equilibrium-real-funds-rate-1.pdf" TargetMode="External"/><Relationship Id="rId37" Type="http://schemas.openxmlformats.org/officeDocument/2006/relationships/hyperlink" Target="https://www.imf.org/en/Publications/WP/Issues/2018/03/09/More-Slack-than-Meets-the-Eye-Recent-Wage-Dynamics-in-Advanced-Economies-45692" TargetMode="External"/><Relationship Id="rId38" Type="http://schemas.openxmlformats.org/officeDocument/2006/relationships/hyperlink" Target="http://www.imf.org/en/Publications/WP/Issues/2018/03/23/Aging-Secular-Stagnation-and-the-Business-Cycle-45694" TargetMode="External"/><Relationship Id="rId39" Type="http://schemas.openxmlformats.org/officeDocument/2006/relationships/hyperlink" Target="https://www.frbsf.org/economic-research/files/4-Thwaites-demographic-trends-and-the-real-interest-rate" TargetMode="External"/><Relationship Id="rId40" Type="http://schemas.openxmlformats.org/officeDocument/2006/relationships/hyperlink" Target="https://www.bankofengland.co.uk/-/media/boe/files/speech/2014/the-transition-to-a-new-normal-for-monetary-policy.pdf?la=en&amp;hash=54A79E78FF0928A73678B87D46AE6E3DAF625D05" TargetMode="External"/><Relationship Id="rId41" Type="http://schemas.openxmlformats.org/officeDocument/2006/relationships/hyperlink" Target="https://www.ecb.europa.eu/pub/pdf/scpwps/ecbwp540.pdf?3a4e8b9176d61cb2e40118a83d7dcfa3" TargetMode="External"/><Relationship Id="rId42" Type="http://schemas.openxmlformats.org/officeDocument/2006/relationships/hyperlink" Target="https://www.sciencedirect.com/science/article/pii/S0304393203000278" TargetMode="External"/><Relationship Id="rId43" Type="http://schemas.openxmlformats.org/officeDocument/2006/relationships/hyperlink" Target="https://www.ecb.europa.eu/pub/pdf/scpwps/ecbwp764.pdf?2d4904d21249228c5677c88067ffbef7" TargetMode="External"/><Relationship Id="rId44" Type="http://schemas.openxmlformats.org/officeDocument/2006/relationships/hyperlink" Target="https://www.bankofengland.co.uk/working-paper/2015/secular-drivers-of-the-global-real-interest-rate" TargetMode="External"/><Relationship Id="rId45" Type="http://schemas.openxmlformats.org/officeDocument/2006/relationships/hyperlink" Target="https://econpapers.repec.org/article/eeejebusi/" TargetMode="External"/><Relationship Id="rId46" Type="http://schemas.openxmlformats.org/officeDocument/2006/relationships/hyperlink" Target="https://www.sciencedirect.com/science/article/pii/S0148619599000302" TargetMode="External"/><Relationship Id="rId47" Type="http://schemas.openxmlformats.org/officeDocument/2006/relationships/hyperlink" Target="http://www.ecb.europa.eu/pub/pdf/scpwps/ecbwp013.pdf" TargetMode="External"/><Relationship Id="rId48" Type="http://schemas.openxmlformats.org/officeDocument/2006/relationships/hyperlink" Target="http://larrysummers.com/wp-content/uploads/2014/06/NABE-speech-Lawrence-H.-Summers1.pdf" TargetMode="External"/><Relationship Id="rId49" Type="http://schemas.openxmlformats.org/officeDocument/2006/relationships/hyperlink" Target="https://www.ft.com/content/180127da-8e59-11e7-9580-c651950d3672" TargetMode="External"/><Relationship Id="rId50" Type="http://schemas.openxmlformats.org/officeDocument/2006/relationships/hyperlink" Target="https://www.jstor.org/stable/pdf/3440742.pdf?refreqid=excelsior%3Aa664bf35f538f4da96917bc017b402d8" TargetMode="External"/><Relationship Id="rId51" Type="http://schemas.openxmlformats.org/officeDocument/2006/relationships/hyperlink" Target="http://www.nber.org/papers/w7953.pdf" TargetMode="External"/><Relationship Id="rId52" Type="http://schemas.openxmlformats.org/officeDocument/2006/relationships/hyperlink" Target="http://www.columbia.edu/~mw2230/SWAS208.pdf" TargetMode="External"/><Relationship Id="rId53" Type="http://schemas.openxmlformats.org/officeDocument/2006/relationships/hyperlink" Target="https://www.bankofengland.co.uk/speech/2018/silvana-tenreyro-2018-peston-lecture" TargetMode="External"/><Relationship Id="rId54" Type="http://schemas.openxmlformats.org/officeDocument/2006/relationships/hyperlink" Target="http://www.bankofengland.co.uk/-/media/boe/files/speech/2017/real-interest-rates-and-" TargetMode="External"/><Relationship Id="rId55" Type="http://schemas.openxmlformats.org/officeDocument/2006/relationships/hyperlink" Target="https://mainlymacro.blogspot.co.uk/2018/03/the-output-gap-is-no-longer-sufficient.html" TargetMode="External"/><Relationship Id="rId56" Type="http://schemas.openxmlformats.org/officeDocument/2006/relationships/image" Target="media/image2.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Michael Saunders at the Fraser of Allander Institute, University of Strathclyde, Glasgow, on Friday 20 April</dc:title>
  <dcterms:created xsi:type="dcterms:W3CDTF">2020-06-02T19:11:20Z</dcterms:created>
  <dcterms:modified xsi:type="dcterms:W3CDTF">2020-06-02T19:11:20Z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LastSaved">
    <vt:filetime>2020-06-02T00:00:00Z</vt:filetime>
  </property>
</Properties>
</file>