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678" w:val="left" w:leader="none"/>
        </w:tabs>
        <w:spacing w:line="240" w:lineRule="auto"/>
        <w:ind w:left="722" w:right="0" w:firstLine="0"/>
        <w:rPr>
          <w:rFonts w:ascii="Times New Roman"/>
          <w:sz w:val="20"/>
        </w:rPr>
      </w:pPr>
      <w:r>
        <w:rPr/>
        <w:pict>
          <v:line style="position:absolute;mso-position-horizontal-relative:page;mso-position-vertical-relative:page;z-index:251662336" from="55.919998pt,171.97998pt" to="538.679998pt,171.97998pt" stroked="true" strokeweight=".48pt" strokecolor="#000000">
            <v:stroke dashstyle="solid"/>
            <w10:wrap type="none"/>
          </v:line>
        </w:pict>
      </w: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90507" cy="12601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90507" cy="126015"/>
                    </a:xfrm>
                    <a:prstGeom prst="rect">
                      <a:avLst/>
                    </a:prstGeom>
                  </pic:spPr>
                </pic:pic>
              </a:graphicData>
            </a:graphic>
          </wp:inline>
        </w:drawing>
      </w:r>
      <w:r>
        <w:rPr>
          <w:rFonts w:ascii="Times New Roman"/>
          <w:spacing w:val="15"/>
          <w:position w:val="26"/>
          <w:sz w:val="20"/>
        </w:rPr>
      </w:r>
      <w:r>
        <w:rPr>
          <w:rFonts w:ascii="Times New Roman"/>
          <w:spacing w:val="63"/>
          <w:position w:val="26"/>
          <w:sz w:val="20"/>
        </w:rPr>
        <w:t> </w:t>
      </w:r>
      <w:r>
        <w:rPr>
          <w:rFonts w:ascii="Times New Roman"/>
          <w:spacing w:val="63"/>
          <w:position w:val="26"/>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3"/>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6"/>
          <w:sz w:val="20"/>
        </w:rPr>
        <w:drawing>
          <wp:inline distT="0" distB="0" distL="0" distR="0">
            <wp:extent cx="103161" cy="12601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3161" cy="126015"/>
                    </a:xfrm>
                    <a:prstGeom prst="rect">
                      <a:avLst/>
                    </a:prstGeom>
                  </pic:spPr>
                </pic:pic>
              </a:graphicData>
            </a:graphic>
          </wp:inline>
        </w:drawing>
      </w:r>
      <w:r>
        <w:rPr>
          <w:rFonts w:ascii="Times New Roman"/>
          <w:spacing w:val="15"/>
          <w:position w:val="26"/>
          <w:sz w:val="20"/>
        </w:rPr>
      </w:r>
    </w:p>
    <w:p>
      <w:pPr>
        <w:pStyle w:val="BodyText"/>
        <w:spacing w:before="3"/>
        <w:rPr>
          <w:rFonts w:ascii="Times New Roman"/>
          <w:sz w:val="21"/>
        </w:rPr>
      </w:pPr>
    </w:p>
    <w:tbl>
      <w:tblPr>
        <w:tblW w:w="0" w:type="auto"/>
        <w:jc w:val="left"/>
        <w:tblInd w:w="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6"/>
      </w:tblGrid>
      <w:tr>
        <w:trPr>
          <w:trHeight w:val="598" w:hRule="atLeast"/>
        </w:trPr>
        <w:tc>
          <w:tcPr>
            <w:tcW w:w="5626" w:type="dxa"/>
          </w:tcPr>
          <w:p>
            <w:pPr>
              <w:pStyle w:val="TableParagraph"/>
              <w:spacing w:line="491" w:lineRule="exact"/>
              <w:ind w:left="14"/>
              <w:rPr>
                <w:b/>
                <w:sz w:val="44"/>
              </w:rPr>
            </w:pPr>
            <w:r>
              <w:rPr>
                <w:b/>
                <w:sz w:val="44"/>
              </w:rPr>
              <w:t>Minutes</w:t>
            </w:r>
          </w:p>
        </w:tc>
      </w:tr>
      <w:tr>
        <w:trPr>
          <w:trHeight w:val="612" w:hRule="atLeast"/>
        </w:trPr>
        <w:tc>
          <w:tcPr>
            <w:tcW w:w="5626" w:type="dxa"/>
          </w:tcPr>
          <w:p>
            <w:pPr>
              <w:pStyle w:val="TableParagraph"/>
              <w:spacing w:before="99"/>
              <w:ind w:left="74"/>
              <w:rPr>
                <w:b/>
                <w:sz w:val="24"/>
              </w:rPr>
            </w:pPr>
            <w:r>
              <w:rPr>
                <w:b/>
                <w:sz w:val="24"/>
              </w:rPr>
              <w:t>Money Markets Committee – 3 September 2019</w:t>
            </w:r>
          </w:p>
        </w:tc>
      </w:tr>
    </w:tbl>
    <w:p>
      <w:pPr>
        <w:pStyle w:val="BodyText"/>
        <w:rPr>
          <w:rFonts w:ascii="Times New Roman"/>
          <w:sz w:val="15"/>
        </w:rPr>
      </w:pPr>
    </w:p>
    <w:p>
      <w:pPr>
        <w:pStyle w:val="Heading1"/>
        <w:tabs>
          <w:tab w:pos="1611" w:val="left" w:leader="none"/>
        </w:tabs>
        <w:spacing w:before="94"/>
      </w:pPr>
      <w:r>
        <w:rPr/>
        <w:t>Time:</w:t>
        <w:tab/>
        <w:t>3:00 –</w:t>
      </w:r>
      <w:r>
        <w:rPr>
          <w:spacing w:val="-2"/>
        </w:rPr>
        <w:t> </w:t>
      </w:r>
      <w:r>
        <w:rPr/>
        <w:t>4:30pm</w:t>
      </w:r>
    </w:p>
    <w:p>
      <w:pPr>
        <w:tabs>
          <w:tab w:pos="1611" w:val="left" w:leader="none"/>
        </w:tabs>
        <w:spacing w:before="39"/>
        <w:ind w:left="411" w:right="0" w:firstLine="0"/>
        <w:jc w:val="left"/>
        <w:rPr>
          <w:sz w:val="22"/>
        </w:rPr>
      </w:pPr>
      <w:r>
        <w:rPr>
          <w:sz w:val="22"/>
        </w:rPr>
        <w:t>Location:</w:t>
        <w:tab/>
        <w:t>M&amp;G Prudential, 10 Fenchurch Avenue, EC3M</w:t>
      </w:r>
      <w:r>
        <w:rPr>
          <w:spacing w:val="-4"/>
          <w:sz w:val="22"/>
        </w:rPr>
        <w:t> </w:t>
      </w:r>
      <w:r>
        <w:rPr>
          <w:sz w:val="22"/>
        </w:rPr>
        <w:t>5AG</w:t>
      </w:r>
    </w:p>
    <w:p>
      <w:pPr>
        <w:pStyle w:val="BodyText"/>
        <w:spacing w:before="10"/>
        <w:rPr>
          <w:sz w:val="23"/>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2236"/>
        <w:gridCol w:w="2288"/>
      </w:tblGrid>
      <w:tr>
        <w:trPr>
          <w:trHeight w:val="501" w:hRule="atLeast"/>
        </w:trPr>
        <w:tc>
          <w:tcPr>
            <w:tcW w:w="2436" w:type="dxa"/>
          </w:tcPr>
          <w:p>
            <w:pPr>
              <w:pStyle w:val="TableParagraph"/>
              <w:spacing w:line="247" w:lineRule="exact"/>
              <w:ind w:left="200"/>
              <w:rPr>
                <w:sz w:val="22"/>
              </w:rPr>
            </w:pPr>
            <w:r>
              <w:rPr>
                <w:sz w:val="22"/>
              </w:rPr>
              <w:t>Michelle Price</w:t>
            </w:r>
          </w:p>
        </w:tc>
        <w:tc>
          <w:tcPr>
            <w:tcW w:w="4524" w:type="dxa"/>
            <w:gridSpan w:val="2"/>
          </w:tcPr>
          <w:p>
            <w:pPr>
              <w:pStyle w:val="TableParagraph"/>
              <w:spacing w:line="246" w:lineRule="exact"/>
              <w:ind w:left="693"/>
              <w:rPr>
                <w:sz w:val="22"/>
              </w:rPr>
            </w:pPr>
            <w:r>
              <w:rPr>
                <w:sz w:val="22"/>
              </w:rPr>
              <w:t>Association of Corporate</w:t>
            </w:r>
          </w:p>
          <w:p>
            <w:pPr>
              <w:pStyle w:val="TableParagraph"/>
              <w:spacing w:line="235" w:lineRule="exact"/>
              <w:ind w:left="693"/>
              <w:rPr>
                <w:sz w:val="22"/>
              </w:rPr>
            </w:pPr>
            <w:r>
              <w:rPr>
                <w:sz w:val="22"/>
              </w:rPr>
              <w:t>Treasurers</w:t>
            </w:r>
          </w:p>
        </w:tc>
      </w:tr>
      <w:tr>
        <w:trPr>
          <w:trHeight w:val="258" w:hRule="atLeast"/>
        </w:trPr>
        <w:tc>
          <w:tcPr>
            <w:tcW w:w="2436" w:type="dxa"/>
          </w:tcPr>
          <w:p>
            <w:pPr>
              <w:pStyle w:val="TableParagraph"/>
              <w:spacing w:line="238" w:lineRule="exact"/>
              <w:ind w:left="200"/>
              <w:rPr>
                <w:sz w:val="22"/>
              </w:rPr>
            </w:pPr>
            <w:r>
              <w:rPr>
                <w:sz w:val="22"/>
              </w:rPr>
              <w:t>Cameron Dunn</w:t>
            </w:r>
          </w:p>
        </w:tc>
        <w:tc>
          <w:tcPr>
            <w:tcW w:w="2236" w:type="dxa"/>
          </w:tcPr>
          <w:p>
            <w:pPr>
              <w:pStyle w:val="TableParagraph"/>
              <w:spacing w:line="238" w:lineRule="exact"/>
              <w:ind w:left="693"/>
              <w:rPr>
                <w:sz w:val="22"/>
              </w:rPr>
            </w:pPr>
            <w:r>
              <w:rPr>
                <w:sz w:val="22"/>
              </w:rPr>
              <w:t>BAML</w:t>
            </w:r>
          </w:p>
        </w:tc>
        <w:tc>
          <w:tcPr>
            <w:tcW w:w="2288" w:type="dxa"/>
          </w:tcPr>
          <w:p>
            <w:pPr>
              <w:pStyle w:val="TableParagraph"/>
              <w:rPr>
                <w:rFonts w:ascii="Times New Roman"/>
                <w:sz w:val="18"/>
              </w:rPr>
            </w:pPr>
          </w:p>
        </w:tc>
      </w:tr>
      <w:tr>
        <w:trPr>
          <w:trHeight w:val="264" w:hRule="atLeast"/>
        </w:trPr>
        <w:tc>
          <w:tcPr>
            <w:tcW w:w="2436" w:type="dxa"/>
          </w:tcPr>
          <w:p>
            <w:pPr>
              <w:pStyle w:val="TableParagraph"/>
              <w:spacing w:line="242" w:lineRule="exact" w:before="2"/>
              <w:ind w:left="200"/>
              <w:rPr>
                <w:sz w:val="22"/>
              </w:rPr>
            </w:pPr>
            <w:r>
              <w:rPr>
                <w:sz w:val="22"/>
              </w:rPr>
              <w:t>Michael Manna</w:t>
            </w:r>
          </w:p>
        </w:tc>
        <w:tc>
          <w:tcPr>
            <w:tcW w:w="4524" w:type="dxa"/>
            <w:gridSpan w:val="2"/>
          </w:tcPr>
          <w:p>
            <w:pPr>
              <w:pStyle w:val="TableParagraph"/>
              <w:spacing w:line="242" w:lineRule="exact" w:before="2"/>
              <w:ind w:left="693"/>
              <w:rPr>
                <w:sz w:val="22"/>
              </w:rPr>
            </w:pPr>
            <w:r>
              <w:rPr>
                <w:sz w:val="22"/>
              </w:rPr>
              <w:t>Barclays Bank UK</w:t>
            </w:r>
          </w:p>
        </w:tc>
      </w:tr>
      <w:tr>
        <w:trPr>
          <w:trHeight w:val="264" w:hRule="atLeast"/>
        </w:trPr>
        <w:tc>
          <w:tcPr>
            <w:tcW w:w="2436" w:type="dxa"/>
          </w:tcPr>
          <w:p>
            <w:pPr>
              <w:pStyle w:val="TableParagraph"/>
              <w:spacing w:line="242" w:lineRule="exact" w:before="2"/>
              <w:ind w:left="200"/>
              <w:rPr>
                <w:sz w:val="22"/>
              </w:rPr>
            </w:pPr>
            <w:r>
              <w:rPr>
                <w:sz w:val="22"/>
              </w:rPr>
              <w:t>Luke Pledger</w:t>
            </w:r>
          </w:p>
        </w:tc>
        <w:tc>
          <w:tcPr>
            <w:tcW w:w="2236" w:type="dxa"/>
          </w:tcPr>
          <w:p>
            <w:pPr>
              <w:pStyle w:val="TableParagraph"/>
              <w:spacing w:line="242" w:lineRule="exact" w:before="2"/>
              <w:ind w:left="693"/>
              <w:rPr>
                <w:sz w:val="22"/>
              </w:rPr>
            </w:pPr>
            <w:r>
              <w:rPr>
                <w:sz w:val="22"/>
              </w:rPr>
              <w:t>BGC Partners</w:t>
            </w:r>
          </w:p>
        </w:tc>
        <w:tc>
          <w:tcPr>
            <w:tcW w:w="2288" w:type="dxa"/>
          </w:tcPr>
          <w:p>
            <w:pPr>
              <w:pStyle w:val="TableParagraph"/>
              <w:rPr>
                <w:rFonts w:ascii="Times New Roman"/>
                <w:sz w:val="18"/>
              </w:rPr>
            </w:pPr>
          </w:p>
        </w:tc>
      </w:tr>
      <w:tr>
        <w:trPr>
          <w:trHeight w:val="262" w:hRule="atLeast"/>
        </w:trPr>
        <w:tc>
          <w:tcPr>
            <w:tcW w:w="2436" w:type="dxa"/>
          </w:tcPr>
          <w:p>
            <w:pPr>
              <w:pStyle w:val="TableParagraph"/>
              <w:spacing w:line="241" w:lineRule="exact" w:before="2"/>
              <w:ind w:left="200"/>
              <w:rPr>
                <w:sz w:val="22"/>
              </w:rPr>
            </w:pPr>
            <w:r>
              <w:rPr>
                <w:sz w:val="22"/>
              </w:rPr>
              <w:t>James Templeman</w:t>
            </w:r>
          </w:p>
        </w:tc>
        <w:tc>
          <w:tcPr>
            <w:tcW w:w="2236" w:type="dxa"/>
          </w:tcPr>
          <w:p>
            <w:pPr>
              <w:pStyle w:val="TableParagraph"/>
              <w:spacing w:line="241" w:lineRule="exact" w:before="2"/>
              <w:ind w:left="693"/>
              <w:rPr>
                <w:sz w:val="22"/>
              </w:rPr>
            </w:pPr>
            <w:r>
              <w:rPr>
                <w:sz w:val="22"/>
              </w:rPr>
              <w:t>Blackrock</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Romain Dumas</w:t>
            </w:r>
          </w:p>
        </w:tc>
        <w:tc>
          <w:tcPr>
            <w:tcW w:w="2236" w:type="dxa"/>
          </w:tcPr>
          <w:p>
            <w:pPr>
              <w:pStyle w:val="TableParagraph"/>
              <w:spacing w:line="241" w:lineRule="exact" w:before="1"/>
              <w:ind w:left="693"/>
              <w:rPr>
                <w:sz w:val="22"/>
              </w:rPr>
            </w:pPr>
            <w:r>
              <w:rPr>
                <w:sz w:val="22"/>
              </w:rPr>
              <w:t>Credit Suisse</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Matthew McDermott</w:t>
            </w:r>
          </w:p>
        </w:tc>
        <w:tc>
          <w:tcPr>
            <w:tcW w:w="2236" w:type="dxa"/>
          </w:tcPr>
          <w:p>
            <w:pPr>
              <w:pStyle w:val="TableParagraph"/>
              <w:spacing w:line="241" w:lineRule="exact" w:before="1"/>
              <w:ind w:right="-29"/>
              <w:jc w:val="right"/>
              <w:rPr>
                <w:sz w:val="22"/>
              </w:rPr>
            </w:pPr>
            <w:r>
              <w:rPr>
                <w:sz w:val="22"/>
              </w:rPr>
              <w:t>Goldman Sachs</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James Murphy</w:t>
            </w:r>
          </w:p>
        </w:tc>
        <w:tc>
          <w:tcPr>
            <w:tcW w:w="2236" w:type="dxa"/>
          </w:tcPr>
          <w:p>
            <w:pPr>
              <w:pStyle w:val="TableParagraph"/>
              <w:spacing w:line="241" w:lineRule="exact" w:before="1"/>
              <w:ind w:left="693"/>
              <w:rPr>
                <w:sz w:val="22"/>
              </w:rPr>
            </w:pPr>
            <w:r>
              <w:rPr>
                <w:sz w:val="22"/>
              </w:rPr>
              <w:t>HSBC</w:t>
            </w:r>
          </w:p>
        </w:tc>
        <w:tc>
          <w:tcPr>
            <w:tcW w:w="2288" w:type="dxa"/>
          </w:tcPr>
          <w:p>
            <w:pPr>
              <w:pStyle w:val="TableParagraph"/>
              <w:rPr>
                <w:rFonts w:ascii="Times New Roman"/>
                <w:sz w:val="18"/>
              </w:rPr>
            </w:pPr>
          </w:p>
        </w:tc>
      </w:tr>
      <w:tr>
        <w:trPr>
          <w:trHeight w:val="283" w:hRule="atLeast"/>
        </w:trPr>
        <w:tc>
          <w:tcPr>
            <w:tcW w:w="2436" w:type="dxa"/>
          </w:tcPr>
          <w:p>
            <w:pPr>
              <w:pStyle w:val="TableParagraph"/>
              <w:spacing w:before="1"/>
              <w:ind w:left="200"/>
              <w:rPr>
                <w:sz w:val="22"/>
              </w:rPr>
            </w:pPr>
            <w:r>
              <w:rPr>
                <w:sz w:val="22"/>
              </w:rPr>
              <w:t>Chris Brown</w:t>
            </w:r>
          </w:p>
        </w:tc>
        <w:tc>
          <w:tcPr>
            <w:tcW w:w="4524" w:type="dxa"/>
            <w:gridSpan w:val="2"/>
          </w:tcPr>
          <w:p>
            <w:pPr>
              <w:pStyle w:val="TableParagraph"/>
              <w:spacing w:before="1"/>
              <w:ind w:left="693"/>
              <w:rPr>
                <w:sz w:val="22"/>
              </w:rPr>
            </w:pPr>
            <w:r>
              <w:rPr>
                <w:sz w:val="22"/>
              </w:rPr>
              <w:t>Insight Investment</w:t>
            </w:r>
          </w:p>
        </w:tc>
      </w:tr>
      <w:tr>
        <w:trPr>
          <w:trHeight w:val="531" w:hRule="atLeast"/>
        </w:trPr>
        <w:tc>
          <w:tcPr>
            <w:tcW w:w="2436" w:type="dxa"/>
          </w:tcPr>
          <w:p>
            <w:pPr>
              <w:pStyle w:val="TableParagraph"/>
              <w:spacing w:before="22"/>
              <w:ind w:left="200"/>
              <w:rPr>
                <w:sz w:val="22"/>
              </w:rPr>
            </w:pPr>
            <w:r>
              <w:rPr>
                <w:sz w:val="22"/>
              </w:rPr>
              <w:t>Olivia Maguire</w:t>
            </w:r>
          </w:p>
        </w:tc>
        <w:tc>
          <w:tcPr>
            <w:tcW w:w="4524" w:type="dxa"/>
            <w:gridSpan w:val="2"/>
          </w:tcPr>
          <w:p>
            <w:pPr>
              <w:pStyle w:val="TableParagraph"/>
              <w:spacing w:line="252" w:lineRule="exact" w:before="27"/>
              <w:ind w:left="693" w:right="2013"/>
              <w:rPr>
                <w:sz w:val="22"/>
              </w:rPr>
            </w:pPr>
            <w:r>
              <w:rPr>
                <w:sz w:val="22"/>
              </w:rPr>
              <w:t>J.P. Morgan Asset Management</w:t>
            </w:r>
          </w:p>
        </w:tc>
      </w:tr>
      <w:tr>
        <w:trPr>
          <w:trHeight w:val="258" w:hRule="atLeast"/>
        </w:trPr>
        <w:tc>
          <w:tcPr>
            <w:tcW w:w="2436" w:type="dxa"/>
          </w:tcPr>
          <w:p>
            <w:pPr>
              <w:pStyle w:val="TableParagraph"/>
              <w:spacing w:line="238" w:lineRule="exact"/>
              <w:ind w:left="200"/>
              <w:rPr>
                <w:sz w:val="22"/>
              </w:rPr>
            </w:pPr>
            <w:r>
              <w:rPr>
                <w:sz w:val="22"/>
              </w:rPr>
              <w:t>Ben Challice</w:t>
            </w:r>
          </w:p>
        </w:tc>
        <w:tc>
          <w:tcPr>
            <w:tcW w:w="2236" w:type="dxa"/>
          </w:tcPr>
          <w:p>
            <w:pPr>
              <w:pStyle w:val="TableParagraph"/>
              <w:spacing w:line="238" w:lineRule="exact"/>
              <w:ind w:left="693"/>
              <w:rPr>
                <w:sz w:val="22"/>
              </w:rPr>
            </w:pPr>
            <w:r>
              <w:rPr>
                <w:sz w:val="22"/>
              </w:rPr>
              <w:t>J.P. Morgan</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Elissa Holme*</w:t>
            </w:r>
          </w:p>
        </w:tc>
        <w:tc>
          <w:tcPr>
            <w:tcW w:w="2236" w:type="dxa"/>
          </w:tcPr>
          <w:p>
            <w:pPr>
              <w:pStyle w:val="TableParagraph"/>
              <w:spacing w:line="241" w:lineRule="exact" w:before="1"/>
              <w:ind w:left="693"/>
              <w:rPr>
                <w:sz w:val="22"/>
              </w:rPr>
            </w:pPr>
            <w:r>
              <w:rPr>
                <w:sz w:val="22"/>
              </w:rPr>
              <w:t>LCH</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Peter Left</w:t>
            </w:r>
          </w:p>
        </w:tc>
        <w:tc>
          <w:tcPr>
            <w:tcW w:w="2236" w:type="dxa"/>
          </w:tcPr>
          <w:p>
            <w:pPr>
              <w:pStyle w:val="TableParagraph"/>
              <w:spacing w:line="241" w:lineRule="exact" w:before="1"/>
              <w:ind w:left="693"/>
              <w:rPr>
                <w:sz w:val="22"/>
              </w:rPr>
            </w:pPr>
            <w:r>
              <w:rPr>
                <w:sz w:val="22"/>
              </w:rPr>
              <w:t>Lloyds</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Nic Erevik</w:t>
            </w:r>
          </w:p>
        </w:tc>
        <w:tc>
          <w:tcPr>
            <w:tcW w:w="4524" w:type="dxa"/>
            <w:gridSpan w:val="2"/>
          </w:tcPr>
          <w:p>
            <w:pPr>
              <w:pStyle w:val="TableParagraph"/>
              <w:spacing w:line="241" w:lineRule="exact" w:before="1"/>
              <w:ind w:left="693"/>
              <w:rPr>
                <w:sz w:val="22"/>
              </w:rPr>
            </w:pPr>
            <w:r>
              <w:rPr>
                <w:sz w:val="22"/>
              </w:rPr>
              <w:t>Newcastle Building Society</w:t>
            </w:r>
          </w:p>
        </w:tc>
      </w:tr>
      <w:tr>
        <w:trPr>
          <w:trHeight w:val="262" w:hRule="atLeast"/>
        </w:trPr>
        <w:tc>
          <w:tcPr>
            <w:tcW w:w="2436" w:type="dxa"/>
          </w:tcPr>
          <w:p>
            <w:pPr>
              <w:pStyle w:val="TableParagraph"/>
              <w:spacing w:line="242" w:lineRule="exact" w:before="1"/>
              <w:ind w:left="200"/>
              <w:rPr>
                <w:sz w:val="22"/>
              </w:rPr>
            </w:pPr>
            <w:r>
              <w:rPr>
                <w:sz w:val="22"/>
              </w:rPr>
              <w:t>Nina Moylett</w:t>
            </w:r>
          </w:p>
        </w:tc>
        <w:tc>
          <w:tcPr>
            <w:tcW w:w="2236" w:type="dxa"/>
          </w:tcPr>
          <w:p>
            <w:pPr>
              <w:pStyle w:val="TableParagraph"/>
              <w:spacing w:line="242" w:lineRule="exact" w:before="1"/>
              <w:ind w:right="-15"/>
              <w:jc w:val="right"/>
              <w:rPr>
                <w:sz w:val="22"/>
              </w:rPr>
            </w:pPr>
            <w:r>
              <w:rPr>
                <w:sz w:val="22"/>
              </w:rPr>
              <w:t>M&amp;G Prudential</w:t>
            </w:r>
          </w:p>
        </w:tc>
        <w:tc>
          <w:tcPr>
            <w:tcW w:w="2288" w:type="dxa"/>
          </w:tcPr>
          <w:p>
            <w:pPr>
              <w:pStyle w:val="TableParagraph"/>
              <w:rPr>
                <w:rFonts w:ascii="Times New Roman"/>
                <w:sz w:val="18"/>
              </w:rPr>
            </w:pPr>
          </w:p>
        </w:tc>
      </w:tr>
      <w:tr>
        <w:trPr>
          <w:trHeight w:val="262" w:hRule="atLeast"/>
        </w:trPr>
        <w:tc>
          <w:tcPr>
            <w:tcW w:w="2436" w:type="dxa"/>
          </w:tcPr>
          <w:p>
            <w:pPr>
              <w:pStyle w:val="TableParagraph"/>
              <w:spacing w:line="241" w:lineRule="exact" w:before="2"/>
              <w:ind w:left="200"/>
              <w:rPr>
                <w:sz w:val="22"/>
              </w:rPr>
            </w:pPr>
            <w:r>
              <w:rPr>
                <w:sz w:val="22"/>
              </w:rPr>
              <w:t>Donal Quaid</w:t>
            </w:r>
          </w:p>
        </w:tc>
        <w:tc>
          <w:tcPr>
            <w:tcW w:w="2236" w:type="dxa"/>
          </w:tcPr>
          <w:p>
            <w:pPr>
              <w:pStyle w:val="TableParagraph"/>
              <w:spacing w:line="241" w:lineRule="exact" w:before="2"/>
              <w:ind w:left="693"/>
              <w:rPr>
                <w:sz w:val="22"/>
              </w:rPr>
            </w:pPr>
            <w:r>
              <w:rPr>
                <w:sz w:val="22"/>
              </w:rPr>
              <w:t>RBS</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Paul Barnes</w:t>
            </w:r>
          </w:p>
        </w:tc>
        <w:tc>
          <w:tcPr>
            <w:tcW w:w="2236" w:type="dxa"/>
          </w:tcPr>
          <w:p>
            <w:pPr>
              <w:pStyle w:val="TableParagraph"/>
              <w:spacing w:line="241" w:lineRule="exact" w:before="1"/>
              <w:ind w:left="693"/>
              <w:rPr>
                <w:sz w:val="22"/>
              </w:rPr>
            </w:pPr>
            <w:r>
              <w:rPr>
                <w:sz w:val="22"/>
              </w:rPr>
              <w:t>Santander UK</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Romain Sinclair</w:t>
            </w:r>
          </w:p>
        </w:tc>
        <w:tc>
          <w:tcPr>
            <w:tcW w:w="4524" w:type="dxa"/>
            <w:gridSpan w:val="2"/>
          </w:tcPr>
          <w:p>
            <w:pPr>
              <w:pStyle w:val="TableParagraph"/>
              <w:spacing w:line="241" w:lineRule="exact" w:before="1"/>
              <w:ind w:left="693"/>
              <w:rPr>
                <w:sz w:val="22"/>
              </w:rPr>
            </w:pPr>
            <w:r>
              <w:rPr>
                <w:sz w:val="22"/>
              </w:rPr>
              <w:t>Societe Generale</w:t>
            </w:r>
          </w:p>
        </w:tc>
      </w:tr>
      <w:tr>
        <w:trPr>
          <w:trHeight w:val="261" w:hRule="atLeast"/>
        </w:trPr>
        <w:tc>
          <w:tcPr>
            <w:tcW w:w="2436" w:type="dxa"/>
          </w:tcPr>
          <w:p>
            <w:pPr>
              <w:pStyle w:val="TableParagraph"/>
              <w:spacing w:line="241" w:lineRule="exact" w:before="1"/>
              <w:ind w:left="200"/>
              <w:rPr>
                <w:sz w:val="22"/>
              </w:rPr>
            </w:pPr>
            <w:r>
              <w:rPr>
                <w:sz w:val="22"/>
              </w:rPr>
              <w:t>Lynda Heywood</w:t>
            </w:r>
          </w:p>
        </w:tc>
        <w:tc>
          <w:tcPr>
            <w:tcW w:w="2236" w:type="dxa"/>
          </w:tcPr>
          <w:p>
            <w:pPr>
              <w:pStyle w:val="TableParagraph"/>
              <w:spacing w:line="241" w:lineRule="exact" w:before="1"/>
              <w:ind w:left="693"/>
              <w:rPr>
                <w:sz w:val="22"/>
              </w:rPr>
            </w:pPr>
            <w:r>
              <w:rPr>
                <w:sz w:val="22"/>
              </w:rPr>
              <w:t>Tesco PLC</w:t>
            </w:r>
          </w:p>
        </w:tc>
        <w:tc>
          <w:tcPr>
            <w:tcW w:w="2288" w:type="dxa"/>
          </w:tcPr>
          <w:p>
            <w:pPr>
              <w:pStyle w:val="TableParagraph"/>
              <w:rPr>
                <w:rFonts w:ascii="Times New Roman"/>
                <w:sz w:val="18"/>
              </w:rPr>
            </w:pPr>
          </w:p>
        </w:tc>
      </w:tr>
      <w:tr>
        <w:trPr>
          <w:trHeight w:val="272" w:hRule="atLeast"/>
        </w:trPr>
        <w:tc>
          <w:tcPr>
            <w:tcW w:w="2436" w:type="dxa"/>
          </w:tcPr>
          <w:p>
            <w:pPr>
              <w:pStyle w:val="TableParagraph"/>
              <w:spacing w:line="251" w:lineRule="exact" w:before="1"/>
              <w:ind w:left="200"/>
              <w:rPr>
                <w:sz w:val="22"/>
              </w:rPr>
            </w:pPr>
            <w:r>
              <w:rPr>
                <w:sz w:val="22"/>
              </w:rPr>
              <w:t>Ross Barrett</w:t>
            </w:r>
          </w:p>
        </w:tc>
        <w:tc>
          <w:tcPr>
            <w:tcW w:w="2236" w:type="dxa"/>
          </w:tcPr>
          <w:p>
            <w:pPr>
              <w:pStyle w:val="TableParagraph"/>
              <w:spacing w:line="251" w:lineRule="exact" w:before="1"/>
              <w:ind w:left="693"/>
              <w:rPr>
                <w:sz w:val="22"/>
              </w:rPr>
            </w:pPr>
            <w:r>
              <w:rPr>
                <w:sz w:val="22"/>
              </w:rPr>
              <w:t>The IA</w:t>
            </w:r>
          </w:p>
        </w:tc>
        <w:tc>
          <w:tcPr>
            <w:tcW w:w="2288" w:type="dxa"/>
          </w:tcPr>
          <w:p>
            <w:pPr>
              <w:pStyle w:val="TableParagraph"/>
              <w:rPr>
                <w:rFonts w:ascii="Times New Roman"/>
                <w:sz w:val="20"/>
              </w:rPr>
            </w:pPr>
          </w:p>
        </w:tc>
      </w:tr>
      <w:tr>
        <w:trPr>
          <w:trHeight w:val="281" w:hRule="atLeast"/>
        </w:trPr>
        <w:tc>
          <w:tcPr>
            <w:tcW w:w="2436" w:type="dxa"/>
          </w:tcPr>
          <w:p>
            <w:pPr>
              <w:pStyle w:val="TableParagraph"/>
              <w:spacing w:line="250" w:lineRule="exact" w:before="11"/>
              <w:ind w:left="200"/>
              <w:rPr>
                <w:sz w:val="22"/>
              </w:rPr>
            </w:pPr>
            <w:r>
              <w:rPr>
                <w:sz w:val="22"/>
              </w:rPr>
              <w:t>Jessica Pulay</w:t>
            </w:r>
          </w:p>
        </w:tc>
        <w:tc>
          <w:tcPr>
            <w:tcW w:w="4524" w:type="dxa"/>
            <w:gridSpan w:val="2"/>
          </w:tcPr>
          <w:p>
            <w:pPr>
              <w:pStyle w:val="TableParagraph"/>
              <w:spacing w:line="250" w:lineRule="exact" w:before="11"/>
              <w:ind w:left="693"/>
              <w:rPr>
                <w:sz w:val="22"/>
              </w:rPr>
            </w:pPr>
            <w:r>
              <w:rPr>
                <w:sz w:val="22"/>
              </w:rPr>
              <w:t>DMO (Observer)</w:t>
            </w:r>
          </w:p>
        </w:tc>
      </w:tr>
      <w:tr>
        <w:trPr>
          <w:trHeight w:val="406" w:hRule="atLeast"/>
        </w:trPr>
        <w:tc>
          <w:tcPr>
            <w:tcW w:w="2436" w:type="dxa"/>
          </w:tcPr>
          <w:p>
            <w:pPr>
              <w:pStyle w:val="TableParagraph"/>
              <w:spacing w:before="10"/>
              <w:ind w:left="200"/>
              <w:rPr>
                <w:sz w:val="22"/>
              </w:rPr>
            </w:pPr>
            <w:r>
              <w:rPr>
                <w:sz w:val="22"/>
              </w:rPr>
              <w:t>Toby Williams</w:t>
            </w:r>
          </w:p>
        </w:tc>
        <w:tc>
          <w:tcPr>
            <w:tcW w:w="2236" w:type="dxa"/>
          </w:tcPr>
          <w:p>
            <w:pPr>
              <w:pStyle w:val="TableParagraph"/>
              <w:spacing w:before="10"/>
              <w:ind w:right="-15"/>
              <w:jc w:val="right"/>
              <w:rPr>
                <w:sz w:val="22"/>
              </w:rPr>
            </w:pPr>
            <w:r>
              <w:rPr>
                <w:sz w:val="22"/>
              </w:rPr>
              <w:t>FCA (Observer)</w:t>
            </w:r>
          </w:p>
        </w:tc>
        <w:tc>
          <w:tcPr>
            <w:tcW w:w="2288" w:type="dxa"/>
          </w:tcPr>
          <w:p>
            <w:pPr>
              <w:pStyle w:val="TableParagraph"/>
              <w:rPr>
                <w:rFonts w:ascii="Times New Roman"/>
                <w:sz w:val="22"/>
              </w:rPr>
            </w:pPr>
          </w:p>
        </w:tc>
      </w:tr>
      <w:tr>
        <w:trPr>
          <w:trHeight w:val="457" w:hRule="atLeast"/>
        </w:trPr>
        <w:tc>
          <w:tcPr>
            <w:tcW w:w="2436" w:type="dxa"/>
          </w:tcPr>
          <w:p>
            <w:pPr>
              <w:pStyle w:val="TableParagraph"/>
              <w:spacing w:before="136"/>
              <w:ind w:left="200"/>
              <w:rPr>
                <w:b/>
                <w:sz w:val="22"/>
              </w:rPr>
            </w:pPr>
            <w:r>
              <w:rPr>
                <w:b/>
                <w:sz w:val="22"/>
              </w:rPr>
              <w:t>Apologies</w:t>
            </w:r>
          </w:p>
        </w:tc>
        <w:tc>
          <w:tcPr>
            <w:tcW w:w="2236" w:type="dxa"/>
          </w:tcPr>
          <w:p>
            <w:pPr>
              <w:pStyle w:val="TableParagraph"/>
              <w:rPr>
                <w:rFonts w:ascii="Times New Roman"/>
                <w:sz w:val="22"/>
              </w:rPr>
            </w:pPr>
          </w:p>
        </w:tc>
        <w:tc>
          <w:tcPr>
            <w:tcW w:w="2288" w:type="dxa"/>
          </w:tcPr>
          <w:p>
            <w:pPr>
              <w:pStyle w:val="TableParagraph"/>
              <w:rPr>
                <w:rFonts w:ascii="Times New Roman"/>
                <w:sz w:val="22"/>
              </w:rPr>
            </w:pPr>
          </w:p>
        </w:tc>
      </w:tr>
      <w:tr>
        <w:trPr>
          <w:trHeight w:val="321" w:hRule="atLeast"/>
        </w:trPr>
        <w:tc>
          <w:tcPr>
            <w:tcW w:w="2436" w:type="dxa"/>
          </w:tcPr>
          <w:p>
            <w:pPr>
              <w:pStyle w:val="TableParagraph"/>
              <w:spacing w:line="241" w:lineRule="exact" w:before="61"/>
              <w:ind w:left="200"/>
              <w:rPr>
                <w:sz w:val="22"/>
              </w:rPr>
            </w:pPr>
            <w:r>
              <w:rPr>
                <w:sz w:val="22"/>
              </w:rPr>
              <w:t>Gordon Lowson</w:t>
            </w:r>
          </w:p>
        </w:tc>
        <w:tc>
          <w:tcPr>
            <w:tcW w:w="4524" w:type="dxa"/>
            <w:gridSpan w:val="2"/>
          </w:tcPr>
          <w:p>
            <w:pPr>
              <w:pStyle w:val="TableParagraph"/>
              <w:spacing w:line="241" w:lineRule="exact" w:before="61"/>
              <w:ind w:left="532"/>
              <w:rPr>
                <w:sz w:val="22"/>
              </w:rPr>
            </w:pPr>
            <w:r>
              <w:rPr>
                <w:sz w:val="22"/>
              </w:rPr>
              <w:t>Aberdeen Standard Investments</w:t>
            </w:r>
          </w:p>
        </w:tc>
      </w:tr>
      <w:tr>
        <w:trPr>
          <w:trHeight w:val="261" w:hRule="atLeast"/>
        </w:trPr>
        <w:tc>
          <w:tcPr>
            <w:tcW w:w="2436" w:type="dxa"/>
          </w:tcPr>
          <w:p>
            <w:pPr>
              <w:pStyle w:val="TableParagraph"/>
              <w:spacing w:line="241" w:lineRule="exact" w:before="1"/>
              <w:ind w:left="200"/>
              <w:rPr>
                <w:sz w:val="22"/>
              </w:rPr>
            </w:pPr>
            <w:r>
              <w:rPr>
                <w:sz w:val="22"/>
              </w:rPr>
              <w:t>Stephen Grainger</w:t>
            </w:r>
          </w:p>
        </w:tc>
        <w:tc>
          <w:tcPr>
            <w:tcW w:w="2236" w:type="dxa"/>
          </w:tcPr>
          <w:p>
            <w:pPr>
              <w:pStyle w:val="TableParagraph"/>
              <w:spacing w:line="241" w:lineRule="exact" w:before="1"/>
              <w:ind w:left="532"/>
              <w:rPr>
                <w:sz w:val="22"/>
              </w:rPr>
            </w:pPr>
            <w:r>
              <w:rPr>
                <w:sz w:val="22"/>
              </w:rPr>
              <w:t>Aldermore</w:t>
            </w:r>
          </w:p>
        </w:tc>
        <w:tc>
          <w:tcPr>
            <w:tcW w:w="2288" w:type="dxa"/>
          </w:tcPr>
          <w:p>
            <w:pPr>
              <w:pStyle w:val="TableParagraph"/>
              <w:rPr>
                <w:rFonts w:ascii="Times New Roman"/>
                <w:sz w:val="18"/>
              </w:rPr>
            </w:pPr>
          </w:p>
        </w:tc>
      </w:tr>
      <w:tr>
        <w:trPr>
          <w:trHeight w:val="261" w:hRule="atLeast"/>
        </w:trPr>
        <w:tc>
          <w:tcPr>
            <w:tcW w:w="2436" w:type="dxa"/>
          </w:tcPr>
          <w:p>
            <w:pPr>
              <w:pStyle w:val="TableParagraph"/>
              <w:spacing w:line="241" w:lineRule="exact" w:before="1"/>
              <w:ind w:left="200"/>
              <w:rPr>
                <w:sz w:val="22"/>
              </w:rPr>
            </w:pPr>
            <w:r>
              <w:rPr>
                <w:sz w:val="22"/>
              </w:rPr>
              <w:t>Mick Chadwick</w:t>
            </w:r>
          </w:p>
        </w:tc>
        <w:tc>
          <w:tcPr>
            <w:tcW w:w="2236" w:type="dxa"/>
          </w:tcPr>
          <w:p>
            <w:pPr>
              <w:pStyle w:val="TableParagraph"/>
              <w:spacing w:line="241" w:lineRule="exact" w:before="1"/>
              <w:ind w:left="532"/>
              <w:rPr>
                <w:sz w:val="22"/>
              </w:rPr>
            </w:pPr>
            <w:r>
              <w:rPr>
                <w:sz w:val="22"/>
              </w:rPr>
              <w:t>Aviva Investors</w:t>
            </w:r>
          </w:p>
        </w:tc>
        <w:tc>
          <w:tcPr>
            <w:tcW w:w="2288" w:type="dxa"/>
          </w:tcPr>
          <w:p>
            <w:pPr>
              <w:pStyle w:val="TableParagraph"/>
              <w:rPr>
                <w:rFonts w:ascii="Times New Roman"/>
                <w:sz w:val="18"/>
              </w:rPr>
            </w:pPr>
          </w:p>
        </w:tc>
      </w:tr>
      <w:tr>
        <w:trPr>
          <w:trHeight w:val="387" w:hRule="atLeast"/>
        </w:trPr>
        <w:tc>
          <w:tcPr>
            <w:tcW w:w="2436" w:type="dxa"/>
          </w:tcPr>
          <w:p>
            <w:pPr>
              <w:pStyle w:val="TableParagraph"/>
              <w:spacing w:before="1"/>
              <w:ind w:left="200"/>
              <w:rPr>
                <w:sz w:val="22"/>
              </w:rPr>
            </w:pPr>
            <w:r>
              <w:rPr>
                <w:sz w:val="22"/>
              </w:rPr>
              <w:t>Rob Thurlow</w:t>
            </w:r>
          </w:p>
        </w:tc>
        <w:tc>
          <w:tcPr>
            <w:tcW w:w="2236" w:type="dxa"/>
          </w:tcPr>
          <w:p>
            <w:pPr>
              <w:pStyle w:val="TableParagraph"/>
              <w:spacing w:before="1"/>
              <w:ind w:left="532"/>
              <w:rPr>
                <w:sz w:val="22"/>
              </w:rPr>
            </w:pPr>
            <w:r>
              <w:rPr>
                <w:sz w:val="22"/>
              </w:rPr>
              <w:t>Mizuho</w:t>
            </w:r>
          </w:p>
        </w:tc>
        <w:tc>
          <w:tcPr>
            <w:tcW w:w="2288" w:type="dxa"/>
          </w:tcPr>
          <w:p>
            <w:pPr>
              <w:pStyle w:val="TableParagraph"/>
              <w:rPr>
                <w:rFonts w:ascii="Times New Roman"/>
                <w:sz w:val="22"/>
              </w:rPr>
            </w:pPr>
          </w:p>
        </w:tc>
      </w:tr>
      <w:tr>
        <w:trPr>
          <w:trHeight w:val="434" w:hRule="atLeast"/>
        </w:trPr>
        <w:tc>
          <w:tcPr>
            <w:tcW w:w="2436" w:type="dxa"/>
          </w:tcPr>
          <w:p>
            <w:pPr>
              <w:pStyle w:val="TableParagraph"/>
              <w:spacing w:before="127"/>
              <w:ind w:left="200"/>
              <w:rPr>
                <w:b/>
                <w:sz w:val="22"/>
              </w:rPr>
            </w:pPr>
            <w:r>
              <w:rPr>
                <w:b/>
                <w:sz w:val="22"/>
              </w:rPr>
              <w:t>Bank of England</w:t>
            </w:r>
          </w:p>
        </w:tc>
        <w:tc>
          <w:tcPr>
            <w:tcW w:w="2236" w:type="dxa"/>
          </w:tcPr>
          <w:p>
            <w:pPr>
              <w:pStyle w:val="TableParagraph"/>
              <w:rPr>
                <w:rFonts w:ascii="Times New Roman"/>
                <w:sz w:val="22"/>
              </w:rPr>
            </w:pPr>
          </w:p>
        </w:tc>
        <w:tc>
          <w:tcPr>
            <w:tcW w:w="2288" w:type="dxa"/>
          </w:tcPr>
          <w:p>
            <w:pPr>
              <w:pStyle w:val="TableParagraph"/>
              <w:rPr>
                <w:rFonts w:ascii="Times New Roman"/>
                <w:sz w:val="22"/>
              </w:rPr>
            </w:pPr>
          </w:p>
        </w:tc>
      </w:tr>
      <w:tr>
        <w:trPr>
          <w:trHeight w:val="313" w:hRule="atLeast"/>
        </w:trPr>
        <w:tc>
          <w:tcPr>
            <w:tcW w:w="2436" w:type="dxa"/>
          </w:tcPr>
          <w:p>
            <w:pPr>
              <w:pStyle w:val="TableParagraph"/>
              <w:spacing w:line="245" w:lineRule="exact" w:before="48"/>
              <w:ind w:left="200"/>
              <w:rPr>
                <w:sz w:val="22"/>
              </w:rPr>
            </w:pPr>
            <w:r>
              <w:rPr>
                <w:sz w:val="22"/>
              </w:rPr>
              <w:t>Andrew Hauser</w:t>
            </w:r>
          </w:p>
        </w:tc>
        <w:tc>
          <w:tcPr>
            <w:tcW w:w="2236" w:type="dxa"/>
          </w:tcPr>
          <w:p>
            <w:pPr>
              <w:pStyle w:val="TableParagraph"/>
              <w:spacing w:line="245" w:lineRule="exact" w:before="48"/>
              <w:ind w:left="268"/>
              <w:rPr>
                <w:sz w:val="22"/>
              </w:rPr>
            </w:pPr>
            <w:r>
              <w:rPr>
                <w:sz w:val="22"/>
              </w:rPr>
              <w:t>Rhys Phillips</w:t>
            </w:r>
          </w:p>
        </w:tc>
        <w:tc>
          <w:tcPr>
            <w:tcW w:w="2288" w:type="dxa"/>
          </w:tcPr>
          <w:p>
            <w:pPr>
              <w:pStyle w:val="TableParagraph"/>
              <w:rPr>
                <w:rFonts w:ascii="Times New Roman"/>
                <w:sz w:val="22"/>
              </w:rPr>
            </w:pPr>
          </w:p>
        </w:tc>
      </w:tr>
      <w:tr>
        <w:trPr>
          <w:trHeight w:val="271" w:hRule="atLeast"/>
        </w:trPr>
        <w:tc>
          <w:tcPr>
            <w:tcW w:w="2436" w:type="dxa"/>
          </w:tcPr>
          <w:p>
            <w:pPr>
              <w:pStyle w:val="TableParagraph"/>
              <w:spacing w:line="245" w:lineRule="exact" w:before="5"/>
              <w:ind w:left="200"/>
              <w:rPr>
                <w:sz w:val="22"/>
              </w:rPr>
            </w:pPr>
            <w:r>
              <w:rPr>
                <w:sz w:val="22"/>
              </w:rPr>
              <w:t>Rebecca Maher</w:t>
            </w:r>
          </w:p>
        </w:tc>
        <w:tc>
          <w:tcPr>
            <w:tcW w:w="2236" w:type="dxa"/>
          </w:tcPr>
          <w:p>
            <w:pPr>
              <w:pStyle w:val="TableParagraph"/>
              <w:spacing w:line="245" w:lineRule="exact" w:before="5"/>
              <w:ind w:left="268"/>
              <w:rPr>
                <w:sz w:val="22"/>
              </w:rPr>
            </w:pPr>
            <w:r>
              <w:rPr>
                <w:sz w:val="22"/>
              </w:rPr>
              <w:t>Tom Jennings</w:t>
            </w:r>
          </w:p>
        </w:tc>
        <w:tc>
          <w:tcPr>
            <w:tcW w:w="2288" w:type="dxa"/>
          </w:tcPr>
          <w:p>
            <w:pPr>
              <w:pStyle w:val="TableParagraph"/>
              <w:spacing w:line="245" w:lineRule="exact" w:before="5"/>
              <w:ind w:left="583"/>
              <w:rPr>
                <w:sz w:val="22"/>
              </w:rPr>
            </w:pPr>
            <w:r>
              <w:rPr>
                <w:sz w:val="22"/>
              </w:rPr>
              <w:t>Ben Martin</w:t>
            </w:r>
          </w:p>
        </w:tc>
      </w:tr>
      <w:tr>
        <w:trPr>
          <w:trHeight w:val="258" w:hRule="atLeast"/>
        </w:trPr>
        <w:tc>
          <w:tcPr>
            <w:tcW w:w="2436" w:type="dxa"/>
          </w:tcPr>
          <w:p>
            <w:pPr>
              <w:pStyle w:val="TableParagraph"/>
              <w:spacing w:line="233" w:lineRule="exact" w:before="5"/>
              <w:ind w:left="200"/>
              <w:rPr>
                <w:sz w:val="22"/>
              </w:rPr>
            </w:pPr>
            <w:r>
              <w:rPr>
                <w:sz w:val="22"/>
              </w:rPr>
              <w:t>Sumita Ghosh</w:t>
            </w:r>
          </w:p>
        </w:tc>
        <w:tc>
          <w:tcPr>
            <w:tcW w:w="2236" w:type="dxa"/>
          </w:tcPr>
          <w:p>
            <w:pPr>
              <w:pStyle w:val="TableParagraph"/>
              <w:spacing w:line="233" w:lineRule="exact" w:before="5"/>
              <w:ind w:left="268"/>
              <w:rPr>
                <w:sz w:val="22"/>
              </w:rPr>
            </w:pPr>
            <w:r>
              <w:rPr>
                <w:sz w:val="22"/>
              </w:rPr>
              <w:t>Will Parry</w:t>
            </w:r>
          </w:p>
        </w:tc>
        <w:tc>
          <w:tcPr>
            <w:tcW w:w="2288" w:type="dxa"/>
          </w:tcPr>
          <w:p>
            <w:pPr>
              <w:pStyle w:val="TableParagraph"/>
              <w:spacing w:line="233" w:lineRule="exact" w:before="5"/>
              <w:ind w:left="583"/>
              <w:rPr>
                <w:sz w:val="22"/>
              </w:rPr>
            </w:pPr>
            <w:r>
              <w:rPr>
                <w:sz w:val="22"/>
              </w:rPr>
              <w:t>Geir-Are Karvik</w:t>
            </w:r>
          </w:p>
        </w:tc>
      </w:tr>
    </w:tbl>
    <w:p>
      <w:pPr>
        <w:pStyle w:val="BodyText"/>
        <w:rPr>
          <w:sz w:val="24"/>
        </w:rPr>
      </w:pPr>
    </w:p>
    <w:p>
      <w:pPr>
        <w:pStyle w:val="BodyText"/>
        <w:rPr>
          <w:sz w:val="24"/>
        </w:rPr>
      </w:pPr>
    </w:p>
    <w:p>
      <w:pPr>
        <w:pStyle w:val="BodyText"/>
        <w:spacing w:before="5"/>
        <w:rPr>
          <w:sz w:val="33"/>
        </w:rPr>
      </w:pPr>
    </w:p>
    <w:p>
      <w:pPr>
        <w:spacing w:before="0"/>
        <w:ind w:left="1470" w:right="0" w:firstLine="0"/>
        <w:jc w:val="left"/>
        <w:rPr>
          <w:i/>
          <w:sz w:val="20"/>
        </w:rPr>
      </w:pPr>
      <w:r>
        <w:rPr>
          <w:b/>
          <w:sz w:val="20"/>
        </w:rPr>
        <w:t>*</w:t>
      </w:r>
      <w:r>
        <w:rPr>
          <w:i/>
          <w:sz w:val="20"/>
        </w:rPr>
        <w:t>Alternate as agreed with MMC Secretariat</w:t>
      </w:r>
    </w:p>
    <w:p>
      <w:pPr>
        <w:spacing w:after="0"/>
        <w:jc w:val="left"/>
        <w:rPr>
          <w:sz w:val="20"/>
        </w:rPr>
        <w:sectPr>
          <w:type w:val="continuous"/>
          <w:pgSz w:w="11910" w:h="16840"/>
          <w:pgMar w:top="1220" w:bottom="280" w:left="460" w:right="1680"/>
        </w:sectPr>
      </w:pPr>
    </w:p>
    <w:p>
      <w:pPr>
        <w:pStyle w:val="BodyText"/>
        <w:spacing w:before="8"/>
        <w:rPr>
          <w:i/>
          <w:sz w:val="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8251"/>
      </w:tblGrid>
      <w:tr>
        <w:trPr>
          <w:trHeight w:val="2298" w:hRule="atLeast"/>
        </w:trPr>
        <w:tc>
          <w:tcPr>
            <w:tcW w:w="1045" w:type="dxa"/>
          </w:tcPr>
          <w:p>
            <w:pPr>
              <w:pStyle w:val="TableParagraph"/>
              <w:rPr>
                <w:rFonts w:ascii="Times New Roman"/>
                <w:sz w:val="18"/>
              </w:rPr>
            </w:pPr>
          </w:p>
        </w:tc>
        <w:tc>
          <w:tcPr>
            <w:tcW w:w="8251" w:type="dxa"/>
          </w:tcPr>
          <w:p>
            <w:pPr>
              <w:pStyle w:val="TableParagraph"/>
              <w:spacing w:line="223" w:lineRule="exact"/>
              <w:ind w:left="213"/>
              <w:rPr>
                <w:b/>
                <w:sz w:val="20"/>
              </w:rPr>
            </w:pPr>
            <w:r>
              <w:rPr>
                <w:b/>
                <w:sz w:val="20"/>
              </w:rPr>
              <w:t>Bank of England introductory remarks</w:t>
            </w:r>
          </w:p>
          <w:p>
            <w:pPr>
              <w:pStyle w:val="TableParagraph"/>
              <w:spacing w:before="3"/>
              <w:rPr>
                <w:i/>
                <w:sz w:val="20"/>
              </w:rPr>
            </w:pPr>
          </w:p>
          <w:p>
            <w:pPr>
              <w:pStyle w:val="TableParagraph"/>
              <w:ind w:left="213"/>
              <w:rPr>
                <w:sz w:val="20"/>
              </w:rPr>
            </w:pPr>
            <w:r>
              <w:rPr>
                <w:sz w:val="20"/>
              </w:rPr>
              <w:t>The Chair thanked Nina Moylett (M&amp;G Prudential) for hosting the meeting.</w:t>
            </w:r>
          </w:p>
          <w:p>
            <w:pPr>
              <w:pStyle w:val="TableParagraph"/>
              <w:spacing w:before="10"/>
              <w:rPr>
                <w:i/>
                <w:sz w:val="19"/>
              </w:rPr>
            </w:pPr>
          </w:p>
          <w:p>
            <w:pPr>
              <w:pStyle w:val="TableParagraph"/>
              <w:ind w:left="213" w:right="547"/>
              <w:rPr>
                <w:sz w:val="20"/>
              </w:rPr>
            </w:pPr>
            <w:r>
              <w:rPr>
                <w:sz w:val="20"/>
              </w:rPr>
              <w:t>The Chair thanked outgoing Committee member Michelle Price (Association of Corporate Treasurers) for her contributions to the Committee.</w:t>
            </w:r>
          </w:p>
          <w:p>
            <w:pPr>
              <w:pStyle w:val="TableParagraph"/>
              <w:spacing w:before="1"/>
              <w:rPr>
                <w:i/>
                <w:sz w:val="20"/>
              </w:rPr>
            </w:pPr>
          </w:p>
          <w:p>
            <w:pPr>
              <w:pStyle w:val="TableParagraph"/>
              <w:spacing w:before="1"/>
              <w:ind w:left="213" w:right="547"/>
              <w:rPr>
                <w:sz w:val="20"/>
              </w:rPr>
            </w:pPr>
            <w:r>
              <w:rPr>
                <w:sz w:val="20"/>
              </w:rPr>
              <w:t>The Chair confirmed that the June Committee minutes were published on the Bank’s website after agreement by written procedure following the last meeting.</w:t>
            </w:r>
          </w:p>
        </w:tc>
      </w:tr>
      <w:tr>
        <w:trPr>
          <w:trHeight w:val="9954" w:hRule="atLeast"/>
        </w:trPr>
        <w:tc>
          <w:tcPr>
            <w:tcW w:w="1045" w:type="dxa"/>
          </w:tcPr>
          <w:p>
            <w:pPr>
              <w:pStyle w:val="TableParagraph"/>
              <w:spacing w:before="6"/>
              <w:rPr>
                <w:i/>
                <w:sz w:val="19"/>
              </w:rPr>
            </w:pPr>
          </w:p>
          <w:p>
            <w:pPr>
              <w:pStyle w:val="TableParagraph"/>
              <w:ind w:left="200"/>
              <w:rPr>
                <w:b/>
                <w:sz w:val="20"/>
              </w:rPr>
            </w:pPr>
            <w:r>
              <w:rPr>
                <w:b/>
                <w:sz w:val="20"/>
              </w:rPr>
              <w:t>Item 1.</w:t>
            </w:r>
          </w:p>
        </w:tc>
        <w:tc>
          <w:tcPr>
            <w:tcW w:w="8251" w:type="dxa"/>
          </w:tcPr>
          <w:p>
            <w:pPr>
              <w:pStyle w:val="TableParagraph"/>
              <w:spacing w:before="6"/>
              <w:rPr>
                <w:i/>
                <w:sz w:val="19"/>
              </w:rPr>
            </w:pPr>
          </w:p>
          <w:p>
            <w:pPr>
              <w:pStyle w:val="TableParagraph"/>
              <w:ind w:left="213"/>
              <w:rPr>
                <w:b/>
                <w:sz w:val="20"/>
              </w:rPr>
            </w:pPr>
            <w:r>
              <w:rPr>
                <w:b/>
                <w:sz w:val="20"/>
              </w:rPr>
              <w:t>Diversity &amp; Inclusion in UK Money Markets</w:t>
            </w:r>
          </w:p>
          <w:p>
            <w:pPr>
              <w:pStyle w:val="TableParagraph"/>
              <w:spacing w:before="3"/>
              <w:rPr>
                <w:i/>
                <w:sz w:val="20"/>
              </w:rPr>
            </w:pPr>
          </w:p>
          <w:p>
            <w:pPr>
              <w:pStyle w:val="TableParagraph"/>
              <w:ind w:left="213" w:right="325"/>
              <w:rPr>
                <w:sz w:val="20"/>
              </w:rPr>
            </w:pPr>
            <w:r>
              <w:rPr>
                <w:sz w:val="20"/>
              </w:rPr>
              <w:t>The Bank provided a brief presentation on its Diversity &amp; Inclusion (D&amp;I) work, focusing on work to improve the diversity of external committees and the Bank’s market intelligence (MI) contact base.</w:t>
            </w:r>
          </w:p>
          <w:p>
            <w:pPr>
              <w:pStyle w:val="TableParagraph"/>
              <w:spacing w:before="11"/>
              <w:rPr>
                <w:i/>
                <w:sz w:val="19"/>
              </w:rPr>
            </w:pPr>
          </w:p>
          <w:p>
            <w:pPr>
              <w:pStyle w:val="TableParagraph"/>
              <w:ind w:left="213" w:right="243"/>
              <w:rPr>
                <w:sz w:val="20"/>
              </w:rPr>
            </w:pPr>
            <w:r>
              <w:rPr>
                <w:sz w:val="20"/>
              </w:rPr>
              <w:t>Members found the presentation useful and noted that individual institutions are at varying stages of progress in improving D&amp;I. For that reason members thought there was significant benefit to cross-industry collaboration and initiatives such as sponsoring and mentoring programmes. Members also observed that industry-wide targets for certain metrics of diversity could play a role in encouraging further improvement beyond that already achieved by their own institutions.</w:t>
            </w:r>
          </w:p>
          <w:p>
            <w:pPr>
              <w:pStyle w:val="TableParagraph"/>
              <w:spacing w:before="1"/>
              <w:rPr>
                <w:i/>
                <w:sz w:val="20"/>
              </w:rPr>
            </w:pPr>
          </w:p>
          <w:p>
            <w:pPr>
              <w:pStyle w:val="TableParagraph"/>
              <w:ind w:left="213" w:right="325"/>
              <w:rPr>
                <w:sz w:val="20"/>
              </w:rPr>
            </w:pPr>
            <w:r>
              <w:rPr>
                <w:sz w:val="20"/>
              </w:rPr>
              <w:t>Members discussed a range of specific measures which could be pursued to improve D&amp;I in sterling money markets, some of which had been implemented in their own organisations. These measures included:</w:t>
            </w:r>
          </w:p>
          <w:p>
            <w:pPr>
              <w:pStyle w:val="TableParagraph"/>
              <w:spacing w:before="9"/>
              <w:rPr>
                <w:i/>
                <w:sz w:val="19"/>
              </w:rPr>
            </w:pPr>
          </w:p>
          <w:p>
            <w:pPr>
              <w:pStyle w:val="TableParagraph"/>
              <w:numPr>
                <w:ilvl w:val="0"/>
                <w:numId w:val="1"/>
              </w:numPr>
              <w:tabs>
                <w:tab w:pos="933" w:val="left" w:leader="none"/>
                <w:tab w:pos="934" w:val="left" w:leader="none"/>
              </w:tabs>
              <w:spacing w:line="240" w:lineRule="auto" w:before="0" w:after="0"/>
              <w:ind w:left="933" w:right="546" w:hanging="360"/>
              <w:jc w:val="left"/>
              <w:rPr>
                <w:sz w:val="20"/>
              </w:rPr>
            </w:pPr>
            <w:r>
              <w:rPr>
                <w:sz w:val="20"/>
              </w:rPr>
              <w:t>Incorporating the meeting of D&amp;I targets into broader strategic, incentive</w:t>
            </w:r>
            <w:r>
              <w:rPr>
                <w:spacing w:val="-18"/>
                <w:sz w:val="20"/>
              </w:rPr>
              <w:t> </w:t>
            </w:r>
            <w:r>
              <w:rPr>
                <w:sz w:val="20"/>
              </w:rPr>
              <w:t>and accountability</w:t>
            </w:r>
            <w:r>
              <w:rPr>
                <w:spacing w:val="-4"/>
                <w:sz w:val="20"/>
              </w:rPr>
              <w:t> </w:t>
            </w:r>
            <w:r>
              <w:rPr>
                <w:sz w:val="20"/>
              </w:rPr>
              <w:t>frameworks;</w:t>
            </w:r>
          </w:p>
          <w:p>
            <w:pPr>
              <w:pStyle w:val="TableParagraph"/>
              <w:numPr>
                <w:ilvl w:val="0"/>
                <w:numId w:val="1"/>
              </w:numPr>
              <w:tabs>
                <w:tab w:pos="933" w:val="left" w:leader="none"/>
                <w:tab w:pos="934" w:val="left" w:leader="none"/>
              </w:tabs>
              <w:spacing w:line="242" w:lineRule="auto" w:before="0" w:after="0"/>
              <w:ind w:left="933" w:right="680" w:hanging="360"/>
              <w:jc w:val="left"/>
              <w:rPr>
                <w:sz w:val="20"/>
              </w:rPr>
            </w:pPr>
            <w:r>
              <w:rPr>
                <w:sz w:val="20"/>
              </w:rPr>
              <w:t>Setting minimum targets for diversity at various stages of recruitment –</w:t>
            </w:r>
            <w:r>
              <w:rPr>
                <w:spacing w:val="-17"/>
                <w:sz w:val="20"/>
              </w:rPr>
              <w:t> </w:t>
            </w:r>
            <w:r>
              <w:rPr>
                <w:sz w:val="20"/>
              </w:rPr>
              <w:t>e.g. shortlists, and the makeup of interview panels;</w:t>
            </w:r>
            <w:r>
              <w:rPr>
                <w:spacing w:val="-7"/>
                <w:sz w:val="20"/>
              </w:rPr>
              <w:t> </w:t>
            </w:r>
            <w:r>
              <w:rPr>
                <w:sz w:val="20"/>
              </w:rPr>
              <w:t>and</w:t>
            </w:r>
          </w:p>
          <w:p>
            <w:pPr>
              <w:pStyle w:val="TableParagraph"/>
              <w:numPr>
                <w:ilvl w:val="0"/>
                <w:numId w:val="1"/>
              </w:numPr>
              <w:tabs>
                <w:tab w:pos="933" w:val="left" w:leader="none"/>
                <w:tab w:pos="934" w:val="left" w:leader="none"/>
              </w:tabs>
              <w:spacing w:line="240" w:lineRule="exact" w:before="0" w:after="0"/>
              <w:ind w:left="933" w:right="0" w:hanging="361"/>
              <w:jc w:val="left"/>
              <w:rPr>
                <w:sz w:val="20"/>
              </w:rPr>
            </w:pPr>
            <w:r>
              <w:rPr>
                <w:sz w:val="20"/>
              </w:rPr>
              <w:t>Tailoring job adverts to diverse candidates to</w:t>
            </w:r>
            <w:r>
              <w:rPr>
                <w:spacing w:val="-5"/>
                <w:sz w:val="20"/>
              </w:rPr>
              <w:t> </w:t>
            </w:r>
            <w:r>
              <w:rPr>
                <w:sz w:val="20"/>
              </w:rPr>
              <w:t>apply.</w:t>
            </w:r>
          </w:p>
          <w:p>
            <w:pPr>
              <w:pStyle w:val="TableParagraph"/>
              <w:spacing w:before="9"/>
              <w:rPr>
                <w:i/>
                <w:sz w:val="19"/>
              </w:rPr>
            </w:pPr>
          </w:p>
          <w:p>
            <w:pPr>
              <w:pStyle w:val="TableParagraph"/>
              <w:ind w:left="213"/>
              <w:rPr>
                <w:sz w:val="20"/>
              </w:rPr>
            </w:pPr>
            <w:r>
              <w:rPr>
                <w:sz w:val="20"/>
              </w:rPr>
              <w:t>More specific challenges in sterling markets highlighted by members included:</w:t>
            </w:r>
          </w:p>
          <w:p>
            <w:pPr>
              <w:pStyle w:val="TableParagraph"/>
              <w:spacing w:before="11"/>
              <w:rPr>
                <w:i/>
                <w:sz w:val="19"/>
              </w:rPr>
            </w:pPr>
          </w:p>
          <w:p>
            <w:pPr>
              <w:pStyle w:val="TableParagraph"/>
              <w:numPr>
                <w:ilvl w:val="0"/>
                <w:numId w:val="1"/>
              </w:numPr>
              <w:tabs>
                <w:tab w:pos="933" w:val="left" w:leader="none"/>
                <w:tab w:pos="934" w:val="left" w:leader="none"/>
              </w:tabs>
              <w:spacing w:line="240" w:lineRule="auto" w:before="0" w:after="0"/>
              <w:ind w:left="933" w:right="199" w:hanging="360"/>
              <w:jc w:val="left"/>
              <w:rPr>
                <w:sz w:val="20"/>
              </w:rPr>
            </w:pPr>
            <w:r>
              <w:rPr>
                <w:sz w:val="20"/>
              </w:rPr>
              <w:t>How prolonged periods of leave (for example parental leave) were accounted for in fund manager performance metrics. Members noted that one option was to adjust such metrics explicitly for such periods of</w:t>
            </w:r>
            <w:r>
              <w:rPr>
                <w:spacing w:val="-4"/>
                <w:sz w:val="20"/>
              </w:rPr>
              <w:t> </w:t>
            </w:r>
            <w:r>
              <w:rPr>
                <w:sz w:val="20"/>
              </w:rPr>
              <w:t>leave.</w:t>
            </w:r>
          </w:p>
          <w:p>
            <w:pPr>
              <w:pStyle w:val="TableParagraph"/>
              <w:numPr>
                <w:ilvl w:val="0"/>
                <w:numId w:val="1"/>
              </w:numPr>
              <w:tabs>
                <w:tab w:pos="933" w:val="left" w:leader="none"/>
                <w:tab w:pos="934" w:val="left" w:leader="none"/>
              </w:tabs>
              <w:spacing w:line="240" w:lineRule="auto" w:before="0" w:after="0"/>
              <w:ind w:left="933" w:right="616" w:hanging="360"/>
              <w:jc w:val="left"/>
              <w:rPr>
                <w:sz w:val="20"/>
              </w:rPr>
            </w:pPr>
            <w:r>
              <w:rPr>
                <w:sz w:val="20"/>
              </w:rPr>
              <w:t>The implications of juggling the many different overlapping opening hours</w:t>
            </w:r>
            <w:r>
              <w:rPr>
                <w:spacing w:val="-21"/>
                <w:sz w:val="20"/>
              </w:rPr>
              <w:t> </w:t>
            </w:r>
            <w:r>
              <w:rPr>
                <w:sz w:val="20"/>
              </w:rPr>
              <w:t>of sterling and other markets traded out of UK</w:t>
            </w:r>
            <w:r>
              <w:rPr>
                <w:spacing w:val="-3"/>
                <w:sz w:val="20"/>
              </w:rPr>
              <w:t> </w:t>
            </w:r>
            <w:r>
              <w:rPr>
                <w:sz w:val="20"/>
              </w:rPr>
              <w:t>firms.</w:t>
            </w:r>
          </w:p>
          <w:p>
            <w:pPr>
              <w:pStyle w:val="TableParagraph"/>
              <w:spacing w:before="9"/>
              <w:rPr>
                <w:i/>
                <w:sz w:val="19"/>
              </w:rPr>
            </w:pPr>
          </w:p>
          <w:p>
            <w:pPr>
              <w:pStyle w:val="TableParagraph"/>
              <w:spacing w:before="1"/>
              <w:ind w:left="213" w:right="514"/>
              <w:rPr>
                <w:sz w:val="20"/>
              </w:rPr>
            </w:pPr>
            <w:r>
              <w:rPr>
                <w:sz w:val="20"/>
              </w:rPr>
              <w:t>Members also stressed that aside from actions to address things like targets, it was necessary to develop an inclusive culture with a common set of standards across the finance industry. This was increasingly seen not just as something for firm-by-firm choice, but a business necessity to remain relevant and competitive.</w:t>
            </w:r>
          </w:p>
          <w:p>
            <w:pPr>
              <w:pStyle w:val="TableParagraph"/>
              <w:spacing w:before="11"/>
              <w:rPr>
                <w:i/>
                <w:sz w:val="19"/>
              </w:rPr>
            </w:pPr>
          </w:p>
          <w:p>
            <w:pPr>
              <w:pStyle w:val="TableParagraph"/>
              <w:ind w:left="213" w:right="625"/>
              <w:rPr>
                <w:sz w:val="20"/>
              </w:rPr>
            </w:pPr>
            <w:r>
              <w:rPr>
                <w:sz w:val="20"/>
              </w:rPr>
              <w:t>The Bank agreed to circulate information on mentoring programmes with committee members.</w:t>
            </w:r>
          </w:p>
          <w:p>
            <w:pPr>
              <w:pStyle w:val="TableParagraph"/>
              <w:spacing w:before="10"/>
              <w:rPr>
                <w:i/>
                <w:sz w:val="19"/>
              </w:rPr>
            </w:pPr>
          </w:p>
          <w:p>
            <w:pPr>
              <w:pStyle w:val="TableParagraph"/>
              <w:ind w:left="213"/>
              <w:rPr>
                <w:sz w:val="20"/>
              </w:rPr>
            </w:pPr>
            <w:r>
              <w:rPr>
                <w:sz w:val="20"/>
              </w:rPr>
              <w:t>The Chair welcomed the Committee’s rich discussion. D&amp;I would be a periodic item on</w:t>
            </w:r>
          </w:p>
          <w:p>
            <w:pPr>
              <w:pStyle w:val="TableParagraph"/>
              <w:spacing w:line="230" w:lineRule="atLeast" w:before="1"/>
              <w:ind w:left="213" w:right="180"/>
              <w:rPr>
                <w:sz w:val="20"/>
              </w:rPr>
            </w:pPr>
            <w:r>
              <w:rPr>
                <w:sz w:val="20"/>
              </w:rPr>
              <w:t>the Committee’s agenda, and would also be reflected in the forthcoming review of Terms of Reference.</w:t>
            </w:r>
          </w:p>
        </w:tc>
      </w:tr>
    </w:tbl>
    <w:p>
      <w:pPr>
        <w:pStyle w:val="BodyText"/>
        <w:rPr>
          <w:i/>
        </w:rPr>
      </w:pPr>
    </w:p>
    <w:p>
      <w:pPr>
        <w:pStyle w:val="BodyText"/>
        <w:spacing w:before="4"/>
        <w:rPr>
          <w:i/>
          <w:sz w:val="2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7"/>
        <w:gridCol w:w="8352"/>
      </w:tblGrid>
      <w:tr>
        <w:trPr>
          <w:trHeight w:val="1862" w:hRule="atLeast"/>
        </w:trPr>
        <w:tc>
          <w:tcPr>
            <w:tcW w:w="1067" w:type="dxa"/>
          </w:tcPr>
          <w:p>
            <w:pPr>
              <w:pStyle w:val="TableParagraph"/>
              <w:spacing w:line="225" w:lineRule="exact"/>
              <w:ind w:left="200"/>
              <w:rPr>
                <w:b/>
                <w:sz w:val="20"/>
              </w:rPr>
            </w:pPr>
            <w:r>
              <w:rPr>
                <w:b/>
                <w:sz w:val="20"/>
              </w:rPr>
              <w:t>Item 2.</w:t>
            </w:r>
          </w:p>
        </w:tc>
        <w:tc>
          <w:tcPr>
            <w:tcW w:w="8352" w:type="dxa"/>
          </w:tcPr>
          <w:p>
            <w:pPr>
              <w:pStyle w:val="TableParagraph"/>
              <w:spacing w:line="247" w:lineRule="exact"/>
              <w:ind w:left="235"/>
              <w:rPr>
                <w:b/>
                <w:sz w:val="22"/>
              </w:rPr>
            </w:pPr>
            <w:r>
              <w:rPr>
                <w:b/>
                <w:sz w:val="22"/>
              </w:rPr>
              <w:t>Sterling Money Markets Data and analysis update</w:t>
            </w:r>
          </w:p>
          <w:p>
            <w:pPr>
              <w:pStyle w:val="TableParagraph"/>
              <w:spacing w:before="3"/>
              <w:rPr>
                <w:i/>
                <w:sz w:val="20"/>
              </w:rPr>
            </w:pPr>
          </w:p>
          <w:p>
            <w:pPr>
              <w:pStyle w:val="TableParagraph"/>
              <w:spacing w:before="1"/>
              <w:ind w:left="235"/>
              <w:rPr>
                <w:sz w:val="13"/>
              </w:rPr>
            </w:pPr>
            <w:r>
              <w:rPr>
                <w:sz w:val="20"/>
              </w:rPr>
              <w:t>The Bank provided a summary of results from Sterling Money Market Data (SMMD) collection and a recent survey of participants, as published on the Bank’s website.</w:t>
            </w:r>
            <w:r>
              <w:rPr>
                <w:position w:val="6"/>
                <w:sz w:val="13"/>
              </w:rPr>
              <w:t>1</w:t>
            </w:r>
          </w:p>
          <w:p>
            <w:pPr>
              <w:pStyle w:val="TableParagraph"/>
              <w:rPr>
                <w:i/>
                <w:sz w:val="20"/>
              </w:rPr>
            </w:pPr>
          </w:p>
          <w:p>
            <w:pPr>
              <w:pStyle w:val="TableParagraph"/>
              <w:spacing w:line="230" w:lineRule="atLeast" w:before="1"/>
              <w:ind w:left="235" w:right="181"/>
              <w:rPr>
                <w:sz w:val="20"/>
              </w:rPr>
            </w:pPr>
            <w:r>
              <w:rPr>
                <w:sz w:val="20"/>
              </w:rPr>
              <w:t>The Bank highlighted that a slight fall in the volume of transactions underlying the Sterling Overnight Index Average (SONIA) benchmark over the past year had begun to retrace in recent months, with a marginal decrease in the levels of borrower concentration.</w:t>
            </w:r>
          </w:p>
        </w:tc>
      </w:tr>
    </w:tbl>
    <w:p>
      <w:pPr>
        <w:pStyle w:val="BodyText"/>
        <w:spacing w:before="6"/>
        <w:rPr>
          <w:i/>
          <w:sz w:val="27"/>
        </w:rPr>
      </w:pPr>
      <w:r>
        <w:rPr/>
        <w:pict>
          <v:shape style="position:absolute;margin-left:36pt;margin-top:18.049316pt;width:144.050pt;height:.1pt;mso-position-horizontal-relative:page;mso-position-vertical-relative:paragraph;z-index:-251653120;mso-wrap-distance-left:0;mso-wrap-distance-right:0" coordorigin="720,361" coordsize="2881,0" path="m720,361l3601,361e" filled="false" stroked="true" strokeweight=".48004pt" strokecolor="#000000">
            <v:path arrowok="t"/>
            <v:stroke dashstyle="solid"/>
            <w10:wrap type="topAndBottom"/>
          </v:shape>
        </w:pict>
      </w:r>
    </w:p>
    <w:p>
      <w:pPr>
        <w:pStyle w:val="BodyText"/>
        <w:spacing w:before="54"/>
        <w:ind w:left="260"/>
      </w:pPr>
      <w:r>
        <w:rPr>
          <w:position w:val="6"/>
          <w:sz w:val="13"/>
        </w:rPr>
        <w:t>1 </w:t>
      </w:r>
      <w:hyperlink r:id="rId21">
        <w:r>
          <w:rPr>
            <w:color w:val="0000FF"/>
            <w:u w:val="single" w:color="0000FF"/>
          </w:rPr>
          <w:t>https://www.bankofengland.co.uk/statistics/data-collection/sterling-money-markets</w:t>
        </w:r>
      </w:hyperlink>
    </w:p>
    <w:p>
      <w:pPr>
        <w:spacing w:after="0"/>
        <w:sectPr>
          <w:headerReference w:type="default" r:id="rId19"/>
          <w:footerReference w:type="default" r:id="rId20"/>
          <w:pgSz w:w="11910" w:h="16840"/>
          <w:pgMar w:header="573" w:footer="398" w:top="780" w:bottom="580" w:left="460" w:right="1680"/>
          <w:pgNumType w:start="2"/>
        </w:sectPr>
      </w:pPr>
    </w:p>
    <w:p>
      <w:pPr>
        <w:pStyle w:val="BodyText"/>
        <w:rPr>
          <w:sz w:val="2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7"/>
        <w:gridCol w:w="8376"/>
      </w:tblGrid>
      <w:tr>
        <w:trPr>
          <w:trHeight w:val="3122" w:hRule="atLeast"/>
        </w:trPr>
        <w:tc>
          <w:tcPr>
            <w:tcW w:w="1067" w:type="dxa"/>
          </w:tcPr>
          <w:p>
            <w:pPr>
              <w:pStyle w:val="TableParagraph"/>
              <w:rPr>
                <w:rFonts w:ascii="Times New Roman"/>
                <w:sz w:val="18"/>
              </w:rPr>
            </w:pPr>
          </w:p>
        </w:tc>
        <w:tc>
          <w:tcPr>
            <w:tcW w:w="8376" w:type="dxa"/>
          </w:tcPr>
          <w:p>
            <w:pPr>
              <w:pStyle w:val="TableParagraph"/>
              <w:ind w:left="235" w:right="339"/>
              <w:rPr>
                <w:sz w:val="20"/>
              </w:rPr>
            </w:pPr>
            <w:r>
              <w:rPr>
                <w:sz w:val="20"/>
              </w:rPr>
              <w:t>The data also showed the majority of unsecured market activity (based on average daily value of turnover) was still at the overnight maturity; whereas in secured markets, the difference in maturities was less marked.</w:t>
            </w:r>
          </w:p>
          <w:p>
            <w:pPr>
              <w:pStyle w:val="TableParagraph"/>
              <w:spacing w:before="3"/>
              <w:rPr>
                <w:sz w:val="19"/>
              </w:rPr>
            </w:pPr>
          </w:p>
          <w:p>
            <w:pPr>
              <w:pStyle w:val="TableParagraph"/>
              <w:spacing w:before="1"/>
              <w:ind w:left="235" w:right="250"/>
              <w:rPr>
                <w:sz w:val="20"/>
              </w:rPr>
            </w:pPr>
            <w:r>
              <w:rPr>
                <w:sz w:val="20"/>
              </w:rPr>
              <w:t>Members noted that the summary data reflected their experiences, including that conditions in secured markets were good, with sufficient capacity and diversity of counterparties. It was observed that some market participants had increased the maturity of their secured borrowing to extend past the Article 50 deadline.</w:t>
            </w:r>
          </w:p>
          <w:p>
            <w:pPr>
              <w:pStyle w:val="TableParagraph"/>
              <w:spacing w:before="11"/>
              <w:rPr>
                <w:sz w:val="19"/>
              </w:rPr>
            </w:pPr>
          </w:p>
          <w:p>
            <w:pPr>
              <w:pStyle w:val="TableParagraph"/>
              <w:ind w:left="235" w:right="282"/>
              <w:rPr>
                <w:sz w:val="20"/>
              </w:rPr>
            </w:pPr>
            <w:r>
              <w:rPr>
                <w:sz w:val="20"/>
              </w:rPr>
              <w:t>The Bank agreed to consider Committee members’ request for the Bank to publish aggregated data on participant type across secured and unsecured markets, so as to aid the Committee’s work in understanding participation and functioning of UK money markets.</w:t>
            </w:r>
          </w:p>
        </w:tc>
      </w:tr>
      <w:tr>
        <w:trPr>
          <w:trHeight w:val="8994" w:hRule="atLeast"/>
        </w:trPr>
        <w:tc>
          <w:tcPr>
            <w:tcW w:w="1067" w:type="dxa"/>
          </w:tcPr>
          <w:p>
            <w:pPr>
              <w:pStyle w:val="TableParagraph"/>
              <w:spacing w:before="132"/>
              <w:ind w:left="180" w:right="213"/>
              <w:jc w:val="center"/>
              <w:rPr>
                <w:b/>
                <w:sz w:val="20"/>
              </w:rPr>
            </w:pPr>
            <w:r>
              <w:rPr>
                <w:b/>
                <w:sz w:val="20"/>
              </w:rPr>
              <w:t>Item 3.</w:t>
            </w:r>
          </w:p>
        </w:tc>
        <w:tc>
          <w:tcPr>
            <w:tcW w:w="8376" w:type="dxa"/>
          </w:tcPr>
          <w:p>
            <w:pPr>
              <w:pStyle w:val="TableParagraph"/>
              <w:spacing w:before="132"/>
              <w:ind w:left="235"/>
              <w:rPr>
                <w:b/>
                <w:sz w:val="20"/>
              </w:rPr>
            </w:pPr>
            <w:r>
              <w:rPr>
                <w:b/>
                <w:sz w:val="20"/>
              </w:rPr>
              <w:t>Discussion on market conditions</w:t>
            </w:r>
          </w:p>
          <w:p>
            <w:pPr>
              <w:pStyle w:val="TableParagraph"/>
              <w:spacing w:before="3"/>
              <w:rPr>
                <w:sz w:val="20"/>
              </w:rPr>
            </w:pPr>
          </w:p>
          <w:p>
            <w:pPr>
              <w:pStyle w:val="TableParagraph"/>
              <w:ind w:left="299"/>
              <w:rPr>
                <w:sz w:val="20"/>
              </w:rPr>
            </w:pPr>
            <w:r>
              <w:rPr>
                <w:sz w:val="20"/>
              </w:rPr>
              <w:t>Members discussed market conditions and relevant financial market developments since the MMC’s last meeting.</w:t>
            </w:r>
          </w:p>
          <w:p>
            <w:pPr>
              <w:pStyle w:val="TableParagraph"/>
              <w:spacing w:before="1"/>
              <w:rPr>
                <w:sz w:val="20"/>
              </w:rPr>
            </w:pPr>
          </w:p>
          <w:p>
            <w:pPr>
              <w:pStyle w:val="TableParagraph"/>
              <w:ind w:left="299" w:right="339"/>
              <w:rPr>
                <w:sz w:val="20"/>
              </w:rPr>
            </w:pPr>
            <w:r>
              <w:rPr>
                <w:sz w:val="20"/>
              </w:rPr>
              <w:t>The impact of trade disputes on the global economy was discussed. Global PMIs had continued to fall throughout the summer, and the recently published UK manufacturing PMI for August had been below expectations. Measures of economic surprise had continued to follow the negative pattern observed since the start of the year. Equity volatility had been relatively stable, but fixed income volatility had increased sharply.</w:t>
            </w:r>
          </w:p>
          <w:p>
            <w:pPr>
              <w:pStyle w:val="TableParagraph"/>
              <w:spacing w:before="1"/>
              <w:rPr>
                <w:sz w:val="20"/>
              </w:rPr>
            </w:pPr>
          </w:p>
          <w:p>
            <w:pPr>
              <w:pStyle w:val="TableParagraph"/>
              <w:ind w:left="299" w:right="104"/>
              <w:rPr>
                <w:sz w:val="20"/>
              </w:rPr>
            </w:pPr>
            <w:r>
              <w:rPr>
                <w:sz w:val="20"/>
              </w:rPr>
              <w:t>Since the last MMC the market-implied path for Bank Rate had fallen, against the backdrop of slowing global growth and a rise in market participants’ perceptions of the probability of a ”No-Deal” Brexit. As well as a sustained fall in yields across the curve, the UK yield curve between 2 and 10 years had inverted for the first time since the Global Financial Crisis (a move which had since unwound). A similar inversion had occurred in US Treasury yields.</w:t>
            </w:r>
          </w:p>
          <w:p>
            <w:pPr>
              <w:pStyle w:val="TableParagraph"/>
              <w:spacing w:before="10"/>
              <w:rPr>
                <w:sz w:val="19"/>
              </w:rPr>
            </w:pPr>
          </w:p>
          <w:p>
            <w:pPr>
              <w:pStyle w:val="TableParagraph"/>
              <w:ind w:left="299" w:right="212"/>
              <w:rPr>
                <w:sz w:val="20"/>
              </w:rPr>
            </w:pPr>
            <w:r>
              <w:rPr>
                <w:sz w:val="20"/>
              </w:rPr>
              <w:t>Despite significant political developments and volatility in government bond yields, it was observed that money market activity had remained robust: for instance, the 3-month repo-OIS spread had broadly remained within a 6bps range for most of this year. Sterling Libor-OIS had also remained fairly stable since the last MMC, in contrast to moves seen in the US.</w:t>
            </w:r>
          </w:p>
          <w:p>
            <w:pPr>
              <w:pStyle w:val="TableParagraph"/>
              <w:rPr>
                <w:sz w:val="20"/>
              </w:rPr>
            </w:pPr>
          </w:p>
          <w:p>
            <w:pPr>
              <w:pStyle w:val="TableParagraph"/>
              <w:ind w:left="299" w:right="297"/>
              <w:rPr>
                <w:sz w:val="20"/>
              </w:rPr>
            </w:pPr>
            <w:r>
              <w:rPr>
                <w:sz w:val="20"/>
              </w:rPr>
              <w:t>Members noted the increased demand for safe-haven assets (for example the price of gold had increased almost 17% since the last meeting), and noted that as investors had continuing operational needs to hold sterling-denominated assets, there had not been a significant increase in outflows from sterling money market funds. Committee members also discussed the effective lower bound for monetary policy and the extent to which political developments could impact maturities at which counterparties transacted, given the flatness of the yield curve.</w:t>
            </w:r>
          </w:p>
          <w:p>
            <w:pPr>
              <w:pStyle w:val="TableParagraph"/>
              <w:spacing w:before="1"/>
              <w:rPr>
                <w:sz w:val="20"/>
              </w:rPr>
            </w:pPr>
          </w:p>
          <w:p>
            <w:pPr>
              <w:pStyle w:val="TableParagraph"/>
              <w:ind w:left="299" w:right="231"/>
              <w:rPr>
                <w:sz w:val="20"/>
              </w:rPr>
            </w:pPr>
            <w:r>
              <w:rPr>
                <w:sz w:val="20"/>
              </w:rPr>
              <w:t>Bank of England operations were also discussed. The Bank noted that the total stock outstanding of Indexed Long Term Repo (ILTR) drawings was at a broadly historical average level. There had been a very small amount of usage of the USD repo operation (£10mn on 21 August) and the LiFE euro facility (£10mn on 21 August). The Chair noted that the Bank would shortly be inviting counterparties to test these facilities, and would provide further details to SMF participants in due course. Members welcomed that news.</w:t>
            </w:r>
          </w:p>
        </w:tc>
      </w:tr>
      <w:tr>
        <w:trPr>
          <w:trHeight w:val="2872" w:hRule="atLeast"/>
        </w:trPr>
        <w:tc>
          <w:tcPr>
            <w:tcW w:w="1067" w:type="dxa"/>
          </w:tcPr>
          <w:p>
            <w:pPr>
              <w:pStyle w:val="TableParagraph"/>
              <w:spacing w:before="111"/>
              <w:ind w:left="180" w:right="213"/>
              <w:jc w:val="center"/>
              <w:rPr>
                <w:b/>
                <w:sz w:val="20"/>
              </w:rPr>
            </w:pPr>
            <w:r>
              <w:rPr>
                <w:b/>
                <w:sz w:val="20"/>
              </w:rPr>
              <w:t>Item 4.</w:t>
            </w:r>
          </w:p>
        </w:tc>
        <w:tc>
          <w:tcPr>
            <w:tcW w:w="8376" w:type="dxa"/>
          </w:tcPr>
          <w:p>
            <w:pPr>
              <w:pStyle w:val="TableParagraph"/>
              <w:spacing w:before="111"/>
              <w:ind w:left="235"/>
              <w:rPr>
                <w:b/>
                <w:sz w:val="20"/>
              </w:rPr>
            </w:pPr>
            <w:r>
              <w:rPr>
                <w:b/>
                <w:sz w:val="20"/>
              </w:rPr>
              <w:t>Update from current money market themes discussion</w:t>
            </w:r>
            <w:r>
              <w:rPr>
                <w:b/>
                <w:spacing w:val="-20"/>
                <w:sz w:val="20"/>
              </w:rPr>
              <w:t> </w:t>
            </w:r>
            <w:r>
              <w:rPr>
                <w:b/>
                <w:sz w:val="20"/>
              </w:rPr>
              <w:t>groups</w:t>
            </w:r>
          </w:p>
          <w:p>
            <w:pPr>
              <w:pStyle w:val="TableParagraph"/>
              <w:rPr>
                <w:sz w:val="20"/>
              </w:rPr>
            </w:pPr>
          </w:p>
          <w:p>
            <w:pPr>
              <w:pStyle w:val="TableParagraph"/>
              <w:ind w:left="299" w:right="339"/>
              <w:rPr>
                <w:sz w:val="20"/>
              </w:rPr>
            </w:pPr>
            <w:r>
              <w:rPr>
                <w:sz w:val="20"/>
              </w:rPr>
              <w:t>Further to the agreement at the last meeting that members would work together to produce a stock take of high level trends and changes in UK money markets over</w:t>
            </w:r>
            <w:r>
              <w:rPr>
                <w:spacing w:val="-25"/>
                <w:sz w:val="20"/>
              </w:rPr>
              <w:t> </w:t>
            </w:r>
            <w:r>
              <w:rPr>
                <w:sz w:val="20"/>
              </w:rPr>
              <w:t>the past three years, members provided an update on progress so</w:t>
            </w:r>
            <w:r>
              <w:rPr>
                <w:spacing w:val="-10"/>
                <w:sz w:val="20"/>
              </w:rPr>
              <w:t> </w:t>
            </w:r>
            <w:r>
              <w:rPr>
                <w:sz w:val="20"/>
              </w:rPr>
              <w:t>far.</w:t>
            </w:r>
          </w:p>
          <w:p>
            <w:pPr>
              <w:pStyle w:val="TableParagraph"/>
              <w:spacing w:before="2"/>
              <w:rPr>
                <w:sz w:val="20"/>
              </w:rPr>
            </w:pPr>
          </w:p>
          <w:p>
            <w:pPr>
              <w:pStyle w:val="TableParagraph"/>
              <w:ind w:left="299" w:right="697"/>
              <w:rPr>
                <w:sz w:val="20"/>
              </w:rPr>
            </w:pPr>
            <w:r>
              <w:rPr>
                <w:sz w:val="20"/>
              </w:rPr>
              <w:t>Since the last meeting three groups had been formed, with designated co-chairs, to cover the themes of: technology and innovation; participation and functioning; and impacts of regulatory reform.</w:t>
            </w:r>
          </w:p>
          <w:p>
            <w:pPr>
              <w:pStyle w:val="TableParagraph"/>
              <w:spacing w:before="11"/>
              <w:rPr>
                <w:sz w:val="19"/>
              </w:rPr>
            </w:pPr>
          </w:p>
          <w:p>
            <w:pPr>
              <w:pStyle w:val="TableParagraph"/>
              <w:spacing w:line="230" w:lineRule="atLeast"/>
              <w:ind w:left="299" w:right="563"/>
              <w:rPr>
                <w:sz w:val="20"/>
              </w:rPr>
            </w:pPr>
            <w:r>
              <w:rPr>
                <w:sz w:val="20"/>
              </w:rPr>
              <w:t>The groups’ co-chairs provided an update to the committee following their inaugural meetings, outlining the scope of their considerations. As there had been some cross-</w:t>
            </w:r>
          </w:p>
        </w:tc>
      </w:tr>
    </w:tbl>
    <w:p>
      <w:pPr>
        <w:spacing w:after="0" w:line="230" w:lineRule="atLeast"/>
        <w:rPr>
          <w:sz w:val="20"/>
        </w:rPr>
        <w:sectPr>
          <w:headerReference w:type="default" r:id="rId22"/>
          <w:footerReference w:type="default" r:id="rId23"/>
          <w:pgSz w:w="11910" w:h="16840"/>
          <w:pgMar w:header="573" w:footer="398" w:top="780" w:bottom="580" w:left="460" w:right="1680"/>
          <w:pgNumType w:start="3"/>
        </w:sectPr>
      </w:pPr>
    </w:p>
    <w:p>
      <w:pPr>
        <w:pStyle w:val="BodyText"/>
        <w:spacing w:before="27"/>
        <w:ind w:left="1470" w:right="564"/>
      </w:pPr>
      <w:r>
        <w:rPr/>
        <w:t>cutting issues across the discussion groups it was agreed that the secretariat would co- ordinate in order to ensure an efficient stock-take.</w:t>
      </w:r>
    </w:p>
    <w:p>
      <w:pPr>
        <w:pStyle w:val="BodyText"/>
        <w:spacing w:before="10"/>
        <w:rPr>
          <w:sz w:val="19"/>
        </w:rPr>
      </w:pPr>
    </w:p>
    <w:p>
      <w:pPr>
        <w:pStyle w:val="BodyText"/>
        <w:ind w:left="1470" w:right="698"/>
      </w:pPr>
      <w:r>
        <w:rPr/>
        <w:t>It was confirmed that the groups would present a final summary of their findings at the December MMC. The aim of the groups’ work, as outlined at the last meeting, was to provide a high level overview that would inform the review of the Code by the sub- committee next year, and help shape the MMC’s forward agenda, outlining topics for future discussion.</w:t>
      </w:r>
    </w:p>
    <w:p>
      <w:pPr>
        <w:pStyle w:val="BodyText"/>
      </w:pPr>
    </w:p>
    <w:p>
      <w:pPr>
        <w:pStyle w:val="BodyText"/>
        <w:spacing w:before="6"/>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8126"/>
      </w:tblGrid>
      <w:tr>
        <w:trPr>
          <w:trHeight w:val="916" w:hRule="atLeast"/>
        </w:trPr>
        <w:tc>
          <w:tcPr>
            <w:tcW w:w="1045" w:type="dxa"/>
          </w:tcPr>
          <w:p>
            <w:pPr>
              <w:pStyle w:val="TableParagraph"/>
              <w:spacing w:line="223" w:lineRule="exact"/>
              <w:ind w:left="200"/>
              <w:rPr>
                <w:b/>
                <w:sz w:val="20"/>
              </w:rPr>
            </w:pPr>
            <w:r>
              <w:rPr>
                <w:b/>
                <w:sz w:val="20"/>
              </w:rPr>
              <w:t>Item 5.</w:t>
            </w:r>
          </w:p>
        </w:tc>
        <w:tc>
          <w:tcPr>
            <w:tcW w:w="8126" w:type="dxa"/>
          </w:tcPr>
          <w:p>
            <w:pPr>
              <w:pStyle w:val="TableParagraph"/>
              <w:spacing w:line="223" w:lineRule="exact"/>
              <w:ind w:left="213"/>
              <w:rPr>
                <w:b/>
                <w:sz w:val="20"/>
              </w:rPr>
            </w:pPr>
            <w:r>
              <w:rPr>
                <w:b/>
                <w:sz w:val="20"/>
              </w:rPr>
              <w:t>AOB</w:t>
            </w:r>
          </w:p>
          <w:p>
            <w:pPr>
              <w:pStyle w:val="TableParagraph"/>
              <w:spacing w:before="3"/>
              <w:rPr>
                <w:sz w:val="20"/>
              </w:rPr>
            </w:pPr>
          </w:p>
          <w:p>
            <w:pPr>
              <w:pStyle w:val="TableParagraph"/>
              <w:spacing w:line="230" w:lineRule="atLeast"/>
              <w:ind w:left="321" w:right="180"/>
              <w:rPr>
                <w:sz w:val="20"/>
              </w:rPr>
            </w:pPr>
            <w:r>
              <w:rPr>
                <w:sz w:val="20"/>
              </w:rPr>
              <w:t>The Chair said that the next meeting would be rescheduled to take place on or around 13 December.</w:t>
            </w:r>
          </w:p>
        </w:tc>
      </w:tr>
    </w:tbl>
    <w:sectPr>
      <w:headerReference w:type="default" r:id="rId24"/>
      <w:footerReference w:type="default" r:id="rId25"/>
      <w:pgSz w:w="11910" w:h="16840"/>
      <w:pgMar w:header="573" w:footer="398" w:top="780" w:bottom="580" w:left="460" w:right="1680"/>
      <w:pgNumType w:start="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2.919983pt;margin-top:810.999451pt;width:7.55pt;height:13.15pt;mso-position-horizontal-relative:page;mso-position-vertical-relative:page;z-index:-252183552" type="#_x0000_t202" filled="false" stroked="false">
          <v:textbox inset="0,0,0,0">
            <w:txbxContent>
              <w:p>
                <w:pPr>
                  <w:pStyle w:val="BodyText"/>
                  <w:spacing w:before="12"/>
                  <w:ind w:left="20"/>
                </w:pPr>
                <w:r>
                  <w:rPr>
                    <w:w w:val="99"/>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2.919983pt;margin-top:810.999451pt;width:7.55pt;height:13.15pt;mso-position-horizontal-relative:page;mso-position-vertical-relative:page;z-index:-252181504" type="#_x0000_t202" filled="false" stroked="false">
          <v:textbox inset="0,0,0,0">
            <w:txbxContent>
              <w:p>
                <w:pPr>
                  <w:pStyle w:val="BodyText"/>
                  <w:spacing w:before="12"/>
                  <w:ind w:left="20"/>
                </w:pPr>
                <w:r>
                  <w:rPr>
                    <w:w w:val="99"/>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2.919983pt;margin-top:810.999451pt;width:7.55pt;height:13.15pt;mso-position-horizontal-relative:page;mso-position-vertical-relative:page;z-index:-252179456" type="#_x0000_t202" filled="false" stroked="false">
          <v:textbox inset="0,0,0,0">
            <w:txbxContent>
              <w:p>
                <w:pPr>
                  <w:pStyle w:val="BodyText"/>
                  <w:spacing w:before="12"/>
                  <w:ind w:left="20"/>
                </w:pPr>
                <w:r>
                  <w:rPr>
                    <w:w w:val="99"/>
                  </w:rPr>
                  <w:t>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0.919983pt;margin-top:27.66346pt;width:11.55pt;height:13.15pt;mso-position-horizontal-relative:page;mso-position-vertical-relative:page;z-index:-252184576"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0.919983pt;margin-top:27.66346pt;width:11.55pt;height:13.15pt;mso-position-horizontal-relative:page;mso-position-vertical-relative:page;z-index:-252182528"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0.919983pt;margin-top:27.66346pt;width:11.55pt;height:13.15pt;mso-position-horizontal-relative:page;mso-position-vertical-relative:page;z-index:-252180480"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4</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33" w:hanging="360"/>
      </w:pPr>
      <w:rPr>
        <w:rFonts w:hint="default" w:ascii="Symbol" w:hAnsi="Symbol" w:eastAsia="Symbol" w:cs="Symbol"/>
        <w:w w:val="99"/>
        <w:sz w:val="20"/>
        <w:szCs w:val="20"/>
        <w:lang w:val="en-gb" w:eastAsia="en-gb" w:bidi="en-gb"/>
      </w:rPr>
    </w:lvl>
    <w:lvl w:ilvl="1">
      <w:start w:val="0"/>
      <w:numFmt w:val="bullet"/>
      <w:lvlText w:val="•"/>
      <w:lvlJc w:val="left"/>
      <w:pPr>
        <w:ind w:left="1671" w:hanging="360"/>
      </w:pPr>
      <w:rPr>
        <w:rFonts w:hint="default"/>
        <w:lang w:val="en-gb" w:eastAsia="en-gb" w:bidi="en-gb"/>
      </w:rPr>
    </w:lvl>
    <w:lvl w:ilvl="2">
      <w:start w:val="0"/>
      <w:numFmt w:val="bullet"/>
      <w:lvlText w:val="•"/>
      <w:lvlJc w:val="left"/>
      <w:pPr>
        <w:ind w:left="2402" w:hanging="360"/>
      </w:pPr>
      <w:rPr>
        <w:rFonts w:hint="default"/>
        <w:lang w:val="en-gb" w:eastAsia="en-gb" w:bidi="en-gb"/>
      </w:rPr>
    </w:lvl>
    <w:lvl w:ilvl="3">
      <w:start w:val="0"/>
      <w:numFmt w:val="bullet"/>
      <w:lvlText w:val="•"/>
      <w:lvlJc w:val="left"/>
      <w:pPr>
        <w:ind w:left="3133" w:hanging="360"/>
      </w:pPr>
      <w:rPr>
        <w:rFonts w:hint="default"/>
        <w:lang w:val="en-gb" w:eastAsia="en-gb" w:bidi="en-gb"/>
      </w:rPr>
    </w:lvl>
    <w:lvl w:ilvl="4">
      <w:start w:val="0"/>
      <w:numFmt w:val="bullet"/>
      <w:lvlText w:val="•"/>
      <w:lvlJc w:val="left"/>
      <w:pPr>
        <w:ind w:left="3864" w:hanging="360"/>
      </w:pPr>
      <w:rPr>
        <w:rFonts w:hint="default"/>
        <w:lang w:val="en-gb" w:eastAsia="en-gb" w:bidi="en-gb"/>
      </w:rPr>
    </w:lvl>
    <w:lvl w:ilvl="5">
      <w:start w:val="0"/>
      <w:numFmt w:val="bullet"/>
      <w:lvlText w:val="•"/>
      <w:lvlJc w:val="left"/>
      <w:pPr>
        <w:ind w:left="4595" w:hanging="360"/>
      </w:pPr>
      <w:rPr>
        <w:rFonts w:hint="default"/>
        <w:lang w:val="en-gb" w:eastAsia="en-gb" w:bidi="en-gb"/>
      </w:rPr>
    </w:lvl>
    <w:lvl w:ilvl="6">
      <w:start w:val="0"/>
      <w:numFmt w:val="bullet"/>
      <w:lvlText w:val="•"/>
      <w:lvlJc w:val="left"/>
      <w:pPr>
        <w:ind w:left="5326" w:hanging="360"/>
      </w:pPr>
      <w:rPr>
        <w:rFonts w:hint="default"/>
        <w:lang w:val="en-gb" w:eastAsia="en-gb" w:bidi="en-gb"/>
      </w:rPr>
    </w:lvl>
    <w:lvl w:ilvl="7">
      <w:start w:val="0"/>
      <w:numFmt w:val="bullet"/>
      <w:lvlText w:val="•"/>
      <w:lvlJc w:val="left"/>
      <w:pPr>
        <w:ind w:left="6057" w:hanging="360"/>
      </w:pPr>
      <w:rPr>
        <w:rFonts w:hint="default"/>
        <w:lang w:val="en-gb" w:eastAsia="en-gb" w:bidi="en-gb"/>
      </w:rPr>
    </w:lvl>
    <w:lvl w:ilvl="8">
      <w:start w:val="0"/>
      <w:numFmt w:val="bullet"/>
      <w:lvlText w:val="•"/>
      <w:lvlJc w:val="left"/>
      <w:pPr>
        <w:ind w:left="6788"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39"/>
      <w:ind w:left="411"/>
      <w:outlineLvl w:val="1"/>
    </w:pPr>
    <w:rPr>
      <w:rFonts w:ascii="Arial" w:hAnsi="Arial" w:eastAsia="Arial" w:cs="Arial"/>
      <w:sz w:val="22"/>
      <w:szCs w:val="22"/>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hyperlink" Target="https://www.bankofengland.co.uk/statistics/data-collection/sterling-money-markets" TargetMode="Externa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Money Markets Commitee meeting - September 2019</dc:title>
  <dcterms:created xsi:type="dcterms:W3CDTF">2020-06-01T02:00:32Z</dcterms:created>
  <dcterms:modified xsi:type="dcterms:W3CDTF">2020-06-01T02:00:32Z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2019-10-23T00:00:00Z</vt:filetime>
  </property>
  <property fmtid="{D5CDD505-2E9C-101B-9397-08002B2CF9AE}" pid="3" name="LastSaved">
    <vt:filetime>2020-06-01T00:00:00Z</vt:filetime>
  </property>
</Properties>
</file>