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285" w:val="left" w:leader="none"/>
          <w:tab w:pos="7080" w:val="left" w:leader="none"/>
        </w:tabs>
        <w:spacing w:line="240" w:lineRule="auto"/>
        <w:ind w:left="329" w:right="0" w:firstLine="0"/>
        <w:rPr>
          <w:rFonts w:ascii="Times New Roman"/>
          <w:sz w:val="20"/>
        </w:rPr>
      </w:pPr>
      <w:r>
        <w:rPr>
          <w:rFonts w:ascii="Times New Roman"/>
          <w:position w:val="80"/>
          <w:sz w:val="20"/>
        </w:rPr>
        <w:drawing>
          <wp:inline distT="0" distB="0" distL="0" distR="0">
            <wp:extent cx="465795"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5795" cy="471487"/>
                    </a:xfrm>
                    <a:prstGeom prst="rect">
                      <a:avLst/>
                    </a:prstGeom>
                  </pic:spPr>
                </pic:pic>
              </a:graphicData>
            </a:graphic>
          </wp:inline>
        </w:drawing>
      </w:r>
      <w:r>
        <w:rPr>
          <w:rFonts w:ascii="Times New Roman"/>
          <w:position w:val="80"/>
          <w:sz w:val="20"/>
        </w:rPr>
      </w:r>
      <w:r>
        <w:rPr>
          <w:rFonts w:ascii="Times New Roman"/>
          <w:position w:val="80"/>
          <w:sz w:val="20"/>
        </w:rPr>
        <w:tab/>
      </w:r>
      <w:r>
        <w:rPr>
          <w:rFonts w:ascii="Times New Roman"/>
          <w:position w:val="107"/>
          <w:sz w:val="20"/>
        </w:rPr>
        <w:pict>
          <v:group style="width:28.3pt;height:9.9pt;mso-position-horizontal-relative:char;mso-position-vertical-relative:line" coordorigin="0,0" coordsize="566,198">
            <v:shape style="position:absolute;left:0;top:0;width:126;height:197" type="#_x0000_t75" stroked="false">
              <v:imagedata r:id="rId6" o:title=""/>
            </v:shape>
            <v:shape style="position:absolute;left:167;top:0;width:175;height:198" type="#_x0000_t75" stroked="false">
              <v:imagedata r:id="rId7" o:title=""/>
            </v:shape>
            <v:shape style="position:absolute;left:394;top:0;width:171;height:197" type="#_x0000_t75" stroked="false">
              <v:imagedata r:id="rId8" o:title=""/>
            </v:shape>
          </v:group>
        </w:pict>
      </w:r>
      <w:r>
        <w:rPr>
          <w:rFonts w:ascii="Times New Roman"/>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88933"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88933" cy="123825"/>
                    </a:xfrm>
                    <a:prstGeom prst="rect">
                      <a:avLst/>
                    </a:prstGeom>
                  </pic:spPr>
                </pic:pic>
              </a:graphicData>
            </a:graphic>
          </wp:inline>
        </w:drawing>
      </w:r>
      <w:r>
        <w:rPr>
          <w:rFonts w:ascii="Times New Roman"/>
          <w:spacing w:val="15"/>
          <w:position w:val="107"/>
          <w:sz w:val="20"/>
        </w:rPr>
      </w:r>
      <w:r>
        <w:rPr>
          <w:rFonts w:ascii="Times New Roman"/>
          <w:spacing w:val="66"/>
          <w:position w:val="107"/>
          <w:sz w:val="20"/>
        </w:rPr>
        <w:t> </w:t>
      </w:r>
      <w:r>
        <w:rPr>
          <w:rFonts w:ascii="Times New Roman"/>
          <w:spacing w:val="66"/>
          <w:position w:val="107"/>
          <w:sz w:val="20"/>
        </w:rPr>
        <w:pict>
          <v:group style="width:18.55pt;height:10.1pt;mso-position-horizontal-relative:char;mso-position-vertical-relative:line" coordorigin="0,0" coordsize="371,202">
            <v:shape style="position:absolute;left:0;top:0;width:194;height:202" type="#_x0000_t75" stroked="false">
              <v:imagedata r:id="rId10" o:title=""/>
            </v:shape>
            <v:shape style="position:absolute;left:258;top:1;width:113;height:197" type="#_x0000_t75" stroked="false">
              <v:imagedata r:id="rId11" o:title=""/>
            </v:shape>
          </v:group>
        </w:pict>
      </w:r>
      <w:r>
        <w:rPr>
          <w:rFonts w:ascii="Times New Roman"/>
          <w:spacing w:val="66"/>
          <w:position w:val="107"/>
          <w:sz w:val="20"/>
        </w:rPr>
      </w:r>
      <w:r>
        <w:rPr>
          <w:rFonts w:ascii="Times New Roman"/>
          <w:spacing w:val="80"/>
          <w:position w:val="107"/>
          <w:sz w:val="20"/>
        </w:rPr>
        <w:t> </w:t>
      </w:r>
      <w:r>
        <w:rPr>
          <w:rFonts w:ascii="Times New Roman"/>
          <w:spacing w:val="80"/>
          <w:position w:val="107"/>
          <w:sz w:val="20"/>
        </w:rPr>
        <w:pict>
          <v:group style="width:29.4pt;height:10.1pt;mso-position-horizontal-relative:char;mso-position-vertical-relative:line" coordorigin="0,0" coordsize="588,202">
            <v:shape style="position:absolute;left:184;top:1;width:171;height:197" type="#_x0000_t75" stroked="false">
              <v:imagedata r:id="rId12" o:title=""/>
            </v:shape>
            <v:shape style="position:absolute;left:0;top:1;width:119;height:197" type="#_x0000_t75" stroked="false">
              <v:imagedata r:id="rId13" o:title=""/>
            </v:shape>
            <v:shape style="position:absolute;left:418;top:0;width:169;height:202" type="#_x0000_t75" stroked="false">
              <v:imagedata r:id="rId14" o:title=""/>
            </v:shape>
          </v:group>
        </w:pict>
      </w:r>
      <w:r>
        <w:rPr>
          <w:rFonts w:ascii="Times New Roman"/>
          <w:spacing w:val="80"/>
          <w:position w:val="107"/>
          <w:sz w:val="20"/>
        </w:rPr>
      </w:r>
      <w:r>
        <w:rPr>
          <w:rFonts w:ascii="Times New Roman"/>
          <w:spacing w:val="13"/>
          <w:position w:val="107"/>
          <w:sz w:val="19"/>
        </w:rPr>
        <w:t> </w:t>
      </w:r>
      <w:r>
        <w:rPr>
          <w:rFonts w:ascii="Times New Roman"/>
          <w:spacing w:val="13"/>
          <w:position w:val="107"/>
          <w:sz w:val="20"/>
        </w:rPr>
        <w:pict>
          <v:group style="width:26.65pt;height:9.9pt;mso-position-horizontal-relative:char;mso-position-vertical-relative:line" coordorigin="0,0" coordsize="533,198">
            <v:shape style="position:absolute;left:0;top:0;width:101;height:197" type="#_x0000_t75" stroked="false">
              <v:imagedata r:id="rId15" o:title=""/>
            </v:shape>
            <v:shape style="position:absolute;left:134;top:0;width:175;height:198" type="#_x0000_t75" stroked="false">
              <v:imagedata r:id="rId16" o:title=""/>
            </v:shape>
            <v:shape style="position:absolute;left:361;top:0;width:171;height:197" type="#_x0000_t75" stroked="false">
              <v:imagedata r:id="rId17" o:title=""/>
            </v:shape>
          </v:group>
        </w:pict>
      </w:r>
      <w:r>
        <w:rPr>
          <w:rFonts w:ascii="Times New Roman"/>
          <w:spacing w:val="13"/>
          <w:position w:val="107"/>
          <w:sz w:val="20"/>
        </w:rPr>
      </w:r>
      <w:r>
        <w:rPr>
          <w:rFonts w:ascii="Times New Roman"/>
          <w:spacing w:val="15"/>
          <w:position w:val="107"/>
          <w:sz w:val="19"/>
        </w:rPr>
        <w:t> </w:t>
      </w:r>
      <w:r>
        <w:rPr>
          <w:rFonts w:ascii="Times New Roman"/>
          <w:spacing w:val="15"/>
          <w:position w:val="107"/>
          <w:sz w:val="20"/>
        </w:rPr>
        <w:drawing>
          <wp:inline distT="0" distB="0" distL="0" distR="0">
            <wp:extent cx="101368" cy="12382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8" cstate="print"/>
                    <a:stretch>
                      <a:fillRect/>
                    </a:stretch>
                  </pic:blipFill>
                  <pic:spPr>
                    <a:xfrm>
                      <a:off x="0" y="0"/>
                      <a:ext cx="101368" cy="123825"/>
                    </a:xfrm>
                    <a:prstGeom prst="rect">
                      <a:avLst/>
                    </a:prstGeom>
                  </pic:spPr>
                </pic:pic>
              </a:graphicData>
            </a:graphic>
          </wp:inline>
        </w:drawing>
      </w:r>
      <w:r>
        <w:rPr>
          <w:rFonts w:ascii="Times New Roman"/>
          <w:spacing w:val="15"/>
          <w:position w:val="107"/>
          <w:sz w:val="20"/>
        </w:rPr>
      </w:r>
      <w:r>
        <w:rPr>
          <w:rFonts w:ascii="Times New Roman"/>
          <w:spacing w:val="15"/>
          <w:position w:val="107"/>
          <w:sz w:val="20"/>
        </w:rPr>
        <w:tab/>
      </w:r>
      <w:r>
        <w:rPr>
          <w:rFonts w:ascii="Times New Roman"/>
          <w:spacing w:val="15"/>
          <w:sz w:val="20"/>
        </w:rPr>
        <w:drawing>
          <wp:inline distT="0" distB="0" distL="0" distR="0">
            <wp:extent cx="1789828" cy="1043558"/>
            <wp:effectExtent l="0" t="0" r="0" b="0"/>
            <wp:docPr id="7" name="image15.jpeg"/>
            <wp:cNvGraphicFramePr>
              <a:graphicFrameLocks noChangeAspect="1"/>
            </wp:cNvGraphicFramePr>
            <a:graphic>
              <a:graphicData uri="http://schemas.openxmlformats.org/drawingml/2006/picture">
                <pic:pic>
                  <pic:nvPicPr>
                    <pic:cNvPr id="8" name="image15.jpeg"/>
                    <pic:cNvPicPr/>
                  </pic:nvPicPr>
                  <pic:blipFill>
                    <a:blip r:embed="rId19" cstate="print"/>
                    <a:stretch>
                      <a:fillRect/>
                    </a:stretch>
                  </pic:blipFill>
                  <pic:spPr>
                    <a:xfrm>
                      <a:off x="0" y="0"/>
                      <a:ext cx="1789828" cy="1043558"/>
                    </a:xfrm>
                    <a:prstGeom prst="rect">
                      <a:avLst/>
                    </a:prstGeom>
                  </pic:spPr>
                </pic:pic>
              </a:graphicData>
            </a:graphic>
          </wp:inline>
        </w:drawing>
      </w:r>
      <w:r>
        <w:rPr>
          <w:rFonts w:ascii="Times New Roman"/>
          <w:spacing w:val="15"/>
          <w:sz w:val="20"/>
        </w:rPr>
      </w:r>
    </w:p>
    <w:p>
      <w:pPr>
        <w:pStyle w:val="BodyText"/>
        <w:rPr>
          <w:rFonts w:ascii="Times New Roman"/>
          <w:sz w:val="20"/>
        </w:rPr>
      </w:pPr>
    </w:p>
    <w:p>
      <w:pPr>
        <w:pStyle w:val="BodyText"/>
        <w:spacing w:before="6"/>
        <w:rPr>
          <w:rFonts w:ascii="Times New Roman"/>
          <w:sz w:val="15"/>
        </w:rPr>
      </w:pPr>
    </w:p>
    <w:tbl>
      <w:tblPr>
        <w:tblW w:w="0" w:type="auto"/>
        <w:jc w:val="left"/>
        <w:tblInd w:w="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
        <w:gridCol w:w="8687"/>
      </w:tblGrid>
      <w:tr>
        <w:trPr>
          <w:trHeight w:val="665" w:hRule="atLeast"/>
        </w:trPr>
        <w:tc>
          <w:tcPr>
            <w:tcW w:w="9654" w:type="dxa"/>
            <w:gridSpan w:val="2"/>
          </w:tcPr>
          <w:p>
            <w:pPr>
              <w:pStyle w:val="TableParagraph"/>
              <w:spacing w:line="491" w:lineRule="exact"/>
              <w:ind w:left="2"/>
              <w:rPr>
                <w:sz w:val="44"/>
              </w:rPr>
            </w:pPr>
            <w:r>
              <w:rPr>
                <w:sz w:val="44"/>
              </w:rPr>
              <w:t>Minutes</w:t>
            </w:r>
          </w:p>
        </w:tc>
      </w:tr>
      <w:tr>
        <w:trPr>
          <w:trHeight w:val="579" w:hRule="atLeast"/>
        </w:trPr>
        <w:tc>
          <w:tcPr>
            <w:tcW w:w="9654" w:type="dxa"/>
            <w:gridSpan w:val="2"/>
          </w:tcPr>
          <w:p>
            <w:pPr>
              <w:pStyle w:val="TableParagraph"/>
              <w:spacing w:before="163"/>
              <w:ind w:left="2"/>
              <w:rPr>
                <w:b/>
                <w:sz w:val="32"/>
              </w:rPr>
            </w:pPr>
            <w:r>
              <w:rPr>
                <w:b/>
                <w:sz w:val="32"/>
              </w:rPr>
              <w:t>Money Markets Committee</w:t>
            </w:r>
          </w:p>
        </w:tc>
      </w:tr>
      <w:tr>
        <w:trPr>
          <w:trHeight w:val="627" w:hRule="atLeast"/>
        </w:trPr>
        <w:tc>
          <w:tcPr>
            <w:tcW w:w="9654" w:type="dxa"/>
            <w:gridSpan w:val="2"/>
            <w:tcBorders>
              <w:bottom w:val="single" w:sz="4" w:space="0" w:color="000000"/>
            </w:tcBorders>
          </w:tcPr>
          <w:p>
            <w:pPr>
              <w:pStyle w:val="TableParagraph"/>
              <w:spacing w:before="79"/>
              <w:ind w:left="2"/>
              <w:rPr>
                <w:sz w:val="24"/>
              </w:rPr>
            </w:pPr>
            <w:r>
              <w:rPr>
                <w:sz w:val="24"/>
              </w:rPr>
              <w:t>14</w:t>
            </w:r>
            <w:r>
              <w:rPr>
                <w:sz w:val="24"/>
                <w:vertAlign w:val="superscript"/>
              </w:rPr>
              <w:t>th</w:t>
            </w:r>
            <w:r>
              <w:rPr>
                <w:sz w:val="24"/>
                <w:vertAlign w:val="baseline"/>
              </w:rPr>
              <w:t> December 2018</w:t>
            </w:r>
          </w:p>
        </w:tc>
      </w:tr>
      <w:tr>
        <w:trPr>
          <w:trHeight w:val="581" w:hRule="atLeast"/>
        </w:trPr>
        <w:tc>
          <w:tcPr>
            <w:tcW w:w="967" w:type="dxa"/>
            <w:tcBorders>
              <w:top w:val="single" w:sz="4" w:space="0" w:color="000000"/>
            </w:tcBorders>
          </w:tcPr>
          <w:p>
            <w:pPr>
              <w:pStyle w:val="TableParagraph"/>
              <w:spacing w:before="8"/>
              <w:rPr>
                <w:rFonts w:ascii="Times New Roman"/>
                <w:sz w:val="18"/>
              </w:rPr>
            </w:pPr>
          </w:p>
          <w:p>
            <w:pPr>
              <w:pStyle w:val="TableParagraph"/>
              <w:ind w:left="2"/>
              <w:rPr>
                <w:sz w:val="20"/>
              </w:rPr>
            </w:pPr>
            <w:r>
              <w:rPr>
                <w:sz w:val="20"/>
              </w:rPr>
              <w:t>Location:</w:t>
            </w:r>
          </w:p>
        </w:tc>
        <w:tc>
          <w:tcPr>
            <w:tcW w:w="8687" w:type="dxa"/>
            <w:tcBorders>
              <w:top w:val="single" w:sz="4" w:space="0" w:color="000000"/>
            </w:tcBorders>
          </w:tcPr>
          <w:p>
            <w:pPr>
              <w:pStyle w:val="TableParagraph"/>
              <w:spacing w:before="8"/>
              <w:rPr>
                <w:rFonts w:ascii="Times New Roman"/>
                <w:sz w:val="18"/>
              </w:rPr>
            </w:pPr>
          </w:p>
          <w:p>
            <w:pPr>
              <w:pStyle w:val="TableParagraph"/>
              <w:ind w:left="34"/>
              <w:rPr>
                <w:sz w:val="20"/>
              </w:rPr>
            </w:pPr>
            <w:r>
              <w:rPr>
                <w:sz w:val="20"/>
              </w:rPr>
              <w:t>Bank of England, 20 Moorgate</w:t>
            </w:r>
          </w:p>
        </w:tc>
      </w:tr>
      <w:tr>
        <w:trPr>
          <w:trHeight w:val="510" w:hRule="atLeast"/>
        </w:trPr>
        <w:tc>
          <w:tcPr>
            <w:tcW w:w="967" w:type="dxa"/>
          </w:tcPr>
          <w:p>
            <w:pPr>
              <w:pStyle w:val="TableParagraph"/>
              <w:spacing w:before="128"/>
              <w:ind w:left="2"/>
              <w:rPr>
                <w:sz w:val="20"/>
              </w:rPr>
            </w:pPr>
            <w:r>
              <w:rPr>
                <w:sz w:val="20"/>
              </w:rPr>
              <w:t>Attendees:</w:t>
            </w:r>
          </w:p>
        </w:tc>
        <w:tc>
          <w:tcPr>
            <w:tcW w:w="8687" w:type="dxa"/>
          </w:tcPr>
          <w:p>
            <w:pPr>
              <w:pStyle w:val="TableParagraph"/>
              <w:rPr>
                <w:rFonts w:ascii="Times New Roman"/>
                <w:sz w:val="20"/>
              </w:rPr>
            </w:pPr>
          </w:p>
        </w:tc>
      </w:tr>
      <w:tr>
        <w:trPr>
          <w:trHeight w:val="6541" w:hRule="atLeast"/>
        </w:trPr>
        <w:tc>
          <w:tcPr>
            <w:tcW w:w="967" w:type="dxa"/>
          </w:tcPr>
          <w:p>
            <w:pPr>
              <w:pStyle w:val="TableParagraph"/>
              <w:rPr>
                <w:rFonts w:ascii="Times New Roman"/>
                <w:sz w:val="20"/>
              </w:rPr>
            </w:pPr>
          </w:p>
        </w:tc>
        <w:tc>
          <w:tcPr>
            <w:tcW w:w="8687" w:type="dxa"/>
          </w:tcPr>
          <w:p>
            <w:pPr>
              <w:pStyle w:val="TableParagraph"/>
              <w:spacing w:before="144"/>
              <w:ind w:left="34" w:right="3853"/>
              <w:rPr>
                <w:sz w:val="20"/>
              </w:rPr>
            </w:pPr>
            <w:r>
              <w:rPr>
                <w:b/>
                <w:sz w:val="20"/>
              </w:rPr>
              <w:t>Aberdeen Standard Investments </w:t>
            </w:r>
            <w:r>
              <w:rPr>
                <w:sz w:val="20"/>
              </w:rPr>
              <w:t>Gordon Lowson </w:t>
            </w:r>
            <w:r>
              <w:rPr>
                <w:b/>
                <w:sz w:val="20"/>
              </w:rPr>
              <w:t>Association of Corporate Treasurers </w:t>
            </w:r>
            <w:r>
              <w:rPr>
                <w:sz w:val="20"/>
              </w:rPr>
              <w:t>Michelle Price </w:t>
            </w:r>
            <w:r>
              <w:rPr>
                <w:b/>
                <w:sz w:val="20"/>
              </w:rPr>
              <w:t>BAML </w:t>
            </w:r>
            <w:r>
              <w:rPr>
                <w:sz w:val="20"/>
              </w:rPr>
              <w:t>Cameron Dunn</w:t>
            </w:r>
          </w:p>
          <w:p>
            <w:pPr>
              <w:pStyle w:val="TableParagraph"/>
              <w:ind w:left="34" w:right="5820"/>
              <w:rPr>
                <w:sz w:val="20"/>
              </w:rPr>
            </w:pPr>
            <w:r>
              <w:rPr>
                <w:b/>
                <w:sz w:val="20"/>
              </w:rPr>
              <w:t>Barclays </w:t>
            </w:r>
            <w:r>
              <w:rPr>
                <w:sz w:val="20"/>
              </w:rPr>
              <w:t>Michael Manna </w:t>
            </w:r>
            <w:r>
              <w:rPr>
                <w:b/>
                <w:sz w:val="20"/>
              </w:rPr>
              <w:t>Blackrock </w:t>
            </w:r>
            <w:r>
              <w:rPr>
                <w:sz w:val="20"/>
              </w:rPr>
              <w:t>James Templeman </w:t>
            </w:r>
            <w:r>
              <w:rPr>
                <w:b/>
                <w:sz w:val="20"/>
              </w:rPr>
              <w:t>Credit Suisse </w:t>
            </w:r>
            <w:r>
              <w:rPr>
                <w:sz w:val="20"/>
              </w:rPr>
              <w:t>Romain Dumas </w:t>
            </w:r>
            <w:r>
              <w:rPr>
                <w:b/>
                <w:sz w:val="20"/>
              </w:rPr>
              <w:t>DMO (Observer) </w:t>
            </w:r>
            <w:r>
              <w:rPr>
                <w:sz w:val="20"/>
              </w:rPr>
              <w:t>Jessica Pulay </w:t>
            </w:r>
            <w:r>
              <w:rPr>
                <w:b/>
                <w:sz w:val="20"/>
              </w:rPr>
              <w:t>Euroclear </w:t>
            </w:r>
            <w:r>
              <w:rPr>
                <w:sz w:val="20"/>
              </w:rPr>
              <w:t>John Trundle</w:t>
            </w:r>
          </w:p>
          <w:p>
            <w:pPr>
              <w:pStyle w:val="TableParagraph"/>
              <w:spacing w:line="230" w:lineRule="exact"/>
              <w:ind w:left="34"/>
              <w:rPr>
                <w:sz w:val="20"/>
              </w:rPr>
            </w:pPr>
            <w:r>
              <w:rPr>
                <w:b/>
                <w:sz w:val="20"/>
              </w:rPr>
              <w:t>FCA (Observer) </w:t>
            </w:r>
            <w:r>
              <w:rPr>
                <w:sz w:val="20"/>
              </w:rPr>
              <w:t>Toby Williams*</w:t>
            </w:r>
          </w:p>
          <w:p>
            <w:pPr>
              <w:pStyle w:val="TableParagraph"/>
              <w:ind w:left="34"/>
              <w:rPr>
                <w:sz w:val="20"/>
              </w:rPr>
            </w:pPr>
            <w:r>
              <w:rPr>
                <w:b/>
                <w:sz w:val="20"/>
              </w:rPr>
              <w:t>HSBC </w:t>
            </w:r>
            <w:r>
              <w:rPr>
                <w:sz w:val="20"/>
              </w:rPr>
              <w:t>James Murphy</w:t>
            </w:r>
          </w:p>
          <w:p>
            <w:pPr>
              <w:pStyle w:val="TableParagraph"/>
              <w:ind w:left="34"/>
              <w:rPr>
                <w:sz w:val="20"/>
              </w:rPr>
            </w:pPr>
            <w:r>
              <w:rPr>
                <w:b/>
                <w:sz w:val="20"/>
              </w:rPr>
              <w:t>J.P. Morgan </w:t>
            </w:r>
            <w:r>
              <w:rPr>
                <w:sz w:val="20"/>
              </w:rPr>
              <w:t>Ben Challice</w:t>
            </w:r>
          </w:p>
          <w:p>
            <w:pPr>
              <w:pStyle w:val="TableParagraph"/>
              <w:ind w:left="34"/>
              <w:rPr>
                <w:sz w:val="20"/>
              </w:rPr>
            </w:pPr>
            <w:r>
              <w:rPr>
                <w:b/>
                <w:sz w:val="20"/>
              </w:rPr>
              <w:t>LCH </w:t>
            </w:r>
            <w:r>
              <w:rPr>
                <w:sz w:val="20"/>
              </w:rPr>
              <w:t>Paul Elkins</w:t>
            </w:r>
          </w:p>
          <w:p>
            <w:pPr>
              <w:pStyle w:val="TableParagraph"/>
              <w:spacing w:before="1"/>
              <w:ind w:left="34"/>
              <w:rPr>
                <w:sz w:val="20"/>
              </w:rPr>
            </w:pPr>
            <w:r>
              <w:rPr>
                <w:b/>
                <w:sz w:val="20"/>
              </w:rPr>
              <w:t>Lloyds </w:t>
            </w:r>
            <w:r>
              <w:rPr>
                <w:sz w:val="20"/>
              </w:rPr>
              <w:t>Ian Fox</w:t>
            </w:r>
          </w:p>
          <w:p>
            <w:pPr>
              <w:pStyle w:val="TableParagraph"/>
              <w:ind w:left="34" w:right="6063"/>
              <w:rPr>
                <w:sz w:val="20"/>
              </w:rPr>
            </w:pPr>
            <w:r>
              <w:rPr>
                <w:b/>
                <w:sz w:val="20"/>
              </w:rPr>
              <w:t>Mizuho </w:t>
            </w:r>
            <w:r>
              <w:rPr>
                <w:sz w:val="20"/>
              </w:rPr>
              <w:t>Robert Thurlow </w:t>
            </w:r>
            <w:r>
              <w:rPr>
                <w:b/>
                <w:sz w:val="20"/>
              </w:rPr>
              <w:t>Nationwide </w:t>
            </w:r>
            <w:r>
              <w:rPr>
                <w:sz w:val="20"/>
              </w:rPr>
              <w:t>Stephen </w:t>
            </w:r>
            <w:r>
              <w:rPr>
                <w:spacing w:val="-3"/>
                <w:sz w:val="20"/>
              </w:rPr>
              <w:t>Temple </w:t>
            </w:r>
            <w:r>
              <w:rPr>
                <w:b/>
                <w:sz w:val="20"/>
              </w:rPr>
              <w:t>Prudential </w:t>
            </w:r>
            <w:r>
              <w:rPr>
                <w:sz w:val="20"/>
              </w:rPr>
              <w:t>Nina Moylett </w:t>
            </w:r>
            <w:r>
              <w:rPr>
                <w:b/>
                <w:sz w:val="20"/>
              </w:rPr>
              <w:t>RBS </w:t>
            </w:r>
            <w:r>
              <w:rPr>
                <w:sz w:val="20"/>
              </w:rPr>
              <w:t>Donal</w:t>
            </w:r>
            <w:r>
              <w:rPr>
                <w:spacing w:val="-5"/>
                <w:sz w:val="20"/>
              </w:rPr>
              <w:t> </w:t>
            </w:r>
            <w:r>
              <w:rPr>
                <w:sz w:val="20"/>
              </w:rPr>
              <w:t>Quaid</w:t>
            </w:r>
          </w:p>
          <w:p>
            <w:pPr>
              <w:pStyle w:val="TableParagraph"/>
              <w:ind w:left="34" w:right="5976"/>
              <w:rPr>
                <w:sz w:val="20"/>
              </w:rPr>
            </w:pPr>
            <w:r>
              <w:rPr>
                <w:b/>
                <w:sz w:val="20"/>
              </w:rPr>
              <w:t>Santander UK </w:t>
            </w:r>
            <w:r>
              <w:rPr>
                <w:sz w:val="20"/>
              </w:rPr>
              <w:t>Alan Williams* </w:t>
            </w:r>
            <w:r>
              <w:rPr>
                <w:b/>
                <w:sz w:val="20"/>
              </w:rPr>
              <w:t>Soc Gen </w:t>
            </w:r>
            <w:r>
              <w:rPr>
                <w:sz w:val="20"/>
              </w:rPr>
              <w:t>Romain Sinclair </w:t>
            </w:r>
            <w:r>
              <w:rPr>
                <w:b/>
                <w:sz w:val="20"/>
              </w:rPr>
              <w:t>Tesco PLC </w:t>
            </w:r>
            <w:r>
              <w:rPr>
                <w:sz w:val="20"/>
              </w:rPr>
              <w:t>Lynda Heywood </w:t>
            </w:r>
            <w:r>
              <w:rPr>
                <w:b/>
                <w:sz w:val="20"/>
              </w:rPr>
              <w:t>The IA </w:t>
            </w:r>
            <w:r>
              <w:rPr>
                <w:sz w:val="20"/>
              </w:rPr>
              <w:t>Ross Barrett</w:t>
            </w:r>
          </w:p>
          <w:p>
            <w:pPr>
              <w:pStyle w:val="TableParagraph"/>
              <w:spacing w:before="1"/>
              <w:rPr>
                <w:rFonts w:ascii="Times New Roman"/>
                <w:sz w:val="23"/>
              </w:rPr>
            </w:pPr>
          </w:p>
          <w:p>
            <w:pPr>
              <w:pStyle w:val="TableParagraph"/>
              <w:spacing w:line="276" w:lineRule="auto"/>
              <w:ind w:left="34" w:right="341"/>
              <w:rPr>
                <w:sz w:val="20"/>
              </w:rPr>
            </w:pPr>
            <w:r>
              <w:rPr>
                <w:b/>
                <w:sz w:val="20"/>
              </w:rPr>
              <w:t>Bank of England</w:t>
            </w:r>
            <w:r>
              <w:rPr>
                <w:sz w:val="20"/>
              </w:rPr>
              <w:t>: Andrew Hauser (Chair), Rhys Phillips (Head of Sterling Markets Division), Rebecca Maher (Secretariat), Catherine Taylor (Secretariat), Rafael Kinston (Item 3), Tom Jennings (Item 5), Imane Bakkar (Item 6), Alastair Hughes (Head of Risk Free Rates Division) (Item 6), Iain Ramsay (Item 7)</w:t>
            </w:r>
          </w:p>
        </w:tc>
      </w:tr>
      <w:tr>
        <w:trPr>
          <w:trHeight w:val="2051" w:hRule="atLeast"/>
        </w:trPr>
        <w:tc>
          <w:tcPr>
            <w:tcW w:w="967" w:type="dxa"/>
          </w:tcPr>
          <w:p>
            <w:pPr>
              <w:pStyle w:val="TableParagraph"/>
              <w:spacing w:before="3"/>
              <w:rPr>
                <w:rFonts w:ascii="Times New Roman"/>
                <w:sz w:val="23"/>
              </w:rPr>
            </w:pPr>
          </w:p>
          <w:p>
            <w:pPr>
              <w:pStyle w:val="TableParagraph"/>
              <w:ind w:left="2"/>
              <w:rPr>
                <w:sz w:val="20"/>
              </w:rPr>
            </w:pPr>
            <w:r>
              <w:rPr>
                <w:sz w:val="20"/>
              </w:rPr>
              <w:t>Apologies:</w:t>
            </w:r>
          </w:p>
        </w:tc>
        <w:tc>
          <w:tcPr>
            <w:tcW w:w="8687" w:type="dxa"/>
          </w:tcPr>
          <w:p>
            <w:pPr>
              <w:pStyle w:val="TableParagraph"/>
              <w:spacing w:before="3"/>
              <w:rPr>
                <w:rFonts w:ascii="Times New Roman"/>
                <w:sz w:val="23"/>
              </w:rPr>
            </w:pPr>
          </w:p>
          <w:p>
            <w:pPr>
              <w:pStyle w:val="TableParagraph"/>
              <w:spacing w:line="276" w:lineRule="auto"/>
              <w:ind w:left="34" w:right="5276" w:firstLine="57"/>
              <w:rPr>
                <w:sz w:val="20"/>
              </w:rPr>
            </w:pPr>
            <w:r>
              <w:rPr>
                <w:b/>
                <w:sz w:val="20"/>
              </w:rPr>
              <w:t>Aviva Investors </w:t>
            </w:r>
            <w:r>
              <w:rPr>
                <w:sz w:val="20"/>
              </w:rPr>
              <w:t>Mick Chadwick </w:t>
            </w:r>
            <w:r>
              <w:rPr>
                <w:b/>
                <w:sz w:val="20"/>
              </w:rPr>
              <w:t>Goldman Sachs </w:t>
            </w:r>
            <w:r>
              <w:rPr>
                <w:sz w:val="20"/>
              </w:rPr>
              <w:t>Matthew McDermott </w:t>
            </w:r>
            <w:r>
              <w:rPr>
                <w:b/>
                <w:sz w:val="20"/>
              </w:rPr>
              <w:t>GLA </w:t>
            </w:r>
            <w:r>
              <w:rPr>
                <w:sz w:val="20"/>
              </w:rPr>
              <w:t>Luke Webster</w:t>
            </w:r>
          </w:p>
          <w:p>
            <w:pPr>
              <w:pStyle w:val="TableParagraph"/>
              <w:spacing w:before="2"/>
              <w:ind w:left="34"/>
              <w:rPr>
                <w:sz w:val="20"/>
              </w:rPr>
            </w:pPr>
            <w:r>
              <w:rPr>
                <w:b/>
                <w:sz w:val="20"/>
              </w:rPr>
              <w:t>Insight Investment </w:t>
            </w:r>
            <w:r>
              <w:rPr>
                <w:sz w:val="20"/>
              </w:rPr>
              <w:t>Chris Brown</w:t>
            </w:r>
          </w:p>
          <w:p>
            <w:pPr>
              <w:pStyle w:val="TableParagraph"/>
              <w:spacing w:before="34"/>
              <w:ind w:left="34"/>
              <w:rPr>
                <w:sz w:val="20"/>
              </w:rPr>
            </w:pPr>
            <w:r>
              <w:rPr>
                <w:b/>
                <w:sz w:val="20"/>
              </w:rPr>
              <w:t>TPICAP </w:t>
            </w:r>
            <w:r>
              <w:rPr>
                <w:sz w:val="20"/>
              </w:rPr>
              <w:t>Andrew Berry</w:t>
            </w:r>
          </w:p>
          <w:p>
            <w:pPr>
              <w:pStyle w:val="TableParagraph"/>
              <w:spacing w:before="11"/>
              <w:rPr>
                <w:rFonts w:ascii="Times New Roman"/>
                <w:sz w:val="22"/>
              </w:rPr>
            </w:pPr>
          </w:p>
          <w:p>
            <w:pPr>
              <w:pStyle w:val="TableParagraph"/>
              <w:spacing w:line="210" w:lineRule="exact"/>
              <w:ind w:left="34"/>
              <w:rPr>
                <w:sz w:val="20"/>
              </w:rPr>
            </w:pPr>
            <w:r>
              <w:rPr>
                <w:sz w:val="20"/>
              </w:rPr>
              <w:t>*Alternate agreed via the MMC Secretariat</w:t>
            </w:r>
          </w:p>
        </w:tc>
      </w:tr>
    </w:tbl>
    <w:p>
      <w:pPr>
        <w:pStyle w:val="BodyText"/>
        <w:rPr>
          <w:rFonts w:ascii="Times New Roman"/>
          <w:sz w:val="20"/>
        </w:rPr>
      </w:pPr>
    </w:p>
    <w:p>
      <w:pPr>
        <w:pStyle w:val="BodyText"/>
        <w:spacing w:before="2"/>
        <w:rPr>
          <w:rFonts w:ascii="Times New Roman"/>
          <w:sz w:val="24"/>
        </w:rPr>
      </w:pPr>
      <w:r>
        <w:rPr/>
        <w:pict>
          <v:shape style="position:absolute;margin-left:56.279999pt;margin-top:16.026318pt;width:482.8pt;height:.1pt;mso-position-horizontal-relative:page;mso-position-vertical-relative:paragraph;z-index:-251654144;mso-wrap-distance-left:0;mso-wrap-distance-right:0" coordorigin="1126,321" coordsize="9656,0" path="m1126,321l10781,321e" filled="false" stroked="true" strokeweight=".23999pt" strokecolor="#000000">
            <v:path arrowok="t"/>
            <v:stroke dashstyle="solid"/>
            <w10:wrap type="topAndBottom"/>
          </v:shape>
        </w:pict>
      </w:r>
    </w:p>
    <w:p>
      <w:pPr>
        <w:spacing w:after="0"/>
        <w:rPr>
          <w:rFonts w:ascii="Times New Roman"/>
          <w:sz w:val="24"/>
        </w:rPr>
        <w:sectPr>
          <w:type w:val="continuous"/>
          <w:pgSz w:w="11910" w:h="16840"/>
          <w:pgMar w:top="680" w:bottom="280" w:left="820" w:right="920"/>
        </w:sectPr>
      </w:pPr>
    </w:p>
    <w:p>
      <w:pPr>
        <w:pStyle w:val="BodyText"/>
        <w:spacing w:before="7" w:after="1"/>
        <w:rPr>
          <w:rFonts w:ascii="Times New Roman"/>
          <w:sz w:val="29"/>
        </w:rPr>
      </w:pPr>
    </w:p>
    <w:tbl>
      <w:tblPr>
        <w:tblW w:w="0" w:type="auto"/>
        <w:jc w:val="left"/>
        <w:tblInd w:w="1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5"/>
        <w:gridCol w:w="8851"/>
      </w:tblGrid>
      <w:tr>
        <w:trPr>
          <w:trHeight w:val="466" w:hRule="atLeast"/>
        </w:trPr>
        <w:tc>
          <w:tcPr>
            <w:tcW w:w="1055" w:type="dxa"/>
          </w:tcPr>
          <w:p>
            <w:pPr>
              <w:pStyle w:val="TableParagraph"/>
              <w:spacing w:line="223" w:lineRule="exact"/>
              <w:ind w:left="200"/>
              <w:rPr>
                <w:b/>
                <w:sz w:val="20"/>
              </w:rPr>
            </w:pPr>
            <w:r>
              <w:rPr>
                <w:b/>
                <w:sz w:val="20"/>
              </w:rPr>
              <w:t>Minute</w:t>
            </w:r>
          </w:p>
          <w:p>
            <w:pPr>
              <w:pStyle w:val="TableParagraph"/>
              <w:spacing w:line="223" w:lineRule="exact"/>
              <w:ind w:left="200"/>
              <w:rPr>
                <w:b/>
                <w:sz w:val="20"/>
              </w:rPr>
            </w:pPr>
            <w:r>
              <w:rPr>
                <w:b/>
                <w:sz w:val="20"/>
              </w:rPr>
              <w:t>no.</w:t>
            </w:r>
          </w:p>
        </w:tc>
        <w:tc>
          <w:tcPr>
            <w:tcW w:w="8851" w:type="dxa"/>
          </w:tcPr>
          <w:p>
            <w:pPr>
              <w:pStyle w:val="TableParagraph"/>
              <w:spacing w:line="223" w:lineRule="exact"/>
              <w:ind w:left="210"/>
              <w:rPr>
                <w:b/>
                <w:sz w:val="20"/>
              </w:rPr>
            </w:pPr>
            <w:r>
              <w:rPr>
                <w:b/>
                <w:sz w:val="20"/>
              </w:rPr>
              <w:t>Minute</w:t>
            </w:r>
          </w:p>
        </w:tc>
      </w:tr>
      <w:tr>
        <w:trPr>
          <w:trHeight w:val="1784" w:hRule="atLeast"/>
        </w:trPr>
        <w:tc>
          <w:tcPr>
            <w:tcW w:w="1055" w:type="dxa"/>
          </w:tcPr>
          <w:p>
            <w:pPr>
              <w:pStyle w:val="TableParagraph"/>
              <w:spacing w:before="6"/>
              <w:ind w:left="267"/>
              <w:rPr>
                <w:b/>
                <w:sz w:val="20"/>
              </w:rPr>
            </w:pPr>
            <w:r>
              <w:rPr>
                <w:b/>
                <w:sz w:val="20"/>
              </w:rPr>
              <w:t>1.</w:t>
            </w:r>
          </w:p>
        </w:tc>
        <w:tc>
          <w:tcPr>
            <w:tcW w:w="8851" w:type="dxa"/>
          </w:tcPr>
          <w:p>
            <w:pPr>
              <w:pStyle w:val="TableParagraph"/>
              <w:spacing w:before="6"/>
              <w:ind w:left="210"/>
              <w:rPr>
                <w:b/>
                <w:sz w:val="20"/>
              </w:rPr>
            </w:pPr>
            <w:r>
              <w:rPr>
                <w:b/>
                <w:sz w:val="20"/>
              </w:rPr>
              <w:t>Bank of England introductory remarks</w:t>
            </w:r>
          </w:p>
          <w:p>
            <w:pPr>
              <w:pStyle w:val="TableParagraph"/>
              <w:rPr>
                <w:rFonts w:ascii="Times New Roman"/>
                <w:sz w:val="23"/>
              </w:rPr>
            </w:pPr>
          </w:p>
          <w:p>
            <w:pPr>
              <w:pStyle w:val="TableParagraph"/>
              <w:ind w:left="210"/>
              <w:rPr>
                <w:sz w:val="20"/>
              </w:rPr>
            </w:pPr>
            <w:r>
              <w:rPr>
                <w:sz w:val="20"/>
              </w:rPr>
              <w:t>The Chair noted that Peter Bole (Virgin Money) had stepped down from the Committee and thanked Peter for his contribution to the MMC.</w:t>
            </w:r>
          </w:p>
          <w:p>
            <w:pPr>
              <w:pStyle w:val="TableParagraph"/>
              <w:spacing w:before="11"/>
              <w:rPr>
                <w:rFonts w:ascii="Times New Roman"/>
                <w:sz w:val="20"/>
              </w:rPr>
            </w:pPr>
          </w:p>
          <w:p>
            <w:pPr>
              <w:pStyle w:val="TableParagraph"/>
              <w:ind w:left="210"/>
              <w:rPr>
                <w:sz w:val="20"/>
              </w:rPr>
            </w:pPr>
            <w:r>
              <w:rPr>
                <w:sz w:val="20"/>
              </w:rPr>
              <w:t>The Chair confirmed that the minutes from the September meeting had been published on the Bank’s website</w:t>
            </w:r>
            <w:r>
              <w:rPr>
                <w:sz w:val="20"/>
                <w:vertAlign w:val="superscript"/>
              </w:rPr>
              <w:t>1</w:t>
            </w:r>
            <w:r>
              <w:rPr>
                <w:sz w:val="20"/>
                <w:vertAlign w:val="baseline"/>
              </w:rPr>
              <w:t>.</w:t>
            </w:r>
          </w:p>
        </w:tc>
      </w:tr>
      <w:tr>
        <w:trPr>
          <w:trHeight w:val="11677" w:hRule="atLeast"/>
        </w:trPr>
        <w:tc>
          <w:tcPr>
            <w:tcW w:w="1055" w:type="dxa"/>
          </w:tcPr>
          <w:p>
            <w:pPr>
              <w:pStyle w:val="TableParagraph"/>
              <w:spacing w:before="118"/>
              <w:ind w:left="267"/>
              <w:rPr>
                <w:b/>
                <w:sz w:val="20"/>
              </w:rPr>
            </w:pPr>
            <w:r>
              <w:rPr>
                <w:b/>
                <w:sz w:val="20"/>
              </w:rPr>
              <w:t>2.</w:t>
            </w:r>
          </w:p>
        </w:tc>
        <w:tc>
          <w:tcPr>
            <w:tcW w:w="8851" w:type="dxa"/>
          </w:tcPr>
          <w:p>
            <w:pPr>
              <w:pStyle w:val="TableParagraph"/>
              <w:spacing w:before="115"/>
              <w:ind w:left="210"/>
              <w:jc w:val="both"/>
              <w:rPr>
                <w:b/>
                <w:sz w:val="20"/>
              </w:rPr>
            </w:pPr>
            <w:r>
              <w:rPr>
                <w:b/>
                <w:sz w:val="20"/>
              </w:rPr>
              <w:t>Discussion on market conditions</w:t>
            </w:r>
          </w:p>
          <w:p>
            <w:pPr>
              <w:pStyle w:val="TableParagraph"/>
              <w:spacing w:before="1"/>
              <w:rPr>
                <w:rFonts w:ascii="Times New Roman"/>
                <w:sz w:val="20"/>
              </w:rPr>
            </w:pPr>
          </w:p>
          <w:p>
            <w:pPr>
              <w:pStyle w:val="TableParagraph"/>
              <w:ind w:left="210" w:right="206"/>
              <w:jc w:val="both"/>
              <w:rPr>
                <w:sz w:val="20"/>
              </w:rPr>
            </w:pPr>
            <w:r>
              <w:rPr>
                <w:sz w:val="20"/>
              </w:rPr>
              <w:t>The Bank provided an update on market conditions and relevant financial market  developments since the MMC’s last</w:t>
            </w:r>
            <w:r>
              <w:rPr>
                <w:spacing w:val="-5"/>
                <w:sz w:val="20"/>
              </w:rPr>
              <w:t> </w:t>
            </w:r>
            <w:r>
              <w:rPr>
                <w:sz w:val="20"/>
              </w:rPr>
              <w:t>meeting.</w:t>
            </w:r>
          </w:p>
          <w:p>
            <w:pPr>
              <w:pStyle w:val="TableParagraph"/>
              <w:spacing w:before="11"/>
              <w:rPr>
                <w:rFonts w:ascii="Times New Roman"/>
                <w:sz w:val="20"/>
              </w:rPr>
            </w:pPr>
          </w:p>
          <w:p>
            <w:pPr>
              <w:pStyle w:val="TableParagraph"/>
              <w:ind w:left="210" w:right="202"/>
              <w:jc w:val="both"/>
              <w:rPr>
                <w:sz w:val="20"/>
              </w:rPr>
            </w:pPr>
            <w:r>
              <w:rPr>
                <w:sz w:val="20"/>
              </w:rPr>
              <w:t>The process of the UK leaving the European Union had continued to create uncertainty in financial markets. Volatility in sterling currency markets had been elevated, and there had  been sizeable but on the whole relatively short lived moves in </w:t>
            </w:r>
            <w:r>
              <w:rPr>
                <w:spacing w:val="2"/>
                <w:sz w:val="20"/>
              </w:rPr>
              <w:t>gilt </w:t>
            </w:r>
            <w:r>
              <w:rPr>
                <w:sz w:val="20"/>
              </w:rPr>
              <w:t>yields. Monetary policy expectations remained contingent on Brexit developments: overnight index swaps implied 1.6 Bank Rate rises over the next three years.</w:t>
            </w:r>
          </w:p>
          <w:p>
            <w:pPr>
              <w:pStyle w:val="TableParagraph"/>
              <w:spacing w:before="10"/>
              <w:rPr>
                <w:rFonts w:ascii="Times New Roman"/>
                <w:sz w:val="20"/>
              </w:rPr>
            </w:pPr>
          </w:p>
          <w:p>
            <w:pPr>
              <w:pStyle w:val="TableParagraph"/>
              <w:ind w:left="210" w:right="201"/>
              <w:jc w:val="both"/>
              <w:rPr>
                <w:sz w:val="20"/>
              </w:rPr>
            </w:pPr>
            <w:r>
              <w:rPr>
                <w:sz w:val="20"/>
              </w:rPr>
              <w:t>Despite this uncertainty, money markets had typically continued to function well. Unsecured and secured rates continued to trade in relatively narrow ranges, albeit with some steepening  in repo-OIS spreads. Market intelligence suggested mixed expectations for repo market functioning at year-end, and a range of views had been heard on the relative availability of balance sheet compared to end-2017. Over the past month, the spread between Libor and OIS rates had widened, with several commentators pointing to US dollar commercial paper issuance by banks as one factor pushing up on Libor rates. The implied dollar funding rate over the year-end via FX swaps had fallen to 9% vs a high of 15% in mid-November, and the 3- month cross currency basis swap had narrowed 10bps in the week running up to the MMC meeting, reversing the turn effect seen at end-September. Bank funding conditions had also tightened across debt markets: UK bank HoldCo spreads had accelerated higher, diverging from European peers over the past month.  AT1 spreads and CDS for some UK banks had  also widened. This tightening in conditions was understood to be driven by a range of factors including the ongoing political</w:t>
            </w:r>
            <w:r>
              <w:rPr>
                <w:spacing w:val="-6"/>
                <w:sz w:val="20"/>
              </w:rPr>
              <w:t> </w:t>
            </w:r>
            <w:r>
              <w:rPr>
                <w:sz w:val="20"/>
              </w:rPr>
              <w:t>uncertainty.</w:t>
            </w:r>
          </w:p>
          <w:p>
            <w:pPr>
              <w:pStyle w:val="TableParagraph"/>
              <w:rPr>
                <w:rFonts w:ascii="Times New Roman"/>
                <w:sz w:val="21"/>
              </w:rPr>
            </w:pPr>
          </w:p>
          <w:p>
            <w:pPr>
              <w:pStyle w:val="TableParagraph"/>
              <w:ind w:left="210" w:right="201"/>
              <w:jc w:val="both"/>
              <w:rPr>
                <w:sz w:val="20"/>
              </w:rPr>
            </w:pPr>
            <w:r>
              <w:rPr>
                <w:sz w:val="20"/>
              </w:rPr>
              <w:t>Sovereign bond yields had fallen globally over the past few months, alongside the falls in equity prices. In the euro-area, sentiment remained subdued. While market participants’ concerns around Italy’s fiscal position had seemingly abated somewhat, mixed data releases paired with slowing global growth pointed to falling inflationary pressures in the euro- area.</w:t>
            </w:r>
          </w:p>
          <w:p>
            <w:pPr>
              <w:pStyle w:val="TableParagraph"/>
              <w:spacing w:before="9"/>
              <w:rPr>
                <w:rFonts w:ascii="Times New Roman"/>
                <w:sz w:val="20"/>
              </w:rPr>
            </w:pPr>
          </w:p>
          <w:p>
            <w:pPr>
              <w:pStyle w:val="TableParagraph"/>
              <w:ind w:left="210" w:right="198"/>
              <w:jc w:val="both"/>
              <w:rPr>
                <w:sz w:val="20"/>
              </w:rPr>
            </w:pPr>
            <w:r>
              <w:rPr>
                <w:sz w:val="20"/>
              </w:rPr>
              <w:t>Turning to discussion from members, there was agreement that funding conditions had tightened for banks, and particularly UK-focussed institutions. To some extent that had been anticipated: most banks were thought to have pre-funded upcoming maturities in order to mitigate exposure to uncertainty in the first half of 2019. But some members noted  the potential for a prolonged period of spread widening to present a headwind to profitability, and a potential challenge for those firms with the most significant wholesale issuance plans. There was some discussion on expected market conditions over year end, where some felt that banks’ relatively strong funding meant there should be better balance sheet capacity later in  the year relative to previous years. However some members noted year end pressures could still materialise. For example, some corporates would need to place higher-than-usual cash balances which they were holding as a hedge against increased Brexit</w:t>
            </w:r>
            <w:r>
              <w:rPr>
                <w:spacing w:val="-4"/>
                <w:sz w:val="20"/>
              </w:rPr>
              <w:t> </w:t>
            </w:r>
            <w:r>
              <w:rPr>
                <w:sz w:val="20"/>
              </w:rPr>
              <w:t>risk.</w:t>
            </w:r>
          </w:p>
          <w:p>
            <w:pPr>
              <w:pStyle w:val="TableParagraph"/>
              <w:spacing w:before="11"/>
              <w:rPr>
                <w:rFonts w:ascii="Times New Roman"/>
                <w:sz w:val="20"/>
              </w:rPr>
            </w:pPr>
          </w:p>
          <w:p>
            <w:pPr>
              <w:pStyle w:val="TableParagraph"/>
              <w:ind w:left="210" w:right="206"/>
              <w:jc w:val="both"/>
              <w:rPr>
                <w:sz w:val="20"/>
              </w:rPr>
            </w:pPr>
            <w:r>
              <w:rPr>
                <w:sz w:val="20"/>
              </w:rPr>
              <w:t>There was some discussion regarding European money market reform, which came into force on 21 July 2018 for new funds, and will come into force on 21 January 2019 for existing funds. In principle, the changes to liquidity requirements could potentially lead to an increase in demand for short dated investments. Overall, however, market participants did not expect the transitions to cause any market disruption, as discussed at previous MMC meetings.</w:t>
            </w:r>
          </w:p>
          <w:p>
            <w:pPr>
              <w:pStyle w:val="TableParagraph"/>
              <w:spacing w:before="9"/>
              <w:rPr>
                <w:rFonts w:ascii="Times New Roman"/>
                <w:sz w:val="20"/>
              </w:rPr>
            </w:pPr>
          </w:p>
          <w:p>
            <w:pPr>
              <w:pStyle w:val="TableParagraph"/>
              <w:spacing w:line="210" w:lineRule="exact" w:before="1"/>
              <w:ind w:left="210"/>
              <w:jc w:val="both"/>
              <w:rPr>
                <w:sz w:val="20"/>
              </w:rPr>
            </w:pPr>
            <w:r>
              <w:rPr>
                <w:sz w:val="20"/>
              </w:rPr>
              <w:t>Overall, members felt that market conditions were particularly quiet even for December; there</w:t>
            </w:r>
          </w:p>
        </w:tc>
      </w:tr>
    </w:tbl>
    <w:p>
      <w:pPr>
        <w:pStyle w:val="BodyText"/>
        <w:spacing w:before="1"/>
        <w:rPr>
          <w:rFonts w:ascii="Times New Roman"/>
          <w:sz w:val="26"/>
        </w:rPr>
      </w:pPr>
      <w:r>
        <w:rPr/>
        <w:pict>
          <v:shape style="position:absolute;margin-left:56.664001pt;margin-top:17.209347pt;width:144.050pt;height:.1pt;mso-position-horizontal-relative:page;mso-position-vertical-relative:paragraph;z-index:-251653120;mso-wrap-distance-left:0;mso-wrap-distance-right:0" coordorigin="1133,344" coordsize="2881,0" path="m1133,344l4014,344e" filled="false" stroked="true" strokeweight=".47998pt" strokecolor="#000000">
            <v:path arrowok="t"/>
            <v:stroke dashstyle="solid"/>
            <w10:wrap type="topAndBottom"/>
          </v:shape>
        </w:pict>
      </w:r>
    </w:p>
    <w:p>
      <w:pPr>
        <w:pStyle w:val="BodyText"/>
        <w:spacing w:before="22"/>
        <w:ind w:left="313"/>
      </w:pPr>
      <w:r>
        <w:rPr>
          <w:position w:val="9"/>
          <w:sz w:val="12"/>
        </w:rPr>
        <w:t>1 </w:t>
      </w:r>
      <w:r>
        <w:rPr/>
        <w:t>MMC Minutes available on the Bank’s website </w:t>
      </w:r>
      <w:hyperlink r:id="rId21">
        <w:r>
          <w:rPr>
            <w:color w:val="0000FF"/>
            <w:u w:val="single" w:color="0000FF"/>
          </w:rPr>
          <w:t>here</w:t>
        </w:r>
        <w:r>
          <w:rPr/>
          <w:t>.</w:t>
        </w:r>
      </w:hyperlink>
    </w:p>
    <w:p>
      <w:pPr>
        <w:spacing w:after="0"/>
        <w:sectPr>
          <w:headerReference w:type="default" r:id="rId20"/>
          <w:pgSz w:w="11910" w:h="16840"/>
          <w:pgMar w:header="571" w:footer="0" w:top="780" w:bottom="280" w:left="820" w:right="920"/>
          <w:pgNumType w:start="2"/>
        </w:sectPr>
      </w:pPr>
    </w:p>
    <w:p>
      <w:pPr>
        <w:pStyle w:val="BodyText"/>
        <w:spacing w:before="10"/>
        <w:rPr>
          <w:sz w:val="29"/>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9056"/>
      </w:tblGrid>
      <w:tr>
        <w:trPr>
          <w:trHeight w:val="575" w:hRule="atLeast"/>
        </w:trPr>
        <w:tc>
          <w:tcPr>
            <w:tcW w:w="782" w:type="dxa"/>
          </w:tcPr>
          <w:p>
            <w:pPr>
              <w:pStyle w:val="TableParagraph"/>
              <w:rPr>
                <w:rFonts w:ascii="Times New Roman"/>
                <w:sz w:val="18"/>
              </w:rPr>
            </w:pPr>
          </w:p>
        </w:tc>
        <w:tc>
          <w:tcPr>
            <w:tcW w:w="9056" w:type="dxa"/>
          </w:tcPr>
          <w:p>
            <w:pPr>
              <w:pStyle w:val="TableParagraph"/>
              <w:ind w:left="416" w:right="235"/>
              <w:rPr>
                <w:sz w:val="20"/>
              </w:rPr>
            </w:pPr>
            <w:r>
              <w:rPr>
                <w:sz w:val="20"/>
              </w:rPr>
              <w:t>was a sense that the recent equity sell-off, coming on top of already heightened uncertainty, had discouraged market participants from adding new risk.</w:t>
            </w:r>
          </w:p>
        </w:tc>
      </w:tr>
      <w:tr>
        <w:trPr>
          <w:trHeight w:val="5100" w:hRule="atLeast"/>
        </w:trPr>
        <w:tc>
          <w:tcPr>
            <w:tcW w:w="782" w:type="dxa"/>
          </w:tcPr>
          <w:p>
            <w:pPr>
              <w:pStyle w:val="TableParagraph"/>
              <w:spacing w:before="118"/>
              <w:ind w:left="200"/>
              <w:rPr>
                <w:b/>
                <w:sz w:val="20"/>
              </w:rPr>
            </w:pPr>
            <w:r>
              <w:rPr>
                <w:b/>
                <w:sz w:val="20"/>
              </w:rPr>
              <w:t>3.</w:t>
            </w:r>
          </w:p>
        </w:tc>
        <w:tc>
          <w:tcPr>
            <w:tcW w:w="9056" w:type="dxa"/>
          </w:tcPr>
          <w:p>
            <w:pPr>
              <w:pStyle w:val="TableParagraph"/>
              <w:spacing w:before="115"/>
              <w:ind w:left="416"/>
              <w:jc w:val="both"/>
              <w:rPr>
                <w:b/>
                <w:sz w:val="20"/>
              </w:rPr>
            </w:pPr>
            <w:r>
              <w:rPr>
                <w:b/>
                <w:sz w:val="20"/>
              </w:rPr>
              <w:t>Future Sterling Monetary Framework</w:t>
            </w:r>
          </w:p>
          <w:p>
            <w:pPr>
              <w:pStyle w:val="TableParagraph"/>
              <w:spacing w:before="3"/>
              <w:rPr>
                <w:sz w:val="20"/>
              </w:rPr>
            </w:pPr>
          </w:p>
          <w:p>
            <w:pPr>
              <w:pStyle w:val="TableParagraph"/>
              <w:spacing w:before="1"/>
              <w:ind w:left="416" w:right="204"/>
              <w:jc w:val="both"/>
              <w:rPr>
                <w:sz w:val="20"/>
              </w:rPr>
            </w:pPr>
            <w:r>
              <w:rPr>
                <w:sz w:val="20"/>
              </w:rPr>
              <w:t>The Bank provided an update on its work on the future of the Sterling Monetary Framework (SMF), building on the discussion at the September meeting.</w:t>
            </w:r>
          </w:p>
          <w:p>
            <w:pPr>
              <w:pStyle w:val="TableParagraph"/>
              <w:spacing w:before="8"/>
              <w:rPr>
                <w:sz w:val="20"/>
              </w:rPr>
            </w:pPr>
          </w:p>
          <w:p>
            <w:pPr>
              <w:pStyle w:val="TableParagraph"/>
              <w:ind w:left="416" w:right="198"/>
              <w:jc w:val="both"/>
              <w:rPr>
                <w:sz w:val="20"/>
              </w:rPr>
            </w:pPr>
            <w:r>
              <w:rPr>
                <w:sz w:val="20"/>
              </w:rPr>
              <w:t>Bank staff noted that since the Bank’s August 2018 discussion paper</w:t>
            </w:r>
            <w:r>
              <w:rPr>
                <w:sz w:val="20"/>
                <w:vertAlign w:val="superscript"/>
              </w:rPr>
              <w:t>2</w:t>
            </w:r>
            <w:r>
              <w:rPr>
                <w:sz w:val="20"/>
                <w:vertAlign w:val="baseline"/>
              </w:rPr>
              <w:t> had been published they had been speaking with a range of market participants to discuss their views of the key questions posed, including the factors that might impact SMF members’ future demand for reserves. As part of this work, Bank staff were also considering how money markets might develop as and when the Bank’s balance sheet reduced, including the implications for interbank</w:t>
            </w:r>
            <w:r>
              <w:rPr>
                <w:spacing w:val="-1"/>
                <w:sz w:val="20"/>
                <w:vertAlign w:val="baseline"/>
              </w:rPr>
              <w:t> </w:t>
            </w:r>
            <w:r>
              <w:rPr>
                <w:sz w:val="20"/>
                <w:vertAlign w:val="baseline"/>
              </w:rPr>
              <w:t>markets.</w:t>
            </w:r>
          </w:p>
          <w:p>
            <w:pPr>
              <w:pStyle w:val="TableParagraph"/>
              <w:spacing w:before="10"/>
              <w:rPr>
                <w:sz w:val="20"/>
              </w:rPr>
            </w:pPr>
          </w:p>
          <w:p>
            <w:pPr>
              <w:pStyle w:val="TableParagraph"/>
              <w:ind w:left="416" w:right="207"/>
              <w:jc w:val="both"/>
              <w:rPr>
                <w:sz w:val="20"/>
              </w:rPr>
            </w:pPr>
            <w:r>
              <w:rPr>
                <w:sz w:val="20"/>
              </w:rPr>
              <w:t>Members praised the Bank’s discussion paper as an effective way to kick off the debate on how the framework might evolve. It was agreed that the future design of the SMF would be a significant influence on how interbank markets operated. It was also noted that various aspects of post-crisis bank regulation – including Basel 3 and the UK’s implementation of structural reform –would have an effect on the market’s demand for reserves. Members discussed the impact such developments might have on the unsecured overnight</w:t>
            </w:r>
            <w:r>
              <w:rPr>
                <w:spacing w:val="-11"/>
                <w:sz w:val="20"/>
              </w:rPr>
              <w:t> </w:t>
            </w:r>
            <w:r>
              <w:rPr>
                <w:sz w:val="20"/>
              </w:rPr>
              <w:t>market.</w:t>
            </w:r>
          </w:p>
          <w:p>
            <w:pPr>
              <w:pStyle w:val="TableParagraph"/>
              <w:spacing w:before="11"/>
              <w:rPr>
                <w:sz w:val="20"/>
              </w:rPr>
            </w:pPr>
          </w:p>
          <w:p>
            <w:pPr>
              <w:pStyle w:val="TableParagraph"/>
              <w:ind w:left="416" w:right="212"/>
              <w:jc w:val="both"/>
              <w:rPr>
                <w:sz w:val="20"/>
              </w:rPr>
            </w:pPr>
            <w:r>
              <w:rPr>
                <w:sz w:val="20"/>
              </w:rPr>
              <w:t>The Chair confirmed that the Bank would feed back on the results of the consultation to the committee in due course.</w:t>
            </w:r>
          </w:p>
        </w:tc>
      </w:tr>
      <w:tr>
        <w:trPr>
          <w:trHeight w:val="5695" w:hRule="atLeast"/>
        </w:trPr>
        <w:tc>
          <w:tcPr>
            <w:tcW w:w="782" w:type="dxa"/>
          </w:tcPr>
          <w:p>
            <w:pPr>
              <w:pStyle w:val="TableParagraph"/>
              <w:spacing w:before="118"/>
              <w:ind w:left="200"/>
              <w:rPr>
                <w:b/>
                <w:sz w:val="20"/>
              </w:rPr>
            </w:pPr>
            <w:r>
              <w:rPr>
                <w:b/>
                <w:sz w:val="20"/>
              </w:rPr>
              <w:t>4.</w:t>
            </w:r>
          </w:p>
        </w:tc>
        <w:tc>
          <w:tcPr>
            <w:tcW w:w="9056" w:type="dxa"/>
          </w:tcPr>
          <w:p>
            <w:pPr>
              <w:pStyle w:val="TableParagraph"/>
              <w:spacing w:before="115"/>
              <w:ind w:left="416"/>
              <w:rPr>
                <w:b/>
                <w:sz w:val="20"/>
              </w:rPr>
            </w:pPr>
            <w:r>
              <w:rPr>
                <w:b/>
                <w:sz w:val="20"/>
              </w:rPr>
              <w:t>Forward agenda</w:t>
            </w:r>
          </w:p>
          <w:p>
            <w:pPr>
              <w:pStyle w:val="TableParagraph"/>
              <w:spacing w:before="3"/>
              <w:rPr>
                <w:sz w:val="20"/>
              </w:rPr>
            </w:pPr>
          </w:p>
          <w:p>
            <w:pPr>
              <w:pStyle w:val="TableParagraph"/>
              <w:ind w:left="416" w:right="235"/>
              <w:rPr>
                <w:sz w:val="20"/>
              </w:rPr>
            </w:pPr>
            <w:r>
              <w:rPr>
                <w:sz w:val="20"/>
              </w:rPr>
              <w:t>Discussion turned to potential topics to be included in the committee’s forward agenda for 2019. Suggestions put forward by members</w:t>
            </w:r>
            <w:r>
              <w:rPr>
                <w:spacing w:val="-7"/>
                <w:sz w:val="20"/>
              </w:rPr>
              <w:t> </w:t>
            </w:r>
            <w:r>
              <w:rPr>
                <w:sz w:val="20"/>
              </w:rPr>
              <w:t>included:</w:t>
            </w:r>
          </w:p>
          <w:p>
            <w:pPr>
              <w:pStyle w:val="TableParagraph"/>
              <w:spacing w:before="10"/>
              <w:rPr>
                <w:sz w:val="20"/>
              </w:rPr>
            </w:pPr>
          </w:p>
          <w:p>
            <w:pPr>
              <w:pStyle w:val="TableParagraph"/>
              <w:numPr>
                <w:ilvl w:val="0"/>
                <w:numId w:val="1"/>
              </w:numPr>
              <w:tabs>
                <w:tab w:pos="1136" w:val="left" w:leader="none"/>
                <w:tab w:pos="1137" w:val="left" w:leader="none"/>
              </w:tabs>
              <w:spacing w:line="240" w:lineRule="auto" w:before="0" w:after="0"/>
              <w:ind w:left="1136" w:right="202" w:hanging="360"/>
              <w:jc w:val="left"/>
              <w:rPr>
                <w:sz w:val="20"/>
              </w:rPr>
            </w:pPr>
            <w:r>
              <w:rPr>
                <w:sz w:val="20"/>
              </w:rPr>
              <w:t>The evolving structure of the SONIA market – perhaps co-ordinated with the Bank’s periodic review of the SONIA benchmark</w:t>
            </w:r>
            <w:r>
              <w:rPr>
                <w:spacing w:val="-5"/>
                <w:sz w:val="20"/>
              </w:rPr>
              <w:t> </w:t>
            </w:r>
            <w:r>
              <w:rPr>
                <w:sz w:val="20"/>
              </w:rPr>
              <w:t>methodology;</w:t>
            </w:r>
          </w:p>
          <w:p>
            <w:pPr>
              <w:pStyle w:val="TableParagraph"/>
              <w:spacing w:before="10"/>
              <w:rPr>
                <w:sz w:val="20"/>
              </w:rPr>
            </w:pPr>
          </w:p>
          <w:p>
            <w:pPr>
              <w:pStyle w:val="TableParagraph"/>
              <w:numPr>
                <w:ilvl w:val="0"/>
                <w:numId w:val="1"/>
              </w:numPr>
              <w:tabs>
                <w:tab w:pos="1136" w:val="left" w:leader="none"/>
                <w:tab w:pos="1137" w:val="left" w:leader="none"/>
              </w:tabs>
              <w:spacing w:line="240" w:lineRule="auto" w:before="0" w:after="0"/>
              <w:ind w:left="1136" w:right="0" w:hanging="361"/>
              <w:jc w:val="left"/>
              <w:rPr>
                <w:sz w:val="20"/>
              </w:rPr>
            </w:pPr>
            <w:r>
              <w:rPr>
                <w:sz w:val="20"/>
              </w:rPr>
              <w:t>The outlook for</w:t>
            </w:r>
            <w:r>
              <w:rPr>
                <w:spacing w:val="-1"/>
                <w:sz w:val="20"/>
              </w:rPr>
              <w:t> </w:t>
            </w:r>
            <w:r>
              <w:rPr>
                <w:sz w:val="20"/>
              </w:rPr>
              <w:t>RONIA;</w:t>
            </w:r>
          </w:p>
          <w:p>
            <w:pPr>
              <w:pStyle w:val="TableParagraph"/>
              <w:rPr>
                <w:sz w:val="21"/>
              </w:rPr>
            </w:pPr>
          </w:p>
          <w:p>
            <w:pPr>
              <w:pStyle w:val="TableParagraph"/>
              <w:numPr>
                <w:ilvl w:val="0"/>
                <w:numId w:val="1"/>
              </w:numPr>
              <w:tabs>
                <w:tab w:pos="1136" w:val="left" w:leader="none"/>
                <w:tab w:pos="1137" w:val="left" w:leader="none"/>
              </w:tabs>
              <w:spacing w:line="235" w:lineRule="auto" w:before="0" w:after="0"/>
              <w:ind w:left="1136" w:right="209" w:hanging="360"/>
              <w:jc w:val="left"/>
              <w:rPr>
                <w:sz w:val="20"/>
              </w:rPr>
            </w:pPr>
            <w:r>
              <w:rPr>
                <w:sz w:val="20"/>
              </w:rPr>
              <w:t>Feedback on the impact of recent EU money market fund regulation, and whether it had changed behaviour in the money</w:t>
            </w:r>
            <w:r>
              <w:rPr>
                <w:spacing w:val="-7"/>
                <w:sz w:val="20"/>
              </w:rPr>
              <w:t> </w:t>
            </w:r>
            <w:r>
              <w:rPr>
                <w:sz w:val="20"/>
              </w:rPr>
              <w:t>markets;</w:t>
            </w:r>
          </w:p>
          <w:p>
            <w:pPr>
              <w:pStyle w:val="TableParagraph"/>
              <w:spacing w:before="2"/>
              <w:rPr>
                <w:sz w:val="21"/>
              </w:rPr>
            </w:pPr>
          </w:p>
          <w:p>
            <w:pPr>
              <w:pStyle w:val="TableParagraph"/>
              <w:numPr>
                <w:ilvl w:val="0"/>
                <w:numId w:val="1"/>
              </w:numPr>
              <w:tabs>
                <w:tab w:pos="1136" w:val="left" w:leader="none"/>
                <w:tab w:pos="1137" w:val="left" w:leader="none"/>
              </w:tabs>
              <w:spacing w:line="240" w:lineRule="auto" w:before="0" w:after="0"/>
              <w:ind w:left="1136" w:right="0" w:hanging="361"/>
              <w:jc w:val="left"/>
              <w:rPr>
                <w:sz w:val="20"/>
              </w:rPr>
            </w:pPr>
            <w:r>
              <w:rPr>
                <w:sz w:val="20"/>
              </w:rPr>
              <w:t>Intraday</w:t>
            </w:r>
            <w:r>
              <w:rPr>
                <w:spacing w:val="-3"/>
                <w:sz w:val="20"/>
              </w:rPr>
              <w:t> </w:t>
            </w:r>
            <w:r>
              <w:rPr>
                <w:sz w:val="20"/>
              </w:rPr>
              <w:t>liquidity;</w:t>
            </w:r>
          </w:p>
          <w:p>
            <w:pPr>
              <w:pStyle w:val="TableParagraph"/>
              <w:spacing w:before="2"/>
              <w:rPr>
                <w:sz w:val="21"/>
              </w:rPr>
            </w:pPr>
          </w:p>
          <w:p>
            <w:pPr>
              <w:pStyle w:val="TableParagraph"/>
              <w:numPr>
                <w:ilvl w:val="0"/>
                <w:numId w:val="1"/>
              </w:numPr>
              <w:tabs>
                <w:tab w:pos="1136" w:val="left" w:leader="none"/>
                <w:tab w:pos="1137" w:val="left" w:leader="none"/>
              </w:tabs>
              <w:spacing w:line="235" w:lineRule="auto" w:before="0" w:after="0"/>
              <w:ind w:left="1136" w:right="211" w:hanging="360"/>
              <w:jc w:val="left"/>
              <w:rPr>
                <w:sz w:val="20"/>
              </w:rPr>
            </w:pPr>
            <w:r>
              <w:rPr>
                <w:sz w:val="20"/>
              </w:rPr>
              <w:t>The effect of the Securities Financing Transaction and Central Securities Depositories Regulations on trading</w:t>
            </w:r>
            <w:r>
              <w:rPr>
                <w:spacing w:val="-1"/>
                <w:sz w:val="20"/>
              </w:rPr>
              <w:t> </w:t>
            </w:r>
            <w:r>
              <w:rPr>
                <w:sz w:val="20"/>
              </w:rPr>
              <w:t>behaviour;</w:t>
            </w:r>
          </w:p>
          <w:p>
            <w:pPr>
              <w:pStyle w:val="TableParagraph"/>
              <w:spacing w:before="6"/>
              <w:rPr>
                <w:sz w:val="21"/>
              </w:rPr>
            </w:pPr>
          </w:p>
          <w:p>
            <w:pPr>
              <w:pStyle w:val="TableParagraph"/>
              <w:numPr>
                <w:ilvl w:val="0"/>
                <w:numId w:val="1"/>
              </w:numPr>
              <w:tabs>
                <w:tab w:pos="1136" w:val="left" w:leader="none"/>
                <w:tab w:pos="1137" w:val="left" w:leader="none"/>
              </w:tabs>
              <w:spacing w:line="235" w:lineRule="auto" w:before="0" w:after="0"/>
              <w:ind w:left="1136" w:right="209" w:hanging="360"/>
              <w:jc w:val="left"/>
              <w:rPr>
                <w:sz w:val="20"/>
              </w:rPr>
            </w:pPr>
            <w:r>
              <w:rPr>
                <w:sz w:val="20"/>
              </w:rPr>
              <w:t>The impact of the timing of reporting periods on bank and money market behaviour; and</w:t>
            </w:r>
          </w:p>
          <w:p>
            <w:pPr>
              <w:pStyle w:val="TableParagraph"/>
              <w:spacing w:before="2"/>
              <w:rPr>
                <w:sz w:val="21"/>
              </w:rPr>
            </w:pPr>
          </w:p>
          <w:p>
            <w:pPr>
              <w:pStyle w:val="TableParagraph"/>
              <w:numPr>
                <w:ilvl w:val="0"/>
                <w:numId w:val="1"/>
              </w:numPr>
              <w:tabs>
                <w:tab w:pos="1136" w:val="left" w:leader="none"/>
                <w:tab w:pos="1137" w:val="left" w:leader="none"/>
              </w:tabs>
              <w:spacing w:line="240" w:lineRule="auto" w:before="0" w:after="0"/>
              <w:ind w:left="1136" w:right="214" w:hanging="360"/>
              <w:jc w:val="left"/>
              <w:rPr>
                <w:sz w:val="20"/>
              </w:rPr>
            </w:pPr>
            <w:r>
              <w:rPr>
                <w:sz w:val="20"/>
              </w:rPr>
              <w:t>The impact of the introduction of new technologies such as Artificial Intelligence tools on market behaviour and cyber</w:t>
            </w:r>
            <w:r>
              <w:rPr>
                <w:spacing w:val="-5"/>
                <w:sz w:val="20"/>
              </w:rPr>
              <w:t> </w:t>
            </w:r>
            <w:r>
              <w:rPr>
                <w:sz w:val="20"/>
              </w:rPr>
              <w:t>security.</w:t>
            </w:r>
          </w:p>
        </w:tc>
      </w:tr>
      <w:tr>
        <w:trPr>
          <w:trHeight w:val="2671" w:hRule="atLeast"/>
        </w:trPr>
        <w:tc>
          <w:tcPr>
            <w:tcW w:w="782" w:type="dxa"/>
          </w:tcPr>
          <w:p>
            <w:pPr>
              <w:pStyle w:val="TableParagraph"/>
              <w:spacing w:before="118"/>
              <w:ind w:left="200"/>
              <w:rPr>
                <w:b/>
                <w:sz w:val="20"/>
              </w:rPr>
            </w:pPr>
            <w:r>
              <w:rPr>
                <w:b/>
                <w:sz w:val="20"/>
              </w:rPr>
              <w:t>5.</w:t>
            </w:r>
          </w:p>
        </w:tc>
        <w:tc>
          <w:tcPr>
            <w:tcW w:w="9056" w:type="dxa"/>
          </w:tcPr>
          <w:p>
            <w:pPr>
              <w:pStyle w:val="TableParagraph"/>
              <w:spacing w:before="115"/>
              <w:ind w:left="416"/>
              <w:jc w:val="both"/>
              <w:rPr>
                <w:b/>
                <w:sz w:val="20"/>
              </w:rPr>
            </w:pPr>
            <w:r>
              <w:rPr>
                <w:b/>
                <w:sz w:val="20"/>
              </w:rPr>
              <w:t>Update from the UK Money Markets Code Sub-Committee</w:t>
            </w:r>
          </w:p>
          <w:p>
            <w:pPr>
              <w:pStyle w:val="TableParagraph"/>
              <w:spacing w:before="1"/>
              <w:rPr>
                <w:sz w:val="20"/>
              </w:rPr>
            </w:pPr>
          </w:p>
          <w:p>
            <w:pPr>
              <w:pStyle w:val="TableParagraph"/>
              <w:spacing w:before="1"/>
              <w:ind w:left="416" w:right="204"/>
              <w:jc w:val="both"/>
              <w:rPr>
                <w:sz w:val="20"/>
              </w:rPr>
            </w:pPr>
            <w:r>
              <w:rPr>
                <w:sz w:val="20"/>
              </w:rPr>
              <w:t>The Chair of the UK Money Markets Code sub-committee provided an update on the development of the Money Market Code, including a report from the Sub-committee’s October meeting:</w:t>
            </w:r>
          </w:p>
          <w:p>
            <w:pPr>
              <w:pStyle w:val="TableParagraph"/>
              <w:spacing w:before="2"/>
              <w:rPr>
                <w:sz w:val="21"/>
              </w:rPr>
            </w:pPr>
          </w:p>
          <w:p>
            <w:pPr>
              <w:pStyle w:val="TableParagraph"/>
              <w:numPr>
                <w:ilvl w:val="0"/>
                <w:numId w:val="2"/>
              </w:numPr>
              <w:tabs>
                <w:tab w:pos="1137" w:val="left" w:leader="none"/>
              </w:tabs>
              <w:spacing w:line="237" w:lineRule="auto" w:before="0" w:after="0"/>
              <w:ind w:left="1136" w:right="207" w:hanging="360"/>
              <w:jc w:val="both"/>
              <w:rPr>
                <w:sz w:val="20"/>
              </w:rPr>
            </w:pPr>
            <w:r>
              <w:rPr>
                <w:sz w:val="20"/>
              </w:rPr>
              <w:t>The Bank, in its role as MMC Chair, had applied on behalf of the Committee to the</w:t>
            </w:r>
            <w:r>
              <w:rPr>
                <w:spacing w:val="-28"/>
                <w:sz w:val="20"/>
              </w:rPr>
              <w:t> </w:t>
            </w:r>
            <w:r>
              <w:rPr>
                <w:sz w:val="20"/>
              </w:rPr>
              <w:t>FCA for recognition of the UK Money Market Code. The next stage of the process (now that the</w:t>
            </w:r>
            <w:r>
              <w:rPr>
                <w:spacing w:val="6"/>
                <w:sz w:val="20"/>
              </w:rPr>
              <w:t> </w:t>
            </w:r>
            <w:r>
              <w:rPr>
                <w:sz w:val="20"/>
              </w:rPr>
              <w:t>FCA</w:t>
            </w:r>
            <w:r>
              <w:rPr>
                <w:spacing w:val="9"/>
                <w:sz w:val="20"/>
              </w:rPr>
              <w:t> </w:t>
            </w:r>
            <w:r>
              <w:rPr>
                <w:sz w:val="20"/>
              </w:rPr>
              <w:t>were</w:t>
            </w:r>
            <w:r>
              <w:rPr>
                <w:spacing w:val="9"/>
                <w:sz w:val="20"/>
              </w:rPr>
              <w:t> </w:t>
            </w:r>
            <w:r>
              <w:rPr>
                <w:sz w:val="20"/>
              </w:rPr>
              <w:t>minded</w:t>
            </w:r>
            <w:r>
              <w:rPr>
                <w:spacing w:val="9"/>
                <w:sz w:val="20"/>
              </w:rPr>
              <w:t> </w:t>
            </w:r>
            <w:r>
              <w:rPr>
                <w:sz w:val="20"/>
              </w:rPr>
              <w:t>to</w:t>
            </w:r>
            <w:r>
              <w:rPr>
                <w:spacing w:val="6"/>
                <w:sz w:val="20"/>
              </w:rPr>
              <w:t> </w:t>
            </w:r>
            <w:r>
              <w:rPr>
                <w:sz w:val="20"/>
              </w:rPr>
              <w:t>recognise</w:t>
            </w:r>
            <w:r>
              <w:rPr>
                <w:spacing w:val="9"/>
                <w:sz w:val="20"/>
              </w:rPr>
              <w:t> </w:t>
            </w:r>
            <w:r>
              <w:rPr>
                <w:sz w:val="20"/>
              </w:rPr>
              <w:t>the</w:t>
            </w:r>
            <w:r>
              <w:rPr>
                <w:spacing w:val="7"/>
                <w:sz w:val="20"/>
              </w:rPr>
              <w:t> </w:t>
            </w:r>
            <w:r>
              <w:rPr>
                <w:sz w:val="20"/>
              </w:rPr>
              <w:t>Code)</w:t>
            </w:r>
            <w:r>
              <w:rPr>
                <w:spacing w:val="10"/>
                <w:sz w:val="20"/>
              </w:rPr>
              <w:t> </w:t>
            </w:r>
            <w:r>
              <w:rPr>
                <w:sz w:val="20"/>
              </w:rPr>
              <w:t>would</w:t>
            </w:r>
            <w:r>
              <w:rPr>
                <w:spacing w:val="9"/>
                <w:sz w:val="20"/>
              </w:rPr>
              <w:t> </w:t>
            </w:r>
            <w:r>
              <w:rPr>
                <w:sz w:val="20"/>
              </w:rPr>
              <w:t>be</w:t>
            </w:r>
            <w:r>
              <w:rPr>
                <w:spacing w:val="6"/>
                <w:sz w:val="20"/>
              </w:rPr>
              <w:t> </w:t>
            </w:r>
            <w:r>
              <w:rPr>
                <w:sz w:val="20"/>
              </w:rPr>
              <w:t>a</w:t>
            </w:r>
            <w:r>
              <w:rPr>
                <w:spacing w:val="9"/>
                <w:sz w:val="20"/>
              </w:rPr>
              <w:t> </w:t>
            </w:r>
            <w:r>
              <w:rPr>
                <w:sz w:val="20"/>
              </w:rPr>
              <w:t>public</w:t>
            </w:r>
            <w:r>
              <w:rPr>
                <w:spacing w:val="8"/>
                <w:sz w:val="20"/>
              </w:rPr>
              <w:t> </w:t>
            </w:r>
            <w:r>
              <w:rPr>
                <w:sz w:val="20"/>
              </w:rPr>
              <w:t>consultation</w:t>
            </w:r>
            <w:r>
              <w:rPr>
                <w:spacing w:val="7"/>
                <w:sz w:val="20"/>
              </w:rPr>
              <w:t> </w:t>
            </w:r>
            <w:r>
              <w:rPr>
                <w:sz w:val="20"/>
              </w:rPr>
              <w:t>period</w:t>
            </w:r>
            <w:r>
              <w:rPr>
                <w:spacing w:val="9"/>
                <w:sz w:val="20"/>
              </w:rPr>
              <w:t> </w:t>
            </w:r>
            <w:r>
              <w:rPr>
                <w:sz w:val="20"/>
              </w:rPr>
              <w:t>of</w:t>
            </w:r>
          </w:p>
          <w:p>
            <w:pPr>
              <w:pStyle w:val="TableParagraph"/>
              <w:spacing w:line="230" w:lineRule="atLeast" w:before="3"/>
              <w:ind w:left="1136" w:right="211"/>
              <w:jc w:val="both"/>
              <w:rPr>
                <w:sz w:val="20"/>
              </w:rPr>
            </w:pPr>
            <w:r>
              <w:rPr>
                <w:sz w:val="20"/>
              </w:rPr>
              <w:t>~2 months. The consultation period began on 7 December 2018 and would close on 6 February 2019. The Chair encouraged MMC members to engage with this</w:t>
            </w:r>
          </w:p>
        </w:tc>
      </w:tr>
    </w:tbl>
    <w:p>
      <w:pPr>
        <w:pStyle w:val="BodyText"/>
        <w:spacing w:before="10"/>
        <w:rPr>
          <w:sz w:val="15"/>
        </w:rPr>
      </w:pPr>
      <w:r>
        <w:rPr/>
        <w:pict>
          <v:shape style="position:absolute;margin-left:56.664001pt;margin-top:11.329346pt;width:144.050pt;height:.1pt;mso-position-horizontal-relative:page;mso-position-vertical-relative:paragraph;z-index:-251652096;mso-wrap-distance-left:0;mso-wrap-distance-right:0" coordorigin="1133,227" coordsize="2881,0" path="m1133,227l4014,227e" filled="false" stroked="true" strokeweight=".47998pt" strokecolor="#000000">
            <v:path arrowok="t"/>
            <v:stroke dashstyle="solid"/>
            <w10:wrap type="topAndBottom"/>
          </v:shape>
        </w:pict>
      </w:r>
    </w:p>
    <w:p>
      <w:pPr>
        <w:pStyle w:val="BodyText"/>
        <w:spacing w:before="22"/>
        <w:ind w:left="313"/>
      </w:pPr>
      <w:r>
        <w:rPr>
          <w:position w:val="9"/>
          <w:sz w:val="12"/>
        </w:rPr>
        <w:t>2 </w:t>
      </w:r>
      <w:r>
        <w:rPr/>
        <w:t>Discussion paper can be found </w:t>
      </w:r>
      <w:hyperlink r:id="rId22">
        <w:r>
          <w:rPr>
            <w:color w:val="0000FF"/>
            <w:u w:val="single" w:color="0000FF"/>
          </w:rPr>
          <w:t>here</w:t>
        </w:r>
      </w:hyperlink>
    </w:p>
    <w:p>
      <w:pPr>
        <w:spacing w:after="0"/>
        <w:sectPr>
          <w:pgSz w:w="11910" w:h="16840"/>
          <w:pgMar w:header="571" w:footer="0" w:top="780" w:bottom="280" w:left="820" w:right="920"/>
        </w:sectPr>
      </w:pPr>
    </w:p>
    <w:p>
      <w:pPr>
        <w:pStyle w:val="BodyText"/>
        <w:spacing w:before="7"/>
        <w:rPr>
          <w:sz w:val="2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9054"/>
      </w:tblGrid>
      <w:tr>
        <w:trPr>
          <w:trHeight w:val="10500" w:hRule="atLeast"/>
        </w:trPr>
        <w:tc>
          <w:tcPr>
            <w:tcW w:w="885" w:type="dxa"/>
          </w:tcPr>
          <w:p>
            <w:pPr>
              <w:pStyle w:val="TableParagraph"/>
              <w:rPr>
                <w:rFonts w:ascii="Times New Roman"/>
                <w:sz w:val="18"/>
              </w:rPr>
            </w:pPr>
          </w:p>
        </w:tc>
        <w:tc>
          <w:tcPr>
            <w:tcW w:w="9054" w:type="dxa"/>
          </w:tcPr>
          <w:p>
            <w:pPr>
              <w:pStyle w:val="TableParagraph"/>
              <w:spacing w:before="30"/>
              <w:ind w:left="1136"/>
              <w:rPr>
                <w:sz w:val="20"/>
              </w:rPr>
            </w:pPr>
            <w:r>
              <w:rPr>
                <w:sz w:val="20"/>
              </w:rPr>
              <w:t>consultation.</w:t>
            </w:r>
            <w:r>
              <w:rPr>
                <w:sz w:val="20"/>
                <w:vertAlign w:val="superscript"/>
              </w:rPr>
              <w:t>3</w:t>
            </w:r>
          </w:p>
          <w:p>
            <w:pPr>
              <w:pStyle w:val="TableParagraph"/>
              <w:rPr>
                <w:sz w:val="21"/>
              </w:rPr>
            </w:pPr>
          </w:p>
          <w:p>
            <w:pPr>
              <w:pStyle w:val="TableParagraph"/>
              <w:numPr>
                <w:ilvl w:val="0"/>
                <w:numId w:val="3"/>
              </w:numPr>
              <w:tabs>
                <w:tab w:pos="1137" w:val="left" w:leader="none"/>
              </w:tabs>
              <w:spacing w:line="240" w:lineRule="auto" w:before="0" w:after="0"/>
              <w:ind w:left="1136" w:right="206" w:hanging="360"/>
              <w:jc w:val="both"/>
              <w:rPr>
                <w:sz w:val="20"/>
              </w:rPr>
            </w:pPr>
            <w:r>
              <w:rPr>
                <w:sz w:val="20"/>
              </w:rPr>
              <w:t>The public register of Statements of Commitment and Statements of Support had been launched in September, at the time with around 100 institutions’ statements published. There were now 177 institutions to be listed, with the number rising</w:t>
            </w:r>
            <w:r>
              <w:rPr>
                <w:spacing w:val="-17"/>
                <w:sz w:val="20"/>
              </w:rPr>
              <w:t> </w:t>
            </w:r>
            <w:r>
              <w:rPr>
                <w:sz w:val="20"/>
              </w:rPr>
              <w:t>steadily.</w:t>
            </w:r>
          </w:p>
          <w:p>
            <w:pPr>
              <w:pStyle w:val="TableParagraph"/>
              <w:spacing w:before="9"/>
              <w:rPr>
                <w:sz w:val="20"/>
              </w:rPr>
            </w:pPr>
          </w:p>
          <w:p>
            <w:pPr>
              <w:pStyle w:val="TableParagraph"/>
              <w:numPr>
                <w:ilvl w:val="0"/>
                <w:numId w:val="3"/>
              </w:numPr>
              <w:tabs>
                <w:tab w:pos="1137" w:val="left" w:leader="none"/>
              </w:tabs>
              <w:spacing w:line="240" w:lineRule="auto" w:before="0" w:after="0"/>
              <w:ind w:left="1136" w:right="197" w:hanging="360"/>
              <w:jc w:val="both"/>
              <w:rPr>
                <w:sz w:val="20"/>
              </w:rPr>
            </w:pPr>
            <w:r>
              <w:rPr>
                <w:sz w:val="20"/>
              </w:rPr>
              <w:t>The role of the Sub-Committee and its members was discussed, specifically in the case of any potential instances of non-adherence to the Code by a money market participant who had signed the Statement of Commitment be reported. Neither the Code nor the MMC (or its Sub-Committees) had any statutory power. It was nevertheless important that signatories built appropriate responses into their counterparty management frameworks. It was further agreed that the Sub-Committee could usefully discuss examples of anonymised breaches in order to build understanding, and if necessary escalate to the MMC. The Chair suggested that the MMC should return to this topic at a future meeting once the Sub-Committee had done its own review.</w:t>
            </w:r>
          </w:p>
          <w:p>
            <w:pPr>
              <w:pStyle w:val="TableParagraph"/>
              <w:spacing w:before="8"/>
              <w:rPr>
                <w:sz w:val="20"/>
              </w:rPr>
            </w:pPr>
          </w:p>
          <w:p>
            <w:pPr>
              <w:pStyle w:val="TableParagraph"/>
              <w:numPr>
                <w:ilvl w:val="0"/>
                <w:numId w:val="3"/>
              </w:numPr>
              <w:tabs>
                <w:tab w:pos="1137" w:val="left" w:leader="none"/>
              </w:tabs>
              <w:spacing w:line="240" w:lineRule="auto" w:before="1" w:after="0"/>
              <w:ind w:left="1136" w:right="198" w:hanging="360"/>
              <w:jc w:val="both"/>
              <w:rPr>
                <w:sz w:val="20"/>
              </w:rPr>
            </w:pPr>
            <w:r>
              <w:rPr>
                <w:sz w:val="20"/>
              </w:rPr>
              <w:t>It was agreed that after discussion with the MMC, there would be a full review of the Code in the second half of 2019. This would then be presented to the MMC in 2020, in line with the published intention to update the Code every three</w:t>
            </w:r>
            <w:r>
              <w:rPr>
                <w:spacing w:val="-5"/>
                <w:sz w:val="20"/>
              </w:rPr>
              <w:t> </w:t>
            </w:r>
            <w:r>
              <w:rPr>
                <w:sz w:val="20"/>
              </w:rPr>
              <w:t>years.</w:t>
            </w:r>
          </w:p>
          <w:p>
            <w:pPr>
              <w:pStyle w:val="TableParagraph"/>
              <w:spacing w:before="7"/>
              <w:rPr>
                <w:sz w:val="20"/>
              </w:rPr>
            </w:pPr>
          </w:p>
          <w:p>
            <w:pPr>
              <w:pStyle w:val="TableParagraph"/>
              <w:ind w:left="416"/>
              <w:rPr>
                <w:sz w:val="20"/>
              </w:rPr>
            </w:pPr>
            <w:r>
              <w:rPr>
                <w:sz w:val="20"/>
              </w:rPr>
              <w:t>The Bank provided the results from the UK Money Markets Code annual survey:</w:t>
            </w:r>
          </w:p>
          <w:p>
            <w:pPr>
              <w:pStyle w:val="TableParagraph"/>
              <w:rPr>
                <w:sz w:val="21"/>
              </w:rPr>
            </w:pPr>
          </w:p>
          <w:p>
            <w:pPr>
              <w:pStyle w:val="TableParagraph"/>
              <w:numPr>
                <w:ilvl w:val="0"/>
                <w:numId w:val="3"/>
              </w:numPr>
              <w:tabs>
                <w:tab w:pos="1137" w:val="left" w:leader="none"/>
              </w:tabs>
              <w:spacing w:line="240" w:lineRule="auto" w:before="0" w:after="0"/>
              <w:ind w:left="1136" w:right="202" w:hanging="360"/>
              <w:jc w:val="both"/>
              <w:rPr>
                <w:sz w:val="20"/>
              </w:rPr>
            </w:pPr>
            <w:r>
              <w:rPr>
                <w:sz w:val="20"/>
              </w:rPr>
              <w:t>The survey had run from mid-September to mid-October, and was distributed to SMF participants, MMC and Sub-committee members, and relevant Trade</w:t>
            </w:r>
            <w:r>
              <w:rPr>
                <w:spacing w:val="-18"/>
                <w:sz w:val="20"/>
              </w:rPr>
              <w:t> </w:t>
            </w:r>
            <w:r>
              <w:rPr>
                <w:sz w:val="20"/>
              </w:rPr>
              <w:t>Associations.</w:t>
            </w:r>
          </w:p>
          <w:p>
            <w:pPr>
              <w:pStyle w:val="TableParagraph"/>
              <w:spacing w:before="8"/>
              <w:rPr>
                <w:sz w:val="20"/>
              </w:rPr>
            </w:pPr>
          </w:p>
          <w:p>
            <w:pPr>
              <w:pStyle w:val="TableParagraph"/>
              <w:numPr>
                <w:ilvl w:val="0"/>
                <w:numId w:val="3"/>
              </w:numPr>
              <w:tabs>
                <w:tab w:pos="1137" w:val="left" w:leader="none"/>
              </w:tabs>
              <w:spacing w:line="240" w:lineRule="auto" w:before="0" w:after="0"/>
              <w:ind w:left="1136" w:right="208" w:hanging="360"/>
              <w:jc w:val="both"/>
              <w:rPr>
                <w:sz w:val="20"/>
              </w:rPr>
            </w:pPr>
            <w:r>
              <w:rPr>
                <w:sz w:val="20"/>
              </w:rPr>
              <w:t>There were 49 respondents in total, including banks and building societies, asset managers and a brokerage</w:t>
            </w:r>
            <w:r>
              <w:rPr>
                <w:spacing w:val="1"/>
                <w:sz w:val="20"/>
              </w:rPr>
              <w:t> </w:t>
            </w:r>
            <w:r>
              <w:rPr>
                <w:sz w:val="20"/>
              </w:rPr>
              <w:t>firm.</w:t>
            </w:r>
          </w:p>
          <w:p>
            <w:pPr>
              <w:pStyle w:val="TableParagraph"/>
              <w:spacing w:before="3"/>
              <w:rPr>
                <w:sz w:val="21"/>
              </w:rPr>
            </w:pPr>
          </w:p>
          <w:p>
            <w:pPr>
              <w:pStyle w:val="TableParagraph"/>
              <w:numPr>
                <w:ilvl w:val="0"/>
                <w:numId w:val="3"/>
              </w:numPr>
              <w:tabs>
                <w:tab w:pos="1137" w:val="left" w:leader="none"/>
              </w:tabs>
              <w:spacing w:line="235" w:lineRule="auto" w:before="0" w:after="0"/>
              <w:ind w:left="1136" w:right="200" w:hanging="360"/>
              <w:jc w:val="both"/>
              <w:rPr>
                <w:sz w:val="20"/>
              </w:rPr>
            </w:pPr>
            <w:r>
              <w:rPr>
                <w:sz w:val="20"/>
              </w:rPr>
              <w:t>The vast majority of respondents had signed the statement of commitment to the Code, or were planning to in the</w:t>
            </w:r>
            <w:r>
              <w:rPr>
                <w:spacing w:val="-5"/>
                <w:sz w:val="20"/>
              </w:rPr>
              <w:t> </w:t>
            </w:r>
            <w:r>
              <w:rPr>
                <w:sz w:val="20"/>
              </w:rPr>
              <w:t>future.</w:t>
            </w:r>
          </w:p>
          <w:p>
            <w:pPr>
              <w:pStyle w:val="TableParagraph"/>
              <w:spacing w:before="1"/>
              <w:rPr>
                <w:sz w:val="21"/>
              </w:rPr>
            </w:pPr>
          </w:p>
          <w:p>
            <w:pPr>
              <w:pStyle w:val="TableParagraph"/>
              <w:numPr>
                <w:ilvl w:val="0"/>
                <w:numId w:val="3"/>
              </w:numPr>
              <w:tabs>
                <w:tab w:pos="1137" w:val="left" w:leader="none"/>
              </w:tabs>
              <w:spacing w:line="240" w:lineRule="auto" w:before="1" w:after="0"/>
              <w:ind w:left="1136" w:right="203" w:hanging="360"/>
              <w:jc w:val="both"/>
              <w:rPr>
                <w:sz w:val="20"/>
              </w:rPr>
            </w:pPr>
            <w:r>
              <w:rPr>
                <w:sz w:val="20"/>
              </w:rPr>
              <w:t>The responses showed that decisions to implement the Code had typically been taken at the Board/Senior level, and in many instances proactive steps had been taken to raise awareness of the Code through internal communications, provision of training for appropriate staff, and incorporation of the Code into internal compliance</w:t>
            </w:r>
            <w:r>
              <w:rPr>
                <w:spacing w:val="-12"/>
                <w:sz w:val="20"/>
              </w:rPr>
              <w:t> </w:t>
            </w:r>
            <w:r>
              <w:rPr>
                <w:sz w:val="20"/>
              </w:rPr>
              <w:t>codes.</w:t>
            </w:r>
          </w:p>
          <w:p>
            <w:pPr>
              <w:pStyle w:val="TableParagraph"/>
              <w:spacing w:before="11"/>
              <w:rPr>
                <w:sz w:val="20"/>
              </w:rPr>
            </w:pPr>
          </w:p>
          <w:p>
            <w:pPr>
              <w:pStyle w:val="TableParagraph"/>
              <w:numPr>
                <w:ilvl w:val="0"/>
                <w:numId w:val="3"/>
              </w:numPr>
              <w:tabs>
                <w:tab w:pos="1137" w:val="left" w:leader="none"/>
              </w:tabs>
              <w:spacing w:line="237" w:lineRule="auto" w:before="0" w:after="0"/>
              <w:ind w:left="1136" w:right="201" w:hanging="360"/>
              <w:jc w:val="both"/>
              <w:rPr>
                <w:sz w:val="20"/>
              </w:rPr>
            </w:pPr>
            <w:r>
              <w:rPr>
                <w:sz w:val="20"/>
              </w:rPr>
              <w:t>Respondents’ comments overall were very positive regarding the Code, particularly in respect of it providing a good benchmark for institutions to adhere to. Many expressed a desire to see the Code further embedded in the</w:t>
            </w:r>
            <w:r>
              <w:rPr>
                <w:spacing w:val="-4"/>
                <w:sz w:val="20"/>
              </w:rPr>
              <w:t> </w:t>
            </w:r>
            <w:r>
              <w:rPr>
                <w:sz w:val="20"/>
              </w:rPr>
              <w:t>market.</w:t>
            </w:r>
          </w:p>
          <w:p>
            <w:pPr>
              <w:pStyle w:val="TableParagraph"/>
              <w:spacing w:before="5"/>
              <w:rPr>
                <w:sz w:val="21"/>
              </w:rPr>
            </w:pPr>
          </w:p>
          <w:p>
            <w:pPr>
              <w:pStyle w:val="TableParagraph"/>
              <w:numPr>
                <w:ilvl w:val="0"/>
                <w:numId w:val="3"/>
              </w:numPr>
              <w:tabs>
                <w:tab w:pos="1137" w:val="left" w:leader="none"/>
              </w:tabs>
              <w:spacing w:line="235" w:lineRule="auto" w:before="1" w:after="0"/>
              <w:ind w:left="1136" w:right="204" w:hanging="360"/>
              <w:jc w:val="both"/>
              <w:rPr>
                <w:sz w:val="20"/>
              </w:rPr>
            </w:pPr>
            <w:r>
              <w:rPr>
                <w:sz w:val="20"/>
              </w:rPr>
              <w:t>The UK Money Markets Code Sub-Committee would discuss the results in more detail at its February</w:t>
            </w:r>
            <w:r>
              <w:rPr>
                <w:spacing w:val="-6"/>
                <w:sz w:val="20"/>
              </w:rPr>
              <w:t> </w:t>
            </w:r>
            <w:r>
              <w:rPr>
                <w:sz w:val="20"/>
              </w:rPr>
              <w:t>meeting.</w:t>
            </w:r>
          </w:p>
        </w:tc>
      </w:tr>
      <w:tr>
        <w:trPr>
          <w:trHeight w:val="3337" w:hRule="atLeast"/>
        </w:trPr>
        <w:tc>
          <w:tcPr>
            <w:tcW w:w="885" w:type="dxa"/>
          </w:tcPr>
          <w:p>
            <w:pPr>
              <w:pStyle w:val="TableParagraph"/>
              <w:spacing w:before="8"/>
              <w:rPr>
                <w:sz w:val="30"/>
              </w:rPr>
            </w:pPr>
          </w:p>
          <w:p>
            <w:pPr>
              <w:pStyle w:val="TableParagraph"/>
              <w:ind w:left="283" w:right="394"/>
              <w:jc w:val="center"/>
              <w:rPr>
                <w:b/>
                <w:sz w:val="20"/>
              </w:rPr>
            </w:pPr>
            <w:r>
              <w:rPr>
                <w:b/>
                <w:sz w:val="20"/>
              </w:rPr>
              <w:t>6.</w:t>
            </w:r>
          </w:p>
        </w:tc>
        <w:tc>
          <w:tcPr>
            <w:tcW w:w="9054" w:type="dxa"/>
          </w:tcPr>
          <w:p>
            <w:pPr>
              <w:pStyle w:val="TableParagraph"/>
              <w:spacing w:before="5"/>
              <w:rPr>
                <w:sz w:val="30"/>
              </w:rPr>
            </w:pPr>
          </w:p>
          <w:p>
            <w:pPr>
              <w:pStyle w:val="TableParagraph"/>
              <w:ind w:left="416"/>
              <w:rPr>
                <w:b/>
                <w:sz w:val="20"/>
              </w:rPr>
            </w:pPr>
            <w:r>
              <w:rPr>
                <w:b/>
                <w:sz w:val="20"/>
              </w:rPr>
              <w:t>Risk free rate transition</w:t>
            </w:r>
          </w:p>
          <w:p>
            <w:pPr>
              <w:pStyle w:val="TableParagraph"/>
              <w:spacing w:before="3"/>
              <w:rPr>
                <w:sz w:val="20"/>
              </w:rPr>
            </w:pPr>
          </w:p>
          <w:p>
            <w:pPr>
              <w:pStyle w:val="TableParagraph"/>
              <w:spacing w:before="1"/>
              <w:ind w:left="416" w:right="220"/>
              <w:rPr>
                <w:sz w:val="20"/>
              </w:rPr>
            </w:pPr>
            <w:r>
              <w:rPr>
                <w:sz w:val="20"/>
              </w:rPr>
              <w:t>The Bank introduced Alastair Hughes as the newly appointed Head of the Risk Free Rate (RFR) team, and provided an update on recent progress in driving RFR adoption:</w:t>
            </w:r>
          </w:p>
          <w:p>
            <w:pPr>
              <w:pStyle w:val="TableParagraph"/>
              <w:spacing w:before="9"/>
              <w:rPr>
                <w:sz w:val="20"/>
              </w:rPr>
            </w:pPr>
          </w:p>
          <w:p>
            <w:pPr>
              <w:pStyle w:val="TableParagraph"/>
              <w:numPr>
                <w:ilvl w:val="0"/>
                <w:numId w:val="4"/>
              </w:numPr>
              <w:tabs>
                <w:tab w:pos="1093" w:val="left" w:leader="none"/>
                <w:tab w:pos="1094" w:val="left" w:leader="none"/>
              </w:tabs>
              <w:spacing w:line="240" w:lineRule="auto" w:before="1" w:after="0"/>
              <w:ind w:left="1093" w:right="351" w:hanging="360"/>
              <w:jc w:val="left"/>
              <w:rPr>
                <w:sz w:val="20"/>
              </w:rPr>
            </w:pPr>
            <w:r>
              <w:rPr>
                <w:sz w:val="20"/>
              </w:rPr>
              <w:t>There was growing evidence of adoption of SONIA in key markets. In particular, there had been a steady stream of new SONIA bond issuances and some evidence of increased SONIA swap</w:t>
            </w:r>
            <w:r>
              <w:rPr>
                <w:spacing w:val="-2"/>
                <w:sz w:val="20"/>
              </w:rPr>
              <w:t> </w:t>
            </w:r>
            <w:r>
              <w:rPr>
                <w:sz w:val="20"/>
              </w:rPr>
              <w:t>usage.</w:t>
            </w:r>
          </w:p>
          <w:p>
            <w:pPr>
              <w:pStyle w:val="TableParagraph"/>
              <w:spacing w:before="10"/>
              <w:rPr>
                <w:sz w:val="19"/>
              </w:rPr>
            </w:pPr>
          </w:p>
          <w:p>
            <w:pPr>
              <w:pStyle w:val="TableParagraph"/>
              <w:numPr>
                <w:ilvl w:val="0"/>
                <w:numId w:val="4"/>
              </w:numPr>
              <w:tabs>
                <w:tab w:pos="1093" w:val="left" w:leader="none"/>
                <w:tab w:pos="1094" w:val="left" w:leader="none"/>
              </w:tabs>
              <w:spacing w:line="240" w:lineRule="auto" w:before="0" w:after="0"/>
              <w:ind w:left="1093" w:right="272" w:hanging="360"/>
              <w:jc w:val="left"/>
              <w:rPr>
                <w:sz w:val="20"/>
              </w:rPr>
            </w:pPr>
            <w:r>
              <w:rPr>
                <w:sz w:val="20"/>
              </w:rPr>
              <w:t>ISDA had published preliminary results from its market consultation on new</w:t>
            </w:r>
            <w:r>
              <w:rPr>
                <w:spacing w:val="-27"/>
                <w:sz w:val="20"/>
              </w:rPr>
              <w:t> </w:t>
            </w:r>
            <w:r>
              <w:rPr>
                <w:sz w:val="20"/>
              </w:rPr>
              <w:t>benchmark fallbacks for derivatives contracts referencing IBORs. The consultation found strong support for a compounded in arrears term adjustment and a historic mean</w:t>
            </w:r>
            <w:r>
              <w:rPr>
                <w:spacing w:val="-8"/>
                <w:sz w:val="20"/>
              </w:rPr>
              <w:t> </w:t>
            </w:r>
            <w:r>
              <w:rPr>
                <w:sz w:val="20"/>
              </w:rPr>
              <w:t>credit</w:t>
            </w:r>
          </w:p>
        </w:tc>
      </w:tr>
    </w:tbl>
    <w:p>
      <w:pPr>
        <w:pStyle w:val="BodyText"/>
        <w:spacing w:line="20" w:lineRule="exact"/>
        <w:ind w:left="308"/>
        <w:rPr>
          <w:sz w:val="2"/>
        </w:rPr>
      </w:pPr>
      <w:r>
        <w:rPr>
          <w:sz w:val="2"/>
        </w:rPr>
        <w:pict>
          <v:group style="width:144.050pt;height:.5pt;mso-position-horizontal-relative:char;mso-position-vertical-relative:line" coordorigin="0,0" coordsize="2881,10">
            <v:line style="position:absolute" from="0,5" to="2880,5" stroked="true" strokeweight=".47998pt" strokecolor="#000000">
              <v:stroke dashstyle="solid"/>
            </v:line>
          </v:group>
        </w:pict>
      </w:r>
      <w:r>
        <w:rPr>
          <w:sz w:val="2"/>
        </w:rPr>
      </w:r>
    </w:p>
    <w:p>
      <w:pPr>
        <w:pStyle w:val="BodyText"/>
        <w:spacing w:before="32"/>
        <w:ind w:left="313"/>
      </w:pPr>
      <w:r>
        <w:rPr>
          <w:position w:val="9"/>
          <w:sz w:val="12"/>
        </w:rPr>
        <w:t>3 </w:t>
      </w:r>
      <w:r>
        <w:rPr/>
        <w:t>Consultation can be found</w:t>
      </w:r>
      <w:hyperlink r:id="rId23">
        <w:r>
          <w:rPr>
            <w:color w:val="0000FF"/>
            <w:u w:val="single" w:color="0000FF"/>
          </w:rPr>
          <w:t> here</w:t>
        </w:r>
      </w:hyperlink>
    </w:p>
    <w:p>
      <w:pPr>
        <w:spacing w:after="0"/>
        <w:sectPr>
          <w:pgSz w:w="11910" w:h="16840"/>
          <w:pgMar w:header="571" w:footer="0" w:top="780" w:bottom="280" w:left="820" w:right="920"/>
        </w:sectPr>
      </w:pPr>
    </w:p>
    <w:p>
      <w:pPr>
        <w:pStyle w:val="BodyText"/>
        <w:spacing w:before="10"/>
        <w:rPr>
          <w:sz w:val="29"/>
        </w:rPr>
      </w:pPr>
    </w:p>
    <w:tbl>
      <w:tblPr>
        <w:tblW w:w="0" w:type="auto"/>
        <w:jc w:val="left"/>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9022"/>
      </w:tblGrid>
      <w:tr>
        <w:trPr>
          <w:trHeight w:val="6592" w:hRule="atLeast"/>
        </w:trPr>
        <w:tc>
          <w:tcPr>
            <w:tcW w:w="782" w:type="dxa"/>
          </w:tcPr>
          <w:p>
            <w:pPr>
              <w:pStyle w:val="TableParagraph"/>
              <w:rPr>
                <w:rFonts w:ascii="Times New Roman"/>
                <w:sz w:val="18"/>
              </w:rPr>
            </w:pPr>
          </w:p>
        </w:tc>
        <w:tc>
          <w:tcPr>
            <w:tcW w:w="9022" w:type="dxa"/>
          </w:tcPr>
          <w:p>
            <w:pPr>
              <w:pStyle w:val="TableParagraph"/>
              <w:spacing w:line="223" w:lineRule="exact"/>
              <w:ind w:left="1093"/>
              <w:rPr>
                <w:sz w:val="20"/>
              </w:rPr>
            </w:pPr>
            <w:r>
              <w:rPr>
                <w:sz w:val="20"/>
              </w:rPr>
              <w:t>spread. The next steps would be outlined by ISDA in due course.</w:t>
            </w:r>
          </w:p>
          <w:p>
            <w:pPr>
              <w:pStyle w:val="TableParagraph"/>
              <w:spacing w:before="1"/>
              <w:rPr>
                <w:sz w:val="20"/>
              </w:rPr>
            </w:pPr>
          </w:p>
          <w:p>
            <w:pPr>
              <w:pStyle w:val="TableParagraph"/>
              <w:numPr>
                <w:ilvl w:val="0"/>
                <w:numId w:val="5"/>
              </w:numPr>
              <w:tabs>
                <w:tab w:pos="1093" w:val="left" w:leader="none"/>
                <w:tab w:pos="1094" w:val="left" w:leader="none"/>
              </w:tabs>
              <w:spacing w:line="240" w:lineRule="auto" w:before="0" w:after="0"/>
              <w:ind w:left="1093" w:right="384" w:hanging="360"/>
              <w:jc w:val="left"/>
              <w:rPr>
                <w:sz w:val="20"/>
              </w:rPr>
            </w:pPr>
            <w:r>
              <w:rPr>
                <w:sz w:val="20"/>
              </w:rPr>
              <w:t>Barclays’ CFO, Tushar Morzaria, had been appointed as the new chair of the market- led Working Group (WG) on Sterling Risk-Free Reference Rates, and as an early priority would be leading work to develop key delivery milestones for</w:t>
            </w:r>
            <w:r>
              <w:rPr>
                <w:spacing w:val="-16"/>
                <w:sz w:val="20"/>
              </w:rPr>
              <w:t> </w:t>
            </w:r>
            <w:r>
              <w:rPr>
                <w:sz w:val="20"/>
              </w:rPr>
              <w:t>2019.</w:t>
            </w:r>
          </w:p>
          <w:p>
            <w:pPr>
              <w:pStyle w:val="TableParagraph"/>
              <w:spacing w:before="11"/>
              <w:rPr>
                <w:sz w:val="19"/>
              </w:rPr>
            </w:pPr>
          </w:p>
          <w:p>
            <w:pPr>
              <w:pStyle w:val="TableParagraph"/>
              <w:numPr>
                <w:ilvl w:val="0"/>
                <w:numId w:val="5"/>
              </w:numPr>
              <w:tabs>
                <w:tab w:pos="1093" w:val="left" w:leader="none"/>
                <w:tab w:pos="1094" w:val="left" w:leader="none"/>
              </w:tabs>
              <w:spacing w:line="240" w:lineRule="auto" w:before="0" w:after="0"/>
              <w:ind w:left="1093" w:right="629" w:hanging="360"/>
              <w:jc w:val="left"/>
              <w:rPr>
                <w:sz w:val="20"/>
              </w:rPr>
            </w:pPr>
            <w:r>
              <w:rPr>
                <w:sz w:val="20"/>
              </w:rPr>
              <w:t>The </w:t>
            </w:r>
            <w:r>
              <w:rPr>
                <w:spacing w:val="4"/>
                <w:sz w:val="20"/>
              </w:rPr>
              <w:t>WG </w:t>
            </w:r>
            <w:r>
              <w:rPr>
                <w:sz w:val="20"/>
              </w:rPr>
              <w:t>had published a summary of responses to its consultation on term</w:t>
            </w:r>
            <w:r>
              <w:rPr>
                <w:spacing w:val="-35"/>
                <w:sz w:val="20"/>
              </w:rPr>
              <w:t> </w:t>
            </w:r>
            <w:r>
              <w:rPr>
                <w:sz w:val="20"/>
              </w:rPr>
              <w:t>SONIA Reference Rates, and would be discussing next steps</w:t>
            </w:r>
            <w:r>
              <w:rPr>
                <w:spacing w:val="-3"/>
                <w:sz w:val="20"/>
              </w:rPr>
              <w:t> </w:t>
            </w:r>
            <w:r>
              <w:rPr>
                <w:sz w:val="20"/>
              </w:rPr>
              <w:t>shortly.</w:t>
            </w:r>
          </w:p>
          <w:p>
            <w:pPr>
              <w:pStyle w:val="TableParagraph"/>
              <w:spacing w:before="10"/>
              <w:rPr>
                <w:sz w:val="19"/>
              </w:rPr>
            </w:pPr>
          </w:p>
          <w:p>
            <w:pPr>
              <w:pStyle w:val="TableParagraph"/>
              <w:numPr>
                <w:ilvl w:val="0"/>
                <w:numId w:val="5"/>
              </w:numPr>
              <w:tabs>
                <w:tab w:pos="1093" w:val="left" w:leader="none"/>
                <w:tab w:pos="1094" w:val="left" w:leader="none"/>
              </w:tabs>
              <w:spacing w:line="240" w:lineRule="auto" w:before="0" w:after="0"/>
              <w:ind w:left="1093" w:right="197" w:hanging="360"/>
              <w:jc w:val="left"/>
              <w:rPr>
                <w:sz w:val="20"/>
              </w:rPr>
            </w:pPr>
            <w:r>
              <w:rPr>
                <w:sz w:val="20"/>
              </w:rPr>
              <w:t>Awareness of the RFR transition programme was now strong in key parts of the</w:t>
            </w:r>
            <w:r>
              <w:rPr>
                <w:spacing w:val="-28"/>
                <w:sz w:val="20"/>
              </w:rPr>
              <w:t> </w:t>
            </w:r>
            <w:r>
              <w:rPr>
                <w:sz w:val="20"/>
              </w:rPr>
              <w:t>sterling markets, but had yet to reach parts of the buyside and end-user community. Improved understanding in these sectors was a key priority for 2019. The </w:t>
            </w:r>
            <w:r>
              <w:rPr>
                <w:spacing w:val="4"/>
                <w:sz w:val="20"/>
              </w:rPr>
              <w:t>WG </w:t>
            </w:r>
            <w:r>
              <w:rPr>
                <w:sz w:val="20"/>
              </w:rPr>
              <w:t>had published a range of materials that could be used for this process, and it would be helpful if MMC members could assist promulgating them. The material would be forwarded to MMC members</w:t>
            </w:r>
            <w:r>
              <w:rPr>
                <w:sz w:val="20"/>
                <w:vertAlign w:val="superscript"/>
              </w:rPr>
              <w:t>4</w:t>
            </w:r>
            <w:r>
              <w:rPr>
                <w:sz w:val="20"/>
                <w:vertAlign w:val="baseline"/>
              </w:rPr>
              <w:t>. MMC members were also encouraged to sign up to a new monthly newsletter being produced by the authorities’ RFR team, and would be given an email address to contact the team if they had questions or</w:t>
            </w:r>
            <w:r>
              <w:rPr>
                <w:spacing w:val="-5"/>
                <w:sz w:val="20"/>
                <w:vertAlign w:val="baseline"/>
              </w:rPr>
              <w:t> </w:t>
            </w:r>
            <w:r>
              <w:rPr>
                <w:sz w:val="20"/>
                <w:vertAlign w:val="baseline"/>
              </w:rPr>
              <w:t>suggestions.</w:t>
            </w:r>
          </w:p>
          <w:p>
            <w:pPr>
              <w:pStyle w:val="TableParagraph"/>
              <w:rPr>
                <w:sz w:val="22"/>
              </w:rPr>
            </w:pPr>
          </w:p>
          <w:p>
            <w:pPr>
              <w:pStyle w:val="TableParagraph"/>
              <w:spacing w:before="9"/>
              <w:rPr>
                <w:sz w:val="17"/>
              </w:rPr>
            </w:pPr>
          </w:p>
          <w:p>
            <w:pPr>
              <w:pStyle w:val="TableParagraph"/>
              <w:spacing w:before="1"/>
              <w:ind w:left="416"/>
              <w:rPr>
                <w:sz w:val="20"/>
              </w:rPr>
            </w:pPr>
            <w:r>
              <w:rPr>
                <w:sz w:val="20"/>
              </w:rPr>
              <w:t>The Committee discussed the priorities for the next stage of transition. Amongst other points raised, one member noted the importance of ensuring appropriate alignment of accounting standards. The Bank noted work was being done on this by the IASB, and the Bank would circulate a paper from IASB that summarised their progress.</w:t>
            </w:r>
          </w:p>
          <w:p>
            <w:pPr>
              <w:pStyle w:val="TableParagraph"/>
              <w:spacing w:before="11"/>
              <w:rPr>
                <w:sz w:val="19"/>
              </w:rPr>
            </w:pPr>
          </w:p>
          <w:p>
            <w:pPr>
              <w:pStyle w:val="TableParagraph"/>
              <w:ind w:left="416" w:right="218"/>
              <w:rPr>
                <w:sz w:val="20"/>
              </w:rPr>
            </w:pPr>
            <w:r>
              <w:rPr>
                <w:sz w:val="20"/>
              </w:rPr>
              <w:t>The Chair noted the important role that the MMC could play in helping to monitor and drive RFR transition, including through helping to develop and deepen new transactions linked to</w:t>
            </w:r>
            <w:r>
              <w:rPr>
                <w:spacing w:val="-33"/>
                <w:sz w:val="20"/>
              </w:rPr>
              <w:t> </w:t>
            </w:r>
            <w:r>
              <w:rPr>
                <w:sz w:val="20"/>
              </w:rPr>
              <w:t>the RFR. Future meetings should discuss whether there were further practical steps the Committee as a whole could take as the markets moved towards the 2021</w:t>
            </w:r>
            <w:r>
              <w:rPr>
                <w:spacing w:val="-14"/>
                <w:sz w:val="20"/>
              </w:rPr>
              <w:t> </w:t>
            </w:r>
            <w:r>
              <w:rPr>
                <w:sz w:val="20"/>
              </w:rPr>
              <w:t>deadline.</w:t>
            </w:r>
          </w:p>
        </w:tc>
      </w:tr>
      <w:tr>
        <w:trPr>
          <w:trHeight w:val="4200" w:hRule="atLeast"/>
        </w:trPr>
        <w:tc>
          <w:tcPr>
            <w:tcW w:w="782" w:type="dxa"/>
          </w:tcPr>
          <w:p>
            <w:pPr>
              <w:pStyle w:val="TableParagraph"/>
              <w:spacing w:before="112"/>
              <w:ind w:left="200"/>
              <w:rPr>
                <w:b/>
                <w:sz w:val="20"/>
              </w:rPr>
            </w:pPr>
            <w:r>
              <w:rPr>
                <w:b/>
                <w:sz w:val="20"/>
              </w:rPr>
              <w:t>7.</w:t>
            </w:r>
          </w:p>
        </w:tc>
        <w:tc>
          <w:tcPr>
            <w:tcW w:w="9022" w:type="dxa"/>
          </w:tcPr>
          <w:p>
            <w:pPr>
              <w:pStyle w:val="TableParagraph"/>
              <w:spacing w:before="109"/>
              <w:ind w:left="416"/>
              <w:rPr>
                <w:b/>
                <w:sz w:val="20"/>
              </w:rPr>
            </w:pPr>
            <w:r>
              <w:rPr>
                <w:b/>
                <w:sz w:val="20"/>
              </w:rPr>
              <w:t>Update from Securities Lending Committee (SLC)</w:t>
            </w:r>
          </w:p>
          <w:p>
            <w:pPr>
              <w:pStyle w:val="TableParagraph"/>
              <w:spacing w:before="1"/>
              <w:rPr>
                <w:sz w:val="21"/>
              </w:rPr>
            </w:pPr>
          </w:p>
          <w:p>
            <w:pPr>
              <w:pStyle w:val="TableParagraph"/>
              <w:spacing w:before="1"/>
              <w:ind w:left="416"/>
              <w:rPr>
                <w:sz w:val="20"/>
              </w:rPr>
            </w:pPr>
            <w:r>
              <w:rPr>
                <w:sz w:val="20"/>
              </w:rPr>
              <w:t>The Chair of the SLC provided an update from the Committee’s meeting in November 2018:</w:t>
            </w:r>
          </w:p>
          <w:p>
            <w:pPr>
              <w:pStyle w:val="TableParagraph"/>
              <w:spacing w:before="3"/>
              <w:rPr>
                <w:sz w:val="21"/>
              </w:rPr>
            </w:pPr>
          </w:p>
          <w:p>
            <w:pPr>
              <w:pStyle w:val="TableParagraph"/>
              <w:numPr>
                <w:ilvl w:val="0"/>
                <w:numId w:val="6"/>
              </w:numPr>
              <w:tabs>
                <w:tab w:pos="1071" w:val="left" w:leader="none"/>
                <w:tab w:pos="1072" w:val="left" w:leader="none"/>
              </w:tabs>
              <w:spacing w:line="235" w:lineRule="auto" w:before="0" w:after="0"/>
              <w:ind w:left="1071" w:right="321" w:hanging="360"/>
              <w:jc w:val="left"/>
              <w:rPr>
                <w:sz w:val="20"/>
              </w:rPr>
            </w:pPr>
            <w:r>
              <w:rPr>
                <w:sz w:val="20"/>
              </w:rPr>
              <w:t>Documentation prepared by ISLA for securities lending on a pledge basis (ie. a pledge version of the GMSLA) had now been</w:t>
            </w:r>
            <w:r>
              <w:rPr>
                <w:spacing w:val="-2"/>
                <w:sz w:val="20"/>
              </w:rPr>
              <w:t> </w:t>
            </w:r>
            <w:r>
              <w:rPr>
                <w:sz w:val="20"/>
              </w:rPr>
              <w:t>published.</w:t>
            </w:r>
          </w:p>
          <w:p>
            <w:pPr>
              <w:pStyle w:val="TableParagraph"/>
              <w:spacing w:before="4"/>
              <w:rPr>
                <w:sz w:val="20"/>
              </w:rPr>
            </w:pPr>
          </w:p>
          <w:p>
            <w:pPr>
              <w:pStyle w:val="TableParagraph"/>
              <w:numPr>
                <w:ilvl w:val="0"/>
                <w:numId w:val="6"/>
              </w:numPr>
              <w:tabs>
                <w:tab w:pos="1071" w:val="left" w:leader="none"/>
                <w:tab w:pos="1072" w:val="left" w:leader="none"/>
              </w:tabs>
              <w:spacing w:line="240" w:lineRule="auto" w:before="0" w:after="0"/>
              <w:ind w:left="1071" w:right="366" w:hanging="360"/>
              <w:jc w:val="left"/>
              <w:rPr>
                <w:sz w:val="20"/>
              </w:rPr>
            </w:pPr>
            <w:r>
              <w:rPr>
                <w:sz w:val="20"/>
              </w:rPr>
              <w:t>CSDR remained an ongoing discussion and area of concern to the market, as some sectors’ aversion to increased transparency may affect the make-up of the market, though some noted the increased transparency may have benefits, such as encouraging market participants to focus on the ongoing issue of fails in the securities lending</w:t>
            </w:r>
            <w:r>
              <w:rPr>
                <w:spacing w:val="-2"/>
                <w:sz w:val="20"/>
              </w:rPr>
              <w:t> </w:t>
            </w:r>
            <w:r>
              <w:rPr>
                <w:sz w:val="20"/>
              </w:rPr>
              <w:t>market.</w:t>
            </w:r>
          </w:p>
          <w:p>
            <w:pPr>
              <w:pStyle w:val="TableParagraph"/>
              <w:rPr>
                <w:sz w:val="20"/>
              </w:rPr>
            </w:pPr>
          </w:p>
          <w:p>
            <w:pPr>
              <w:pStyle w:val="TableParagraph"/>
              <w:numPr>
                <w:ilvl w:val="0"/>
                <w:numId w:val="6"/>
              </w:numPr>
              <w:tabs>
                <w:tab w:pos="1071" w:val="left" w:leader="none"/>
                <w:tab w:pos="1072" w:val="left" w:leader="none"/>
              </w:tabs>
              <w:spacing w:line="240" w:lineRule="auto" w:before="0" w:after="0"/>
              <w:ind w:left="1071" w:right="215" w:hanging="360"/>
              <w:jc w:val="left"/>
              <w:rPr>
                <w:sz w:val="20"/>
              </w:rPr>
            </w:pPr>
            <w:r>
              <w:rPr>
                <w:sz w:val="20"/>
              </w:rPr>
              <w:t>In September the SLC held its ‘external presentations meeting’ and heard from three firms. One firm focused on the matching of supply and demand of securities for</w:t>
            </w:r>
            <w:r>
              <w:rPr>
                <w:spacing w:val="-22"/>
                <w:sz w:val="20"/>
              </w:rPr>
              <w:t> </w:t>
            </w:r>
            <w:r>
              <w:rPr>
                <w:sz w:val="20"/>
              </w:rPr>
              <w:t>lending, with the aim to improve execution. And two firms used distributed ledger technology with the aim of improving settlement efficiency and simplifying post-trade</w:t>
            </w:r>
            <w:r>
              <w:rPr>
                <w:spacing w:val="-10"/>
                <w:sz w:val="20"/>
              </w:rPr>
              <w:t> </w:t>
            </w:r>
            <w:r>
              <w:rPr>
                <w:sz w:val="20"/>
              </w:rPr>
              <w:t>processes.</w:t>
            </w:r>
          </w:p>
        </w:tc>
      </w:tr>
      <w:tr>
        <w:trPr>
          <w:trHeight w:val="1042" w:hRule="atLeast"/>
        </w:trPr>
        <w:tc>
          <w:tcPr>
            <w:tcW w:w="782" w:type="dxa"/>
          </w:tcPr>
          <w:p>
            <w:pPr>
              <w:pStyle w:val="TableParagraph"/>
              <w:spacing w:before="112"/>
              <w:ind w:left="200"/>
              <w:rPr>
                <w:b/>
                <w:sz w:val="20"/>
              </w:rPr>
            </w:pPr>
            <w:r>
              <w:rPr>
                <w:b/>
                <w:sz w:val="20"/>
              </w:rPr>
              <w:t>8.</w:t>
            </w:r>
          </w:p>
        </w:tc>
        <w:tc>
          <w:tcPr>
            <w:tcW w:w="9022" w:type="dxa"/>
          </w:tcPr>
          <w:p>
            <w:pPr>
              <w:pStyle w:val="TableParagraph"/>
              <w:spacing w:before="109"/>
              <w:ind w:left="416"/>
              <w:rPr>
                <w:b/>
                <w:sz w:val="20"/>
              </w:rPr>
            </w:pPr>
            <w:r>
              <w:rPr>
                <w:b/>
                <w:sz w:val="20"/>
              </w:rPr>
              <w:t>AOB</w:t>
            </w:r>
          </w:p>
          <w:p>
            <w:pPr>
              <w:pStyle w:val="TableParagraph"/>
              <w:spacing w:before="1"/>
              <w:rPr>
                <w:sz w:val="21"/>
              </w:rPr>
            </w:pPr>
          </w:p>
          <w:p>
            <w:pPr>
              <w:pStyle w:val="TableParagraph"/>
              <w:spacing w:before="1"/>
              <w:ind w:left="416"/>
              <w:rPr>
                <w:sz w:val="20"/>
              </w:rPr>
            </w:pPr>
            <w:r>
              <w:rPr>
                <w:sz w:val="20"/>
              </w:rPr>
              <w:t>The Bank confirmed that the next scheduled meeting of the MMC would take place on 5</w:t>
            </w:r>
            <w:r>
              <w:rPr>
                <w:sz w:val="20"/>
                <w:vertAlign w:val="superscript"/>
              </w:rPr>
              <w:t>th</w:t>
            </w:r>
          </w:p>
          <w:p>
            <w:pPr>
              <w:pStyle w:val="TableParagraph"/>
              <w:spacing w:line="210" w:lineRule="exact"/>
              <w:ind w:left="416"/>
              <w:rPr>
                <w:sz w:val="20"/>
              </w:rPr>
            </w:pPr>
            <w:r>
              <w:rPr>
                <w:sz w:val="20"/>
              </w:rPr>
              <w:t>March.</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7"/>
        </w:rPr>
      </w:pPr>
      <w:r>
        <w:rPr/>
        <w:pict>
          <v:shape style="position:absolute;margin-left:56.664001pt;margin-top:18.264135pt;width:144.050pt;height:.1pt;mso-position-horizontal-relative:page;mso-position-vertical-relative:paragraph;z-index:-251650048;mso-wrap-distance-left:0;mso-wrap-distance-right:0" coordorigin="1133,365" coordsize="2881,0" path="m1133,365l4014,365e" filled="false" stroked="true" strokeweight=".47998pt" strokecolor="#000000">
            <v:path arrowok="t"/>
            <v:stroke dashstyle="solid"/>
            <w10:wrap type="topAndBottom"/>
          </v:shape>
        </w:pict>
      </w:r>
    </w:p>
    <w:p>
      <w:pPr>
        <w:pStyle w:val="BodyText"/>
        <w:spacing w:before="22"/>
        <w:ind w:left="313"/>
      </w:pPr>
      <w:r>
        <w:rPr>
          <w:position w:val="9"/>
          <w:sz w:val="12"/>
        </w:rPr>
        <w:t>4 </w:t>
      </w:r>
      <w:r>
        <w:rPr/>
        <w:t>See </w:t>
      </w:r>
      <w:hyperlink r:id="rId24">
        <w:r>
          <w:rPr>
            <w:color w:val="0000FF"/>
            <w:u w:val="single" w:color="0000FF"/>
          </w:rPr>
          <w:t>Transition to sterling risk-free rates from Libor | Bank of England</w:t>
        </w:r>
      </w:hyperlink>
    </w:p>
    <w:p>
      <w:pPr>
        <w:spacing w:after="0"/>
        <w:sectPr>
          <w:pgSz w:w="11910" w:h="16840"/>
          <w:pgMar w:header="571" w:footer="0" w:top="780" w:bottom="280" w:left="820" w:right="920"/>
        </w:sectPr>
      </w:pPr>
    </w:p>
    <w:p>
      <w:pPr>
        <w:pStyle w:val="BodyText"/>
        <w:spacing w:before="2"/>
        <w:rPr>
          <w:sz w:val="21"/>
        </w:rPr>
      </w:pPr>
    </w:p>
    <w:p>
      <w:pPr>
        <w:spacing w:before="93"/>
        <w:ind w:left="313" w:right="0" w:firstLine="0"/>
        <w:jc w:val="left"/>
        <w:rPr>
          <w:b/>
          <w:sz w:val="20"/>
        </w:rPr>
      </w:pPr>
      <w:r>
        <w:rPr>
          <w:b/>
          <w:sz w:val="20"/>
        </w:rPr>
        <w:t>Acronyms</w:t>
      </w:r>
    </w:p>
    <w:p>
      <w:pPr>
        <w:pStyle w:val="BodyText"/>
        <w:spacing w:before="8" w:after="1"/>
        <w:rPr>
          <w:b/>
          <w:sz w:val="26"/>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0"/>
        <w:gridCol w:w="4665"/>
      </w:tblGrid>
      <w:tr>
        <w:trPr>
          <w:trHeight w:val="226" w:hRule="atLeast"/>
        </w:trPr>
        <w:tc>
          <w:tcPr>
            <w:tcW w:w="1100" w:type="dxa"/>
          </w:tcPr>
          <w:p>
            <w:pPr>
              <w:pStyle w:val="TableParagraph"/>
              <w:spacing w:line="207" w:lineRule="exact"/>
              <w:ind w:left="200"/>
              <w:rPr>
                <w:sz w:val="20"/>
              </w:rPr>
            </w:pPr>
            <w:r>
              <w:rPr>
                <w:sz w:val="20"/>
              </w:rPr>
              <w:t>AT1</w:t>
            </w:r>
          </w:p>
        </w:tc>
        <w:tc>
          <w:tcPr>
            <w:tcW w:w="4665" w:type="dxa"/>
          </w:tcPr>
          <w:p>
            <w:pPr>
              <w:pStyle w:val="TableParagraph"/>
              <w:spacing w:line="207" w:lineRule="exact"/>
              <w:ind w:left="201"/>
              <w:rPr>
                <w:sz w:val="20"/>
              </w:rPr>
            </w:pPr>
            <w:r>
              <w:rPr>
                <w:sz w:val="20"/>
              </w:rPr>
              <w:t>Additional Tier1</w:t>
            </w:r>
          </w:p>
        </w:tc>
      </w:tr>
      <w:tr>
        <w:trPr>
          <w:trHeight w:val="230" w:hRule="atLeast"/>
        </w:trPr>
        <w:tc>
          <w:tcPr>
            <w:tcW w:w="1100" w:type="dxa"/>
          </w:tcPr>
          <w:p>
            <w:pPr>
              <w:pStyle w:val="TableParagraph"/>
              <w:spacing w:line="211" w:lineRule="exact"/>
              <w:ind w:left="200"/>
              <w:rPr>
                <w:sz w:val="20"/>
              </w:rPr>
            </w:pPr>
            <w:r>
              <w:rPr>
                <w:sz w:val="20"/>
              </w:rPr>
              <w:t>BAML</w:t>
            </w:r>
          </w:p>
        </w:tc>
        <w:tc>
          <w:tcPr>
            <w:tcW w:w="4665" w:type="dxa"/>
          </w:tcPr>
          <w:p>
            <w:pPr>
              <w:pStyle w:val="TableParagraph"/>
              <w:spacing w:line="211" w:lineRule="exact"/>
              <w:ind w:left="201"/>
              <w:rPr>
                <w:sz w:val="20"/>
              </w:rPr>
            </w:pPr>
            <w:r>
              <w:rPr>
                <w:sz w:val="20"/>
              </w:rPr>
              <w:t>Bank of America Merrill Lynch</w:t>
            </w:r>
          </w:p>
        </w:tc>
      </w:tr>
      <w:tr>
        <w:trPr>
          <w:trHeight w:val="229" w:hRule="atLeast"/>
        </w:trPr>
        <w:tc>
          <w:tcPr>
            <w:tcW w:w="1100" w:type="dxa"/>
          </w:tcPr>
          <w:p>
            <w:pPr>
              <w:pStyle w:val="TableParagraph"/>
              <w:spacing w:line="209" w:lineRule="exact"/>
              <w:ind w:left="200"/>
              <w:rPr>
                <w:sz w:val="20"/>
              </w:rPr>
            </w:pPr>
            <w:r>
              <w:rPr>
                <w:sz w:val="20"/>
              </w:rPr>
              <w:t>CDS</w:t>
            </w:r>
          </w:p>
        </w:tc>
        <w:tc>
          <w:tcPr>
            <w:tcW w:w="4665" w:type="dxa"/>
          </w:tcPr>
          <w:p>
            <w:pPr>
              <w:pStyle w:val="TableParagraph"/>
              <w:spacing w:line="209" w:lineRule="exact"/>
              <w:ind w:left="201"/>
              <w:rPr>
                <w:sz w:val="20"/>
              </w:rPr>
            </w:pPr>
            <w:r>
              <w:rPr>
                <w:sz w:val="20"/>
              </w:rPr>
              <w:t>Credit Default Swap</w:t>
            </w:r>
          </w:p>
        </w:tc>
      </w:tr>
      <w:tr>
        <w:trPr>
          <w:trHeight w:val="229" w:hRule="atLeast"/>
        </w:trPr>
        <w:tc>
          <w:tcPr>
            <w:tcW w:w="1100" w:type="dxa"/>
          </w:tcPr>
          <w:p>
            <w:pPr>
              <w:pStyle w:val="TableParagraph"/>
              <w:spacing w:line="209" w:lineRule="exact"/>
              <w:ind w:left="200"/>
              <w:rPr>
                <w:sz w:val="20"/>
              </w:rPr>
            </w:pPr>
            <w:r>
              <w:rPr>
                <w:sz w:val="20"/>
              </w:rPr>
              <w:t>CSDR</w:t>
            </w:r>
          </w:p>
        </w:tc>
        <w:tc>
          <w:tcPr>
            <w:tcW w:w="4665" w:type="dxa"/>
          </w:tcPr>
          <w:p>
            <w:pPr>
              <w:pStyle w:val="TableParagraph"/>
              <w:spacing w:line="209" w:lineRule="exact"/>
              <w:ind w:left="201"/>
              <w:rPr>
                <w:sz w:val="20"/>
              </w:rPr>
            </w:pPr>
            <w:r>
              <w:rPr>
                <w:sz w:val="20"/>
              </w:rPr>
              <w:t>Central Securities Depositories Regulation</w:t>
            </w:r>
          </w:p>
        </w:tc>
      </w:tr>
      <w:tr>
        <w:trPr>
          <w:trHeight w:val="230" w:hRule="atLeast"/>
        </w:trPr>
        <w:tc>
          <w:tcPr>
            <w:tcW w:w="1100" w:type="dxa"/>
          </w:tcPr>
          <w:p>
            <w:pPr>
              <w:pStyle w:val="TableParagraph"/>
              <w:spacing w:line="210" w:lineRule="exact"/>
              <w:ind w:left="200"/>
              <w:rPr>
                <w:sz w:val="20"/>
              </w:rPr>
            </w:pPr>
            <w:r>
              <w:rPr>
                <w:sz w:val="20"/>
              </w:rPr>
              <w:t>DMO</w:t>
            </w:r>
          </w:p>
        </w:tc>
        <w:tc>
          <w:tcPr>
            <w:tcW w:w="4665" w:type="dxa"/>
          </w:tcPr>
          <w:p>
            <w:pPr>
              <w:pStyle w:val="TableParagraph"/>
              <w:spacing w:line="210" w:lineRule="exact"/>
              <w:ind w:left="201"/>
              <w:rPr>
                <w:sz w:val="20"/>
              </w:rPr>
            </w:pPr>
            <w:r>
              <w:rPr>
                <w:sz w:val="20"/>
              </w:rPr>
              <w:t>Debt Management Office</w:t>
            </w:r>
          </w:p>
        </w:tc>
      </w:tr>
      <w:tr>
        <w:trPr>
          <w:trHeight w:val="230" w:hRule="atLeast"/>
        </w:trPr>
        <w:tc>
          <w:tcPr>
            <w:tcW w:w="1100" w:type="dxa"/>
          </w:tcPr>
          <w:p>
            <w:pPr>
              <w:pStyle w:val="TableParagraph"/>
              <w:spacing w:line="210" w:lineRule="exact"/>
              <w:ind w:left="200"/>
              <w:rPr>
                <w:sz w:val="20"/>
              </w:rPr>
            </w:pPr>
            <w:r>
              <w:rPr>
                <w:sz w:val="20"/>
              </w:rPr>
              <w:t>FCA</w:t>
            </w:r>
          </w:p>
        </w:tc>
        <w:tc>
          <w:tcPr>
            <w:tcW w:w="4665" w:type="dxa"/>
          </w:tcPr>
          <w:p>
            <w:pPr>
              <w:pStyle w:val="TableParagraph"/>
              <w:spacing w:line="210" w:lineRule="exact"/>
              <w:ind w:left="201"/>
              <w:rPr>
                <w:sz w:val="20"/>
              </w:rPr>
            </w:pPr>
            <w:r>
              <w:rPr>
                <w:sz w:val="20"/>
              </w:rPr>
              <w:t>Financial Conduct Authority</w:t>
            </w:r>
          </w:p>
        </w:tc>
      </w:tr>
      <w:tr>
        <w:trPr>
          <w:trHeight w:val="230" w:hRule="atLeast"/>
        </w:trPr>
        <w:tc>
          <w:tcPr>
            <w:tcW w:w="1100" w:type="dxa"/>
          </w:tcPr>
          <w:p>
            <w:pPr>
              <w:pStyle w:val="TableParagraph"/>
              <w:spacing w:line="210" w:lineRule="exact"/>
              <w:ind w:left="200"/>
              <w:rPr>
                <w:sz w:val="20"/>
              </w:rPr>
            </w:pPr>
            <w:r>
              <w:rPr>
                <w:sz w:val="20"/>
              </w:rPr>
              <w:t>FX</w:t>
            </w:r>
          </w:p>
        </w:tc>
        <w:tc>
          <w:tcPr>
            <w:tcW w:w="4665" w:type="dxa"/>
          </w:tcPr>
          <w:p>
            <w:pPr>
              <w:pStyle w:val="TableParagraph"/>
              <w:spacing w:line="210" w:lineRule="exact"/>
              <w:ind w:left="201"/>
              <w:rPr>
                <w:sz w:val="20"/>
              </w:rPr>
            </w:pPr>
            <w:r>
              <w:rPr>
                <w:sz w:val="20"/>
              </w:rPr>
              <w:t>Foreign exchange</w:t>
            </w:r>
          </w:p>
        </w:tc>
      </w:tr>
      <w:tr>
        <w:trPr>
          <w:trHeight w:val="229" w:hRule="atLeast"/>
        </w:trPr>
        <w:tc>
          <w:tcPr>
            <w:tcW w:w="1100" w:type="dxa"/>
          </w:tcPr>
          <w:p>
            <w:pPr>
              <w:pStyle w:val="TableParagraph"/>
              <w:spacing w:line="209" w:lineRule="exact"/>
              <w:ind w:left="200"/>
              <w:rPr>
                <w:sz w:val="20"/>
              </w:rPr>
            </w:pPr>
            <w:r>
              <w:rPr>
                <w:sz w:val="20"/>
              </w:rPr>
              <w:t>GMSLA</w:t>
            </w:r>
          </w:p>
        </w:tc>
        <w:tc>
          <w:tcPr>
            <w:tcW w:w="4665" w:type="dxa"/>
          </w:tcPr>
          <w:p>
            <w:pPr>
              <w:pStyle w:val="TableParagraph"/>
              <w:spacing w:line="209" w:lineRule="exact"/>
              <w:ind w:left="201"/>
              <w:rPr>
                <w:sz w:val="20"/>
              </w:rPr>
            </w:pPr>
            <w:r>
              <w:rPr>
                <w:sz w:val="20"/>
              </w:rPr>
              <w:t>Global Master Securities Lending Agreement</w:t>
            </w:r>
          </w:p>
        </w:tc>
      </w:tr>
      <w:tr>
        <w:trPr>
          <w:trHeight w:val="229" w:hRule="atLeast"/>
        </w:trPr>
        <w:tc>
          <w:tcPr>
            <w:tcW w:w="1100" w:type="dxa"/>
          </w:tcPr>
          <w:p>
            <w:pPr>
              <w:pStyle w:val="TableParagraph"/>
              <w:spacing w:line="209" w:lineRule="exact"/>
              <w:ind w:left="200"/>
              <w:rPr>
                <w:sz w:val="20"/>
              </w:rPr>
            </w:pPr>
            <w:r>
              <w:rPr>
                <w:sz w:val="20"/>
              </w:rPr>
              <w:t>IASB</w:t>
            </w:r>
          </w:p>
        </w:tc>
        <w:tc>
          <w:tcPr>
            <w:tcW w:w="4665" w:type="dxa"/>
          </w:tcPr>
          <w:p>
            <w:pPr>
              <w:pStyle w:val="TableParagraph"/>
              <w:spacing w:line="209" w:lineRule="exact"/>
              <w:ind w:left="201"/>
              <w:rPr>
                <w:sz w:val="20"/>
              </w:rPr>
            </w:pPr>
            <w:r>
              <w:rPr>
                <w:sz w:val="20"/>
              </w:rPr>
              <w:t>International Accounting Standards Board</w:t>
            </w:r>
          </w:p>
        </w:tc>
      </w:tr>
      <w:tr>
        <w:trPr>
          <w:trHeight w:val="230" w:hRule="atLeast"/>
        </w:trPr>
        <w:tc>
          <w:tcPr>
            <w:tcW w:w="1100" w:type="dxa"/>
          </w:tcPr>
          <w:p>
            <w:pPr>
              <w:pStyle w:val="TableParagraph"/>
              <w:spacing w:line="210" w:lineRule="exact"/>
              <w:ind w:left="200"/>
              <w:rPr>
                <w:sz w:val="20"/>
              </w:rPr>
            </w:pPr>
            <w:r>
              <w:rPr>
                <w:sz w:val="20"/>
              </w:rPr>
              <w:t>ISDA</w:t>
            </w:r>
          </w:p>
        </w:tc>
        <w:tc>
          <w:tcPr>
            <w:tcW w:w="4665" w:type="dxa"/>
          </w:tcPr>
          <w:p>
            <w:pPr>
              <w:pStyle w:val="TableParagraph"/>
              <w:spacing w:line="210" w:lineRule="exact"/>
              <w:ind w:left="201"/>
              <w:rPr>
                <w:sz w:val="20"/>
              </w:rPr>
            </w:pPr>
            <w:r>
              <w:rPr>
                <w:sz w:val="20"/>
              </w:rPr>
              <w:t>International Swaps and Derivatives Association</w:t>
            </w:r>
          </w:p>
        </w:tc>
      </w:tr>
      <w:tr>
        <w:trPr>
          <w:trHeight w:val="230" w:hRule="atLeast"/>
        </w:trPr>
        <w:tc>
          <w:tcPr>
            <w:tcW w:w="1100" w:type="dxa"/>
          </w:tcPr>
          <w:p>
            <w:pPr>
              <w:pStyle w:val="TableParagraph"/>
              <w:spacing w:line="210" w:lineRule="exact"/>
              <w:ind w:left="200"/>
              <w:rPr>
                <w:sz w:val="20"/>
              </w:rPr>
            </w:pPr>
            <w:r>
              <w:rPr>
                <w:sz w:val="20"/>
              </w:rPr>
              <w:t>ISLA</w:t>
            </w:r>
          </w:p>
        </w:tc>
        <w:tc>
          <w:tcPr>
            <w:tcW w:w="4665" w:type="dxa"/>
          </w:tcPr>
          <w:p>
            <w:pPr>
              <w:pStyle w:val="TableParagraph"/>
              <w:spacing w:line="210" w:lineRule="exact"/>
              <w:ind w:left="201"/>
              <w:rPr>
                <w:sz w:val="20"/>
              </w:rPr>
            </w:pPr>
            <w:r>
              <w:rPr>
                <w:sz w:val="20"/>
              </w:rPr>
              <w:t>International Securities Lending Association</w:t>
            </w:r>
          </w:p>
        </w:tc>
      </w:tr>
      <w:tr>
        <w:trPr>
          <w:trHeight w:val="230" w:hRule="atLeast"/>
        </w:trPr>
        <w:tc>
          <w:tcPr>
            <w:tcW w:w="1100" w:type="dxa"/>
          </w:tcPr>
          <w:p>
            <w:pPr>
              <w:pStyle w:val="TableParagraph"/>
              <w:spacing w:line="210" w:lineRule="exact"/>
              <w:ind w:left="200"/>
              <w:rPr>
                <w:sz w:val="20"/>
              </w:rPr>
            </w:pPr>
            <w:r>
              <w:rPr>
                <w:sz w:val="20"/>
              </w:rPr>
              <w:t>LDI</w:t>
            </w:r>
          </w:p>
        </w:tc>
        <w:tc>
          <w:tcPr>
            <w:tcW w:w="4665" w:type="dxa"/>
          </w:tcPr>
          <w:p>
            <w:pPr>
              <w:pStyle w:val="TableParagraph"/>
              <w:spacing w:line="210" w:lineRule="exact"/>
              <w:ind w:left="201"/>
              <w:rPr>
                <w:sz w:val="20"/>
              </w:rPr>
            </w:pPr>
            <w:r>
              <w:rPr>
                <w:sz w:val="20"/>
              </w:rPr>
              <w:t>Liability-driven investment</w:t>
            </w:r>
          </w:p>
        </w:tc>
      </w:tr>
      <w:tr>
        <w:trPr>
          <w:trHeight w:val="230" w:hRule="atLeast"/>
        </w:trPr>
        <w:tc>
          <w:tcPr>
            <w:tcW w:w="1100" w:type="dxa"/>
          </w:tcPr>
          <w:p>
            <w:pPr>
              <w:pStyle w:val="TableParagraph"/>
              <w:spacing w:line="210" w:lineRule="exact"/>
              <w:ind w:left="200"/>
              <w:rPr>
                <w:sz w:val="20"/>
              </w:rPr>
            </w:pPr>
            <w:r>
              <w:rPr>
                <w:sz w:val="20"/>
              </w:rPr>
              <w:t>Libor</w:t>
            </w:r>
          </w:p>
        </w:tc>
        <w:tc>
          <w:tcPr>
            <w:tcW w:w="4665" w:type="dxa"/>
          </w:tcPr>
          <w:p>
            <w:pPr>
              <w:pStyle w:val="TableParagraph"/>
              <w:spacing w:line="210" w:lineRule="exact"/>
              <w:ind w:left="201"/>
              <w:rPr>
                <w:sz w:val="20"/>
              </w:rPr>
            </w:pPr>
            <w:r>
              <w:rPr>
                <w:sz w:val="20"/>
              </w:rPr>
              <w:t>London Interbank Offered Rate</w:t>
            </w:r>
          </w:p>
        </w:tc>
      </w:tr>
      <w:tr>
        <w:trPr>
          <w:trHeight w:val="229" w:hRule="atLeast"/>
        </w:trPr>
        <w:tc>
          <w:tcPr>
            <w:tcW w:w="1100" w:type="dxa"/>
          </w:tcPr>
          <w:p>
            <w:pPr>
              <w:pStyle w:val="TableParagraph"/>
              <w:spacing w:line="209" w:lineRule="exact"/>
              <w:ind w:left="200"/>
              <w:rPr>
                <w:sz w:val="20"/>
              </w:rPr>
            </w:pPr>
            <w:r>
              <w:rPr>
                <w:sz w:val="20"/>
              </w:rPr>
              <w:t>MMC</w:t>
            </w:r>
          </w:p>
        </w:tc>
        <w:tc>
          <w:tcPr>
            <w:tcW w:w="4665" w:type="dxa"/>
          </w:tcPr>
          <w:p>
            <w:pPr>
              <w:pStyle w:val="TableParagraph"/>
              <w:spacing w:line="209" w:lineRule="exact"/>
              <w:ind w:left="201"/>
              <w:rPr>
                <w:sz w:val="20"/>
              </w:rPr>
            </w:pPr>
            <w:r>
              <w:rPr>
                <w:sz w:val="20"/>
              </w:rPr>
              <w:t>Money Markets Committee</w:t>
            </w:r>
          </w:p>
        </w:tc>
      </w:tr>
      <w:tr>
        <w:trPr>
          <w:trHeight w:val="229" w:hRule="atLeast"/>
        </w:trPr>
        <w:tc>
          <w:tcPr>
            <w:tcW w:w="1100" w:type="dxa"/>
          </w:tcPr>
          <w:p>
            <w:pPr>
              <w:pStyle w:val="TableParagraph"/>
              <w:spacing w:line="209" w:lineRule="exact"/>
              <w:ind w:left="200"/>
              <w:rPr>
                <w:sz w:val="20"/>
              </w:rPr>
            </w:pPr>
            <w:r>
              <w:rPr>
                <w:sz w:val="20"/>
              </w:rPr>
              <w:t>OIS</w:t>
            </w:r>
          </w:p>
        </w:tc>
        <w:tc>
          <w:tcPr>
            <w:tcW w:w="4665" w:type="dxa"/>
          </w:tcPr>
          <w:p>
            <w:pPr>
              <w:pStyle w:val="TableParagraph"/>
              <w:spacing w:line="209" w:lineRule="exact"/>
              <w:ind w:left="201"/>
              <w:rPr>
                <w:sz w:val="20"/>
              </w:rPr>
            </w:pPr>
            <w:r>
              <w:rPr>
                <w:sz w:val="20"/>
              </w:rPr>
              <w:t>Overnight Index Swap</w:t>
            </w:r>
          </w:p>
        </w:tc>
      </w:tr>
      <w:tr>
        <w:trPr>
          <w:trHeight w:val="230" w:hRule="atLeast"/>
        </w:trPr>
        <w:tc>
          <w:tcPr>
            <w:tcW w:w="1100" w:type="dxa"/>
          </w:tcPr>
          <w:p>
            <w:pPr>
              <w:pStyle w:val="TableParagraph"/>
              <w:spacing w:line="210" w:lineRule="exact"/>
              <w:ind w:left="200"/>
              <w:rPr>
                <w:sz w:val="20"/>
              </w:rPr>
            </w:pPr>
            <w:r>
              <w:rPr>
                <w:sz w:val="20"/>
              </w:rPr>
              <w:t>RBS</w:t>
            </w:r>
          </w:p>
        </w:tc>
        <w:tc>
          <w:tcPr>
            <w:tcW w:w="4665" w:type="dxa"/>
          </w:tcPr>
          <w:p>
            <w:pPr>
              <w:pStyle w:val="TableParagraph"/>
              <w:spacing w:line="210" w:lineRule="exact"/>
              <w:ind w:left="201"/>
              <w:rPr>
                <w:sz w:val="20"/>
              </w:rPr>
            </w:pPr>
            <w:r>
              <w:rPr>
                <w:sz w:val="20"/>
              </w:rPr>
              <w:t>Royal Bank of Scotland</w:t>
            </w:r>
          </w:p>
        </w:tc>
      </w:tr>
      <w:tr>
        <w:trPr>
          <w:trHeight w:val="230" w:hRule="atLeast"/>
        </w:trPr>
        <w:tc>
          <w:tcPr>
            <w:tcW w:w="1100" w:type="dxa"/>
          </w:tcPr>
          <w:p>
            <w:pPr>
              <w:pStyle w:val="TableParagraph"/>
              <w:spacing w:line="211" w:lineRule="exact"/>
              <w:ind w:left="200"/>
              <w:rPr>
                <w:sz w:val="20"/>
              </w:rPr>
            </w:pPr>
            <w:r>
              <w:rPr>
                <w:sz w:val="20"/>
              </w:rPr>
              <w:t>RFR</w:t>
            </w:r>
          </w:p>
        </w:tc>
        <w:tc>
          <w:tcPr>
            <w:tcW w:w="4665" w:type="dxa"/>
          </w:tcPr>
          <w:p>
            <w:pPr>
              <w:pStyle w:val="TableParagraph"/>
              <w:spacing w:line="211" w:lineRule="exact"/>
              <w:ind w:left="201"/>
              <w:rPr>
                <w:sz w:val="20"/>
              </w:rPr>
            </w:pPr>
            <w:r>
              <w:rPr>
                <w:sz w:val="20"/>
              </w:rPr>
              <w:t>Risk-Free Rate</w:t>
            </w:r>
          </w:p>
        </w:tc>
      </w:tr>
      <w:tr>
        <w:trPr>
          <w:trHeight w:val="230" w:hRule="atLeast"/>
        </w:trPr>
        <w:tc>
          <w:tcPr>
            <w:tcW w:w="1100" w:type="dxa"/>
          </w:tcPr>
          <w:p>
            <w:pPr>
              <w:pStyle w:val="TableParagraph"/>
              <w:spacing w:line="211" w:lineRule="exact"/>
              <w:ind w:left="200"/>
              <w:rPr>
                <w:sz w:val="20"/>
              </w:rPr>
            </w:pPr>
            <w:r>
              <w:rPr>
                <w:sz w:val="20"/>
              </w:rPr>
              <w:t>RONIA</w:t>
            </w:r>
          </w:p>
        </w:tc>
        <w:tc>
          <w:tcPr>
            <w:tcW w:w="4665" w:type="dxa"/>
          </w:tcPr>
          <w:p>
            <w:pPr>
              <w:pStyle w:val="TableParagraph"/>
              <w:spacing w:line="211" w:lineRule="exact"/>
              <w:ind w:left="201"/>
              <w:rPr>
                <w:sz w:val="20"/>
              </w:rPr>
            </w:pPr>
            <w:r>
              <w:rPr>
                <w:sz w:val="20"/>
              </w:rPr>
              <w:t>Repo Overnight Index Average</w:t>
            </w:r>
          </w:p>
        </w:tc>
      </w:tr>
      <w:tr>
        <w:trPr>
          <w:trHeight w:val="230" w:hRule="atLeast"/>
        </w:trPr>
        <w:tc>
          <w:tcPr>
            <w:tcW w:w="1100" w:type="dxa"/>
          </w:tcPr>
          <w:p>
            <w:pPr>
              <w:pStyle w:val="TableParagraph"/>
              <w:spacing w:line="210" w:lineRule="exact"/>
              <w:ind w:left="200"/>
              <w:rPr>
                <w:sz w:val="20"/>
              </w:rPr>
            </w:pPr>
            <w:r>
              <w:rPr>
                <w:sz w:val="20"/>
              </w:rPr>
              <w:t>SLC</w:t>
            </w:r>
          </w:p>
        </w:tc>
        <w:tc>
          <w:tcPr>
            <w:tcW w:w="4665" w:type="dxa"/>
          </w:tcPr>
          <w:p>
            <w:pPr>
              <w:pStyle w:val="TableParagraph"/>
              <w:spacing w:line="210" w:lineRule="exact"/>
              <w:ind w:left="201"/>
              <w:rPr>
                <w:sz w:val="20"/>
              </w:rPr>
            </w:pPr>
            <w:r>
              <w:rPr>
                <w:sz w:val="20"/>
              </w:rPr>
              <w:t>Securities Lending Committee</w:t>
            </w:r>
          </w:p>
        </w:tc>
      </w:tr>
      <w:tr>
        <w:trPr>
          <w:trHeight w:val="229" w:hRule="atLeast"/>
        </w:trPr>
        <w:tc>
          <w:tcPr>
            <w:tcW w:w="1100" w:type="dxa"/>
          </w:tcPr>
          <w:p>
            <w:pPr>
              <w:pStyle w:val="TableParagraph"/>
              <w:spacing w:line="209" w:lineRule="exact"/>
              <w:ind w:left="200"/>
              <w:rPr>
                <w:sz w:val="20"/>
              </w:rPr>
            </w:pPr>
            <w:r>
              <w:rPr>
                <w:sz w:val="20"/>
              </w:rPr>
              <w:t>SMF</w:t>
            </w:r>
          </w:p>
        </w:tc>
        <w:tc>
          <w:tcPr>
            <w:tcW w:w="4665" w:type="dxa"/>
          </w:tcPr>
          <w:p>
            <w:pPr>
              <w:pStyle w:val="TableParagraph"/>
              <w:spacing w:line="209" w:lineRule="exact"/>
              <w:ind w:left="201"/>
              <w:rPr>
                <w:sz w:val="20"/>
              </w:rPr>
            </w:pPr>
            <w:r>
              <w:rPr>
                <w:sz w:val="20"/>
              </w:rPr>
              <w:t>Sterling Monetary Framework</w:t>
            </w:r>
          </w:p>
        </w:tc>
      </w:tr>
      <w:tr>
        <w:trPr>
          <w:trHeight w:val="225" w:hRule="atLeast"/>
        </w:trPr>
        <w:tc>
          <w:tcPr>
            <w:tcW w:w="1100" w:type="dxa"/>
          </w:tcPr>
          <w:p>
            <w:pPr>
              <w:pStyle w:val="TableParagraph"/>
              <w:spacing w:line="205" w:lineRule="exact"/>
              <w:ind w:left="200"/>
              <w:rPr>
                <w:sz w:val="20"/>
              </w:rPr>
            </w:pPr>
            <w:r>
              <w:rPr>
                <w:sz w:val="20"/>
              </w:rPr>
              <w:t>SONIA</w:t>
            </w:r>
          </w:p>
        </w:tc>
        <w:tc>
          <w:tcPr>
            <w:tcW w:w="4665" w:type="dxa"/>
          </w:tcPr>
          <w:p>
            <w:pPr>
              <w:pStyle w:val="TableParagraph"/>
              <w:spacing w:line="205" w:lineRule="exact"/>
              <w:ind w:left="201"/>
              <w:rPr>
                <w:sz w:val="20"/>
              </w:rPr>
            </w:pPr>
            <w:r>
              <w:rPr>
                <w:sz w:val="20"/>
              </w:rPr>
              <w:t>Sterling Overnight Index Average</w:t>
            </w:r>
          </w:p>
        </w:tc>
      </w:tr>
    </w:tbl>
    <w:sectPr>
      <w:pgSz w:w="11910" w:h="16840"/>
      <w:pgMar w:header="571" w:footer="0" w:top="780" w:bottom="28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6.744003pt;margin-top:27.543459pt;width:11.55pt;height:13.15pt;mso-position-horizontal-relative:page;mso-position-vertical-relative:page;z-index:-252155904" type="#_x0000_t202" filled="false" stroked="false">
          <v:textbox inset="0,0,0,0">
            <w:txbxContent>
              <w:p>
                <w:pPr>
                  <w:spacing w:before="12"/>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071" w:hanging="360"/>
      </w:pPr>
      <w:rPr>
        <w:rFonts w:hint="default" w:ascii="Symbol" w:hAnsi="Symbol" w:eastAsia="Symbol" w:cs="Symbol"/>
        <w:w w:val="99"/>
        <w:sz w:val="20"/>
        <w:szCs w:val="20"/>
        <w:lang w:val="en-gb" w:eastAsia="en-gb" w:bidi="en-gb"/>
      </w:rPr>
    </w:lvl>
    <w:lvl w:ilvl="1">
      <w:start w:val="0"/>
      <w:numFmt w:val="bullet"/>
      <w:lvlText w:val="•"/>
      <w:lvlJc w:val="left"/>
      <w:pPr>
        <w:ind w:left="1874" w:hanging="360"/>
      </w:pPr>
      <w:rPr>
        <w:rFonts w:hint="default"/>
        <w:lang w:val="en-gb" w:eastAsia="en-gb" w:bidi="en-gb"/>
      </w:rPr>
    </w:lvl>
    <w:lvl w:ilvl="2">
      <w:start w:val="0"/>
      <w:numFmt w:val="bullet"/>
      <w:lvlText w:val="•"/>
      <w:lvlJc w:val="left"/>
      <w:pPr>
        <w:ind w:left="2668" w:hanging="360"/>
      </w:pPr>
      <w:rPr>
        <w:rFonts w:hint="default"/>
        <w:lang w:val="en-gb" w:eastAsia="en-gb" w:bidi="en-gb"/>
      </w:rPr>
    </w:lvl>
    <w:lvl w:ilvl="3">
      <w:start w:val="0"/>
      <w:numFmt w:val="bullet"/>
      <w:lvlText w:val="•"/>
      <w:lvlJc w:val="left"/>
      <w:pPr>
        <w:ind w:left="3462" w:hanging="360"/>
      </w:pPr>
      <w:rPr>
        <w:rFonts w:hint="default"/>
        <w:lang w:val="en-gb" w:eastAsia="en-gb" w:bidi="en-gb"/>
      </w:rPr>
    </w:lvl>
    <w:lvl w:ilvl="4">
      <w:start w:val="0"/>
      <w:numFmt w:val="bullet"/>
      <w:lvlText w:val="•"/>
      <w:lvlJc w:val="left"/>
      <w:pPr>
        <w:ind w:left="4256" w:hanging="360"/>
      </w:pPr>
      <w:rPr>
        <w:rFonts w:hint="default"/>
        <w:lang w:val="en-gb" w:eastAsia="en-gb" w:bidi="en-gb"/>
      </w:rPr>
    </w:lvl>
    <w:lvl w:ilvl="5">
      <w:start w:val="0"/>
      <w:numFmt w:val="bullet"/>
      <w:lvlText w:val="•"/>
      <w:lvlJc w:val="left"/>
      <w:pPr>
        <w:ind w:left="5051" w:hanging="360"/>
      </w:pPr>
      <w:rPr>
        <w:rFonts w:hint="default"/>
        <w:lang w:val="en-gb" w:eastAsia="en-gb" w:bidi="en-gb"/>
      </w:rPr>
    </w:lvl>
    <w:lvl w:ilvl="6">
      <w:start w:val="0"/>
      <w:numFmt w:val="bullet"/>
      <w:lvlText w:val="•"/>
      <w:lvlJc w:val="left"/>
      <w:pPr>
        <w:ind w:left="5845" w:hanging="360"/>
      </w:pPr>
      <w:rPr>
        <w:rFonts w:hint="default"/>
        <w:lang w:val="en-gb" w:eastAsia="en-gb" w:bidi="en-gb"/>
      </w:rPr>
    </w:lvl>
    <w:lvl w:ilvl="7">
      <w:start w:val="0"/>
      <w:numFmt w:val="bullet"/>
      <w:lvlText w:val="•"/>
      <w:lvlJc w:val="left"/>
      <w:pPr>
        <w:ind w:left="6639" w:hanging="360"/>
      </w:pPr>
      <w:rPr>
        <w:rFonts w:hint="default"/>
        <w:lang w:val="en-gb" w:eastAsia="en-gb" w:bidi="en-gb"/>
      </w:rPr>
    </w:lvl>
    <w:lvl w:ilvl="8">
      <w:start w:val="0"/>
      <w:numFmt w:val="bullet"/>
      <w:lvlText w:val="•"/>
      <w:lvlJc w:val="left"/>
      <w:pPr>
        <w:ind w:left="7433" w:hanging="360"/>
      </w:pPr>
      <w:rPr>
        <w:rFonts w:hint="default"/>
        <w:lang w:val="en-gb" w:eastAsia="en-gb" w:bidi="en-gb"/>
      </w:rPr>
    </w:lvl>
  </w:abstractNum>
  <w:abstractNum w:abstractNumId="4">
    <w:multiLevelType w:val="hybridMultilevel"/>
    <w:lvl w:ilvl="0">
      <w:start w:val="0"/>
      <w:numFmt w:val="bullet"/>
      <w:lvlText w:val=""/>
      <w:lvlJc w:val="left"/>
      <w:pPr>
        <w:ind w:left="1093" w:hanging="360"/>
      </w:pPr>
      <w:rPr>
        <w:rFonts w:hint="default" w:ascii="Symbol" w:hAnsi="Symbol" w:eastAsia="Symbol" w:cs="Symbol"/>
        <w:w w:val="99"/>
        <w:sz w:val="20"/>
        <w:szCs w:val="20"/>
        <w:lang w:val="en-gb" w:eastAsia="en-gb" w:bidi="en-gb"/>
      </w:rPr>
    </w:lvl>
    <w:lvl w:ilvl="1">
      <w:start w:val="0"/>
      <w:numFmt w:val="bullet"/>
      <w:lvlText w:val="•"/>
      <w:lvlJc w:val="left"/>
      <w:pPr>
        <w:ind w:left="1892" w:hanging="360"/>
      </w:pPr>
      <w:rPr>
        <w:rFonts w:hint="default"/>
        <w:lang w:val="en-gb" w:eastAsia="en-gb" w:bidi="en-gb"/>
      </w:rPr>
    </w:lvl>
    <w:lvl w:ilvl="2">
      <w:start w:val="0"/>
      <w:numFmt w:val="bullet"/>
      <w:lvlText w:val="•"/>
      <w:lvlJc w:val="left"/>
      <w:pPr>
        <w:ind w:left="2684" w:hanging="360"/>
      </w:pPr>
      <w:rPr>
        <w:rFonts w:hint="default"/>
        <w:lang w:val="en-gb" w:eastAsia="en-gb" w:bidi="en-gb"/>
      </w:rPr>
    </w:lvl>
    <w:lvl w:ilvl="3">
      <w:start w:val="0"/>
      <w:numFmt w:val="bullet"/>
      <w:lvlText w:val="•"/>
      <w:lvlJc w:val="left"/>
      <w:pPr>
        <w:ind w:left="3476" w:hanging="360"/>
      </w:pPr>
      <w:rPr>
        <w:rFonts w:hint="default"/>
        <w:lang w:val="en-gb" w:eastAsia="en-gb" w:bidi="en-gb"/>
      </w:rPr>
    </w:lvl>
    <w:lvl w:ilvl="4">
      <w:start w:val="0"/>
      <w:numFmt w:val="bullet"/>
      <w:lvlText w:val="•"/>
      <w:lvlJc w:val="left"/>
      <w:pPr>
        <w:ind w:left="4268" w:hanging="360"/>
      </w:pPr>
      <w:rPr>
        <w:rFonts w:hint="default"/>
        <w:lang w:val="en-gb" w:eastAsia="en-gb" w:bidi="en-gb"/>
      </w:rPr>
    </w:lvl>
    <w:lvl w:ilvl="5">
      <w:start w:val="0"/>
      <w:numFmt w:val="bullet"/>
      <w:lvlText w:val="•"/>
      <w:lvlJc w:val="left"/>
      <w:pPr>
        <w:ind w:left="5061" w:hanging="360"/>
      </w:pPr>
      <w:rPr>
        <w:rFonts w:hint="default"/>
        <w:lang w:val="en-gb" w:eastAsia="en-gb" w:bidi="en-gb"/>
      </w:rPr>
    </w:lvl>
    <w:lvl w:ilvl="6">
      <w:start w:val="0"/>
      <w:numFmt w:val="bullet"/>
      <w:lvlText w:val="•"/>
      <w:lvlJc w:val="left"/>
      <w:pPr>
        <w:ind w:left="5853" w:hanging="360"/>
      </w:pPr>
      <w:rPr>
        <w:rFonts w:hint="default"/>
        <w:lang w:val="en-gb" w:eastAsia="en-gb" w:bidi="en-gb"/>
      </w:rPr>
    </w:lvl>
    <w:lvl w:ilvl="7">
      <w:start w:val="0"/>
      <w:numFmt w:val="bullet"/>
      <w:lvlText w:val="•"/>
      <w:lvlJc w:val="left"/>
      <w:pPr>
        <w:ind w:left="6645" w:hanging="360"/>
      </w:pPr>
      <w:rPr>
        <w:rFonts w:hint="default"/>
        <w:lang w:val="en-gb" w:eastAsia="en-gb" w:bidi="en-gb"/>
      </w:rPr>
    </w:lvl>
    <w:lvl w:ilvl="8">
      <w:start w:val="0"/>
      <w:numFmt w:val="bullet"/>
      <w:lvlText w:val="•"/>
      <w:lvlJc w:val="left"/>
      <w:pPr>
        <w:ind w:left="7437" w:hanging="360"/>
      </w:pPr>
      <w:rPr>
        <w:rFonts w:hint="default"/>
        <w:lang w:val="en-gb" w:eastAsia="en-gb" w:bidi="en-gb"/>
      </w:rPr>
    </w:lvl>
  </w:abstractNum>
  <w:abstractNum w:abstractNumId="3">
    <w:multiLevelType w:val="hybridMultilevel"/>
    <w:lvl w:ilvl="0">
      <w:start w:val="0"/>
      <w:numFmt w:val="bullet"/>
      <w:lvlText w:val=""/>
      <w:lvlJc w:val="left"/>
      <w:pPr>
        <w:ind w:left="1093" w:hanging="360"/>
      </w:pPr>
      <w:rPr>
        <w:rFonts w:hint="default" w:ascii="Symbol" w:hAnsi="Symbol" w:eastAsia="Symbol" w:cs="Symbol"/>
        <w:w w:val="99"/>
        <w:sz w:val="20"/>
        <w:szCs w:val="20"/>
        <w:lang w:val="en-gb" w:eastAsia="en-gb" w:bidi="en-gb"/>
      </w:rPr>
    </w:lvl>
    <w:lvl w:ilvl="1">
      <w:start w:val="0"/>
      <w:numFmt w:val="bullet"/>
      <w:lvlText w:val="•"/>
      <w:lvlJc w:val="left"/>
      <w:pPr>
        <w:ind w:left="1895" w:hanging="360"/>
      </w:pPr>
      <w:rPr>
        <w:rFonts w:hint="default"/>
        <w:lang w:val="en-gb" w:eastAsia="en-gb" w:bidi="en-gb"/>
      </w:rPr>
    </w:lvl>
    <w:lvl w:ilvl="2">
      <w:start w:val="0"/>
      <w:numFmt w:val="bullet"/>
      <w:lvlText w:val="•"/>
      <w:lvlJc w:val="left"/>
      <w:pPr>
        <w:ind w:left="2690" w:hanging="360"/>
      </w:pPr>
      <w:rPr>
        <w:rFonts w:hint="default"/>
        <w:lang w:val="en-gb" w:eastAsia="en-gb" w:bidi="en-gb"/>
      </w:rPr>
    </w:lvl>
    <w:lvl w:ilvl="3">
      <w:start w:val="0"/>
      <w:numFmt w:val="bullet"/>
      <w:lvlText w:val="•"/>
      <w:lvlJc w:val="left"/>
      <w:pPr>
        <w:ind w:left="3486" w:hanging="360"/>
      </w:pPr>
      <w:rPr>
        <w:rFonts w:hint="default"/>
        <w:lang w:val="en-gb" w:eastAsia="en-gb" w:bidi="en-gb"/>
      </w:rPr>
    </w:lvl>
    <w:lvl w:ilvl="4">
      <w:start w:val="0"/>
      <w:numFmt w:val="bullet"/>
      <w:lvlText w:val="•"/>
      <w:lvlJc w:val="left"/>
      <w:pPr>
        <w:ind w:left="4281" w:hanging="360"/>
      </w:pPr>
      <w:rPr>
        <w:rFonts w:hint="default"/>
        <w:lang w:val="en-gb" w:eastAsia="en-gb" w:bidi="en-gb"/>
      </w:rPr>
    </w:lvl>
    <w:lvl w:ilvl="5">
      <w:start w:val="0"/>
      <w:numFmt w:val="bullet"/>
      <w:lvlText w:val="•"/>
      <w:lvlJc w:val="left"/>
      <w:pPr>
        <w:ind w:left="5077" w:hanging="360"/>
      </w:pPr>
      <w:rPr>
        <w:rFonts w:hint="default"/>
        <w:lang w:val="en-gb" w:eastAsia="en-gb" w:bidi="en-gb"/>
      </w:rPr>
    </w:lvl>
    <w:lvl w:ilvl="6">
      <w:start w:val="0"/>
      <w:numFmt w:val="bullet"/>
      <w:lvlText w:val="•"/>
      <w:lvlJc w:val="left"/>
      <w:pPr>
        <w:ind w:left="5872" w:hanging="360"/>
      </w:pPr>
      <w:rPr>
        <w:rFonts w:hint="default"/>
        <w:lang w:val="en-gb" w:eastAsia="en-gb" w:bidi="en-gb"/>
      </w:rPr>
    </w:lvl>
    <w:lvl w:ilvl="7">
      <w:start w:val="0"/>
      <w:numFmt w:val="bullet"/>
      <w:lvlText w:val="•"/>
      <w:lvlJc w:val="left"/>
      <w:pPr>
        <w:ind w:left="6667" w:hanging="360"/>
      </w:pPr>
      <w:rPr>
        <w:rFonts w:hint="default"/>
        <w:lang w:val="en-gb" w:eastAsia="en-gb" w:bidi="en-gb"/>
      </w:rPr>
    </w:lvl>
    <w:lvl w:ilvl="8">
      <w:start w:val="0"/>
      <w:numFmt w:val="bullet"/>
      <w:lvlText w:val="•"/>
      <w:lvlJc w:val="left"/>
      <w:pPr>
        <w:ind w:left="7463" w:hanging="360"/>
      </w:pPr>
      <w:rPr>
        <w:rFonts w:hint="default"/>
        <w:lang w:val="en-gb" w:eastAsia="en-gb" w:bidi="en-gb"/>
      </w:rPr>
    </w:lvl>
  </w:abstractNum>
  <w:abstractNum w:abstractNumId="2">
    <w:multiLevelType w:val="hybridMultilevel"/>
    <w:lvl w:ilvl="0">
      <w:start w:val="0"/>
      <w:numFmt w:val="bullet"/>
      <w:lvlText w:val=""/>
      <w:lvlJc w:val="left"/>
      <w:pPr>
        <w:ind w:left="1136" w:hanging="360"/>
      </w:pPr>
      <w:rPr>
        <w:rFonts w:hint="default" w:ascii="Symbol" w:hAnsi="Symbol" w:eastAsia="Symbol" w:cs="Symbol"/>
        <w:w w:val="99"/>
        <w:sz w:val="20"/>
        <w:szCs w:val="20"/>
        <w:lang w:val="en-gb" w:eastAsia="en-gb" w:bidi="en-gb"/>
      </w:rPr>
    </w:lvl>
    <w:lvl w:ilvl="1">
      <w:start w:val="0"/>
      <w:numFmt w:val="bullet"/>
      <w:lvlText w:val="•"/>
      <w:lvlJc w:val="left"/>
      <w:pPr>
        <w:ind w:left="1931" w:hanging="360"/>
      </w:pPr>
      <w:rPr>
        <w:rFonts w:hint="default"/>
        <w:lang w:val="en-gb" w:eastAsia="en-gb" w:bidi="en-gb"/>
      </w:rPr>
    </w:lvl>
    <w:lvl w:ilvl="2">
      <w:start w:val="0"/>
      <w:numFmt w:val="bullet"/>
      <w:lvlText w:val="•"/>
      <w:lvlJc w:val="left"/>
      <w:pPr>
        <w:ind w:left="2722" w:hanging="360"/>
      </w:pPr>
      <w:rPr>
        <w:rFonts w:hint="default"/>
        <w:lang w:val="en-gb" w:eastAsia="en-gb" w:bidi="en-gb"/>
      </w:rPr>
    </w:lvl>
    <w:lvl w:ilvl="3">
      <w:start w:val="0"/>
      <w:numFmt w:val="bullet"/>
      <w:lvlText w:val="•"/>
      <w:lvlJc w:val="left"/>
      <w:pPr>
        <w:ind w:left="3514" w:hanging="360"/>
      </w:pPr>
      <w:rPr>
        <w:rFonts w:hint="default"/>
        <w:lang w:val="en-gb" w:eastAsia="en-gb" w:bidi="en-gb"/>
      </w:rPr>
    </w:lvl>
    <w:lvl w:ilvl="4">
      <w:start w:val="0"/>
      <w:numFmt w:val="bullet"/>
      <w:lvlText w:val="•"/>
      <w:lvlJc w:val="left"/>
      <w:pPr>
        <w:ind w:left="4305" w:hanging="360"/>
      </w:pPr>
      <w:rPr>
        <w:rFonts w:hint="default"/>
        <w:lang w:val="en-gb" w:eastAsia="en-gb" w:bidi="en-gb"/>
      </w:rPr>
    </w:lvl>
    <w:lvl w:ilvl="5">
      <w:start w:val="0"/>
      <w:numFmt w:val="bullet"/>
      <w:lvlText w:val="•"/>
      <w:lvlJc w:val="left"/>
      <w:pPr>
        <w:ind w:left="5097" w:hanging="360"/>
      </w:pPr>
      <w:rPr>
        <w:rFonts w:hint="default"/>
        <w:lang w:val="en-gb" w:eastAsia="en-gb" w:bidi="en-gb"/>
      </w:rPr>
    </w:lvl>
    <w:lvl w:ilvl="6">
      <w:start w:val="0"/>
      <w:numFmt w:val="bullet"/>
      <w:lvlText w:val="•"/>
      <w:lvlJc w:val="left"/>
      <w:pPr>
        <w:ind w:left="5888" w:hanging="360"/>
      </w:pPr>
      <w:rPr>
        <w:rFonts w:hint="default"/>
        <w:lang w:val="en-gb" w:eastAsia="en-gb" w:bidi="en-gb"/>
      </w:rPr>
    </w:lvl>
    <w:lvl w:ilvl="7">
      <w:start w:val="0"/>
      <w:numFmt w:val="bullet"/>
      <w:lvlText w:val="•"/>
      <w:lvlJc w:val="left"/>
      <w:pPr>
        <w:ind w:left="6679" w:hanging="360"/>
      </w:pPr>
      <w:rPr>
        <w:rFonts w:hint="default"/>
        <w:lang w:val="en-gb" w:eastAsia="en-gb" w:bidi="en-gb"/>
      </w:rPr>
    </w:lvl>
    <w:lvl w:ilvl="8">
      <w:start w:val="0"/>
      <w:numFmt w:val="bullet"/>
      <w:lvlText w:val="•"/>
      <w:lvlJc w:val="left"/>
      <w:pPr>
        <w:ind w:left="7471" w:hanging="360"/>
      </w:pPr>
      <w:rPr>
        <w:rFonts w:hint="default"/>
        <w:lang w:val="en-gb" w:eastAsia="en-gb" w:bidi="en-gb"/>
      </w:rPr>
    </w:lvl>
  </w:abstractNum>
  <w:abstractNum w:abstractNumId="1">
    <w:multiLevelType w:val="hybridMultilevel"/>
    <w:lvl w:ilvl="0">
      <w:start w:val="0"/>
      <w:numFmt w:val="bullet"/>
      <w:lvlText w:val=""/>
      <w:lvlJc w:val="left"/>
      <w:pPr>
        <w:ind w:left="1136" w:hanging="360"/>
      </w:pPr>
      <w:rPr>
        <w:rFonts w:hint="default" w:ascii="Symbol" w:hAnsi="Symbol" w:eastAsia="Symbol" w:cs="Symbol"/>
        <w:w w:val="99"/>
        <w:sz w:val="20"/>
        <w:szCs w:val="20"/>
        <w:lang w:val="en-gb" w:eastAsia="en-gb" w:bidi="en-gb"/>
      </w:rPr>
    </w:lvl>
    <w:lvl w:ilvl="1">
      <w:start w:val="0"/>
      <w:numFmt w:val="bullet"/>
      <w:lvlText w:val="•"/>
      <w:lvlJc w:val="left"/>
      <w:pPr>
        <w:ind w:left="1931" w:hanging="360"/>
      </w:pPr>
      <w:rPr>
        <w:rFonts w:hint="default"/>
        <w:lang w:val="en-gb" w:eastAsia="en-gb" w:bidi="en-gb"/>
      </w:rPr>
    </w:lvl>
    <w:lvl w:ilvl="2">
      <w:start w:val="0"/>
      <w:numFmt w:val="bullet"/>
      <w:lvlText w:val="•"/>
      <w:lvlJc w:val="left"/>
      <w:pPr>
        <w:ind w:left="2723" w:hanging="360"/>
      </w:pPr>
      <w:rPr>
        <w:rFonts w:hint="default"/>
        <w:lang w:val="en-gb" w:eastAsia="en-gb" w:bidi="en-gb"/>
      </w:rPr>
    </w:lvl>
    <w:lvl w:ilvl="3">
      <w:start w:val="0"/>
      <w:numFmt w:val="bullet"/>
      <w:lvlText w:val="•"/>
      <w:lvlJc w:val="left"/>
      <w:pPr>
        <w:ind w:left="3514" w:hanging="360"/>
      </w:pPr>
      <w:rPr>
        <w:rFonts w:hint="default"/>
        <w:lang w:val="en-gb" w:eastAsia="en-gb" w:bidi="en-gb"/>
      </w:rPr>
    </w:lvl>
    <w:lvl w:ilvl="4">
      <w:start w:val="0"/>
      <w:numFmt w:val="bullet"/>
      <w:lvlText w:val="•"/>
      <w:lvlJc w:val="left"/>
      <w:pPr>
        <w:ind w:left="4306" w:hanging="360"/>
      </w:pPr>
      <w:rPr>
        <w:rFonts w:hint="default"/>
        <w:lang w:val="en-gb" w:eastAsia="en-gb" w:bidi="en-gb"/>
      </w:rPr>
    </w:lvl>
    <w:lvl w:ilvl="5">
      <w:start w:val="0"/>
      <w:numFmt w:val="bullet"/>
      <w:lvlText w:val="•"/>
      <w:lvlJc w:val="left"/>
      <w:pPr>
        <w:ind w:left="5098" w:hanging="360"/>
      </w:pPr>
      <w:rPr>
        <w:rFonts w:hint="default"/>
        <w:lang w:val="en-gb" w:eastAsia="en-gb" w:bidi="en-gb"/>
      </w:rPr>
    </w:lvl>
    <w:lvl w:ilvl="6">
      <w:start w:val="0"/>
      <w:numFmt w:val="bullet"/>
      <w:lvlText w:val="•"/>
      <w:lvlJc w:val="left"/>
      <w:pPr>
        <w:ind w:left="5889" w:hanging="360"/>
      </w:pPr>
      <w:rPr>
        <w:rFonts w:hint="default"/>
        <w:lang w:val="en-gb" w:eastAsia="en-gb" w:bidi="en-gb"/>
      </w:rPr>
    </w:lvl>
    <w:lvl w:ilvl="7">
      <w:start w:val="0"/>
      <w:numFmt w:val="bullet"/>
      <w:lvlText w:val="•"/>
      <w:lvlJc w:val="left"/>
      <w:pPr>
        <w:ind w:left="6681" w:hanging="360"/>
      </w:pPr>
      <w:rPr>
        <w:rFonts w:hint="default"/>
        <w:lang w:val="en-gb" w:eastAsia="en-gb" w:bidi="en-gb"/>
      </w:rPr>
    </w:lvl>
    <w:lvl w:ilvl="8">
      <w:start w:val="0"/>
      <w:numFmt w:val="bullet"/>
      <w:lvlText w:val="•"/>
      <w:lvlJc w:val="left"/>
      <w:pPr>
        <w:ind w:left="7472" w:hanging="360"/>
      </w:pPr>
      <w:rPr>
        <w:rFonts w:hint="default"/>
        <w:lang w:val="en-gb" w:eastAsia="en-gb" w:bidi="en-gb"/>
      </w:rPr>
    </w:lvl>
  </w:abstractNum>
  <w:abstractNum w:abstractNumId="0">
    <w:multiLevelType w:val="hybridMultilevel"/>
    <w:lvl w:ilvl="0">
      <w:start w:val="0"/>
      <w:numFmt w:val="bullet"/>
      <w:lvlText w:val=""/>
      <w:lvlJc w:val="left"/>
      <w:pPr>
        <w:ind w:left="1136" w:hanging="360"/>
      </w:pPr>
      <w:rPr>
        <w:rFonts w:hint="default" w:ascii="Symbol" w:hAnsi="Symbol" w:eastAsia="Symbol" w:cs="Symbol"/>
        <w:w w:val="99"/>
        <w:sz w:val="20"/>
        <w:szCs w:val="20"/>
        <w:lang w:val="en-gb" w:eastAsia="en-gb" w:bidi="en-gb"/>
      </w:rPr>
    </w:lvl>
    <w:lvl w:ilvl="1">
      <w:start w:val="0"/>
      <w:numFmt w:val="bullet"/>
      <w:lvlText w:val="•"/>
      <w:lvlJc w:val="left"/>
      <w:pPr>
        <w:ind w:left="1931" w:hanging="360"/>
      </w:pPr>
      <w:rPr>
        <w:rFonts w:hint="default"/>
        <w:lang w:val="en-gb" w:eastAsia="en-gb" w:bidi="en-gb"/>
      </w:rPr>
    </w:lvl>
    <w:lvl w:ilvl="2">
      <w:start w:val="0"/>
      <w:numFmt w:val="bullet"/>
      <w:lvlText w:val="•"/>
      <w:lvlJc w:val="left"/>
      <w:pPr>
        <w:ind w:left="2723" w:hanging="360"/>
      </w:pPr>
      <w:rPr>
        <w:rFonts w:hint="default"/>
        <w:lang w:val="en-gb" w:eastAsia="en-gb" w:bidi="en-gb"/>
      </w:rPr>
    </w:lvl>
    <w:lvl w:ilvl="3">
      <w:start w:val="0"/>
      <w:numFmt w:val="bullet"/>
      <w:lvlText w:val="•"/>
      <w:lvlJc w:val="left"/>
      <w:pPr>
        <w:ind w:left="3514" w:hanging="360"/>
      </w:pPr>
      <w:rPr>
        <w:rFonts w:hint="default"/>
        <w:lang w:val="en-gb" w:eastAsia="en-gb" w:bidi="en-gb"/>
      </w:rPr>
    </w:lvl>
    <w:lvl w:ilvl="4">
      <w:start w:val="0"/>
      <w:numFmt w:val="bullet"/>
      <w:lvlText w:val="•"/>
      <w:lvlJc w:val="left"/>
      <w:pPr>
        <w:ind w:left="4306" w:hanging="360"/>
      </w:pPr>
      <w:rPr>
        <w:rFonts w:hint="default"/>
        <w:lang w:val="en-gb" w:eastAsia="en-gb" w:bidi="en-gb"/>
      </w:rPr>
    </w:lvl>
    <w:lvl w:ilvl="5">
      <w:start w:val="0"/>
      <w:numFmt w:val="bullet"/>
      <w:lvlText w:val="•"/>
      <w:lvlJc w:val="left"/>
      <w:pPr>
        <w:ind w:left="5098" w:hanging="360"/>
      </w:pPr>
      <w:rPr>
        <w:rFonts w:hint="default"/>
        <w:lang w:val="en-gb" w:eastAsia="en-gb" w:bidi="en-gb"/>
      </w:rPr>
    </w:lvl>
    <w:lvl w:ilvl="6">
      <w:start w:val="0"/>
      <w:numFmt w:val="bullet"/>
      <w:lvlText w:val="•"/>
      <w:lvlJc w:val="left"/>
      <w:pPr>
        <w:ind w:left="5889" w:hanging="360"/>
      </w:pPr>
      <w:rPr>
        <w:rFonts w:hint="default"/>
        <w:lang w:val="en-gb" w:eastAsia="en-gb" w:bidi="en-gb"/>
      </w:rPr>
    </w:lvl>
    <w:lvl w:ilvl="7">
      <w:start w:val="0"/>
      <w:numFmt w:val="bullet"/>
      <w:lvlText w:val="•"/>
      <w:lvlJc w:val="left"/>
      <w:pPr>
        <w:ind w:left="6681" w:hanging="360"/>
      </w:pPr>
      <w:rPr>
        <w:rFonts w:hint="default"/>
        <w:lang w:val="en-gb" w:eastAsia="en-gb" w:bidi="en-gb"/>
      </w:rPr>
    </w:lvl>
    <w:lvl w:ilvl="8">
      <w:start w:val="0"/>
      <w:numFmt w:val="bullet"/>
      <w:lvlText w:val="•"/>
      <w:lvlJc w:val="left"/>
      <w:pPr>
        <w:ind w:left="7472" w:hanging="360"/>
      </w:pPr>
      <w:rPr>
        <w:rFonts w:hint="default"/>
        <w:lang w:val="en-gb" w:eastAsia="en-gb" w:bidi="en-gb"/>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18"/>
      <w:szCs w:val="18"/>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jpeg"/><Relationship Id="rId20" Type="http://schemas.openxmlformats.org/officeDocument/2006/relationships/header" Target="header1.xml"/><Relationship Id="rId21" Type="http://schemas.openxmlformats.org/officeDocument/2006/relationships/hyperlink" Target="https://www.bankofengland.co.uk/minutes/2018/money-markets-committee-september-2018" TargetMode="External"/><Relationship Id="rId22" Type="http://schemas.openxmlformats.org/officeDocument/2006/relationships/hyperlink" Target="https://www.bankofengland.co.uk/-/media/boe/files/paper/2018/boe-future-balance-sheet-and-framework-for-controlling-interest-rates.pdf?la=en&amp;hash=5698143A9EA823D16162E8EE8E1D3854A4A35AF4" TargetMode="External"/><Relationship Id="rId23" Type="http://schemas.openxmlformats.org/officeDocument/2006/relationships/hyperlink" Target="https://www.fca.org.uk/publication/consultation/cp18-39.pdf" TargetMode="External"/><Relationship Id="rId24" Type="http://schemas.openxmlformats.org/officeDocument/2006/relationships/hyperlink" Target="https://www.bankofengland.co.uk/markets/transition-to-sterling-risk-free-rates-from-libor"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Money Markets Committee</dc:subject>
  <dc:title>Minutes of Money Markets Committee meeting - December 2018</dc:title>
  <dcterms:created xsi:type="dcterms:W3CDTF">2020-06-01T02:00:36Z</dcterms:created>
  <dcterms:modified xsi:type="dcterms:W3CDTF">2020-06-01T02:00:36Z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2019-01-23T00:00:00Z</vt:filetime>
  </property>
  <property fmtid="{D5CDD505-2E9C-101B-9397-08002B2CF9AE}" pid="3" name="LastSaved">
    <vt:filetime>2020-06-01T00:00:00Z</vt:filetime>
  </property>
</Properties>
</file>