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1285" w:val="left" w:leader="none"/>
          <w:tab w:pos="7080" w:val="left" w:leader="none"/>
        </w:tabs>
        <w:spacing w:line="240" w:lineRule="auto"/>
        <w:ind w:left="329" w:right="0" w:firstLine="0"/>
        <w:rPr>
          <w:rFonts w:ascii="Times New Roman"/>
          <w:sz w:val="20"/>
        </w:rPr>
      </w:pPr>
      <w:r>
        <w:rPr>
          <w:rFonts w:ascii="Times New Roman"/>
          <w:position w:val="80"/>
          <w:sz w:val="20"/>
        </w:rPr>
        <w:drawing>
          <wp:inline distT="0" distB="0" distL="0" distR="0">
            <wp:extent cx="465795" cy="471487"/>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65795" cy="471487"/>
                    </a:xfrm>
                    <a:prstGeom prst="rect">
                      <a:avLst/>
                    </a:prstGeom>
                  </pic:spPr>
                </pic:pic>
              </a:graphicData>
            </a:graphic>
          </wp:inline>
        </w:drawing>
      </w:r>
      <w:r>
        <w:rPr>
          <w:rFonts w:ascii="Times New Roman"/>
          <w:position w:val="80"/>
          <w:sz w:val="20"/>
        </w:rPr>
      </w:r>
      <w:r>
        <w:rPr>
          <w:rFonts w:ascii="Times New Roman"/>
          <w:position w:val="80"/>
          <w:sz w:val="20"/>
        </w:rPr>
        <w:tab/>
      </w:r>
      <w:r>
        <w:rPr>
          <w:rFonts w:ascii="Times New Roman"/>
          <w:position w:val="107"/>
          <w:sz w:val="20"/>
        </w:rPr>
        <w:pict>
          <v:group style="width:28.3pt;height:9.9pt;mso-position-horizontal-relative:char;mso-position-vertical-relative:line" coordorigin="0,0" coordsize="566,198">
            <v:shape style="position:absolute;left:0;top:0;width:126;height:197" type="#_x0000_t75" stroked="false">
              <v:imagedata r:id="rId6" o:title=""/>
            </v:shape>
            <v:shape style="position:absolute;left:167;top:0;width:175;height:198" type="#_x0000_t75" stroked="false">
              <v:imagedata r:id="rId7" o:title=""/>
            </v:shape>
            <v:shape style="position:absolute;left:394;top:0;width:171;height:197" type="#_x0000_t75" stroked="false">
              <v:imagedata r:id="rId8" o:title=""/>
            </v:shape>
          </v:group>
        </w:pict>
      </w:r>
      <w:r>
        <w:rPr>
          <w:rFonts w:ascii="Times New Roman"/>
          <w:position w:val="107"/>
          <w:sz w:val="20"/>
        </w:rPr>
      </w:r>
      <w:r>
        <w:rPr>
          <w:rFonts w:ascii="Times New Roman"/>
          <w:spacing w:val="15"/>
          <w:position w:val="107"/>
          <w:sz w:val="19"/>
        </w:rPr>
        <w:t> </w:t>
      </w:r>
      <w:r>
        <w:rPr>
          <w:rFonts w:ascii="Times New Roman"/>
          <w:spacing w:val="15"/>
          <w:position w:val="107"/>
          <w:sz w:val="20"/>
        </w:rPr>
        <w:drawing>
          <wp:inline distT="0" distB="0" distL="0" distR="0">
            <wp:extent cx="88933" cy="123825"/>
            <wp:effectExtent l="0" t="0" r="0" b="0"/>
            <wp:docPr id="3" name="image5.png"/>
            <wp:cNvGraphicFramePr>
              <a:graphicFrameLocks noChangeAspect="1"/>
            </wp:cNvGraphicFramePr>
            <a:graphic>
              <a:graphicData uri="http://schemas.openxmlformats.org/drawingml/2006/picture">
                <pic:pic>
                  <pic:nvPicPr>
                    <pic:cNvPr id="4" name="image5.png"/>
                    <pic:cNvPicPr/>
                  </pic:nvPicPr>
                  <pic:blipFill>
                    <a:blip r:embed="rId9" cstate="print"/>
                    <a:stretch>
                      <a:fillRect/>
                    </a:stretch>
                  </pic:blipFill>
                  <pic:spPr>
                    <a:xfrm>
                      <a:off x="0" y="0"/>
                      <a:ext cx="88933" cy="123825"/>
                    </a:xfrm>
                    <a:prstGeom prst="rect">
                      <a:avLst/>
                    </a:prstGeom>
                  </pic:spPr>
                </pic:pic>
              </a:graphicData>
            </a:graphic>
          </wp:inline>
        </w:drawing>
      </w:r>
      <w:r>
        <w:rPr>
          <w:rFonts w:ascii="Times New Roman"/>
          <w:spacing w:val="15"/>
          <w:position w:val="107"/>
          <w:sz w:val="20"/>
        </w:rPr>
      </w:r>
      <w:r>
        <w:rPr>
          <w:rFonts w:ascii="Times New Roman"/>
          <w:spacing w:val="66"/>
          <w:position w:val="107"/>
          <w:sz w:val="20"/>
        </w:rPr>
        <w:t> </w:t>
      </w:r>
      <w:r>
        <w:rPr>
          <w:rFonts w:ascii="Times New Roman"/>
          <w:spacing w:val="66"/>
          <w:position w:val="107"/>
          <w:sz w:val="20"/>
        </w:rPr>
        <w:pict>
          <v:group style="width:18.55pt;height:10.1pt;mso-position-horizontal-relative:char;mso-position-vertical-relative:line" coordorigin="0,0" coordsize="371,202">
            <v:shape style="position:absolute;left:0;top:0;width:194;height:202" type="#_x0000_t75" stroked="false">
              <v:imagedata r:id="rId10" o:title=""/>
            </v:shape>
            <v:shape style="position:absolute;left:258;top:1;width:113;height:197" type="#_x0000_t75" stroked="false">
              <v:imagedata r:id="rId11" o:title=""/>
            </v:shape>
          </v:group>
        </w:pict>
      </w:r>
      <w:r>
        <w:rPr>
          <w:rFonts w:ascii="Times New Roman"/>
          <w:spacing w:val="66"/>
          <w:position w:val="107"/>
          <w:sz w:val="20"/>
        </w:rPr>
      </w:r>
      <w:r>
        <w:rPr>
          <w:rFonts w:ascii="Times New Roman"/>
          <w:spacing w:val="80"/>
          <w:position w:val="107"/>
          <w:sz w:val="20"/>
        </w:rPr>
        <w:t> </w:t>
      </w:r>
      <w:r>
        <w:rPr>
          <w:rFonts w:ascii="Times New Roman"/>
          <w:spacing w:val="80"/>
          <w:position w:val="107"/>
          <w:sz w:val="20"/>
        </w:rPr>
        <w:pict>
          <v:group style="width:29.4pt;height:10.1pt;mso-position-horizontal-relative:char;mso-position-vertical-relative:line" coordorigin="0,0" coordsize="588,202">
            <v:shape style="position:absolute;left:184;top:1;width:171;height:197" type="#_x0000_t75" stroked="false">
              <v:imagedata r:id="rId12" o:title=""/>
            </v:shape>
            <v:shape style="position:absolute;left:0;top:1;width:119;height:197" type="#_x0000_t75" stroked="false">
              <v:imagedata r:id="rId13" o:title=""/>
            </v:shape>
            <v:shape style="position:absolute;left:418;top:0;width:169;height:202" type="#_x0000_t75" stroked="false">
              <v:imagedata r:id="rId14" o:title=""/>
            </v:shape>
          </v:group>
        </w:pict>
      </w:r>
      <w:r>
        <w:rPr>
          <w:rFonts w:ascii="Times New Roman"/>
          <w:spacing w:val="80"/>
          <w:position w:val="107"/>
          <w:sz w:val="20"/>
        </w:rPr>
      </w:r>
      <w:r>
        <w:rPr>
          <w:rFonts w:ascii="Times New Roman"/>
          <w:spacing w:val="13"/>
          <w:position w:val="107"/>
          <w:sz w:val="19"/>
        </w:rPr>
        <w:t> </w:t>
      </w:r>
      <w:r>
        <w:rPr>
          <w:rFonts w:ascii="Times New Roman"/>
          <w:spacing w:val="13"/>
          <w:position w:val="107"/>
          <w:sz w:val="20"/>
        </w:rPr>
        <w:pict>
          <v:group style="width:26.65pt;height:9.9pt;mso-position-horizontal-relative:char;mso-position-vertical-relative:line" coordorigin="0,0" coordsize="533,198">
            <v:shape style="position:absolute;left:0;top:0;width:101;height:197" type="#_x0000_t75" stroked="false">
              <v:imagedata r:id="rId15" o:title=""/>
            </v:shape>
            <v:shape style="position:absolute;left:134;top:0;width:175;height:198" type="#_x0000_t75" stroked="false">
              <v:imagedata r:id="rId16" o:title=""/>
            </v:shape>
            <v:shape style="position:absolute;left:361;top:0;width:171;height:197" type="#_x0000_t75" stroked="false">
              <v:imagedata r:id="rId17" o:title=""/>
            </v:shape>
          </v:group>
        </w:pict>
      </w:r>
      <w:r>
        <w:rPr>
          <w:rFonts w:ascii="Times New Roman"/>
          <w:spacing w:val="13"/>
          <w:position w:val="107"/>
          <w:sz w:val="20"/>
        </w:rPr>
      </w:r>
      <w:r>
        <w:rPr>
          <w:rFonts w:ascii="Times New Roman"/>
          <w:spacing w:val="15"/>
          <w:position w:val="107"/>
          <w:sz w:val="19"/>
        </w:rPr>
        <w:t> </w:t>
      </w:r>
      <w:r>
        <w:rPr>
          <w:rFonts w:ascii="Times New Roman"/>
          <w:spacing w:val="15"/>
          <w:position w:val="107"/>
          <w:sz w:val="20"/>
        </w:rPr>
        <w:drawing>
          <wp:inline distT="0" distB="0" distL="0" distR="0">
            <wp:extent cx="101368" cy="123825"/>
            <wp:effectExtent l="0" t="0" r="0" b="0"/>
            <wp:docPr id="5" name="image14.png"/>
            <wp:cNvGraphicFramePr>
              <a:graphicFrameLocks noChangeAspect="1"/>
            </wp:cNvGraphicFramePr>
            <a:graphic>
              <a:graphicData uri="http://schemas.openxmlformats.org/drawingml/2006/picture">
                <pic:pic>
                  <pic:nvPicPr>
                    <pic:cNvPr id="6" name="image14.png"/>
                    <pic:cNvPicPr/>
                  </pic:nvPicPr>
                  <pic:blipFill>
                    <a:blip r:embed="rId18" cstate="print"/>
                    <a:stretch>
                      <a:fillRect/>
                    </a:stretch>
                  </pic:blipFill>
                  <pic:spPr>
                    <a:xfrm>
                      <a:off x="0" y="0"/>
                      <a:ext cx="101368" cy="123825"/>
                    </a:xfrm>
                    <a:prstGeom prst="rect">
                      <a:avLst/>
                    </a:prstGeom>
                  </pic:spPr>
                </pic:pic>
              </a:graphicData>
            </a:graphic>
          </wp:inline>
        </w:drawing>
      </w:r>
      <w:r>
        <w:rPr>
          <w:rFonts w:ascii="Times New Roman"/>
          <w:spacing w:val="15"/>
          <w:position w:val="107"/>
          <w:sz w:val="20"/>
        </w:rPr>
      </w:r>
      <w:r>
        <w:rPr>
          <w:rFonts w:ascii="Times New Roman"/>
          <w:spacing w:val="15"/>
          <w:position w:val="107"/>
          <w:sz w:val="20"/>
        </w:rPr>
        <w:tab/>
      </w:r>
      <w:r>
        <w:rPr>
          <w:rFonts w:ascii="Times New Roman"/>
          <w:spacing w:val="15"/>
          <w:sz w:val="20"/>
        </w:rPr>
        <w:drawing>
          <wp:inline distT="0" distB="0" distL="0" distR="0">
            <wp:extent cx="1789828" cy="1043558"/>
            <wp:effectExtent l="0" t="0" r="0" b="0"/>
            <wp:docPr id="7" name="image15.jpeg"/>
            <wp:cNvGraphicFramePr>
              <a:graphicFrameLocks noChangeAspect="1"/>
            </wp:cNvGraphicFramePr>
            <a:graphic>
              <a:graphicData uri="http://schemas.openxmlformats.org/drawingml/2006/picture">
                <pic:pic>
                  <pic:nvPicPr>
                    <pic:cNvPr id="8" name="image15.jpeg"/>
                    <pic:cNvPicPr/>
                  </pic:nvPicPr>
                  <pic:blipFill>
                    <a:blip r:embed="rId19" cstate="print"/>
                    <a:stretch>
                      <a:fillRect/>
                    </a:stretch>
                  </pic:blipFill>
                  <pic:spPr>
                    <a:xfrm>
                      <a:off x="0" y="0"/>
                      <a:ext cx="1789828" cy="1043558"/>
                    </a:xfrm>
                    <a:prstGeom prst="rect">
                      <a:avLst/>
                    </a:prstGeom>
                  </pic:spPr>
                </pic:pic>
              </a:graphicData>
            </a:graphic>
          </wp:inline>
        </w:drawing>
      </w:r>
      <w:r>
        <w:rPr>
          <w:rFonts w:ascii="Times New Roman"/>
          <w:spacing w:val="15"/>
          <w:sz w:val="20"/>
        </w:rPr>
      </w:r>
    </w:p>
    <w:p>
      <w:pPr>
        <w:pStyle w:val="BodyText"/>
        <w:rPr>
          <w:rFonts w:ascii="Times New Roman"/>
          <w:sz w:val="20"/>
        </w:rPr>
      </w:pPr>
    </w:p>
    <w:p>
      <w:pPr>
        <w:pStyle w:val="BodyText"/>
        <w:spacing w:before="6"/>
        <w:rPr>
          <w:rFonts w:ascii="Times New Roman"/>
          <w:sz w:val="15"/>
        </w:rPr>
      </w:pPr>
    </w:p>
    <w:tbl>
      <w:tblPr>
        <w:tblW w:w="0" w:type="auto"/>
        <w:jc w:val="left"/>
        <w:tblInd w:w="3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9"/>
        <w:gridCol w:w="8676"/>
      </w:tblGrid>
      <w:tr>
        <w:trPr>
          <w:trHeight w:val="665" w:hRule="atLeast"/>
        </w:trPr>
        <w:tc>
          <w:tcPr>
            <w:tcW w:w="9655" w:type="dxa"/>
            <w:gridSpan w:val="2"/>
          </w:tcPr>
          <w:p>
            <w:pPr>
              <w:pStyle w:val="TableParagraph"/>
              <w:spacing w:line="491" w:lineRule="exact"/>
              <w:ind w:left="2"/>
              <w:rPr>
                <w:sz w:val="44"/>
              </w:rPr>
            </w:pPr>
            <w:r>
              <w:rPr>
                <w:sz w:val="44"/>
              </w:rPr>
              <w:t>Minutes</w:t>
            </w:r>
          </w:p>
        </w:tc>
      </w:tr>
      <w:tr>
        <w:trPr>
          <w:trHeight w:val="579" w:hRule="atLeast"/>
        </w:trPr>
        <w:tc>
          <w:tcPr>
            <w:tcW w:w="9655" w:type="dxa"/>
            <w:gridSpan w:val="2"/>
          </w:tcPr>
          <w:p>
            <w:pPr>
              <w:pStyle w:val="TableParagraph"/>
              <w:spacing w:before="163"/>
              <w:ind w:left="2"/>
              <w:rPr>
                <w:b/>
                <w:sz w:val="32"/>
              </w:rPr>
            </w:pPr>
            <w:r>
              <w:rPr>
                <w:b/>
                <w:sz w:val="32"/>
              </w:rPr>
              <w:t>Money Markets Committee</w:t>
            </w:r>
          </w:p>
        </w:tc>
      </w:tr>
      <w:tr>
        <w:trPr>
          <w:trHeight w:val="627" w:hRule="atLeast"/>
        </w:trPr>
        <w:tc>
          <w:tcPr>
            <w:tcW w:w="9655" w:type="dxa"/>
            <w:gridSpan w:val="2"/>
            <w:tcBorders>
              <w:bottom w:val="single" w:sz="4" w:space="0" w:color="000000"/>
            </w:tcBorders>
          </w:tcPr>
          <w:p>
            <w:pPr>
              <w:pStyle w:val="TableParagraph"/>
              <w:spacing w:before="79"/>
              <w:ind w:left="2"/>
              <w:rPr>
                <w:sz w:val="24"/>
              </w:rPr>
            </w:pPr>
            <w:r>
              <w:rPr>
                <w:sz w:val="24"/>
              </w:rPr>
              <w:t>3</w:t>
            </w:r>
            <w:r>
              <w:rPr>
                <w:sz w:val="24"/>
                <w:vertAlign w:val="superscript"/>
              </w:rPr>
              <w:t>rd</w:t>
            </w:r>
            <w:r>
              <w:rPr>
                <w:sz w:val="24"/>
                <w:vertAlign w:val="baseline"/>
              </w:rPr>
              <w:t> September 2018</w:t>
            </w:r>
          </w:p>
        </w:tc>
      </w:tr>
      <w:tr>
        <w:trPr>
          <w:trHeight w:val="579" w:hRule="atLeast"/>
        </w:trPr>
        <w:tc>
          <w:tcPr>
            <w:tcW w:w="979" w:type="dxa"/>
            <w:tcBorders>
              <w:top w:val="single" w:sz="4" w:space="0" w:color="000000"/>
            </w:tcBorders>
          </w:tcPr>
          <w:p>
            <w:pPr>
              <w:pStyle w:val="TableParagraph"/>
              <w:spacing w:before="8"/>
              <w:rPr>
                <w:rFonts w:ascii="Times New Roman"/>
                <w:sz w:val="18"/>
              </w:rPr>
            </w:pPr>
          </w:p>
          <w:p>
            <w:pPr>
              <w:pStyle w:val="TableParagraph"/>
              <w:ind w:left="2"/>
              <w:rPr>
                <w:sz w:val="20"/>
              </w:rPr>
            </w:pPr>
            <w:r>
              <w:rPr>
                <w:sz w:val="20"/>
              </w:rPr>
              <w:t>Location:</w:t>
            </w:r>
          </w:p>
        </w:tc>
        <w:tc>
          <w:tcPr>
            <w:tcW w:w="8676" w:type="dxa"/>
            <w:tcBorders>
              <w:top w:val="single" w:sz="4" w:space="0" w:color="000000"/>
            </w:tcBorders>
          </w:tcPr>
          <w:p>
            <w:pPr>
              <w:pStyle w:val="TableParagraph"/>
              <w:spacing w:before="8"/>
              <w:rPr>
                <w:rFonts w:ascii="Times New Roman"/>
                <w:sz w:val="18"/>
              </w:rPr>
            </w:pPr>
          </w:p>
          <w:p>
            <w:pPr>
              <w:pStyle w:val="TableParagraph"/>
              <w:ind w:left="22"/>
              <w:rPr>
                <w:sz w:val="20"/>
              </w:rPr>
            </w:pPr>
            <w:r>
              <w:rPr>
                <w:sz w:val="20"/>
              </w:rPr>
              <w:t>RBS, 280 Bishopsgate</w:t>
            </w:r>
          </w:p>
        </w:tc>
      </w:tr>
      <w:tr>
        <w:trPr>
          <w:trHeight w:val="7505" w:hRule="atLeast"/>
        </w:trPr>
        <w:tc>
          <w:tcPr>
            <w:tcW w:w="979" w:type="dxa"/>
          </w:tcPr>
          <w:p>
            <w:pPr>
              <w:pStyle w:val="TableParagraph"/>
              <w:spacing w:before="130"/>
              <w:ind w:left="2"/>
              <w:rPr>
                <w:sz w:val="20"/>
              </w:rPr>
            </w:pPr>
            <w:r>
              <w:rPr>
                <w:sz w:val="20"/>
              </w:rPr>
              <w:t>Attendees:</w:t>
            </w:r>
          </w:p>
        </w:tc>
        <w:tc>
          <w:tcPr>
            <w:tcW w:w="8676" w:type="dxa"/>
          </w:tcPr>
          <w:p>
            <w:pPr>
              <w:pStyle w:val="TableParagraph"/>
              <w:spacing w:before="127"/>
              <w:ind w:left="79"/>
              <w:rPr>
                <w:sz w:val="20"/>
              </w:rPr>
            </w:pPr>
            <w:r>
              <w:rPr>
                <w:b/>
                <w:sz w:val="20"/>
              </w:rPr>
              <w:t>Aberdeen Standard Investments</w:t>
            </w:r>
            <w:r>
              <w:rPr>
                <w:sz w:val="20"/>
              </w:rPr>
              <w:t>: Gordon Lowson</w:t>
            </w:r>
          </w:p>
          <w:p>
            <w:pPr>
              <w:pStyle w:val="TableParagraph"/>
              <w:spacing w:before="37"/>
              <w:ind w:left="79"/>
              <w:rPr>
                <w:sz w:val="20"/>
              </w:rPr>
            </w:pPr>
            <w:r>
              <w:rPr>
                <w:b/>
                <w:sz w:val="20"/>
              </w:rPr>
              <w:t>ACT: </w:t>
            </w:r>
            <w:r>
              <w:rPr>
                <w:sz w:val="20"/>
              </w:rPr>
              <w:t>Michelle Price</w:t>
            </w:r>
          </w:p>
          <w:p>
            <w:pPr>
              <w:pStyle w:val="TableParagraph"/>
              <w:spacing w:line="276" w:lineRule="auto" w:before="34"/>
              <w:ind w:left="77" w:right="5644" w:firstLine="2"/>
              <w:rPr>
                <w:sz w:val="20"/>
              </w:rPr>
            </w:pPr>
            <w:r>
              <w:rPr>
                <w:b/>
                <w:sz w:val="20"/>
              </w:rPr>
              <w:t>Aviva Investors</w:t>
            </w:r>
            <w:r>
              <w:rPr>
                <w:sz w:val="20"/>
              </w:rPr>
              <w:t>: Mick Chadwick </w:t>
            </w:r>
            <w:r>
              <w:rPr>
                <w:b/>
                <w:sz w:val="20"/>
              </w:rPr>
              <w:t>BAML</w:t>
            </w:r>
            <w:r>
              <w:rPr>
                <w:sz w:val="20"/>
              </w:rPr>
              <w:t>: Cameron Dunn </w:t>
            </w:r>
            <w:r>
              <w:rPr>
                <w:b/>
                <w:sz w:val="20"/>
              </w:rPr>
              <w:t>Barclays</w:t>
            </w:r>
            <w:r>
              <w:rPr>
                <w:sz w:val="20"/>
              </w:rPr>
              <w:t>: Michael Manna </w:t>
            </w:r>
            <w:r>
              <w:rPr>
                <w:b/>
                <w:sz w:val="20"/>
              </w:rPr>
              <w:t>Blackrock</w:t>
            </w:r>
            <w:r>
              <w:rPr>
                <w:sz w:val="20"/>
              </w:rPr>
              <w:t>: James Templeman </w:t>
            </w:r>
            <w:r>
              <w:rPr>
                <w:b/>
                <w:sz w:val="20"/>
              </w:rPr>
              <w:t>Credit Suisse</w:t>
            </w:r>
            <w:r>
              <w:rPr>
                <w:sz w:val="20"/>
              </w:rPr>
              <w:t>: Romain Dumas </w:t>
            </w:r>
            <w:r>
              <w:rPr>
                <w:b/>
                <w:sz w:val="20"/>
              </w:rPr>
              <w:t>DMO (Observer)</w:t>
            </w:r>
            <w:r>
              <w:rPr>
                <w:sz w:val="20"/>
              </w:rPr>
              <w:t>: Jessica Pulay </w:t>
            </w:r>
            <w:r>
              <w:rPr>
                <w:b/>
                <w:sz w:val="20"/>
              </w:rPr>
              <w:t>Euroclear</w:t>
            </w:r>
            <w:r>
              <w:rPr>
                <w:sz w:val="20"/>
              </w:rPr>
              <w:t>: John</w:t>
            </w:r>
            <w:r>
              <w:rPr>
                <w:spacing w:val="-4"/>
                <w:sz w:val="20"/>
              </w:rPr>
              <w:t> </w:t>
            </w:r>
            <w:r>
              <w:rPr>
                <w:sz w:val="20"/>
              </w:rPr>
              <w:t>Trundle</w:t>
            </w:r>
          </w:p>
          <w:p>
            <w:pPr>
              <w:pStyle w:val="TableParagraph"/>
              <w:spacing w:line="229" w:lineRule="exact"/>
              <w:ind w:left="77"/>
              <w:rPr>
                <w:sz w:val="20"/>
              </w:rPr>
            </w:pPr>
            <w:r>
              <w:rPr>
                <w:b/>
                <w:sz w:val="20"/>
              </w:rPr>
              <w:t>FCA (Observer)</w:t>
            </w:r>
            <w:r>
              <w:rPr>
                <w:sz w:val="20"/>
              </w:rPr>
              <w:t>: Helen Boyd</w:t>
            </w:r>
          </w:p>
          <w:p>
            <w:pPr>
              <w:pStyle w:val="TableParagraph"/>
              <w:spacing w:before="34"/>
              <w:ind w:left="77"/>
              <w:rPr>
                <w:sz w:val="20"/>
              </w:rPr>
            </w:pPr>
            <w:r>
              <w:rPr>
                <w:b/>
                <w:sz w:val="20"/>
              </w:rPr>
              <w:t>HSBC</w:t>
            </w:r>
            <w:r>
              <w:rPr>
                <w:sz w:val="20"/>
              </w:rPr>
              <w:t>: James Murphy</w:t>
            </w:r>
          </w:p>
          <w:p>
            <w:pPr>
              <w:pStyle w:val="TableParagraph"/>
              <w:spacing w:before="37"/>
              <w:ind w:left="77"/>
              <w:rPr>
                <w:sz w:val="20"/>
              </w:rPr>
            </w:pPr>
            <w:r>
              <w:rPr>
                <w:b/>
                <w:sz w:val="20"/>
              </w:rPr>
              <w:t>Insight Investment</w:t>
            </w:r>
            <w:r>
              <w:rPr>
                <w:sz w:val="20"/>
              </w:rPr>
              <w:t>: Chris Brown</w:t>
            </w:r>
          </w:p>
          <w:p>
            <w:pPr>
              <w:pStyle w:val="TableParagraph"/>
              <w:spacing w:before="34"/>
              <w:ind w:left="77"/>
              <w:rPr>
                <w:sz w:val="20"/>
              </w:rPr>
            </w:pPr>
            <w:r>
              <w:rPr>
                <w:b/>
                <w:sz w:val="20"/>
              </w:rPr>
              <w:t>J.P. Morgan</w:t>
            </w:r>
            <w:r>
              <w:rPr>
                <w:sz w:val="20"/>
              </w:rPr>
              <w:t>: Ben Challice</w:t>
            </w:r>
          </w:p>
          <w:p>
            <w:pPr>
              <w:pStyle w:val="TableParagraph"/>
              <w:spacing w:before="34"/>
              <w:ind w:left="77"/>
              <w:rPr>
                <w:sz w:val="20"/>
              </w:rPr>
            </w:pPr>
            <w:r>
              <w:rPr>
                <w:b/>
                <w:sz w:val="20"/>
              </w:rPr>
              <w:t>LCH</w:t>
            </w:r>
            <w:r>
              <w:rPr>
                <w:sz w:val="20"/>
              </w:rPr>
              <w:t>: Paul Elkins</w:t>
            </w:r>
          </w:p>
          <w:p>
            <w:pPr>
              <w:pStyle w:val="TableParagraph"/>
              <w:spacing w:line="276" w:lineRule="auto" w:before="34"/>
              <w:ind w:left="77" w:right="5867"/>
              <w:rPr>
                <w:sz w:val="20"/>
              </w:rPr>
            </w:pPr>
            <w:r>
              <w:rPr>
                <w:b/>
                <w:sz w:val="20"/>
              </w:rPr>
              <w:t>Lloyds Bank</w:t>
            </w:r>
            <w:r>
              <w:rPr>
                <w:sz w:val="20"/>
              </w:rPr>
              <w:t>: Peter Left* </w:t>
            </w:r>
            <w:r>
              <w:rPr>
                <w:b/>
                <w:sz w:val="20"/>
              </w:rPr>
              <w:t>Mizuho Bank</w:t>
            </w:r>
            <w:r>
              <w:rPr>
                <w:sz w:val="20"/>
              </w:rPr>
              <w:t>: Robert Thurlow </w:t>
            </w:r>
            <w:r>
              <w:rPr>
                <w:b/>
                <w:sz w:val="20"/>
              </w:rPr>
              <w:t>Nationwide</w:t>
            </w:r>
            <w:r>
              <w:rPr>
                <w:sz w:val="20"/>
              </w:rPr>
              <w:t>: Stephen Temple </w:t>
            </w:r>
            <w:r>
              <w:rPr>
                <w:b/>
                <w:sz w:val="20"/>
              </w:rPr>
              <w:t>PruCap</w:t>
            </w:r>
            <w:r>
              <w:rPr>
                <w:sz w:val="20"/>
              </w:rPr>
              <w:t>: Nina Moylett</w:t>
            </w:r>
          </w:p>
          <w:p>
            <w:pPr>
              <w:pStyle w:val="TableParagraph"/>
              <w:spacing w:before="1"/>
              <w:ind w:left="77"/>
              <w:rPr>
                <w:sz w:val="20"/>
              </w:rPr>
            </w:pPr>
            <w:r>
              <w:rPr>
                <w:b/>
                <w:sz w:val="20"/>
              </w:rPr>
              <w:t>RBS</w:t>
            </w:r>
            <w:r>
              <w:rPr>
                <w:sz w:val="20"/>
              </w:rPr>
              <w:t>: Donal Quaid</w:t>
            </w:r>
          </w:p>
          <w:p>
            <w:pPr>
              <w:pStyle w:val="TableParagraph"/>
              <w:spacing w:before="34"/>
              <w:ind w:left="77"/>
              <w:rPr>
                <w:sz w:val="20"/>
              </w:rPr>
            </w:pPr>
            <w:r>
              <w:rPr>
                <w:b/>
                <w:sz w:val="20"/>
              </w:rPr>
              <w:t>Santander</w:t>
            </w:r>
            <w:r>
              <w:rPr>
                <w:sz w:val="20"/>
              </w:rPr>
              <w:t>: Paul Barnes</w:t>
            </w:r>
          </w:p>
          <w:p>
            <w:pPr>
              <w:pStyle w:val="TableParagraph"/>
              <w:spacing w:line="276" w:lineRule="auto" w:before="34"/>
              <w:ind w:left="77" w:right="5453"/>
              <w:rPr>
                <w:sz w:val="20"/>
              </w:rPr>
            </w:pPr>
            <w:r>
              <w:rPr>
                <w:b/>
                <w:sz w:val="20"/>
              </w:rPr>
              <w:t>Société Generale</w:t>
            </w:r>
            <w:r>
              <w:rPr>
                <w:sz w:val="20"/>
              </w:rPr>
              <w:t>: Romain Sinclair </w:t>
            </w:r>
            <w:r>
              <w:rPr>
                <w:b/>
                <w:sz w:val="20"/>
              </w:rPr>
              <w:t>Tesco PLC</w:t>
            </w:r>
            <w:r>
              <w:rPr>
                <w:sz w:val="20"/>
              </w:rPr>
              <w:t>: Lynda Heywood </w:t>
            </w:r>
            <w:r>
              <w:rPr>
                <w:b/>
                <w:sz w:val="20"/>
              </w:rPr>
              <w:t>Virgin Money</w:t>
            </w:r>
            <w:r>
              <w:rPr>
                <w:sz w:val="20"/>
              </w:rPr>
              <w:t>: Peter Bole</w:t>
            </w:r>
          </w:p>
          <w:p>
            <w:pPr>
              <w:pStyle w:val="TableParagraph"/>
              <w:rPr>
                <w:rFonts w:ascii="Times New Roman"/>
                <w:sz w:val="23"/>
              </w:rPr>
            </w:pPr>
          </w:p>
          <w:p>
            <w:pPr>
              <w:pStyle w:val="TableParagraph"/>
              <w:spacing w:line="278" w:lineRule="auto"/>
              <w:ind w:left="22" w:right="22"/>
              <w:rPr>
                <w:sz w:val="20"/>
              </w:rPr>
            </w:pPr>
            <w:r>
              <w:rPr>
                <w:b/>
                <w:sz w:val="20"/>
              </w:rPr>
              <w:t>Bank of England</w:t>
            </w:r>
            <w:r>
              <w:rPr>
                <w:sz w:val="20"/>
              </w:rPr>
              <w:t>: Andrew Hauser (Chair),  Rhys Phillips  (Head of Sterling Markets Division), Jon Pyzer (Senior Adviser, Sterling Markets Division), Iain Ramsay (Secretariat), Rebecca Maher (Secretariat), Catherine Taylor (Secretariat), Imane Bakkar (Item 4), Rafael Kinston (Item</w:t>
            </w:r>
            <w:r>
              <w:rPr>
                <w:spacing w:val="-13"/>
                <w:sz w:val="20"/>
              </w:rPr>
              <w:t> </w:t>
            </w:r>
            <w:r>
              <w:rPr>
                <w:sz w:val="20"/>
              </w:rPr>
              <w:t>6)</w:t>
            </w:r>
          </w:p>
        </w:tc>
      </w:tr>
      <w:tr>
        <w:trPr>
          <w:trHeight w:val="1812" w:hRule="atLeast"/>
        </w:trPr>
        <w:tc>
          <w:tcPr>
            <w:tcW w:w="979" w:type="dxa"/>
          </w:tcPr>
          <w:p>
            <w:pPr>
              <w:pStyle w:val="TableParagraph"/>
              <w:spacing w:before="6"/>
              <w:rPr>
                <w:rFonts w:ascii="Times New Roman"/>
                <w:sz w:val="22"/>
              </w:rPr>
            </w:pPr>
          </w:p>
          <w:p>
            <w:pPr>
              <w:pStyle w:val="TableParagraph"/>
              <w:ind w:left="2"/>
              <w:rPr>
                <w:sz w:val="20"/>
              </w:rPr>
            </w:pPr>
            <w:r>
              <w:rPr>
                <w:sz w:val="20"/>
              </w:rPr>
              <w:t>Apologies:</w:t>
            </w:r>
          </w:p>
        </w:tc>
        <w:tc>
          <w:tcPr>
            <w:tcW w:w="8676" w:type="dxa"/>
          </w:tcPr>
          <w:p>
            <w:pPr>
              <w:pStyle w:val="TableParagraph"/>
              <w:spacing w:before="6"/>
              <w:rPr>
                <w:rFonts w:ascii="Times New Roman"/>
                <w:sz w:val="22"/>
              </w:rPr>
            </w:pPr>
          </w:p>
          <w:p>
            <w:pPr>
              <w:pStyle w:val="TableParagraph"/>
              <w:spacing w:line="276" w:lineRule="auto"/>
              <w:ind w:left="132" w:right="4734"/>
              <w:rPr>
                <w:sz w:val="20"/>
              </w:rPr>
            </w:pPr>
            <w:r>
              <w:rPr>
                <w:b/>
                <w:sz w:val="20"/>
              </w:rPr>
              <w:t>Goldman Sachs</w:t>
            </w:r>
            <w:r>
              <w:rPr>
                <w:sz w:val="20"/>
              </w:rPr>
              <w:t>: Matthew McDermott </w:t>
            </w:r>
            <w:r>
              <w:rPr>
                <w:b/>
                <w:sz w:val="20"/>
              </w:rPr>
              <w:t>Greater London Authority</w:t>
            </w:r>
            <w:r>
              <w:rPr>
                <w:sz w:val="20"/>
              </w:rPr>
              <w:t>: Luke Webster </w:t>
            </w:r>
            <w:r>
              <w:rPr>
                <w:b/>
                <w:sz w:val="20"/>
              </w:rPr>
              <w:t>Investment Association</w:t>
            </w:r>
            <w:r>
              <w:rPr>
                <w:sz w:val="20"/>
              </w:rPr>
              <w:t>: Ross Barrett </w:t>
            </w:r>
            <w:r>
              <w:rPr>
                <w:b/>
                <w:sz w:val="20"/>
              </w:rPr>
              <w:t>Lloyds Bank</w:t>
            </w:r>
            <w:r>
              <w:rPr>
                <w:sz w:val="20"/>
              </w:rPr>
              <w:t>: Ian Fox</w:t>
            </w:r>
          </w:p>
          <w:p>
            <w:pPr>
              <w:pStyle w:val="TableParagraph"/>
              <w:spacing w:before="1"/>
              <w:rPr>
                <w:rFonts w:ascii="Times New Roman"/>
                <w:sz w:val="23"/>
              </w:rPr>
            </w:pPr>
          </w:p>
          <w:p>
            <w:pPr>
              <w:pStyle w:val="TableParagraph"/>
              <w:spacing w:line="210" w:lineRule="exact"/>
              <w:ind w:left="22"/>
              <w:rPr>
                <w:sz w:val="20"/>
              </w:rPr>
            </w:pPr>
            <w:r>
              <w:rPr>
                <w:sz w:val="20"/>
              </w:rPr>
              <w:t>*Alternate agreed via the MMC Secretariat</w:t>
            </w:r>
          </w:p>
        </w:tc>
      </w:tr>
    </w:tbl>
    <w:p>
      <w:pPr>
        <w:pStyle w:val="BodyText"/>
        <w:rPr>
          <w:rFonts w:ascii="Times New Roman"/>
          <w:sz w:val="20"/>
        </w:rPr>
      </w:pPr>
    </w:p>
    <w:p>
      <w:pPr>
        <w:pStyle w:val="BodyText"/>
        <w:rPr>
          <w:rFonts w:ascii="Times New Roman"/>
          <w:sz w:val="20"/>
        </w:rPr>
      </w:pPr>
    </w:p>
    <w:p>
      <w:pPr>
        <w:pStyle w:val="BodyText"/>
        <w:spacing w:before="6"/>
        <w:rPr>
          <w:rFonts w:ascii="Times New Roman"/>
          <w:sz w:val="16"/>
        </w:rPr>
      </w:pPr>
      <w:r>
        <w:rPr/>
        <w:pict>
          <v:shape style="position:absolute;margin-left:55.560001pt;margin-top:11.607294pt;width:483.5pt;height:.1pt;mso-position-horizontal-relative:page;mso-position-vertical-relative:paragraph;z-index:-251654144;mso-wrap-distance-left:0;mso-wrap-distance-right:0" coordorigin="1111,232" coordsize="9670,0" path="m1111,232l10781,232e" filled="false" stroked="true" strokeweight=".23999pt" strokecolor="#000000">
            <v:path arrowok="t"/>
            <v:stroke dashstyle="solid"/>
            <w10:wrap type="topAndBottom"/>
          </v:shape>
        </w:pict>
      </w:r>
    </w:p>
    <w:p>
      <w:pPr>
        <w:spacing w:after="0"/>
        <w:rPr>
          <w:rFonts w:ascii="Times New Roman"/>
          <w:sz w:val="16"/>
        </w:rPr>
        <w:sectPr>
          <w:type w:val="continuous"/>
          <w:pgSz w:w="11910" w:h="16840"/>
          <w:pgMar w:top="680" w:bottom="280" w:left="820" w:right="920"/>
        </w:sectPr>
      </w:pPr>
    </w:p>
    <w:p>
      <w:pPr>
        <w:pStyle w:val="BodyText"/>
        <w:spacing w:before="5" w:after="1"/>
        <w:rPr>
          <w:rFonts w:ascii="Times New Roman"/>
          <w:sz w:val="29"/>
        </w:rPr>
      </w:pPr>
    </w:p>
    <w:tbl>
      <w:tblPr>
        <w:tblW w:w="0" w:type="auto"/>
        <w:jc w:val="left"/>
        <w:tblInd w:w="3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9"/>
        <w:gridCol w:w="8757"/>
      </w:tblGrid>
      <w:tr>
        <w:trPr>
          <w:trHeight w:val="699" w:hRule="atLeast"/>
        </w:trPr>
        <w:tc>
          <w:tcPr>
            <w:tcW w:w="899" w:type="dxa"/>
            <w:tcBorders>
              <w:top w:val="single" w:sz="2" w:space="0" w:color="000000"/>
            </w:tcBorders>
          </w:tcPr>
          <w:p>
            <w:pPr>
              <w:pStyle w:val="TableParagraph"/>
              <w:spacing w:before="6"/>
              <w:rPr>
                <w:rFonts w:ascii="Times New Roman"/>
                <w:sz w:val="19"/>
              </w:rPr>
            </w:pPr>
          </w:p>
          <w:p>
            <w:pPr>
              <w:pStyle w:val="TableParagraph"/>
              <w:spacing w:line="230" w:lineRule="atLeast"/>
              <w:ind w:left="43" w:right="191"/>
              <w:rPr>
                <w:b/>
                <w:sz w:val="20"/>
              </w:rPr>
            </w:pPr>
            <w:r>
              <w:rPr>
                <w:b/>
                <w:sz w:val="20"/>
              </w:rPr>
              <w:t>Minute no.</w:t>
            </w:r>
          </w:p>
        </w:tc>
        <w:tc>
          <w:tcPr>
            <w:tcW w:w="8757" w:type="dxa"/>
            <w:tcBorders>
              <w:top w:val="single" w:sz="2" w:space="0" w:color="000000"/>
            </w:tcBorders>
          </w:tcPr>
          <w:p>
            <w:pPr>
              <w:pStyle w:val="TableParagraph"/>
              <w:spacing w:before="6"/>
              <w:rPr>
                <w:rFonts w:ascii="Times New Roman"/>
                <w:sz w:val="19"/>
              </w:rPr>
            </w:pPr>
          </w:p>
          <w:p>
            <w:pPr>
              <w:pStyle w:val="TableParagraph"/>
              <w:ind w:left="210"/>
              <w:rPr>
                <w:b/>
                <w:sz w:val="20"/>
              </w:rPr>
            </w:pPr>
            <w:r>
              <w:rPr>
                <w:b/>
                <w:sz w:val="20"/>
              </w:rPr>
              <w:t>Minute</w:t>
            </w:r>
          </w:p>
        </w:tc>
      </w:tr>
      <w:tr>
        <w:trPr>
          <w:trHeight w:val="1783" w:hRule="atLeast"/>
        </w:trPr>
        <w:tc>
          <w:tcPr>
            <w:tcW w:w="899" w:type="dxa"/>
          </w:tcPr>
          <w:p>
            <w:pPr>
              <w:pStyle w:val="TableParagraph"/>
              <w:spacing w:before="6"/>
              <w:ind w:left="110"/>
              <w:rPr>
                <w:b/>
                <w:sz w:val="20"/>
              </w:rPr>
            </w:pPr>
            <w:r>
              <w:rPr>
                <w:b/>
                <w:sz w:val="20"/>
              </w:rPr>
              <w:t>1.</w:t>
            </w:r>
          </w:p>
        </w:tc>
        <w:tc>
          <w:tcPr>
            <w:tcW w:w="8757" w:type="dxa"/>
          </w:tcPr>
          <w:p>
            <w:pPr>
              <w:pStyle w:val="TableParagraph"/>
              <w:spacing w:before="6"/>
              <w:ind w:left="210"/>
              <w:rPr>
                <w:b/>
                <w:sz w:val="20"/>
              </w:rPr>
            </w:pPr>
            <w:r>
              <w:rPr>
                <w:b/>
                <w:sz w:val="20"/>
              </w:rPr>
              <w:t>Bank of England introductory remarks</w:t>
            </w:r>
          </w:p>
          <w:p>
            <w:pPr>
              <w:pStyle w:val="TableParagraph"/>
              <w:rPr>
                <w:rFonts w:ascii="Times New Roman"/>
                <w:sz w:val="23"/>
              </w:rPr>
            </w:pPr>
          </w:p>
          <w:p>
            <w:pPr>
              <w:pStyle w:val="TableParagraph"/>
              <w:ind w:left="210"/>
              <w:rPr>
                <w:sz w:val="20"/>
              </w:rPr>
            </w:pPr>
            <w:r>
              <w:rPr>
                <w:sz w:val="20"/>
              </w:rPr>
              <w:t>The Chair thanked RBS for hosting this meeting and introduced the new Head of Sterling Markets Division at the Bank, Rhys Phillips.</w:t>
            </w:r>
          </w:p>
          <w:p>
            <w:pPr>
              <w:pStyle w:val="TableParagraph"/>
              <w:spacing w:before="11"/>
              <w:rPr>
                <w:rFonts w:ascii="Times New Roman"/>
                <w:sz w:val="20"/>
              </w:rPr>
            </w:pPr>
          </w:p>
          <w:p>
            <w:pPr>
              <w:pStyle w:val="TableParagraph"/>
              <w:ind w:left="210"/>
              <w:rPr>
                <w:sz w:val="20"/>
              </w:rPr>
            </w:pPr>
            <w:r>
              <w:rPr>
                <w:sz w:val="20"/>
              </w:rPr>
              <w:t>The Chair confirmed that the minutes from the July meeting had been published on the Bank’s website</w:t>
            </w:r>
            <w:r>
              <w:rPr>
                <w:sz w:val="20"/>
                <w:vertAlign w:val="superscript"/>
              </w:rPr>
              <w:t>1</w:t>
            </w:r>
            <w:r>
              <w:rPr>
                <w:sz w:val="20"/>
                <w:vertAlign w:val="baseline"/>
              </w:rPr>
              <w:t>.</w:t>
            </w:r>
          </w:p>
        </w:tc>
      </w:tr>
      <w:tr>
        <w:trPr>
          <w:trHeight w:val="5790" w:hRule="atLeast"/>
        </w:trPr>
        <w:tc>
          <w:tcPr>
            <w:tcW w:w="899" w:type="dxa"/>
          </w:tcPr>
          <w:p>
            <w:pPr>
              <w:pStyle w:val="TableParagraph"/>
              <w:spacing w:before="116"/>
              <w:ind w:left="110"/>
              <w:rPr>
                <w:b/>
                <w:sz w:val="20"/>
              </w:rPr>
            </w:pPr>
            <w:r>
              <w:rPr>
                <w:b/>
                <w:sz w:val="20"/>
              </w:rPr>
              <w:t>2.</w:t>
            </w:r>
          </w:p>
        </w:tc>
        <w:tc>
          <w:tcPr>
            <w:tcW w:w="8757" w:type="dxa"/>
          </w:tcPr>
          <w:p>
            <w:pPr>
              <w:pStyle w:val="TableParagraph"/>
              <w:spacing w:before="114"/>
              <w:ind w:left="210"/>
              <w:jc w:val="both"/>
              <w:rPr>
                <w:b/>
                <w:sz w:val="20"/>
              </w:rPr>
            </w:pPr>
            <w:r>
              <w:rPr>
                <w:b/>
                <w:sz w:val="20"/>
              </w:rPr>
              <w:t>Discussion on market conditions</w:t>
            </w:r>
          </w:p>
          <w:p>
            <w:pPr>
              <w:pStyle w:val="TableParagraph"/>
              <w:spacing w:before="3"/>
              <w:rPr>
                <w:rFonts w:ascii="Times New Roman"/>
                <w:sz w:val="20"/>
              </w:rPr>
            </w:pPr>
          </w:p>
          <w:p>
            <w:pPr>
              <w:pStyle w:val="TableParagraph"/>
              <w:ind w:left="210" w:right="112"/>
              <w:jc w:val="both"/>
              <w:rPr>
                <w:sz w:val="20"/>
              </w:rPr>
            </w:pPr>
            <w:r>
              <w:rPr>
                <w:sz w:val="20"/>
              </w:rPr>
              <w:t>The Bank provided an update on market conditions and relevant financial market  developments since the MMC’s last</w:t>
            </w:r>
            <w:r>
              <w:rPr>
                <w:spacing w:val="-5"/>
                <w:sz w:val="20"/>
              </w:rPr>
              <w:t> </w:t>
            </w:r>
            <w:r>
              <w:rPr>
                <w:sz w:val="20"/>
              </w:rPr>
              <w:t>meeting.</w:t>
            </w:r>
          </w:p>
          <w:p>
            <w:pPr>
              <w:pStyle w:val="TableParagraph"/>
              <w:spacing w:before="11"/>
              <w:rPr>
                <w:rFonts w:ascii="Times New Roman"/>
                <w:sz w:val="20"/>
              </w:rPr>
            </w:pPr>
          </w:p>
          <w:p>
            <w:pPr>
              <w:pStyle w:val="TableParagraph"/>
              <w:ind w:left="210" w:right="111"/>
              <w:jc w:val="both"/>
              <w:rPr>
                <w:sz w:val="20"/>
              </w:rPr>
            </w:pPr>
            <w:r>
              <w:rPr>
                <w:sz w:val="20"/>
              </w:rPr>
              <w:t>The Bank noted that the August MPC decision to raise Bank Rate to 0.75% had been largely priced into financial markets in advance. The summer months had seen significant volatility in Italian and Emerging Economy financial markets, but term rates in the core advanced economies had been relatively stable, trading in tight ranges.</w:t>
            </w:r>
          </w:p>
          <w:p>
            <w:pPr>
              <w:pStyle w:val="TableParagraph"/>
              <w:spacing w:before="10"/>
              <w:rPr>
                <w:rFonts w:ascii="Times New Roman"/>
                <w:sz w:val="20"/>
              </w:rPr>
            </w:pPr>
          </w:p>
          <w:p>
            <w:pPr>
              <w:pStyle w:val="TableParagraph"/>
              <w:ind w:left="210" w:right="106"/>
              <w:jc w:val="both"/>
              <w:rPr>
                <w:sz w:val="20"/>
              </w:rPr>
            </w:pPr>
            <w:r>
              <w:rPr>
                <w:sz w:val="20"/>
              </w:rPr>
              <w:t>Market participants felt that Brexit-related uncertainty might be one potential factor behind the current flatness of the UK gilt yield curve. But perceptions about the timing, sign and impact of any such effect remained highly dispersed, and there were few clear consensus trades in the market. And flat or flattening curves were also evident across other G3 economy curves, reflecting perceptions of medium-term global growth prospects, the ongoing effect of QE programmes, and possible flight-to-quality effects.</w:t>
            </w:r>
          </w:p>
          <w:p>
            <w:pPr>
              <w:pStyle w:val="TableParagraph"/>
              <w:spacing w:before="10"/>
              <w:rPr>
                <w:rFonts w:ascii="Times New Roman"/>
                <w:sz w:val="20"/>
              </w:rPr>
            </w:pPr>
          </w:p>
          <w:p>
            <w:pPr>
              <w:pStyle w:val="TableParagraph"/>
              <w:ind w:left="210" w:right="106"/>
              <w:jc w:val="both"/>
              <w:rPr>
                <w:sz w:val="20"/>
              </w:rPr>
            </w:pPr>
            <w:r>
              <w:rPr>
                <w:sz w:val="20"/>
              </w:rPr>
              <w:t>More broadly, members agreed that financial market signals were hard to read. A number of events including Emerging Market economy and geopolitical developments appointed to a continuation, or even intensification, of the risk-averse tone that had been evident in several financial markets for some time. At the same time, US equity prices had continued to rise strongly and implied volatilities in many markets remained close to historic lows. That suggested the potential for further adjustments in asset prices </w:t>
            </w:r>
            <w:r>
              <w:rPr>
                <w:spacing w:val="3"/>
                <w:sz w:val="20"/>
              </w:rPr>
              <w:t>if </w:t>
            </w:r>
            <w:r>
              <w:rPr>
                <w:sz w:val="20"/>
              </w:rPr>
              <w:t>one or more significant downside risks</w:t>
            </w:r>
            <w:r>
              <w:rPr>
                <w:spacing w:val="-4"/>
                <w:sz w:val="20"/>
              </w:rPr>
              <w:t> </w:t>
            </w:r>
            <w:r>
              <w:rPr>
                <w:sz w:val="20"/>
              </w:rPr>
              <w:t>crystallised.</w:t>
            </w:r>
          </w:p>
        </w:tc>
      </w:tr>
      <w:tr>
        <w:trPr>
          <w:trHeight w:val="5794" w:hRule="atLeast"/>
        </w:trPr>
        <w:tc>
          <w:tcPr>
            <w:tcW w:w="899" w:type="dxa"/>
          </w:tcPr>
          <w:p>
            <w:pPr>
              <w:pStyle w:val="TableParagraph"/>
              <w:spacing w:before="118"/>
              <w:ind w:left="110"/>
              <w:rPr>
                <w:b/>
                <w:sz w:val="20"/>
              </w:rPr>
            </w:pPr>
            <w:r>
              <w:rPr>
                <w:b/>
                <w:sz w:val="20"/>
              </w:rPr>
              <w:t>3.</w:t>
            </w:r>
          </w:p>
        </w:tc>
        <w:tc>
          <w:tcPr>
            <w:tcW w:w="8757" w:type="dxa"/>
          </w:tcPr>
          <w:p>
            <w:pPr>
              <w:pStyle w:val="TableParagraph"/>
              <w:spacing w:before="115"/>
              <w:ind w:left="210"/>
              <w:jc w:val="both"/>
              <w:rPr>
                <w:b/>
                <w:i/>
                <w:sz w:val="20"/>
              </w:rPr>
            </w:pPr>
            <w:r>
              <w:rPr>
                <w:b/>
                <w:sz w:val="20"/>
              </w:rPr>
              <w:t>Update from the </w:t>
            </w:r>
            <w:r>
              <w:rPr>
                <w:b/>
                <w:i/>
                <w:sz w:val="20"/>
              </w:rPr>
              <w:t>UK Money Markets Code Sub-Committee</w:t>
            </w:r>
          </w:p>
          <w:p>
            <w:pPr>
              <w:pStyle w:val="TableParagraph"/>
              <w:spacing w:before="1"/>
              <w:rPr>
                <w:rFonts w:ascii="Times New Roman"/>
                <w:sz w:val="20"/>
              </w:rPr>
            </w:pPr>
          </w:p>
          <w:p>
            <w:pPr>
              <w:pStyle w:val="TableParagraph"/>
              <w:ind w:left="210" w:right="108"/>
              <w:jc w:val="both"/>
              <w:rPr>
                <w:sz w:val="20"/>
              </w:rPr>
            </w:pPr>
            <w:r>
              <w:rPr>
                <w:sz w:val="20"/>
              </w:rPr>
              <w:t>The Chair of the UK Money Markets Code Sub-Committee provided an update on developments relating to the Code:</w:t>
            </w:r>
          </w:p>
          <w:p>
            <w:pPr>
              <w:pStyle w:val="TableParagraph"/>
              <w:rPr>
                <w:rFonts w:ascii="Times New Roman"/>
                <w:sz w:val="21"/>
              </w:rPr>
            </w:pPr>
          </w:p>
          <w:p>
            <w:pPr>
              <w:pStyle w:val="TableParagraph"/>
              <w:numPr>
                <w:ilvl w:val="0"/>
                <w:numId w:val="1"/>
              </w:numPr>
              <w:tabs>
                <w:tab w:pos="923" w:val="left" w:leader="none"/>
              </w:tabs>
              <w:spacing w:line="240" w:lineRule="auto" w:before="0" w:after="0"/>
              <w:ind w:left="922" w:right="110" w:hanging="356"/>
              <w:jc w:val="both"/>
              <w:rPr>
                <w:sz w:val="20"/>
              </w:rPr>
            </w:pPr>
            <w:r>
              <w:rPr>
                <w:sz w:val="20"/>
              </w:rPr>
              <w:t>Sign up to the Code had been proceeding well, with the Bank confirming that to date it had received more than 100 signed statements of</w:t>
            </w:r>
            <w:r>
              <w:rPr>
                <w:spacing w:val="-7"/>
                <w:sz w:val="20"/>
              </w:rPr>
              <w:t> </w:t>
            </w:r>
            <w:r>
              <w:rPr>
                <w:sz w:val="20"/>
              </w:rPr>
              <w:t>commitment.</w:t>
            </w:r>
          </w:p>
          <w:p>
            <w:pPr>
              <w:pStyle w:val="TableParagraph"/>
              <w:numPr>
                <w:ilvl w:val="0"/>
                <w:numId w:val="1"/>
              </w:numPr>
              <w:tabs>
                <w:tab w:pos="923" w:val="left" w:leader="none"/>
              </w:tabs>
              <w:spacing w:line="240" w:lineRule="auto" w:before="118" w:after="0"/>
              <w:ind w:left="922" w:right="113" w:hanging="356"/>
              <w:jc w:val="both"/>
              <w:rPr>
                <w:sz w:val="20"/>
              </w:rPr>
            </w:pPr>
            <w:r>
              <w:rPr>
                <w:sz w:val="20"/>
              </w:rPr>
              <w:t>A public register of statements of commitment to the Code, hosted on the Bank’s website, was expected to go live in</w:t>
            </w:r>
            <w:r>
              <w:rPr>
                <w:spacing w:val="1"/>
                <w:sz w:val="20"/>
              </w:rPr>
              <w:t> </w:t>
            </w:r>
            <w:r>
              <w:rPr>
                <w:sz w:val="20"/>
              </w:rPr>
              <w:t>September.</w:t>
            </w:r>
          </w:p>
          <w:p>
            <w:pPr>
              <w:pStyle w:val="TableParagraph"/>
              <w:numPr>
                <w:ilvl w:val="0"/>
                <w:numId w:val="1"/>
              </w:numPr>
              <w:tabs>
                <w:tab w:pos="923" w:val="left" w:leader="none"/>
              </w:tabs>
              <w:spacing w:line="235" w:lineRule="auto" w:before="125" w:after="0"/>
              <w:ind w:left="922" w:right="111" w:hanging="356"/>
              <w:jc w:val="both"/>
              <w:rPr>
                <w:sz w:val="20"/>
              </w:rPr>
            </w:pPr>
            <w:r>
              <w:rPr>
                <w:sz w:val="20"/>
              </w:rPr>
              <w:t>The Bank was in the process of applying on behalf of the Committee for the UK Money Markets Code to be recognised by the</w:t>
            </w:r>
            <w:r>
              <w:rPr>
                <w:spacing w:val="-8"/>
                <w:sz w:val="20"/>
              </w:rPr>
              <w:t> </w:t>
            </w:r>
            <w:r>
              <w:rPr>
                <w:sz w:val="20"/>
              </w:rPr>
              <w:t>FCA</w:t>
            </w:r>
            <w:r>
              <w:rPr>
                <w:sz w:val="20"/>
                <w:vertAlign w:val="superscript"/>
              </w:rPr>
              <w:t>2</w:t>
            </w:r>
            <w:r>
              <w:rPr>
                <w:sz w:val="20"/>
                <w:vertAlign w:val="baseline"/>
              </w:rPr>
              <w:t>.</w:t>
            </w:r>
          </w:p>
          <w:p>
            <w:pPr>
              <w:pStyle w:val="TableParagraph"/>
              <w:numPr>
                <w:ilvl w:val="0"/>
                <w:numId w:val="1"/>
              </w:numPr>
              <w:tabs>
                <w:tab w:pos="923" w:val="left" w:leader="none"/>
              </w:tabs>
              <w:spacing w:line="240" w:lineRule="auto" w:before="123" w:after="0"/>
              <w:ind w:left="922" w:right="108" w:hanging="356"/>
              <w:jc w:val="both"/>
              <w:rPr>
                <w:sz w:val="20"/>
              </w:rPr>
            </w:pPr>
            <w:r>
              <w:rPr>
                <w:sz w:val="20"/>
              </w:rPr>
              <w:t>As a result of review of its Terms of Reference, the Sub-Committee would be broadening its remit, adding to its existing objectives of reviewing the content of the Code and ensuring continued market-wide awareness, to additionally include the intention to discuss specific market issues that might impact upon the relevance or coverage of the Code in order to ensure it remained relevant and up to</w:t>
            </w:r>
            <w:r>
              <w:rPr>
                <w:spacing w:val="-8"/>
                <w:sz w:val="20"/>
              </w:rPr>
              <w:t> </w:t>
            </w:r>
            <w:r>
              <w:rPr>
                <w:sz w:val="20"/>
              </w:rPr>
              <w:t>date.</w:t>
            </w:r>
          </w:p>
          <w:p>
            <w:pPr>
              <w:pStyle w:val="TableParagraph"/>
              <w:numPr>
                <w:ilvl w:val="0"/>
                <w:numId w:val="1"/>
              </w:numPr>
              <w:tabs>
                <w:tab w:pos="923" w:val="left" w:leader="none"/>
              </w:tabs>
              <w:spacing w:line="235" w:lineRule="auto" w:before="123" w:after="0"/>
              <w:ind w:left="922" w:right="110" w:hanging="356"/>
              <w:jc w:val="both"/>
              <w:rPr>
                <w:sz w:val="20"/>
              </w:rPr>
            </w:pPr>
            <w:r>
              <w:rPr>
                <w:sz w:val="20"/>
              </w:rPr>
              <w:t>The Sub-Committee would be circulating an annual survey, focusing on understanding the extent of commitment to the Code across market</w:t>
            </w:r>
            <w:r>
              <w:rPr>
                <w:spacing w:val="-9"/>
                <w:sz w:val="20"/>
              </w:rPr>
              <w:t> </w:t>
            </w:r>
            <w:r>
              <w:rPr>
                <w:sz w:val="20"/>
              </w:rPr>
              <w:t>participants.</w:t>
            </w:r>
          </w:p>
          <w:p>
            <w:pPr>
              <w:pStyle w:val="TableParagraph"/>
              <w:spacing w:before="123"/>
              <w:ind w:left="210" w:right="106"/>
              <w:jc w:val="both"/>
              <w:rPr>
                <w:sz w:val="20"/>
              </w:rPr>
            </w:pPr>
            <w:r>
              <w:rPr>
                <w:sz w:val="20"/>
              </w:rPr>
              <w:t>The MMC Chair welcomed these developments, which underscored the importance attached to adoption and adherence to the Code in the sterling markets. Although signup overall had been very strong, it had become apparent from the latest review that a small number of prominent</w:t>
            </w:r>
          </w:p>
        </w:tc>
      </w:tr>
    </w:tbl>
    <w:p>
      <w:pPr>
        <w:pStyle w:val="BodyText"/>
        <w:spacing w:line="20" w:lineRule="exact"/>
        <w:ind w:left="308"/>
        <w:rPr>
          <w:rFonts w:ascii="Times New Roman"/>
          <w:sz w:val="2"/>
        </w:rPr>
      </w:pPr>
      <w:r>
        <w:rPr>
          <w:rFonts w:ascii="Times New Roman"/>
          <w:sz w:val="2"/>
        </w:rPr>
        <w:pict>
          <v:group style="width:144.050pt;height:.5pt;mso-position-horizontal-relative:char;mso-position-vertical-relative:line" coordorigin="0,0" coordsize="2881,10">
            <v:line style="position:absolute" from="0,5" to="2880,5" stroked="true" strokeweight=".47998pt" strokecolor="#000000">
              <v:stroke dashstyle="solid"/>
            </v:line>
          </v:group>
        </w:pict>
      </w:r>
      <w:r>
        <w:rPr>
          <w:rFonts w:ascii="Times New Roman"/>
          <w:sz w:val="2"/>
        </w:rPr>
      </w:r>
    </w:p>
    <w:p>
      <w:pPr>
        <w:pStyle w:val="BodyText"/>
        <w:spacing w:line="224" w:lineRule="exact" w:before="32"/>
        <w:ind w:left="313"/>
      </w:pPr>
      <w:r>
        <w:rPr>
          <w:position w:val="9"/>
          <w:sz w:val="12"/>
        </w:rPr>
        <w:t>1 </w:t>
      </w:r>
      <w:r>
        <w:rPr/>
        <w:t>MMC minutes available on the Bank’s website </w:t>
      </w:r>
      <w:hyperlink r:id="rId21">
        <w:r>
          <w:rPr>
            <w:color w:val="0000FF"/>
            <w:u w:val="single" w:color="0000FF"/>
          </w:rPr>
          <w:t>here</w:t>
        </w:r>
        <w:r>
          <w:rPr/>
          <w:t>.</w:t>
        </w:r>
      </w:hyperlink>
    </w:p>
    <w:p>
      <w:pPr>
        <w:pStyle w:val="BodyText"/>
        <w:spacing w:line="224" w:lineRule="exact"/>
        <w:ind w:left="313"/>
      </w:pPr>
      <w:r>
        <w:rPr>
          <w:position w:val="9"/>
          <w:sz w:val="12"/>
        </w:rPr>
        <w:t>2 </w:t>
      </w:r>
      <w:r>
        <w:rPr/>
        <w:t>See </w:t>
      </w:r>
      <w:hyperlink r:id="rId22">
        <w:r>
          <w:rPr>
            <w:color w:val="0000FF"/>
            <w:u w:val="single" w:color="0000FF"/>
          </w:rPr>
          <w:t>here</w:t>
        </w:r>
      </w:hyperlink>
    </w:p>
    <w:p>
      <w:pPr>
        <w:spacing w:after="0" w:line="224" w:lineRule="exact"/>
        <w:sectPr>
          <w:headerReference w:type="default" r:id="rId20"/>
          <w:pgSz w:w="11910" w:h="16840"/>
          <w:pgMar w:header="571" w:footer="0" w:top="780" w:bottom="280" w:left="820" w:right="920"/>
          <w:pgNumType w:start="2"/>
        </w:sectPr>
      </w:pPr>
    </w:p>
    <w:p>
      <w:pPr>
        <w:pStyle w:val="BodyText"/>
        <w:spacing w:before="10"/>
        <w:rPr>
          <w:sz w:val="29"/>
        </w:rPr>
      </w:pPr>
    </w:p>
    <w:tbl>
      <w:tblPr>
        <w:tblW w:w="0" w:type="auto"/>
        <w:jc w:val="left"/>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2"/>
        <w:gridCol w:w="9057"/>
      </w:tblGrid>
      <w:tr>
        <w:trPr>
          <w:trHeight w:val="2196" w:hRule="atLeast"/>
        </w:trPr>
        <w:tc>
          <w:tcPr>
            <w:tcW w:w="782" w:type="dxa"/>
          </w:tcPr>
          <w:p>
            <w:pPr>
              <w:pStyle w:val="TableParagraph"/>
              <w:rPr>
                <w:rFonts w:ascii="Times New Roman"/>
                <w:sz w:val="18"/>
              </w:rPr>
            </w:pPr>
          </w:p>
        </w:tc>
        <w:tc>
          <w:tcPr>
            <w:tcW w:w="9057" w:type="dxa"/>
          </w:tcPr>
          <w:p>
            <w:pPr>
              <w:pStyle w:val="TableParagraph"/>
              <w:ind w:left="416" w:right="202"/>
              <w:jc w:val="both"/>
              <w:rPr>
                <w:sz w:val="20"/>
              </w:rPr>
            </w:pPr>
            <w:r>
              <w:rPr>
                <w:sz w:val="20"/>
              </w:rPr>
              <w:t>organisations still needed to finalise their own internal signoff processes. Given the time that had elapsed since agreement of the Code, members agreed that it was important that these processes were expedited as rapidly as possible. The public register and prospective FCA recognition of the Code would act as a further catalyst to adherence, and the former would identify by omission those who had not yet signed up.</w:t>
            </w:r>
          </w:p>
          <w:p>
            <w:pPr>
              <w:pStyle w:val="TableParagraph"/>
              <w:spacing w:before="5"/>
              <w:rPr>
                <w:sz w:val="20"/>
              </w:rPr>
            </w:pPr>
          </w:p>
          <w:p>
            <w:pPr>
              <w:pStyle w:val="TableParagraph"/>
              <w:ind w:left="416" w:right="200"/>
              <w:jc w:val="both"/>
              <w:rPr>
                <w:sz w:val="20"/>
              </w:rPr>
            </w:pPr>
            <w:r>
              <w:rPr>
                <w:sz w:val="20"/>
              </w:rPr>
              <w:t>Members discussed how education and awareness of the Code could be further improved, particularly outside of the banking sector. The Chair of the Sub-Committee agreed that the Sub-Committee would consider this at its next meeting.</w:t>
            </w:r>
          </w:p>
        </w:tc>
      </w:tr>
      <w:tr>
        <w:trPr>
          <w:trHeight w:val="5550" w:hRule="atLeast"/>
        </w:trPr>
        <w:tc>
          <w:tcPr>
            <w:tcW w:w="782" w:type="dxa"/>
          </w:tcPr>
          <w:p>
            <w:pPr>
              <w:pStyle w:val="TableParagraph"/>
              <w:spacing w:before="118"/>
              <w:ind w:left="200"/>
              <w:rPr>
                <w:b/>
                <w:sz w:val="20"/>
              </w:rPr>
            </w:pPr>
            <w:r>
              <w:rPr>
                <w:b/>
                <w:sz w:val="20"/>
              </w:rPr>
              <w:t>4.</w:t>
            </w:r>
          </w:p>
        </w:tc>
        <w:tc>
          <w:tcPr>
            <w:tcW w:w="9057" w:type="dxa"/>
          </w:tcPr>
          <w:p>
            <w:pPr>
              <w:pStyle w:val="TableParagraph"/>
              <w:spacing w:before="115"/>
              <w:ind w:left="416"/>
              <w:jc w:val="both"/>
              <w:rPr>
                <w:b/>
                <w:sz w:val="20"/>
              </w:rPr>
            </w:pPr>
            <w:r>
              <w:rPr>
                <w:b/>
                <w:sz w:val="20"/>
              </w:rPr>
              <w:t>Discussion on Risk Free Rate Working Group initiatives and transition</w:t>
            </w:r>
          </w:p>
          <w:p>
            <w:pPr>
              <w:pStyle w:val="TableParagraph"/>
              <w:spacing w:before="3"/>
              <w:rPr>
                <w:sz w:val="20"/>
              </w:rPr>
            </w:pPr>
          </w:p>
          <w:p>
            <w:pPr>
              <w:pStyle w:val="TableParagraph"/>
              <w:ind w:left="416" w:right="198"/>
              <w:jc w:val="both"/>
              <w:rPr>
                <w:sz w:val="20"/>
              </w:rPr>
            </w:pPr>
            <w:r>
              <w:rPr>
                <w:sz w:val="20"/>
              </w:rPr>
              <w:t>The Bank provided a summary of the RFR Working Group meeting of 20 August</w:t>
            </w:r>
            <w:r>
              <w:rPr>
                <w:sz w:val="20"/>
                <w:vertAlign w:val="superscript"/>
              </w:rPr>
              <w:t>3</w:t>
            </w:r>
            <w:r>
              <w:rPr>
                <w:sz w:val="20"/>
                <w:vertAlign w:val="baseline"/>
              </w:rPr>
              <w:t>. In doing so the Bank encouraged MMC members to respond to both the ISDA consultation</w:t>
            </w:r>
            <w:r>
              <w:rPr>
                <w:sz w:val="20"/>
                <w:vertAlign w:val="superscript"/>
              </w:rPr>
              <w:t>4</w:t>
            </w:r>
            <w:r>
              <w:rPr>
                <w:sz w:val="20"/>
                <w:vertAlign w:val="baseline"/>
              </w:rPr>
              <w:t> on LIBOR fallbacks in derivative contracts (consultation closes on 12 October) and the RFR Working Group consultation on term rates</w:t>
            </w:r>
            <w:r>
              <w:rPr>
                <w:sz w:val="20"/>
                <w:vertAlign w:val="superscript"/>
              </w:rPr>
              <w:t>5</w:t>
            </w:r>
            <w:r>
              <w:rPr>
                <w:sz w:val="20"/>
                <w:vertAlign w:val="baseline"/>
              </w:rPr>
              <w:t> (consultation closes 30 September). The Bank mentioned that MMC members who wish to do may send their considerations and views on the criteria by which the credit spread adjustments set out in the ISDA consultation should be assessed to the RFR Secretariat.</w:t>
            </w:r>
          </w:p>
          <w:p>
            <w:pPr>
              <w:pStyle w:val="TableParagraph"/>
              <w:rPr>
                <w:sz w:val="21"/>
              </w:rPr>
            </w:pPr>
          </w:p>
          <w:p>
            <w:pPr>
              <w:pStyle w:val="TableParagraph"/>
              <w:ind w:left="416" w:right="200"/>
              <w:jc w:val="both"/>
              <w:rPr>
                <w:sz w:val="20"/>
              </w:rPr>
            </w:pPr>
            <w:r>
              <w:rPr>
                <w:sz w:val="20"/>
              </w:rPr>
              <w:t>The Bank noted the creation of an infrastructure sub-group which would focus on the infrastructure developments required in sterling markets to enable transition.</w:t>
            </w:r>
          </w:p>
          <w:p>
            <w:pPr>
              <w:pStyle w:val="TableParagraph"/>
              <w:spacing w:before="8"/>
              <w:rPr>
                <w:sz w:val="20"/>
              </w:rPr>
            </w:pPr>
          </w:p>
          <w:p>
            <w:pPr>
              <w:pStyle w:val="TableParagraph"/>
              <w:spacing w:before="1"/>
              <w:ind w:left="416" w:right="201"/>
              <w:jc w:val="both"/>
              <w:rPr>
                <w:sz w:val="20"/>
              </w:rPr>
            </w:pPr>
            <w:r>
              <w:rPr>
                <w:sz w:val="20"/>
              </w:rPr>
              <w:t>Members were encouraged by the small but growing number of SONIA-linked sterling issuance by banks and others in recent weeks, alongside a number of SOFR-linked issuance in US markets. This issuance, coupled with the term rate and ISDA consultations, and the reiteration by the FCA’s CEO of the target date of end-2021 for LIBOR transition, had pushed the need to plan for transition up the agendas of many market participants. But further education and engagement was required with corporate and other end-users of sterling markets, as well as banks’ own client-facing issuance teams in some cases. The Chair welcomed the ongoing engagement of the Committee in this important area, encouraged members to do what they could to aid the increased momentum of recent months. Members agreed that the Committee could usefully consider what more it could do collectively at a future meeting.</w:t>
            </w:r>
          </w:p>
        </w:tc>
      </w:tr>
      <w:tr>
        <w:trPr>
          <w:trHeight w:val="5668" w:hRule="atLeast"/>
        </w:trPr>
        <w:tc>
          <w:tcPr>
            <w:tcW w:w="782" w:type="dxa"/>
          </w:tcPr>
          <w:p>
            <w:pPr>
              <w:pStyle w:val="TableParagraph"/>
              <w:spacing w:before="116"/>
              <w:ind w:left="200"/>
              <w:rPr>
                <w:b/>
                <w:sz w:val="20"/>
              </w:rPr>
            </w:pPr>
            <w:r>
              <w:rPr>
                <w:b/>
                <w:sz w:val="20"/>
              </w:rPr>
              <w:t>5.</w:t>
            </w:r>
          </w:p>
        </w:tc>
        <w:tc>
          <w:tcPr>
            <w:tcW w:w="9057" w:type="dxa"/>
          </w:tcPr>
          <w:p>
            <w:pPr>
              <w:pStyle w:val="TableParagraph"/>
              <w:spacing w:before="114"/>
              <w:ind w:left="416"/>
              <w:jc w:val="both"/>
              <w:rPr>
                <w:b/>
                <w:sz w:val="20"/>
              </w:rPr>
            </w:pPr>
            <w:r>
              <w:rPr>
                <w:b/>
                <w:sz w:val="20"/>
              </w:rPr>
              <w:t>Forward Agenda: European Money Market Fund Reform</w:t>
            </w:r>
          </w:p>
          <w:p>
            <w:pPr>
              <w:pStyle w:val="TableParagraph"/>
              <w:spacing w:before="3"/>
              <w:rPr>
                <w:sz w:val="20"/>
              </w:rPr>
            </w:pPr>
          </w:p>
          <w:p>
            <w:pPr>
              <w:pStyle w:val="TableParagraph"/>
              <w:spacing w:before="1"/>
              <w:ind w:left="416" w:right="200"/>
              <w:jc w:val="both"/>
              <w:rPr>
                <w:sz w:val="20"/>
              </w:rPr>
            </w:pPr>
            <w:r>
              <w:rPr>
                <w:sz w:val="20"/>
              </w:rPr>
              <w:t>One member provided an update to the Committee regarding the EU Money Market Fund Reform which would come into effect for existing Money Market Funds (MMFs) in January 2019.</w:t>
            </w:r>
          </w:p>
          <w:p>
            <w:pPr>
              <w:pStyle w:val="TableParagraph"/>
              <w:spacing w:before="11"/>
              <w:rPr>
                <w:sz w:val="20"/>
              </w:rPr>
            </w:pPr>
          </w:p>
          <w:p>
            <w:pPr>
              <w:pStyle w:val="TableParagraph"/>
              <w:ind w:left="416" w:right="201"/>
              <w:jc w:val="both"/>
              <w:rPr>
                <w:sz w:val="20"/>
              </w:rPr>
            </w:pPr>
            <w:r>
              <w:rPr>
                <w:sz w:val="20"/>
              </w:rPr>
              <w:t>The update set out that the main change as a result of the Reform would be the introduction of a new Low Volatility Net Asset Value (LVNAV) fund type (in addition to the existing Variable Net Asset Value (VNAV) and Constant Net Asset Value (CNAV) fund types). Prime CNAV funds would cease to exist under the Reform, though public debt CNAVs would remain in existence. There will also be new liquidity and investment rules. Market participants awaited a formal legal decision on whether the reverse distribution mechanism in particular was inconsistent with the Reform, so some funds were understood to be developing alternative structures to accommodate all possible</w:t>
            </w:r>
            <w:r>
              <w:rPr>
                <w:spacing w:val="-3"/>
                <w:sz w:val="20"/>
              </w:rPr>
              <w:t> </w:t>
            </w:r>
            <w:r>
              <w:rPr>
                <w:sz w:val="20"/>
              </w:rPr>
              <w:t>eventualities.</w:t>
            </w:r>
          </w:p>
          <w:p>
            <w:pPr>
              <w:pStyle w:val="TableParagraph"/>
              <w:spacing w:before="8"/>
              <w:rPr>
                <w:sz w:val="20"/>
              </w:rPr>
            </w:pPr>
          </w:p>
          <w:p>
            <w:pPr>
              <w:pStyle w:val="TableParagraph"/>
              <w:ind w:left="416" w:right="210"/>
              <w:jc w:val="both"/>
              <w:rPr>
                <w:sz w:val="20"/>
              </w:rPr>
            </w:pPr>
            <w:r>
              <w:rPr>
                <w:sz w:val="20"/>
              </w:rPr>
              <w:t>One member noted that there was uncertainty about whether corporate holdings of LVNAV funds would qualify as ‘cash and cash equivalent’ for accounting purposes, an issue that was awaiting clarification with auditors.</w:t>
            </w:r>
          </w:p>
          <w:p>
            <w:pPr>
              <w:pStyle w:val="TableParagraph"/>
              <w:spacing w:before="1"/>
              <w:rPr>
                <w:sz w:val="21"/>
              </w:rPr>
            </w:pPr>
          </w:p>
          <w:p>
            <w:pPr>
              <w:pStyle w:val="TableParagraph"/>
              <w:ind w:left="416" w:right="198"/>
              <w:jc w:val="both"/>
              <w:rPr>
                <w:sz w:val="20"/>
              </w:rPr>
            </w:pPr>
            <w:r>
              <w:rPr>
                <w:sz w:val="20"/>
              </w:rPr>
              <w:t>It was noted that the Reforms’ requirement for shorter-dated investments contrasted with requirements for banks to extend the WAM of their liabilities, a tension that could be particularly evident at period-ends. Data over the past year showed that the Weighted Average Maturities (WAMs) across the largest sterling-denominated funds had decreased by approximately 10</w:t>
            </w:r>
          </w:p>
          <w:p>
            <w:pPr>
              <w:pStyle w:val="TableParagraph"/>
              <w:spacing w:line="209" w:lineRule="exact"/>
              <w:ind w:left="416"/>
              <w:jc w:val="both"/>
              <w:rPr>
                <w:sz w:val="20"/>
              </w:rPr>
            </w:pPr>
            <w:r>
              <w:rPr>
                <w:sz w:val="20"/>
              </w:rPr>
              <w:t>days on average.</w:t>
            </w:r>
          </w:p>
        </w:tc>
      </w:tr>
    </w:tbl>
    <w:p>
      <w:pPr>
        <w:pStyle w:val="BodyText"/>
        <w:rPr>
          <w:sz w:val="20"/>
        </w:rPr>
      </w:pPr>
    </w:p>
    <w:p>
      <w:pPr>
        <w:pStyle w:val="BodyText"/>
        <w:spacing w:before="7"/>
        <w:rPr>
          <w:sz w:val="14"/>
        </w:rPr>
      </w:pPr>
      <w:r>
        <w:rPr/>
        <w:pict>
          <v:shape style="position:absolute;margin-left:56.664001pt;margin-top:10.626323pt;width:144.050pt;height:.1pt;mso-position-horizontal-relative:page;mso-position-vertical-relative:paragraph;z-index:-251652096;mso-wrap-distance-left:0;mso-wrap-distance-right:0" coordorigin="1133,213" coordsize="2881,0" path="m1133,213l4014,213e" filled="false" stroked="true" strokeweight=".47998pt" strokecolor="#000000">
            <v:path arrowok="t"/>
            <v:stroke dashstyle="solid"/>
            <w10:wrap type="topAndBottom"/>
          </v:shape>
        </w:pict>
      </w:r>
    </w:p>
    <w:p>
      <w:pPr>
        <w:pStyle w:val="BodyText"/>
        <w:spacing w:line="224" w:lineRule="exact" w:before="22"/>
        <w:ind w:left="313"/>
      </w:pPr>
      <w:r>
        <w:rPr>
          <w:position w:val="9"/>
          <w:sz w:val="12"/>
        </w:rPr>
        <w:t>3 </w:t>
      </w:r>
      <w:r>
        <w:rPr/>
        <w:t>RFR Working Group minutes available on the Bank’s website </w:t>
      </w:r>
      <w:hyperlink r:id="rId23">
        <w:r>
          <w:rPr>
            <w:color w:val="0000FF"/>
            <w:u w:val="single" w:color="0000FF"/>
          </w:rPr>
          <w:t>here</w:t>
        </w:r>
        <w:r>
          <w:rPr/>
          <w:t>.</w:t>
        </w:r>
      </w:hyperlink>
    </w:p>
    <w:p>
      <w:pPr>
        <w:pStyle w:val="BodyText"/>
        <w:spacing w:line="206" w:lineRule="exact"/>
        <w:ind w:left="313"/>
      </w:pPr>
      <w:r>
        <w:rPr>
          <w:position w:val="9"/>
          <w:sz w:val="12"/>
        </w:rPr>
        <w:t>4 </w:t>
      </w:r>
      <w:hyperlink r:id="rId24">
        <w:r>
          <w:rPr>
            <w:color w:val="0000FF"/>
            <w:u w:val="single" w:color="0000FF"/>
          </w:rPr>
          <w:t>ISDA consultation on Interbank Offered Rate Fallbacks</w:t>
        </w:r>
      </w:hyperlink>
    </w:p>
    <w:p>
      <w:pPr>
        <w:pStyle w:val="BodyText"/>
        <w:spacing w:line="224" w:lineRule="exact"/>
        <w:ind w:left="313"/>
      </w:pPr>
      <w:r>
        <w:rPr>
          <w:position w:val="9"/>
          <w:sz w:val="12"/>
        </w:rPr>
        <w:t>5 </w:t>
      </w:r>
      <w:hyperlink r:id="rId25">
        <w:r>
          <w:rPr>
            <w:color w:val="0000FF"/>
            <w:u w:val="single" w:color="0000FF"/>
          </w:rPr>
          <w:t>Consultation paper on Term SONIA Reference Rates</w:t>
        </w:r>
      </w:hyperlink>
    </w:p>
    <w:p>
      <w:pPr>
        <w:spacing w:after="0" w:line="224" w:lineRule="exact"/>
        <w:sectPr>
          <w:pgSz w:w="11910" w:h="16840"/>
          <w:pgMar w:header="571" w:footer="0" w:top="780" w:bottom="280" w:left="820" w:right="920"/>
        </w:sectPr>
      </w:pPr>
    </w:p>
    <w:p>
      <w:pPr>
        <w:pStyle w:val="BodyText"/>
        <w:spacing w:before="10"/>
        <w:rPr>
          <w:sz w:val="29"/>
        </w:rPr>
      </w:pPr>
    </w:p>
    <w:tbl>
      <w:tblPr>
        <w:tblW w:w="0" w:type="auto"/>
        <w:jc w:val="left"/>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2"/>
        <w:gridCol w:w="9056"/>
      </w:tblGrid>
      <w:tr>
        <w:trPr>
          <w:trHeight w:val="1965" w:hRule="atLeast"/>
        </w:trPr>
        <w:tc>
          <w:tcPr>
            <w:tcW w:w="782" w:type="dxa"/>
          </w:tcPr>
          <w:p>
            <w:pPr>
              <w:pStyle w:val="TableParagraph"/>
              <w:rPr>
                <w:rFonts w:ascii="Times New Roman"/>
                <w:sz w:val="18"/>
              </w:rPr>
            </w:pPr>
          </w:p>
        </w:tc>
        <w:tc>
          <w:tcPr>
            <w:tcW w:w="9056" w:type="dxa"/>
          </w:tcPr>
          <w:p>
            <w:pPr>
              <w:pStyle w:val="TableParagraph"/>
              <w:ind w:left="416" w:right="199"/>
              <w:jc w:val="both"/>
              <w:rPr>
                <w:sz w:val="20"/>
              </w:rPr>
            </w:pPr>
            <w:r>
              <w:rPr>
                <w:sz w:val="20"/>
              </w:rPr>
              <w:t>Overall though members agreed that market-based indicators (such as the expected sterling Libor-OIS spread as implied by forward rate agreements, and sterling FX forward contracts) so far showed few signs of material stress over the coming months to January 2019. And overall there was little sense so far that the material adjustment seen in US markets following similar reforms would be repeated in sterling markets.</w:t>
            </w:r>
          </w:p>
          <w:p>
            <w:pPr>
              <w:pStyle w:val="TableParagraph"/>
              <w:spacing w:before="5"/>
              <w:rPr>
                <w:sz w:val="20"/>
              </w:rPr>
            </w:pPr>
          </w:p>
          <w:p>
            <w:pPr>
              <w:pStyle w:val="TableParagraph"/>
              <w:ind w:left="416" w:right="201"/>
              <w:jc w:val="both"/>
              <w:rPr>
                <w:sz w:val="20"/>
              </w:rPr>
            </w:pPr>
            <w:r>
              <w:rPr>
                <w:sz w:val="20"/>
              </w:rPr>
              <w:t>The Committee would continue monitoring conditions for any signs of material system-wide effects.</w:t>
            </w:r>
          </w:p>
        </w:tc>
      </w:tr>
      <w:tr>
        <w:trPr>
          <w:trHeight w:val="3011" w:hRule="atLeast"/>
        </w:trPr>
        <w:tc>
          <w:tcPr>
            <w:tcW w:w="782" w:type="dxa"/>
          </w:tcPr>
          <w:p>
            <w:pPr>
              <w:pStyle w:val="TableParagraph"/>
              <w:spacing w:before="118"/>
              <w:ind w:left="200"/>
              <w:rPr>
                <w:b/>
                <w:sz w:val="20"/>
              </w:rPr>
            </w:pPr>
            <w:r>
              <w:rPr>
                <w:b/>
                <w:sz w:val="20"/>
              </w:rPr>
              <w:t>6.</w:t>
            </w:r>
          </w:p>
        </w:tc>
        <w:tc>
          <w:tcPr>
            <w:tcW w:w="9056" w:type="dxa"/>
          </w:tcPr>
          <w:p>
            <w:pPr>
              <w:pStyle w:val="TableParagraph"/>
              <w:spacing w:before="115"/>
              <w:ind w:left="416"/>
              <w:rPr>
                <w:b/>
                <w:sz w:val="20"/>
              </w:rPr>
            </w:pPr>
            <w:r>
              <w:rPr>
                <w:b/>
                <w:sz w:val="20"/>
              </w:rPr>
              <w:t>Update on ‘</w:t>
            </w:r>
            <w:r>
              <w:rPr>
                <w:b/>
                <w:i/>
                <w:sz w:val="20"/>
              </w:rPr>
              <w:t>Discussion Paper on the Bank’s future balance sheet and framework for </w:t>
            </w:r>
            <w:r>
              <w:rPr>
                <w:b/>
                <w:i/>
                <w:sz w:val="20"/>
              </w:rPr>
              <w:t>controlling interest rates</w:t>
            </w:r>
            <w:r>
              <w:rPr>
                <w:b/>
                <w:sz w:val="20"/>
              </w:rPr>
              <w:t>’</w:t>
            </w:r>
          </w:p>
          <w:p>
            <w:pPr>
              <w:pStyle w:val="TableParagraph"/>
              <w:spacing w:before="4"/>
              <w:rPr>
                <w:sz w:val="20"/>
              </w:rPr>
            </w:pPr>
          </w:p>
          <w:p>
            <w:pPr>
              <w:pStyle w:val="TableParagraph"/>
              <w:ind w:left="416" w:right="202"/>
              <w:jc w:val="both"/>
              <w:rPr>
                <w:sz w:val="20"/>
              </w:rPr>
            </w:pPr>
            <w:r>
              <w:rPr>
                <w:sz w:val="20"/>
              </w:rPr>
              <w:t>The Bank noted the publication of a Discussion Paper</w:t>
            </w:r>
            <w:r>
              <w:rPr>
                <w:sz w:val="20"/>
                <w:vertAlign w:val="superscript"/>
              </w:rPr>
              <w:t>6</w:t>
            </w:r>
            <w:r>
              <w:rPr>
                <w:sz w:val="20"/>
                <w:vertAlign w:val="baseline"/>
              </w:rPr>
              <w:t> on the future shape of the Bank’s balance sheet, which amongst other things posed a number of questions on the factors affecting the demand for central bank reserves.</w:t>
            </w:r>
          </w:p>
          <w:p>
            <w:pPr>
              <w:pStyle w:val="TableParagraph"/>
              <w:spacing w:before="9"/>
              <w:rPr>
                <w:sz w:val="20"/>
              </w:rPr>
            </w:pPr>
          </w:p>
          <w:p>
            <w:pPr>
              <w:pStyle w:val="TableParagraph"/>
              <w:ind w:left="416" w:right="198"/>
              <w:jc w:val="both"/>
              <w:rPr>
                <w:sz w:val="20"/>
              </w:rPr>
            </w:pPr>
            <w:r>
              <w:rPr>
                <w:sz w:val="20"/>
              </w:rPr>
              <w:t>The Bank would be reaching out to market participants, central banking peers and academics in the coming months, including most if not all Committee members. It was also seeking  written comments on any aspect of the paper. Members noted that the topics raised in the paper were fundamental to the future shape of the sterling money markets, and looked forward to future Committee</w:t>
            </w:r>
            <w:r>
              <w:rPr>
                <w:spacing w:val="-4"/>
                <w:sz w:val="20"/>
              </w:rPr>
              <w:t> </w:t>
            </w:r>
            <w:r>
              <w:rPr>
                <w:sz w:val="20"/>
              </w:rPr>
              <w:t>discussions.</w:t>
            </w:r>
          </w:p>
        </w:tc>
      </w:tr>
      <w:tr>
        <w:trPr>
          <w:trHeight w:val="816" w:hRule="atLeast"/>
        </w:trPr>
        <w:tc>
          <w:tcPr>
            <w:tcW w:w="782" w:type="dxa"/>
          </w:tcPr>
          <w:p>
            <w:pPr>
              <w:pStyle w:val="TableParagraph"/>
              <w:spacing w:before="116"/>
              <w:ind w:left="200"/>
              <w:rPr>
                <w:b/>
                <w:sz w:val="20"/>
              </w:rPr>
            </w:pPr>
            <w:r>
              <w:rPr>
                <w:b/>
                <w:sz w:val="20"/>
              </w:rPr>
              <w:t>7.</w:t>
            </w:r>
          </w:p>
        </w:tc>
        <w:tc>
          <w:tcPr>
            <w:tcW w:w="9056" w:type="dxa"/>
          </w:tcPr>
          <w:p>
            <w:pPr>
              <w:pStyle w:val="TableParagraph"/>
              <w:spacing w:before="114"/>
              <w:ind w:left="416"/>
              <w:rPr>
                <w:b/>
                <w:sz w:val="20"/>
              </w:rPr>
            </w:pPr>
            <w:r>
              <w:rPr>
                <w:b/>
                <w:sz w:val="20"/>
              </w:rPr>
              <w:t>AOB</w:t>
            </w:r>
          </w:p>
          <w:p>
            <w:pPr>
              <w:pStyle w:val="TableParagraph"/>
              <w:spacing w:before="1"/>
              <w:rPr>
                <w:sz w:val="21"/>
              </w:rPr>
            </w:pPr>
          </w:p>
          <w:p>
            <w:pPr>
              <w:pStyle w:val="TableParagraph"/>
              <w:spacing w:line="210" w:lineRule="exact"/>
              <w:ind w:left="416"/>
              <w:rPr>
                <w:sz w:val="20"/>
              </w:rPr>
            </w:pPr>
            <w:r>
              <w:rPr>
                <w:sz w:val="20"/>
              </w:rPr>
              <w:t>The Bank confirmed that the next meeting of the MMC would take place on 14 December.</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5"/>
        </w:rPr>
      </w:pPr>
      <w:r>
        <w:rPr/>
        <w:pict>
          <v:shape style="position:absolute;margin-left:56.664001pt;margin-top:11.029526pt;width:144.050pt;height:.1pt;mso-position-horizontal-relative:page;mso-position-vertical-relative:paragraph;z-index:-251651072;mso-wrap-distance-left:0;mso-wrap-distance-right:0" coordorigin="1133,221" coordsize="2881,0" path="m1133,221l4014,221e" filled="false" stroked="true" strokeweight=".47998pt" strokecolor="#000000">
            <v:path arrowok="t"/>
            <v:stroke dashstyle="solid"/>
            <w10:wrap type="topAndBottom"/>
          </v:shape>
        </w:pict>
      </w:r>
    </w:p>
    <w:p>
      <w:pPr>
        <w:spacing w:before="20"/>
        <w:ind w:left="313" w:right="221" w:firstLine="0"/>
        <w:jc w:val="left"/>
        <w:rPr>
          <w:sz w:val="18"/>
        </w:rPr>
      </w:pPr>
      <w:r>
        <w:rPr>
          <w:position w:val="9"/>
          <w:sz w:val="12"/>
        </w:rPr>
        <w:t>6 </w:t>
      </w:r>
      <w:r>
        <w:rPr>
          <w:i/>
          <w:sz w:val="18"/>
        </w:rPr>
        <w:t>Discussion Paper on the Bank of England’s future balance sheet and framework for controlling interest rates </w:t>
      </w:r>
      <w:r>
        <w:rPr>
          <w:sz w:val="18"/>
        </w:rPr>
        <w:t>available on the Bank’s website </w:t>
      </w:r>
      <w:hyperlink r:id="rId26">
        <w:r>
          <w:rPr>
            <w:color w:val="0000FF"/>
            <w:sz w:val="18"/>
            <w:u w:val="single" w:color="0000FF"/>
          </w:rPr>
          <w:t>here</w:t>
        </w:r>
      </w:hyperlink>
    </w:p>
    <w:p>
      <w:pPr>
        <w:spacing w:after="0"/>
        <w:jc w:val="left"/>
        <w:rPr>
          <w:sz w:val="18"/>
        </w:rPr>
        <w:sectPr>
          <w:pgSz w:w="11910" w:h="16840"/>
          <w:pgMar w:header="571" w:footer="0" w:top="780" w:bottom="280" w:left="820" w:right="920"/>
        </w:sectPr>
      </w:pPr>
    </w:p>
    <w:p>
      <w:pPr>
        <w:pStyle w:val="BodyText"/>
        <w:spacing w:before="2"/>
        <w:rPr>
          <w:sz w:val="21"/>
        </w:rPr>
      </w:pPr>
    </w:p>
    <w:p>
      <w:pPr>
        <w:spacing w:before="93"/>
        <w:ind w:left="313" w:right="0" w:firstLine="0"/>
        <w:jc w:val="left"/>
        <w:rPr>
          <w:b/>
          <w:sz w:val="20"/>
        </w:rPr>
      </w:pPr>
      <w:r>
        <w:rPr>
          <w:b/>
          <w:sz w:val="20"/>
        </w:rPr>
        <w:t>Acronyms</w:t>
      </w:r>
    </w:p>
    <w:p>
      <w:pPr>
        <w:pStyle w:val="BodyText"/>
        <w:spacing w:before="8" w:after="1"/>
        <w:rPr>
          <w:b/>
          <w:sz w:val="26"/>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2"/>
        <w:gridCol w:w="4743"/>
      </w:tblGrid>
      <w:tr>
        <w:trPr>
          <w:trHeight w:val="226" w:hRule="atLeast"/>
        </w:trPr>
        <w:tc>
          <w:tcPr>
            <w:tcW w:w="1022" w:type="dxa"/>
          </w:tcPr>
          <w:p>
            <w:pPr>
              <w:pStyle w:val="TableParagraph"/>
              <w:spacing w:line="207" w:lineRule="exact"/>
              <w:ind w:left="200"/>
              <w:rPr>
                <w:sz w:val="20"/>
              </w:rPr>
            </w:pPr>
            <w:r>
              <w:rPr>
                <w:sz w:val="20"/>
              </w:rPr>
              <w:t>ACT</w:t>
            </w:r>
          </w:p>
        </w:tc>
        <w:tc>
          <w:tcPr>
            <w:tcW w:w="4743" w:type="dxa"/>
          </w:tcPr>
          <w:p>
            <w:pPr>
              <w:pStyle w:val="TableParagraph"/>
              <w:spacing w:line="207" w:lineRule="exact"/>
              <w:ind w:left="279"/>
              <w:rPr>
                <w:sz w:val="20"/>
              </w:rPr>
            </w:pPr>
            <w:r>
              <w:rPr>
                <w:sz w:val="20"/>
              </w:rPr>
              <w:t>Association of Corporate Treasurers</w:t>
            </w:r>
          </w:p>
        </w:tc>
      </w:tr>
      <w:tr>
        <w:trPr>
          <w:trHeight w:val="230" w:hRule="atLeast"/>
        </w:trPr>
        <w:tc>
          <w:tcPr>
            <w:tcW w:w="1022" w:type="dxa"/>
          </w:tcPr>
          <w:p>
            <w:pPr>
              <w:pStyle w:val="TableParagraph"/>
              <w:spacing w:line="211" w:lineRule="exact"/>
              <w:ind w:left="200"/>
              <w:rPr>
                <w:sz w:val="20"/>
              </w:rPr>
            </w:pPr>
            <w:r>
              <w:rPr>
                <w:sz w:val="20"/>
              </w:rPr>
              <w:t>BAML</w:t>
            </w:r>
          </w:p>
        </w:tc>
        <w:tc>
          <w:tcPr>
            <w:tcW w:w="4743" w:type="dxa"/>
          </w:tcPr>
          <w:p>
            <w:pPr>
              <w:pStyle w:val="TableParagraph"/>
              <w:spacing w:line="211" w:lineRule="exact"/>
              <w:ind w:left="279"/>
              <w:rPr>
                <w:sz w:val="20"/>
              </w:rPr>
            </w:pPr>
            <w:r>
              <w:rPr>
                <w:sz w:val="20"/>
              </w:rPr>
              <w:t>Bank of America Merrill Lynch</w:t>
            </w:r>
          </w:p>
        </w:tc>
      </w:tr>
      <w:tr>
        <w:trPr>
          <w:trHeight w:val="229" w:hRule="atLeast"/>
        </w:trPr>
        <w:tc>
          <w:tcPr>
            <w:tcW w:w="1022" w:type="dxa"/>
          </w:tcPr>
          <w:p>
            <w:pPr>
              <w:pStyle w:val="TableParagraph"/>
              <w:spacing w:line="209" w:lineRule="exact"/>
              <w:ind w:left="200"/>
              <w:rPr>
                <w:sz w:val="20"/>
              </w:rPr>
            </w:pPr>
            <w:r>
              <w:rPr>
                <w:sz w:val="20"/>
              </w:rPr>
              <w:t>DMO</w:t>
            </w:r>
          </w:p>
        </w:tc>
        <w:tc>
          <w:tcPr>
            <w:tcW w:w="4743" w:type="dxa"/>
          </w:tcPr>
          <w:p>
            <w:pPr>
              <w:pStyle w:val="TableParagraph"/>
              <w:spacing w:line="209" w:lineRule="exact"/>
              <w:ind w:left="279"/>
              <w:rPr>
                <w:sz w:val="20"/>
              </w:rPr>
            </w:pPr>
            <w:r>
              <w:rPr>
                <w:sz w:val="20"/>
              </w:rPr>
              <w:t>Debt Management Office</w:t>
            </w:r>
          </w:p>
        </w:tc>
      </w:tr>
      <w:tr>
        <w:trPr>
          <w:trHeight w:val="229" w:hRule="atLeast"/>
        </w:trPr>
        <w:tc>
          <w:tcPr>
            <w:tcW w:w="1022" w:type="dxa"/>
          </w:tcPr>
          <w:p>
            <w:pPr>
              <w:pStyle w:val="TableParagraph"/>
              <w:spacing w:line="209" w:lineRule="exact"/>
              <w:ind w:left="200"/>
              <w:rPr>
                <w:sz w:val="20"/>
              </w:rPr>
            </w:pPr>
            <w:r>
              <w:rPr>
                <w:sz w:val="20"/>
              </w:rPr>
              <w:t>FCA</w:t>
            </w:r>
          </w:p>
        </w:tc>
        <w:tc>
          <w:tcPr>
            <w:tcW w:w="4743" w:type="dxa"/>
          </w:tcPr>
          <w:p>
            <w:pPr>
              <w:pStyle w:val="TableParagraph"/>
              <w:spacing w:line="209" w:lineRule="exact"/>
              <w:ind w:left="279"/>
              <w:rPr>
                <w:sz w:val="20"/>
              </w:rPr>
            </w:pPr>
            <w:r>
              <w:rPr>
                <w:sz w:val="20"/>
              </w:rPr>
              <w:t>Financial Conduct Authority</w:t>
            </w:r>
          </w:p>
        </w:tc>
      </w:tr>
      <w:tr>
        <w:trPr>
          <w:trHeight w:val="230" w:hRule="atLeast"/>
        </w:trPr>
        <w:tc>
          <w:tcPr>
            <w:tcW w:w="1022" w:type="dxa"/>
          </w:tcPr>
          <w:p>
            <w:pPr>
              <w:pStyle w:val="TableParagraph"/>
              <w:spacing w:line="210" w:lineRule="exact"/>
              <w:ind w:left="200"/>
              <w:rPr>
                <w:sz w:val="20"/>
              </w:rPr>
            </w:pPr>
            <w:r>
              <w:rPr>
                <w:sz w:val="20"/>
              </w:rPr>
              <w:t>ISDA</w:t>
            </w:r>
          </w:p>
        </w:tc>
        <w:tc>
          <w:tcPr>
            <w:tcW w:w="4743" w:type="dxa"/>
          </w:tcPr>
          <w:p>
            <w:pPr>
              <w:pStyle w:val="TableParagraph"/>
              <w:spacing w:line="210" w:lineRule="exact"/>
              <w:ind w:left="279"/>
              <w:rPr>
                <w:sz w:val="20"/>
              </w:rPr>
            </w:pPr>
            <w:r>
              <w:rPr>
                <w:sz w:val="20"/>
              </w:rPr>
              <w:t>International Swaps and Derivatives Association</w:t>
            </w:r>
          </w:p>
        </w:tc>
      </w:tr>
      <w:tr>
        <w:trPr>
          <w:trHeight w:val="230" w:hRule="atLeast"/>
        </w:trPr>
        <w:tc>
          <w:tcPr>
            <w:tcW w:w="1022" w:type="dxa"/>
          </w:tcPr>
          <w:p>
            <w:pPr>
              <w:pStyle w:val="TableParagraph"/>
              <w:spacing w:line="210" w:lineRule="exact"/>
              <w:ind w:left="200"/>
              <w:rPr>
                <w:sz w:val="20"/>
              </w:rPr>
            </w:pPr>
            <w:r>
              <w:rPr>
                <w:sz w:val="20"/>
              </w:rPr>
              <w:t>MiFID</w:t>
            </w:r>
          </w:p>
        </w:tc>
        <w:tc>
          <w:tcPr>
            <w:tcW w:w="4743" w:type="dxa"/>
          </w:tcPr>
          <w:p>
            <w:pPr>
              <w:pStyle w:val="TableParagraph"/>
              <w:spacing w:line="210" w:lineRule="exact"/>
              <w:ind w:left="279"/>
              <w:rPr>
                <w:sz w:val="20"/>
              </w:rPr>
            </w:pPr>
            <w:r>
              <w:rPr>
                <w:sz w:val="20"/>
              </w:rPr>
              <w:t>Markets in Financial Instruments Directive</w:t>
            </w:r>
          </w:p>
        </w:tc>
      </w:tr>
      <w:tr>
        <w:trPr>
          <w:trHeight w:val="230" w:hRule="atLeast"/>
        </w:trPr>
        <w:tc>
          <w:tcPr>
            <w:tcW w:w="1022" w:type="dxa"/>
          </w:tcPr>
          <w:p>
            <w:pPr>
              <w:pStyle w:val="TableParagraph"/>
              <w:spacing w:line="210" w:lineRule="exact"/>
              <w:ind w:left="200"/>
              <w:rPr>
                <w:sz w:val="20"/>
              </w:rPr>
            </w:pPr>
            <w:r>
              <w:rPr>
                <w:sz w:val="20"/>
              </w:rPr>
              <w:t>MMC</w:t>
            </w:r>
          </w:p>
        </w:tc>
        <w:tc>
          <w:tcPr>
            <w:tcW w:w="4743" w:type="dxa"/>
          </w:tcPr>
          <w:p>
            <w:pPr>
              <w:pStyle w:val="TableParagraph"/>
              <w:spacing w:line="210" w:lineRule="exact"/>
              <w:ind w:left="279"/>
              <w:rPr>
                <w:sz w:val="20"/>
              </w:rPr>
            </w:pPr>
            <w:r>
              <w:rPr>
                <w:sz w:val="20"/>
              </w:rPr>
              <w:t>Money Markets Committee</w:t>
            </w:r>
          </w:p>
        </w:tc>
      </w:tr>
      <w:tr>
        <w:trPr>
          <w:trHeight w:val="229" w:hRule="atLeast"/>
        </w:trPr>
        <w:tc>
          <w:tcPr>
            <w:tcW w:w="1022" w:type="dxa"/>
          </w:tcPr>
          <w:p>
            <w:pPr>
              <w:pStyle w:val="TableParagraph"/>
              <w:spacing w:line="209" w:lineRule="exact"/>
              <w:ind w:left="200"/>
              <w:rPr>
                <w:sz w:val="20"/>
              </w:rPr>
            </w:pPr>
            <w:r>
              <w:rPr>
                <w:sz w:val="20"/>
              </w:rPr>
              <w:t>MMF</w:t>
            </w:r>
          </w:p>
        </w:tc>
        <w:tc>
          <w:tcPr>
            <w:tcW w:w="4743" w:type="dxa"/>
          </w:tcPr>
          <w:p>
            <w:pPr>
              <w:pStyle w:val="TableParagraph"/>
              <w:spacing w:line="209" w:lineRule="exact"/>
              <w:ind w:left="279"/>
              <w:rPr>
                <w:sz w:val="20"/>
              </w:rPr>
            </w:pPr>
            <w:r>
              <w:rPr>
                <w:sz w:val="20"/>
              </w:rPr>
              <w:t>Money Market Fund</w:t>
            </w:r>
          </w:p>
        </w:tc>
      </w:tr>
      <w:tr>
        <w:trPr>
          <w:trHeight w:val="229" w:hRule="atLeast"/>
        </w:trPr>
        <w:tc>
          <w:tcPr>
            <w:tcW w:w="1022" w:type="dxa"/>
          </w:tcPr>
          <w:p>
            <w:pPr>
              <w:pStyle w:val="TableParagraph"/>
              <w:spacing w:line="209" w:lineRule="exact"/>
              <w:ind w:left="200"/>
              <w:rPr>
                <w:sz w:val="20"/>
              </w:rPr>
            </w:pPr>
            <w:r>
              <w:rPr>
                <w:sz w:val="20"/>
              </w:rPr>
              <w:t>MPC</w:t>
            </w:r>
          </w:p>
        </w:tc>
        <w:tc>
          <w:tcPr>
            <w:tcW w:w="4743" w:type="dxa"/>
          </w:tcPr>
          <w:p>
            <w:pPr>
              <w:pStyle w:val="TableParagraph"/>
              <w:spacing w:line="209" w:lineRule="exact"/>
              <w:ind w:left="279"/>
              <w:rPr>
                <w:sz w:val="20"/>
              </w:rPr>
            </w:pPr>
            <w:r>
              <w:rPr>
                <w:sz w:val="20"/>
              </w:rPr>
              <w:t>Monetary Policy Committee</w:t>
            </w:r>
          </w:p>
        </w:tc>
      </w:tr>
      <w:tr>
        <w:trPr>
          <w:trHeight w:val="230" w:hRule="atLeast"/>
        </w:trPr>
        <w:tc>
          <w:tcPr>
            <w:tcW w:w="1022" w:type="dxa"/>
          </w:tcPr>
          <w:p>
            <w:pPr>
              <w:pStyle w:val="TableParagraph"/>
              <w:spacing w:line="210" w:lineRule="exact"/>
              <w:ind w:left="200"/>
              <w:rPr>
                <w:sz w:val="20"/>
              </w:rPr>
            </w:pPr>
            <w:r>
              <w:rPr>
                <w:sz w:val="20"/>
              </w:rPr>
              <w:t>RBS</w:t>
            </w:r>
          </w:p>
        </w:tc>
        <w:tc>
          <w:tcPr>
            <w:tcW w:w="4743" w:type="dxa"/>
          </w:tcPr>
          <w:p>
            <w:pPr>
              <w:pStyle w:val="TableParagraph"/>
              <w:spacing w:line="210" w:lineRule="exact"/>
              <w:ind w:left="279"/>
              <w:rPr>
                <w:sz w:val="20"/>
              </w:rPr>
            </w:pPr>
            <w:r>
              <w:rPr>
                <w:sz w:val="20"/>
              </w:rPr>
              <w:t>Royal Bank of Scotland</w:t>
            </w:r>
          </w:p>
        </w:tc>
      </w:tr>
      <w:tr>
        <w:trPr>
          <w:trHeight w:val="230" w:hRule="atLeast"/>
        </w:trPr>
        <w:tc>
          <w:tcPr>
            <w:tcW w:w="1022" w:type="dxa"/>
          </w:tcPr>
          <w:p>
            <w:pPr>
              <w:pStyle w:val="TableParagraph"/>
              <w:spacing w:line="210" w:lineRule="exact"/>
              <w:ind w:left="200"/>
              <w:rPr>
                <w:sz w:val="20"/>
              </w:rPr>
            </w:pPr>
            <w:r>
              <w:rPr>
                <w:sz w:val="20"/>
              </w:rPr>
              <w:t>RFR</w:t>
            </w:r>
          </w:p>
        </w:tc>
        <w:tc>
          <w:tcPr>
            <w:tcW w:w="4743" w:type="dxa"/>
          </w:tcPr>
          <w:p>
            <w:pPr>
              <w:pStyle w:val="TableParagraph"/>
              <w:spacing w:line="210" w:lineRule="exact"/>
              <w:ind w:left="279"/>
              <w:rPr>
                <w:sz w:val="20"/>
              </w:rPr>
            </w:pPr>
            <w:r>
              <w:rPr>
                <w:sz w:val="20"/>
              </w:rPr>
              <w:t>Risk-Free Rate</w:t>
            </w:r>
          </w:p>
        </w:tc>
      </w:tr>
      <w:tr>
        <w:trPr>
          <w:trHeight w:val="226" w:hRule="atLeast"/>
        </w:trPr>
        <w:tc>
          <w:tcPr>
            <w:tcW w:w="1022" w:type="dxa"/>
          </w:tcPr>
          <w:p>
            <w:pPr>
              <w:pStyle w:val="TableParagraph"/>
              <w:spacing w:line="206" w:lineRule="exact"/>
              <w:ind w:left="200"/>
              <w:rPr>
                <w:sz w:val="20"/>
              </w:rPr>
            </w:pPr>
            <w:r>
              <w:rPr>
                <w:sz w:val="20"/>
              </w:rPr>
              <w:t>SMF</w:t>
            </w:r>
          </w:p>
        </w:tc>
        <w:tc>
          <w:tcPr>
            <w:tcW w:w="4743" w:type="dxa"/>
          </w:tcPr>
          <w:p>
            <w:pPr>
              <w:pStyle w:val="TableParagraph"/>
              <w:spacing w:line="206" w:lineRule="exact"/>
              <w:ind w:left="279"/>
              <w:rPr>
                <w:sz w:val="20"/>
              </w:rPr>
            </w:pPr>
            <w:r>
              <w:rPr>
                <w:sz w:val="20"/>
              </w:rPr>
              <w:t>Sterling Monetary Framework</w:t>
            </w:r>
          </w:p>
        </w:tc>
      </w:tr>
    </w:tbl>
    <w:sectPr>
      <w:pgSz w:w="11910" w:h="16840"/>
      <w:pgMar w:header="571" w:footer="0" w:top="780" w:bottom="280" w:left="82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66.744003pt;margin-top:27.543459pt;width:11.55pt;height:13.15pt;mso-position-horizontal-relative:page;mso-position-vertical-relative:page;z-index:-252049408" type="#_x0000_t202" filled="false" stroked="false">
          <v:textbox inset="0,0,0,0">
            <w:txbxContent>
              <w:p>
                <w:pPr>
                  <w:spacing w:before="12"/>
                  <w:ind w:left="60" w:right="0" w:firstLine="0"/>
                  <w:jc w:val="left"/>
                  <w:rPr>
                    <w:sz w:val="20"/>
                  </w:rPr>
                </w:pPr>
                <w:r>
                  <w:rPr/>
                  <w:fldChar w:fldCharType="begin"/>
                </w:r>
                <w:r>
                  <w:rPr>
                    <w:w w:val="99"/>
                    <w:sz w:val="20"/>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923" w:hanging="356"/>
      </w:pPr>
      <w:rPr>
        <w:rFonts w:hint="default" w:ascii="Symbol" w:hAnsi="Symbol" w:eastAsia="Symbol" w:cs="Symbol"/>
        <w:w w:val="99"/>
        <w:sz w:val="20"/>
        <w:szCs w:val="20"/>
        <w:lang w:val="en-gb" w:eastAsia="en-gb" w:bidi="en-gb"/>
      </w:rPr>
    </w:lvl>
    <w:lvl w:ilvl="1">
      <w:start w:val="0"/>
      <w:numFmt w:val="bullet"/>
      <w:lvlText w:val="•"/>
      <w:lvlJc w:val="left"/>
      <w:pPr>
        <w:ind w:left="1703" w:hanging="356"/>
      </w:pPr>
      <w:rPr>
        <w:rFonts w:hint="default"/>
        <w:lang w:val="en-gb" w:eastAsia="en-gb" w:bidi="en-gb"/>
      </w:rPr>
    </w:lvl>
    <w:lvl w:ilvl="2">
      <w:start w:val="0"/>
      <w:numFmt w:val="bullet"/>
      <w:lvlText w:val="•"/>
      <w:lvlJc w:val="left"/>
      <w:pPr>
        <w:ind w:left="2487" w:hanging="356"/>
      </w:pPr>
      <w:rPr>
        <w:rFonts w:hint="default"/>
        <w:lang w:val="en-gb" w:eastAsia="en-gb" w:bidi="en-gb"/>
      </w:rPr>
    </w:lvl>
    <w:lvl w:ilvl="3">
      <w:start w:val="0"/>
      <w:numFmt w:val="bullet"/>
      <w:lvlText w:val="•"/>
      <w:lvlJc w:val="left"/>
      <w:pPr>
        <w:ind w:left="3271" w:hanging="356"/>
      </w:pPr>
      <w:rPr>
        <w:rFonts w:hint="default"/>
        <w:lang w:val="en-gb" w:eastAsia="en-gb" w:bidi="en-gb"/>
      </w:rPr>
    </w:lvl>
    <w:lvl w:ilvl="4">
      <w:start w:val="0"/>
      <w:numFmt w:val="bullet"/>
      <w:lvlText w:val="•"/>
      <w:lvlJc w:val="left"/>
      <w:pPr>
        <w:ind w:left="4054" w:hanging="356"/>
      </w:pPr>
      <w:rPr>
        <w:rFonts w:hint="default"/>
        <w:lang w:val="en-gb" w:eastAsia="en-gb" w:bidi="en-gb"/>
      </w:rPr>
    </w:lvl>
    <w:lvl w:ilvl="5">
      <w:start w:val="0"/>
      <w:numFmt w:val="bullet"/>
      <w:lvlText w:val="•"/>
      <w:lvlJc w:val="left"/>
      <w:pPr>
        <w:ind w:left="4838" w:hanging="356"/>
      </w:pPr>
      <w:rPr>
        <w:rFonts w:hint="default"/>
        <w:lang w:val="en-gb" w:eastAsia="en-gb" w:bidi="en-gb"/>
      </w:rPr>
    </w:lvl>
    <w:lvl w:ilvl="6">
      <w:start w:val="0"/>
      <w:numFmt w:val="bullet"/>
      <w:lvlText w:val="•"/>
      <w:lvlJc w:val="left"/>
      <w:pPr>
        <w:ind w:left="5622" w:hanging="356"/>
      </w:pPr>
      <w:rPr>
        <w:rFonts w:hint="default"/>
        <w:lang w:val="en-gb" w:eastAsia="en-gb" w:bidi="en-gb"/>
      </w:rPr>
    </w:lvl>
    <w:lvl w:ilvl="7">
      <w:start w:val="0"/>
      <w:numFmt w:val="bullet"/>
      <w:lvlText w:val="•"/>
      <w:lvlJc w:val="left"/>
      <w:pPr>
        <w:ind w:left="6405" w:hanging="356"/>
      </w:pPr>
      <w:rPr>
        <w:rFonts w:hint="default"/>
        <w:lang w:val="en-gb" w:eastAsia="en-gb" w:bidi="en-gb"/>
      </w:rPr>
    </w:lvl>
    <w:lvl w:ilvl="8">
      <w:start w:val="0"/>
      <w:numFmt w:val="bullet"/>
      <w:lvlText w:val="•"/>
      <w:lvlJc w:val="left"/>
      <w:pPr>
        <w:ind w:left="7189" w:hanging="356"/>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18"/>
      <w:szCs w:val="18"/>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jpeg"/><Relationship Id="rId20" Type="http://schemas.openxmlformats.org/officeDocument/2006/relationships/header" Target="header1.xml"/><Relationship Id="rId21" Type="http://schemas.openxmlformats.org/officeDocument/2006/relationships/hyperlink" Target="https://www.bankofengland.co.uk/-/media/boe/files/minutes/2018/money-markets-committee-minutes-july-2018.pdf?la=en&amp;hash=8A6FE6C13D39D1CD3E7DD0CCF2BFDDEE77804A20" TargetMode="External"/><Relationship Id="rId22" Type="http://schemas.openxmlformats.org/officeDocument/2006/relationships/hyperlink" Target="https://www.fca.org.uk/about/recognised-industry-codes-criteria-process" TargetMode="External"/><Relationship Id="rId23" Type="http://schemas.openxmlformats.org/officeDocument/2006/relationships/hyperlink" Target="https://www.bankofengland.co.uk/-/media/boe/files/minutes/2018/rfr-august-2018.pdf?la=en&amp;hash=D59252D7AE394C1871FBA3063E0E6845B100FDAC" TargetMode="External"/><Relationship Id="rId24" Type="http://schemas.openxmlformats.org/officeDocument/2006/relationships/hyperlink" Target="http://assets.isda.org/media/f253b540-193/42c13663-pdf/" TargetMode="External"/><Relationship Id="rId25" Type="http://schemas.openxmlformats.org/officeDocument/2006/relationships/hyperlink" Target="https://www.bankofengland.co.uk/paper/2018/consultation-paper-on-term-sonia-reference-rates" TargetMode="External"/><Relationship Id="rId26" Type="http://schemas.openxmlformats.org/officeDocument/2006/relationships/hyperlink" Target="https://www.bankofengland.co.uk/paper/2018/boe-future-balance-sheet-and-framework-for-controlling-interest-rates" TargetMode="External"/><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Money Markets Committee - Minutes from 3 September 2018</dc:title>
  <dcterms:created xsi:type="dcterms:W3CDTF">2020-06-01T02:00:39Z</dcterms:created>
  <dcterms:modified xsi:type="dcterms:W3CDTF">2020-06-01T02:00:39Z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LastSaved">
    <vt:filetime>2020-06-01T00:00:00Z</vt:filetime>
  </property>
</Properties>
</file>