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1"/>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8485"/>
      </w:tblGrid>
      <w:tr>
        <w:trPr>
          <w:trHeight w:val="665" w:hRule="atLeast"/>
        </w:trPr>
        <w:tc>
          <w:tcPr>
            <w:tcW w:w="9784" w:type="dxa"/>
            <w:gridSpan w:val="2"/>
          </w:tcPr>
          <w:p>
            <w:pPr>
              <w:pStyle w:val="TableParagraph"/>
              <w:spacing w:line="491" w:lineRule="exact"/>
              <w:rPr>
                <w:sz w:val="44"/>
              </w:rPr>
            </w:pPr>
            <w:r>
              <w:rPr>
                <w:sz w:val="44"/>
              </w:rPr>
              <w:t>Minutes</w:t>
            </w:r>
          </w:p>
        </w:tc>
      </w:tr>
      <w:tr>
        <w:trPr>
          <w:trHeight w:val="467" w:hRule="atLeast"/>
        </w:trPr>
        <w:tc>
          <w:tcPr>
            <w:tcW w:w="9784" w:type="dxa"/>
            <w:gridSpan w:val="2"/>
          </w:tcPr>
          <w:p>
            <w:pPr>
              <w:pStyle w:val="TableParagraph"/>
              <w:spacing w:before="167"/>
              <w:rPr>
                <w:b/>
                <w:sz w:val="24"/>
              </w:rPr>
            </w:pPr>
            <w:r>
              <w:rPr>
                <w:b/>
                <w:sz w:val="24"/>
              </w:rPr>
              <w:t>Foreign Exchange Joint Standing Committee Legal Sub-Committee</w:t>
            </w:r>
          </w:p>
        </w:tc>
      </w:tr>
      <w:tr>
        <w:trPr>
          <w:trHeight w:val="565" w:hRule="atLeast"/>
        </w:trPr>
        <w:tc>
          <w:tcPr>
            <w:tcW w:w="9784" w:type="dxa"/>
            <w:gridSpan w:val="2"/>
            <w:tcBorders>
              <w:bottom w:val="single" w:sz="4" w:space="0" w:color="000000"/>
            </w:tcBorders>
          </w:tcPr>
          <w:p>
            <w:pPr>
              <w:pStyle w:val="TableParagraph"/>
              <w:spacing w:before="16"/>
              <w:rPr>
                <w:sz w:val="24"/>
              </w:rPr>
            </w:pPr>
            <w:r>
              <w:rPr>
                <w:sz w:val="24"/>
              </w:rPr>
              <w:t>18 June 2019</w:t>
            </w:r>
          </w:p>
        </w:tc>
      </w:tr>
      <w:tr>
        <w:trPr>
          <w:trHeight w:val="579" w:hRule="atLeast"/>
        </w:trPr>
        <w:tc>
          <w:tcPr>
            <w:tcW w:w="1299" w:type="dxa"/>
            <w:tcBorders>
              <w:top w:val="single" w:sz="4" w:space="0" w:color="000000"/>
            </w:tcBorders>
          </w:tcPr>
          <w:p>
            <w:pPr>
              <w:pStyle w:val="TableParagraph"/>
              <w:spacing w:before="8"/>
              <w:rPr>
                <w:rFonts w:ascii="Times New Roman"/>
                <w:sz w:val="18"/>
              </w:rPr>
            </w:pPr>
          </w:p>
          <w:p>
            <w:pPr>
              <w:pStyle w:val="TableParagraph"/>
              <w:rPr>
                <w:sz w:val="20"/>
              </w:rPr>
            </w:pPr>
            <w:r>
              <w:rPr>
                <w:sz w:val="20"/>
              </w:rPr>
              <w:t>Location:</w:t>
            </w:r>
          </w:p>
        </w:tc>
        <w:tc>
          <w:tcPr>
            <w:tcW w:w="8485" w:type="dxa"/>
            <w:tcBorders>
              <w:top w:val="single" w:sz="4" w:space="0" w:color="000000"/>
            </w:tcBorders>
          </w:tcPr>
          <w:p>
            <w:pPr>
              <w:pStyle w:val="TableParagraph"/>
              <w:spacing w:before="8"/>
              <w:rPr>
                <w:rFonts w:ascii="Times New Roman"/>
                <w:sz w:val="18"/>
              </w:rPr>
            </w:pPr>
          </w:p>
          <w:p>
            <w:pPr>
              <w:pStyle w:val="TableParagraph"/>
              <w:ind w:left="191"/>
              <w:rPr>
                <w:sz w:val="20"/>
              </w:rPr>
            </w:pPr>
            <w:r>
              <w:rPr>
                <w:sz w:val="20"/>
              </w:rPr>
              <w:t>Bank of England, Threadneedle Street, London EC2R 8AH</w:t>
            </w:r>
          </w:p>
        </w:tc>
      </w:tr>
      <w:tr>
        <w:trPr>
          <w:trHeight w:val="2610" w:hRule="atLeast"/>
        </w:trPr>
        <w:tc>
          <w:tcPr>
            <w:tcW w:w="1299" w:type="dxa"/>
          </w:tcPr>
          <w:p>
            <w:pPr>
              <w:pStyle w:val="TableParagraph"/>
              <w:spacing w:before="130"/>
              <w:rPr>
                <w:sz w:val="20"/>
              </w:rPr>
            </w:pPr>
            <w:r>
              <w:rPr>
                <w:sz w:val="20"/>
              </w:rPr>
              <w:t>Attendees:</w:t>
            </w:r>
          </w:p>
        </w:tc>
        <w:tc>
          <w:tcPr>
            <w:tcW w:w="8485" w:type="dxa"/>
          </w:tcPr>
          <w:p>
            <w:pPr>
              <w:pStyle w:val="TableParagraph"/>
              <w:spacing w:before="127"/>
              <w:ind w:left="191"/>
              <w:rPr>
                <w:sz w:val="20"/>
              </w:rPr>
            </w:pPr>
            <w:r>
              <w:rPr>
                <w:b/>
                <w:sz w:val="20"/>
              </w:rPr>
              <w:t>Bank of England</w:t>
            </w:r>
            <w:r>
              <w:rPr>
                <w:sz w:val="20"/>
              </w:rPr>
              <w:t>: Jonathan Grant (Secretary), Ajneet Jassey, Paul Avanzato, Radhika Sood</w:t>
            </w:r>
          </w:p>
          <w:p>
            <w:pPr>
              <w:pStyle w:val="TableParagraph"/>
              <w:spacing w:before="34"/>
              <w:ind w:left="191"/>
              <w:rPr>
                <w:sz w:val="20"/>
              </w:rPr>
            </w:pPr>
            <w:r>
              <w:rPr>
                <w:b/>
                <w:sz w:val="20"/>
              </w:rPr>
              <w:t>Bank of England: </w:t>
            </w:r>
            <w:r>
              <w:rPr>
                <w:sz w:val="20"/>
              </w:rPr>
              <w:t>Grigoria Christodoulou, Tom Horn (Guest Speakers)</w:t>
            </w:r>
          </w:p>
          <w:p>
            <w:pPr>
              <w:pStyle w:val="TableParagraph"/>
              <w:spacing w:before="37"/>
              <w:ind w:left="191"/>
              <w:rPr>
                <w:sz w:val="20"/>
              </w:rPr>
            </w:pPr>
            <w:r>
              <w:rPr>
                <w:b/>
                <w:sz w:val="20"/>
              </w:rPr>
              <w:t>Citigroup</w:t>
            </w:r>
            <w:r>
              <w:rPr>
                <w:sz w:val="20"/>
              </w:rPr>
              <w:t>: Sharon Blackman</w:t>
            </w:r>
          </w:p>
          <w:p>
            <w:pPr>
              <w:pStyle w:val="TableParagraph"/>
              <w:spacing w:before="34"/>
              <w:ind w:left="191"/>
              <w:rPr>
                <w:sz w:val="20"/>
              </w:rPr>
            </w:pPr>
            <w:r>
              <w:rPr>
                <w:b/>
                <w:sz w:val="20"/>
              </w:rPr>
              <w:t>Financial Conduct Authority (FCA)</w:t>
            </w:r>
            <w:r>
              <w:rPr>
                <w:sz w:val="20"/>
              </w:rPr>
              <w:t>: David Harris</w:t>
            </w:r>
          </w:p>
          <w:p>
            <w:pPr>
              <w:pStyle w:val="TableParagraph"/>
              <w:spacing w:before="34"/>
              <w:ind w:left="191"/>
              <w:rPr>
                <w:sz w:val="20"/>
              </w:rPr>
            </w:pPr>
            <w:r>
              <w:rPr>
                <w:b/>
                <w:sz w:val="20"/>
              </w:rPr>
              <w:t>Goldman Sachs</w:t>
            </w:r>
            <w:r>
              <w:rPr>
                <w:sz w:val="20"/>
              </w:rPr>
              <w:t>: Dan Parker (Chair)</w:t>
            </w:r>
          </w:p>
          <w:p>
            <w:pPr>
              <w:pStyle w:val="TableParagraph"/>
              <w:spacing w:before="34"/>
              <w:ind w:left="191"/>
              <w:rPr>
                <w:sz w:val="20"/>
              </w:rPr>
            </w:pPr>
            <w:r>
              <w:rPr>
                <w:b/>
                <w:sz w:val="20"/>
              </w:rPr>
              <w:t>HSBC</w:t>
            </w:r>
            <w:r>
              <w:rPr>
                <w:sz w:val="20"/>
              </w:rPr>
              <w:t>: Harkamal Singh Atwal</w:t>
            </w:r>
          </w:p>
          <w:p>
            <w:pPr>
              <w:pStyle w:val="TableParagraph"/>
              <w:spacing w:line="276" w:lineRule="auto" w:before="34"/>
              <w:ind w:left="191" w:right="5104"/>
              <w:rPr>
                <w:sz w:val="20"/>
              </w:rPr>
            </w:pPr>
            <w:r>
              <w:rPr>
                <w:b/>
                <w:sz w:val="20"/>
              </w:rPr>
              <w:t>LCH</w:t>
            </w:r>
            <w:r>
              <w:rPr>
                <w:sz w:val="20"/>
              </w:rPr>
              <w:t>: Diane Bouwmeester </w:t>
            </w:r>
            <w:r>
              <w:rPr>
                <w:b/>
                <w:sz w:val="20"/>
              </w:rPr>
              <w:t>Standard Chartered</w:t>
            </w:r>
            <w:r>
              <w:rPr>
                <w:sz w:val="20"/>
              </w:rPr>
              <w:t>: Rakesh Shah </w:t>
            </w:r>
            <w:r>
              <w:rPr>
                <w:b/>
                <w:sz w:val="20"/>
              </w:rPr>
              <w:t>XTX Markets</w:t>
            </w:r>
            <w:r>
              <w:rPr>
                <w:sz w:val="20"/>
              </w:rPr>
              <w:t>: Sunil Samani</w:t>
            </w:r>
          </w:p>
        </w:tc>
      </w:tr>
      <w:tr>
        <w:trPr>
          <w:trHeight w:val="1286" w:hRule="atLeast"/>
        </w:trPr>
        <w:tc>
          <w:tcPr>
            <w:tcW w:w="1299" w:type="dxa"/>
          </w:tcPr>
          <w:p>
            <w:pPr>
              <w:pStyle w:val="TableParagraph"/>
              <w:spacing w:before="131"/>
              <w:rPr>
                <w:sz w:val="20"/>
              </w:rPr>
            </w:pPr>
            <w:r>
              <w:rPr>
                <w:sz w:val="20"/>
              </w:rPr>
              <w:t>Dialled in:</w:t>
            </w:r>
          </w:p>
        </w:tc>
        <w:tc>
          <w:tcPr>
            <w:tcW w:w="8485" w:type="dxa"/>
          </w:tcPr>
          <w:p>
            <w:pPr>
              <w:pStyle w:val="TableParagraph"/>
              <w:spacing w:before="128"/>
              <w:ind w:left="191"/>
              <w:rPr>
                <w:sz w:val="20"/>
              </w:rPr>
            </w:pPr>
            <w:r>
              <w:rPr>
                <w:b/>
                <w:sz w:val="20"/>
              </w:rPr>
              <w:t>Bank of America Merrill Lynch</w:t>
            </w:r>
            <w:r>
              <w:rPr>
                <w:sz w:val="20"/>
              </w:rPr>
              <w:t>: Jateen Shah</w:t>
            </w:r>
          </w:p>
          <w:p>
            <w:pPr>
              <w:pStyle w:val="TableParagraph"/>
              <w:spacing w:line="276" w:lineRule="auto" w:before="34"/>
              <w:ind w:left="191" w:right="4757"/>
              <w:rPr>
                <w:sz w:val="20"/>
              </w:rPr>
            </w:pPr>
            <w:r>
              <w:rPr>
                <w:b/>
                <w:sz w:val="20"/>
              </w:rPr>
              <w:t>Barclays</w:t>
            </w:r>
            <w:r>
              <w:rPr>
                <w:sz w:val="20"/>
              </w:rPr>
              <w:t>: Nasia Pachiti</w:t>
            </w:r>
            <w:r>
              <w:rPr>
                <w:spacing w:val="-9"/>
                <w:sz w:val="20"/>
              </w:rPr>
              <w:t> </w:t>
            </w:r>
            <w:r>
              <w:rPr>
                <w:sz w:val="20"/>
              </w:rPr>
              <w:t>Pallikaropoulou </w:t>
            </w:r>
            <w:r>
              <w:rPr>
                <w:b/>
                <w:sz w:val="20"/>
              </w:rPr>
              <w:t>JP Morgan</w:t>
            </w:r>
            <w:r>
              <w:rPr>
                <w:sz w:val="20"/>
              </w:rPr>
              <w:t>: Tamsin Rolls </w:t>
            </w:r>
            <w:r>
              <w:rPr>
                <w:b/>
                <w:sz w:val="20"/>
              </w:rPr>
              <w:t>RBS/Natwest Markets</w:t>
            </w:r>
            <w:r>
              <w:rPr>
                <w:sz w:val="20"/>
              </w:rPr>
              <w:t>: David</w:t>
            </w:r>
            <w:r>
              <w:rPr>
                <w:spacing w:val="-7"/>
                <w:sz w:val="20"/>
              </w:rPr>
              <w:t> </w:t>
            </w:r>
            <w:r>
              <w:rPr>
                <w:sz w:val="20"/>
              </w:rPr>
              <w:t>Cole</w:t>
            </w:r>
          </w:p>
        </w:tc>
      </w:tr>
      <w:tr>
        <w:trPr>
          <w:trHeight w:val="1913" w:hRule="atLeast"/>
        </w:trPr>
        <w:tc>
          <w:tcPr>
            <w:tcW w:w="1299" w:type="dxa"/>
          </w:tcPr>
          <w:p>
            <w:pPr>
              <w:pStyle w:val="TableParagraph"/>
              <w:spacing w:before="131"/>
              <w:rPr>
                <w:sz w:val="20"/>
              </w:rPr>
            </w:pPr>
            <w:r>
              <w:rPr>
                <w:sz w:val="20"/>
              </w:rPr>
              <w:t>Apologies:</w:t>
            </w:r>
          </w:p>
        </w:tc>
        <w:tc>
          <w:tcPr>
            <w:tcW w:w="8485" w:type="dxa"/>
          </w:tcPr>
          <w:p>
            <w:pPr>
              <w:pStyle w:val="TableParagraph"/>
              <w:spacing w:before="128"/>
              <w:ind w:left="191"/>
              <w:rPr>
                <w:sz w:val="20"/>
              </w:rPr>
            </w:pPr>
            <w:r>
              <w:rPr>
                <w:b/>
                <w:sz w:val="20"/>
              </w:rPr>
              <w:t>CLS</w:t>
            </w:r>
            <w:r>
              <w:rPr>
                <w:sz w:val="20"/>
              </w:rPr>
              <w:t>: Gaynor Wood</w:t>
            </w:r>
          </w:p>
          <w:p>
            <w:pPr>
              <w:pStyle w:val="TableParagraph"/>
              <w:spacing w:line="276" w:lineRule="auto" w:before="37"/>
              <w:ind w:left="191" w:right="4983"/>
              <w:rPr>
                <w:sz w:val="20"/>
              </w:rPr>
            </w:pPr>
            <w:r>
              <w:rPr>
                <w:b/>
                <w:sz w:val="20"/>
              </w:rPr>
              <w:t>Deutsche Bank</w:t>
            </w:r>
            <w:r>
              <w:rPr>
                <w:sz w:val="20"/>
              </w:rPr>
              <w:t>: Simon Goldsworthy </w:t>
            </w:r>
            <w:r>
              <w:rPr>
                <w:b/>
                <w:sz w:val="20"/>
              </w:rPr>
              <w:t>Morgan Stanley</w:t>
            </w:r>
            <w:r>
              <w:rPr>
                <w:sz w:val="20"/>
              </w:rPr>
              <w:t>: Nimisha Kanabar </w:t>
            </w:r>
            <w:r>
              <w:rPr>
                <w:b/>
                <w:sz w:val="20"/>
              </w:rPr>
              <w:t>RBS/Natwest Markets</w:t>
            </w:r>
            <w:r>
              <w:rPr>
                <w:sz w:val="20"/>
              </w:rPr>
              <w:t>: Baljit Saini </w:t>
            </w:r>
            <w:r>
              <w:rPr>
                <w:b/>
                <w:sz w:val="20"/>
              </w:rPr>
              <w:t>TP ICAP</w:t>
            </w:r>
            <w:r>
              <w:rPr>
                <w:sz w:val="20"/>
              </w:rPr>
              <w:t>: Simon Helm</w:t>
            </w:r>
          </w:p>
          <w:p>
            <w:pPr>
              <w:pStyle w:val="TableParagraph"/>
              <w:spacing w:line="228" w:lineRule="exact"/>
              <w:ind w:left="191"/>
              <w:rPr>
                <w:sz w:val="20"/>
              </w:rPr>
            </w:pPr>
            <w:r>
              <w:rPr>
                <w:b/>
                <w:sz w:val="20"/>
              </w:rPr>
              <w:t>UBS</w:t>
            </w:r>
            <w:r>
              <w:rPr>
                <w:sz w:val="20"/>
              </w:rPr>
              <w:t>: Richard Lamb</w:t>
            </w:r>
          </w:p>
        </w:tc>
      </w:tr>
      <w:tr>
        <w:trPr>
          <w:trHeight w:val="582" w:hRule="atLeast"/>
        </w:trPr>
        <w:tc>
          <w:tcPr>
            <w:tcW w:w="1299" w:type="dxa"/>
          </w:tcPr>
          <w:p>
            <w:pPr>
              <w:pStyle w:val="TableParagraph"/>
              <w:spacing w:before="6"/>
              <w:rPr>
                <w:rFonts w:ascii="Times New Roman"/>
                <w:sz w:val="19"/>
              </w:rPr>
            </w:pPr>
          </w:p>
          <w:p>
            <w:pPr>
              <w:pStyle w:val="TableParagraph"/>
              <w:ind w:left="108"/>
              <w:rPr>
                <w:b/>
                <w:sz w:val="20"/>
              </w:rPr>
            </w:pPr>
            <w:r>
              <w:rPr>
                <w:b/>
                <w:sz w:val="20"/>
              </w:rPr>
              <w:t>Minute no.</w:t>
            </w:r>
          </w:p>
        </w:tc>
        <w:tc>
          <w:tcPr>
            <w:tcW w:w="8485" w:type="dxa"/>
          </w:tcPr>
          <w:p>
            <w:pPr>
              <w:pStyle w:val="TableParagraph"/>
              <w:spacing w:before="6"/>
              <w:rPr>
                <w:rFonts w:ascii="Times New Roman"/>
                <w:sz w:val="19"/>
              </w:rPr>
            </w:pPr>
          </w:p>
          <w:p>
            <w:pPr>
              <w:pStyle w:val="TableParagraph"/>
              <w:ind w:left="299"/>
              <w:rPr>
                <w:b/>
                <w:sz w:val="20"/>
              </w:rPr>
            </w:pPr>
            <w:r>
              <w:rPr>
                <w:b/>
                <w:sz w:val="20"/>
              </w:rPr>
              <w:t>Minute</w:t>
            </w:r>
          </w:p>
        </w:tc>
      </w:tr>
      <w:tr>
        <w:trPr>
          <w:trHeight w:val="935" w:hRule="atLeast"/>
        </w:trPr>
        <w:tc>
          <w:tcPr>
            <w:tcW w:w="1299" w:type="dxa"/>
          </w:tcPr>
          <w:p>
            <w:pPr>
              <w:pStyle w:val="TableParagraph"/>
              <w:spacing w:before="122"/>
              <w:ind w:left="108"/>
              <w:rPr>
                <w:sz w:val="20"/>
              </w:rPr>
            </w:pPr>
            <w:r>
              <w:rPr>
                <w:sz w:val="20"/>
              </w:rPr>
              <w:t>1.</w:t>
            </w:r>
          </w:p>
        </w:tc>
        <w:tc>
          <w:tcPr>
            <w:tcW w:w="8485" w:type="dxa"/>
          </w:tcPr>
          <w:p>
            <w:pPr>
              <w:pStyle w:val="TableParagraph"/>
              <w:spacing w:before="120"/>
              <w:ind w:left="299"/>
              <w:rPr>
                <w:b/>
                <w:sz w:val="20"/>
              </w:rPr>
            </w:pPr>
            <w:r>
              <w:rPr>
                <w:b/>
                <w:sz w:val="20"/>
              </w:rPr>
              <w:t>Introduction and Minutes</w:t>
            </w:r>
          </w:p>
          <w:p>
            <w:pPr>
              <w:pStyle w:val="TableParagraph"/>
              <w:spacing w:before="3"/>
              <w:rPr>
                <w:rFonts w:ascii="Times New Roman"/>
                <w:sz w:val="20"/>
              </w:rPr>
            </w:pPr>
          </w:p>
          <w:p>
            <w:pPr>
              <w:pStyle w:val="TableParagraph"/>
              <w:ind w:left="299"/>
              <w:rPr>
                <w:sz w:val="20"/>
              </w:rPr>
            </w:pPr>
            <w:r>
              <w:rPr>
                <w:sz w:val="20"/>
              </w:rPr>
              <w:t>The minutes of the 3 December 2018 meeting were approved.</w:t>
            </w:r>
          </w:p>
        </w:tc>
      </w:tr>
      <w:tr>
        <w:trPr>
          <w:trHeight w:val="3566" w:hRule="atLeast"/>
        </w:trPr>
        <w:tc>
          <w:tcPr>
            <w:tcW w:w="1299" w:type="dxa"/>
          </w:tcPr>
          <w:p>
            <w:pPr>
              <w:pStyle w:val="TableParagraph"/>
              <w:spacing w:before="118"/>
              <w:ind w:left="108"/>
              <w:rPr>
                <w:sz w:val="20"/>
              </w:rPr>
            </w:pPr>
            <w:r>
              <w:rPr>
                <w:sz w:val="20"/>
              </w:rPr>
              <w:t>2.</w:t>
            </w:r>
          </w:p>
        </w:tc>
        <w:tc>
          <w:tcPr>
            <w:tcW w:w="8485" w:type="dxa"/>
          </w:tcPr>
          <w:p>
            <w:pPr>
              <w:pStyle w:val="TableParagraph"/>
              <w:spacing w:before="115"/>
              <w:ind w:left="299"/>
              <w:jc w:val="both"/>
              <w:rPr>
                <w:b/>
                <w:sz w:val="20"/>
              </w:rPr>
            </w:pPr>
            <w:r>
              <w:rPr>
                <w:b/>
                <w:sz w:val="20"/>
              </w:rPr>
              <w:t>Global FX Committee (GFXC) Meeting Report</w:t>
            </w:r>
          </w:p>
          <w:p>
            <w:pPr>
              <w:pStyle w:val="TableParagraph"/>
              <w:spacing w:before="1"/>
              <w:rPr>
                <w:rFonts w:ascii="Times New Roman"/>
                <w:sz w:val="20"/>
              </w:rPr>
            </w:pPr>
          </w:p>
          <w:p>
            <w:pPr>
              <w:pStyle w:val="TableParagraph"/>
              <w:ind w:left="299" w:right="1663"/>
              <w:jc w:val="both"/>
              <w:rPr>
                <w:sz w:val="20"/>
              </w:rPr>
            </w:pPr>
            <w:r>
              <w:rPr>
                <w:sz w:val="20"/>
              </w:rPr>
              <w:t>Grigoria Christodoulou of the GFXC Secretariat reported on the recent GFXC Meeting, held on 22 and 23 May in Tokyo, Japan. On the first day of the meeting Guy Debelle, Deputy Governor of the Reserve Bank of Australia was nominated and appointed as Chair for a two-year term, succeeding outgoing GFXC Chair, Simon Potter of the Federal Reserve Bank of New York. In addition, the GFXC welcomed the Moscow FX  Joint Standing Committee as a full member. The meeting then received updates from the four working groups it had established to consider specific issues regarding: (i) the use of “cover and deal” in the global FX market; (ii) the role that disclosures can play in establishing clarity around trading practices between market participants; (iii) “buy-side outreach” to further buy-side adoption of the FX Global Code; and (iv) “embedding</w:t>
            </w:r>
            <w:r>
              <w:rPr>
                <w:spacing w:val="29"/>
                <w:sz w:val="20"/>
              </w:rPr>
              <w:t> </w:t>
            </w:r>
            <w:r>
              <w:rPr>
                <w:sz w:val="20"/>
              </w:rPr>
              <w:t>the</w:t>
            </w:r>
          </w:p>
          <w:p>
            <w:pPr>
              <w:pStyle w:val="TableParagraph"/>
              <w:spacing w:line="210" w:lineRule="exact" w:before="1"/>
              <w:ind w:left="299"/>
              <w:jc w:val="both"/>
              <w:rPr>
                <w:sz w:val="20"/>
              </w:rPr>
            </w:pPr>
            <w:r>
              <w:rPr>
                <w:sz w:val="20"/>
              </w:rPr>
              <w:t>Code” in the global FX market.</w:t>
            </w:r>
          </w:p>
        </w:tc>
      </w:tr>
    </w:tbl>
    <w:p>
      <w:pPr>
        <w:spacing w:after="0" w:line="210" w:lineRule="exact"/>
        <w:jc w:val="both"/>
        <w:rPr>
          <w:sz w:val="20"/>
        </w:rPr>
        <w:sectPr>
          <w:type w:val="continuous"/>
          <w:pgSz w:w="11910" w:h="16840"/>
          <w:pgMar w:top="1580" w:bottom="280" w:left="860" w:right="960"/>
        </w:sectPr>
      </w:pPr>
    </w:p>
    <w:p>
      <w:pPr>
        <w:pStyle w:val="BodyText"/>
        <w:spacing w:before="67"/>
        <w:ind w:right="396"/>
        <w:jc w:val="right"/>
      </w:pPr>
      <w:r>
        <w:rPr>
          <w:w w:val="99"/>
        </w:rPr>
        <w:t>2</w:t>
      </w:r>
    </w:p>
    <w:p>
      <w:pPr>
        <w:pStyle w:val="BodyText"/>
        <w:spacing w:before="10" w:after="1"/>
        <w:rPr>
          <w:sz w:val="2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8"/>
        <w:gridCol w:w="7385"/>
      </w:tblGrid>
      <w:tr>
        <w:trPr>
          <w:trHeight w:val="1965" w:hRule="atLeast"/>
        </w:trPr>
        <w:tc>
          <w:tcPr>
            <w:tcW w:w="1028" w:type="dxa"/>
          </w:tcPr>
          <w:p>
            <w:pPr>
              <w:pStyle w:val="TableParagraph"/>
              <w:rPr>
                <w:rFonts w:ascii="Times New Roman"/>
                <w:sz w:val="18"/>
              </w:rPr>
            </w:pPr>
          </w:p>
        </w:tc>
        <w:tc>
          <w:tcPr>
            <w:tcW w:w="7385" w:type="dxa"/>
          </w:tcPr>
          <w:p>
            <w:pPr>
              <w:pStyle w:val="TableParagraph"/>
              <w:ind w:left="662" w:right="203"/>
              <w:jc w:val="both"/>
              <w:rPr>
                <w:sz w:val="20"/>
              </w:rPr>
            </w:pPr>
            <w:r>
              <w:rPr>
                <w:sz w:val="20"/>
              </w:rPr>
              <w:t>It was reported that the GFXC also agreed to begin planning for a three- year review of the FX Global Code. The GFXC will solicit feedback from a wide range of market participants in preparation for the review.</w:t>
            </w:r>
          </w:p>
          <w:p>
            <w:pPr>
              <w:pStyle w:val="TableParagraph"/>
              <w:spacing w:before="4"/>
              <w:rPr>
                <w:sz w:val="20"/>
              </w:rPr>
            </w:pPr>
          </w:p>
          <w:p>
            <w:pPr>
              <w:pStyle w:val="TableParagraph"/>
              <w:ind w:left="662" w:right="204"/>
              <w:jc w:val="both"/>
              <w:rPr>
                <w:sz w:val="20"/>
              </w:rPr>
            </w:pPr>
            <w:r>
              <w:rPr>
                <w:sz w:val="20"/>
              </w:rPr>
              <w:t>On the second day, the GFXC received reports from its members about FX industry developments within their jurisdiction. The GFXC also discussed recent flash events in FX markets, their implications and lessons learned.</w:t>
            </w:r>
          </w:p>
        </w:tc>
      </w:tr>
      <w:tr>
        <w:trPr>
          <w:trHeight w:val="3461" w:hRule="atLeast"/>
        </w:trPr>
        <w:tc>
          <w:tcPr>
            <w:tcW w:w="1028" w:type="dxa"/>
          </w:tcPr>
          <w:p>
            <w:pPr>
              <w:pStyle w:val="TableParagraph"/>
              <w:spacing w:before="118"/>
              <w:ind w:left="200"/>
              <w:rPr>
                <w:sz w:val="20"/>
              </w:rPr>
            </w:pPr>
            <w:r>
              <w:rPr>
                <w:sz w:val="20"/>
              </w:rPr>
              <w:t>3.</w:t>
            </w:r>
          </w:p>
        </w:tc>
        <w:tc>
          <w:tcPr>
            <w:tcW w:w="7385" w:type="dxa"/>
          </w:tcPr>
          <w:p>
            <w:pPr>
              <w:pStyle w:val="TableParagraph"/>
              <w:spacing w:before="115"/>
              <w:ind w:left="662"/>
              <w:jc w:val="both"/>
              <w:rPr>
                <w:b/>
                <w:sz w:val="20"/>
              </w:rPr>
            </w:pPr>
            <w:r>
              <w:rPr>
                <w:b/>
                <w:sz w:val="20"/>
              </w:rPr>
              <w:t>LIBOR and RFR Transition</w:t>
            </w:r>
          </w:p>
          <w:p>
            <w:pPr>
              <w:pStyle w:val="TableParagraph"/>
              <w:spacing w:before="3"/>
              <w:rPr>
                <w:sz w:val="20"/>
              </w:rPr>
            </w:pPr>
          </w:p>
          <w:p>
            <w:pPr>
              <w:pStyle w:val="TableParagraph"/>
              <w:ind w:left="662" w:right="197"/>
              <w:jc w:val="both"/>
              <w:rPr>
                <w:sz w:val="20"/>
              </w:rPr>
            </w:pPr>
            <w:r>
              <w:rPr>
                <w:sz w:val="20"/>
              </w:rPr>
              <w:t>Tom Horn, of the Bank’s risk-free rate transition team, gave an update on the global transition from IBORs to risk-free rates, the work of the Sterling Risk-Free Rates Working Group (RFRWG), and the relevance to the global FX market. Initiatives to strengthen IBORs and develop alternative risk-free rates were relevant to instruments such as cross-currency interest rate swaps and overnight indexed swaps. Such initiatives include</w:t>
            </w:r>
          </w:p>
          <w:p>
            <w:pPr>
              <w:pStyle w:val="TableParagraph"/>
              <w:spacing w:before="1"/>
              <w:ind w:left="662" w:right="205"/>
              <w:jc w:val="both"/>
              <w:rPr>
                <w:sz w:val="20"/>
              </w:rPr>
            </w:pPr>
            <w:r>
              <w:rPr>
                <w:sz w:val="20"/>
              </w:rPr>
              <w:t>i) the reform agenda set out by the Financial Stability Board in its 2014 report resulting in the availability of more robust risk-free rates as alternatives to IBORs; ii) increased usage of SONIA following work done by the RFRWG; and iii) recent activities and communications aimed at promoting awareness of new risk-free rates by the Bank and the FCA and seeking the engagement of market participants.</w:t>
            </w:r>
          </w:p>
        </w:tc>
      </w:tr>
      <w:tr>
        <w:trPr>
          <w:trHeight w:val="1737" w:hRule="atLeast"/>
        </w:trPr>
        <w:tc>
          <w:tcPr>
            <w:tcW w:w="1028" w:type="dxa"/>
          </w:tcPr>
          <w:p>
            <w:pPr>
              <w:pStyle w:val="TableParagraph"/>
              <w:spacing w:before="118"/>
              <w:ind w:left="200"/>
              <w:rPr>
                <w:sz w:val="20"/>
              </w:rPr>
            </w:pPr>
            <w:r>
              <w:rPr>
                <w:sz w:val="20"/>
              </w:rPr>
              <w:t>4.</w:t>
            </w:r>
          </w:p>
        </w:tc>
        <w:tc>
          <w:tcPr>
            <w:tcW w:w="7385" w:type="dxa"/>
          </w:tcPr>
          <w:p>
            <w:pPr>
              <w:pStyle w:val="TableParagraph"/>
              <w:spacing w:before="115"/>
              <w:ind w:left="662"/>
              <w:rPr>
                <w:b/>
                <w:sz w:val="20"/>
              </w:rPr>
            </w:pPr>
            <w:r>
              <w:rPr>
                <w:b/>
                <w:sz w:val="20"/>
              </w:rPr>
              <w:t>Any Other Business</w:t>
            </w:r>
          </w:p>
          <w:p>
            <w:pPr>
              <w:pStyle w:val="TableParagraph"/>
              <w:rPr>
                <w:sz w:val="22"/>
              </w:rPr>
            </w:pPr>
          </w:p>
          <w:p>
            <w:pPr>
              <w:pStyle w:val="TableParagraph"/>
              <w:spacing w:before="11"/>
              <w:rPr>
                <w:sz w:val="18"/>
              </w:rPr>
            </w:pPr>
          </w:p>
          <w:p>
            <w:pPr>
              <w:pStyle w:val="TableParagraph"/>
              <w:ind w:left="662" w:right="39"/>
              <w:rPr>
                <w:sz w:val="20"/>
              </w:rPr>
            </w:pPr>
            <w:r>
              <w:rPr>
                <w:sz w:val="20"/>
              </w:rPr>
              <w:t>The Secretary invited members to propose agenda items for future meetings of the FXJSC Legal Sub-Committee.</w:t>
            </w:r>
          </w:p>
          <w:p>
            <w:pPr>
              <w:pStyle w:val="TableParagraph"/>
              <w:spacing w:before="1"/>
              <w:rPr>
                <w:sz w:val="20"/>
              </w:rPr>
            </w:pPr>
          </w:p>
          <w:p>
            <w:pPr>
              <w:pStyle w:val="TableParagraph"/>
              <w:spacing w:line="210" w:lineRule="exact"/>
              <w:ind w:left="662"/>
              <w:rPr>
                <w:sz w:val="20"/>
              </w:rPr>
            </w:pPr>
            <w:r>
              <w:rPr>
                <w:sz w:val="20"/>
              </w:rPr>
              <w:t>The next meeting will be on 10</w:t>
            </w:r>
            <w:r>
              <w:rPr>
                <w:position w:val="6"/>
                <w:sz w:val="13"/>
              </w:rPr>
              <w:t>th </w:t>
            </w:r>
            <w:r>
              <w:rPr>
                <w:sz w:val="20"/>
              </w:rPr>
              <w:t>September 2019</w:t>
            </w:r>
          </w:p>
        </w:tc>
      </w:tr>
    </w:tbl>
    <w:sectPr>
      <w:pgSz w:w="11910" w:h="16840"/>
      <w:pgMar w:top="480" w:bottom="280" w:left="8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18 June 2019</dc:subject>
  <dc:title>Foreign Exchange Joint Standing Committee Legal Sub-Committee</dc:title>
  <dcterms:created xsi:type="dcterms:W3CDTF">2020-06-01T02:00:40Z</dcterms:created>
  <dcterms:modified xsi:type="dcterms:W3CDTF">2020-06-01T02:00:40Z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2019-09-11T00:00:00Z</vt:filetime>
  </property>
  <property fmtid="{D5CDD505-2E9C-101B-9397-08002B2CF9AE}" pid="3" name="LastSaved">
    <vt:filetime>2020-06-01T00:00:00Z</vt:filetime>
  </property>
</Properties>
</file>