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8646"/>
      </w:tblGrid>
      <w:tr>
        <w:trPr>
          <w:trHeight w:val="665" w:hRule="atLeast"/>
        </w:trPr>
        <w:tc>
          <w:tcPr>
            <w:tcW w:w="9621" w:type="dxa"/>
            <w:gridSpan w:val="2"/>
          </w:tcPr>
          <w:p>
            <w:pPr>
              <w:pStyle w:val="TableParagraph"/>
              <w:spacing w:line="483" w:lineRule="exact"/>
              <w:rPr>
                <w:sz w:val="44"/>
              </w:rPr>
            </w:pPr>
            <w:r>
              <w:rPr>
                <w:sz w:val="44"/>
              </w:rPr>
              <w:t>Minutes</w:t>
            </w:r>
          </w:p>
        </w:tc>
      </w:tr>
      <w:tr>
        <w:trPr>
          <w:trHeight w:val="826" w:hRule="atLeast"/>
        </w:trPr>
        <w:tc>
          <w:tcPr>
            <w:tcW w:w="9621" w:type="dxa"/>
            <w:gridSpan w:val="2"/>
          </w:tcPr>
          <w:p>
            <w:pPr>
              <w:pStyle w:val="TableParagraph"/>
              <w:spacing w:line="278" w:lineRule="auto" w:before="159"/>
              <w:ind w:right="1933"/>
              <w:rPr>
                <w:b/>
                <w:sz w:val="24"/>
              </w:rPr>
            </w:pPr>
            <w:r>
              <w:rPr>
                <w:b/>
                <w:sz w:val="24"/>
              </w:rPr>
              <w:t>FOREIGN EXCHANGE JOINT STANDING COMMITTEE OPERATIONS SUB-COMMITTEE</w:t>
            </w:r>
          </w:p>
        </w:tc>
      </w:tr>
      <w:tr>
        <w:trPr>
          <w:trHeight w:val="602" w:hRule="atLeast"/>
        </w:trPr>
        <w:tc>
          <w:tcPr>
            <w:tcW w:w="9621" w:type="dxa"/>
            <w:gridSpan w:val="2"/>
            <w:tcBorders>
              <w:bottom w:val="single" w:sz="4" w:space="0" w:color="000000"/>
            </w:tcBorders>
          </w:tcPr>
          <w:p>
            <w:pPr>
              <w:pStyle w:val="TableParagraph"/>
              <w:spacing w:before="48"/>
              <w:rPr>
                <w:sz w:val="24"/>
              </w:rPr>
            </w:pPr>
            <w:r>
              <w:rPr>
                <w:sz w:val="24"/>
              </w:rPr>
              <w:t>26 January 2018</w:t>
            </w:r>
          </w:p>
        </w:tc>
      </w:tr>
      <w:tr>
        <w:trPr>
          <w:trHeight w:val="596" w:hRule="atLeast"/>
        </w:trPr>
        <w:tc>
          <w:tcPr>
            <w:tcW w:w="975" w:type="dxa"/>
            <w:tcBorders>
              <w:top w:val="single" w:sz="4" w:space="0" w:color="000000"/>
            </w:tcBorders>
          </w:tcPr>
          <w:p>
            <w:pPr>
              <w:pStyle w:val="TableParagraph"/>
              <w:rPr>
                <w:rFonts w:ascii="Times New Roman"/>
                <w:sz w:val="18"/>
              </w:rPr>
            </w:pPr>
          </w:p>
          <w:p>
            <w:pPr>
              <w:pStyle w:val="TableParagraph"/>
              <w:rPr>
                <w:sz w:val="20"/>
              </w:rPr>
            </w:pPr>
            <w:r>
              <w:rPr>
                <w:sz w:val="20"/>
              </w:rPr>
              <w:t>Location:</w:t>
            </w:r>
          </w:p>
        </w:tc>
        <w:tc>
          <w:tcPr>
            <w:tcW w:w="8646" w:type="dxa"/>
            <w:tcBorders>
              <w:top w:val="single" w:sz="4" w:space="0" w:color="000000"/>
            </w:tcBorders>
          </w:tcPr>
          <w:p>
            <w:pPr>
              <w:pStyle w:val="TableParagraph"/>
              <w:rPr>
                <w:rFonts w:ascii="Times New Roman"/>
                <w:sz w:val="18"/>
              </w:rPr>
            </w:pPr>
          </w:p>
          <w:p>
            <w:pPr>
              <w:pStyle w:val="TableParagraph"/>
              <w:ind w:left="20"/>
              <w:rPr>
                <w:sz w:val="20"/>
              </w:rPr>
            </w:pPr>
            <w:r>
              <w:rPr>
                <w:sz w:val="20"/>
              </w:rPr>
              <w:t>Prudential Regulation Authority, Moorgate, EC2R 6DA</w:t>
            </w:r>
          </w:p>
        </w:tc>
      </w:tr>
      <w:tr>
        <w:trPr>
          <w:trHeight w:val="5823" w:hRule="atLeast"/>
        </w:trPr>
        <w:tc>
          <w:tcPr>
            <w:tcW w:w="975" w:type="dxa"/>
          </w:tcPr>
          <w:p>
            <w:pPr>
              <w:pStyle w:val="TableParagraph"/>
              <w:spacing w:before="138"/>
              <w:rPr>
                <w:sz w:val="20"/>
              </w:rPr>
            </w:pPr>
            <w:r>
              <w:rPr>
                <w:sz w:val="20"/>
              </w:rPr>
              <w:t>Attendees:</w:t>
            </w:r>
          </w:p>
        </w:tc>
        <w:tc>
          <w:tcPr>
            <w:tcW w:w="8646" w:type="dxa"/>
          </w:tcPr>
          <w:p>
            <w:pPr>
              <w:pStyle w:val="TableParagraph"/>
              <w:spacing w:before="136"/>
              <w:ind w:left="20"/>
              <w:rPr>
                <w:sz w:val="20"/>
              </w:rPr>
            </w:pPr>
            <w:r>
              <w:rPr>
                <w:b/>
                <w:sz w:val="20"/>
              </w:rPr>
              <w:t>Bank of Tokyo Mitsubishi: </w:t>
            </w:r>
            <w:r>
              <w:rPr>
                <w:sz w:val="20"/>
              </w:rPr>
              <w:t>Kerry Peacock</w:t>
            </w:r>
          </w:p>
          <w:p>
            <w:pPr>
              <w:pStyle w:val="TableParagraph"/>
              <w:spacing w:before="113"/>
              <w:ind w:left="20"/>
              <w:rPr>
                <w:sz w:val="20"/>
              </w:rPr>
            </w:pPr>
            <w:r>
              <w:rPr>
                <w:b/>
                <w:sz w:val="20"/>
              </w:rPr>
              <w:t>Citigroup: </w:t>
            </w:r>
            <w:r>
              <w:rPr>
                <w:sz w:val="20"/>
              </w:rPr>
              <w:t>Daniel Horgan</w:t>
            </w:r>
          </w:p>
          <w:p>
            <w:pPr>
              <w:pStyle w:val="TableParagraph"/>
              <w:spacing w:before="116"/>
              <w:ind w:left="20"/>
              <w:rPr>
                <w:sz w:val="20"/>
              </w:rPr>
            </w:pPr>
            <w:r>
              <w:rPr>
                <w:b/>
                <w:sz w:val="20"/>
              </w:rPr>
              <w:t>CLS: </w:t>
            </w:r>
            <w:r>
              <w:rPr>
                <w:sz w:val="20"/>
              </w:rPr>
              <w:t>Andrew Cooper (Alternate)</w:t>
            </w:r>
          </w:p>
          <w:p>
            <w:pPr>
              <w:pStyle w:val="TableParagraph"/>
              <w:spacing w:before="115"/>
              <w:ind w:left="20"/>
              <w:rPr>
                <w:sz w:val="20"/>
              </w:rPr>
            </w:pPr>
            <w:r>
              <w:rPr>
                <w:b/>
                <w:sz w:val="20"/>
              </w:rPr>
              <w:t>Deutsche Bank: </w:t>
            </w:r>
            <w:r>
              <w:rPr>
                <w:sz w:val="20"/>
              </w:rPr>
              <w:t>Adam Jukes (Alternate)</w:t>
            </w:r>
          </w:p>
          <w:p>
            <w:pPr>
              <w:pStyle w:val="TableParagraph"/>
              <w:spacing w:before="117"/>
              <w:ind w:left="20"/>
              <w:rPr>
                <w:sz w:val="20"/>
              </w:rPr>
            </w:pPr>
            <w:r>
              <w:rPr>
                <w:b/>
                <w:sz w:val="20"/>
              </w:rPr>
              <w:t>Financial Conduct Authority: </w:t>
            </w:r>
            <w:r>
              <w:rPr>
                <w:sz w:val="20"/>
              </w:rPr>
              <w:t>Stephen Hanks (Guest Speaker)</w:t>
            </w:r>
          </w:p>
          <w:p>
            <w:pPr>
              <w:pStyle w:val="TableParagraph"/>
              <w:spacing w:line="360" w:lineRule="auto" w:before="113"/>
              <w:ind w:left="20" w:right="4782"/>
              <w:rPr>
                <w:sz w:val="20"/>
              </w:rPr>
            </w:pPr>
            <w:r>
              <w:rPr>
                <w:b/>
                <w:sz w:val="20"/>
              </w:rPr>
              <w:t>Insight Investment: </w:t>
            </w:r>
            <w:r>
              <w:rPr>
                <w:sz w:val="20"/>
              </w:rPr>
              <w:t>Gavin Platman </w:t>
            </w:r>
            <w:r>
              <w:rPr>
                <w:b/>
                <w:sz w:val="20"/>
              </w:rPr>
              <w:t>Investment Association: </w:t>
            </w:r>
            <w:r>
              <w:rPr>
                <w:sz w:val="20"/>
              </w:rPr>
              <w:t>David Broadway </w:t>
            </w:r>
            <w:r>
              <w:rPr>
                <w:b/>
                <w:sz w:val="20"/>
              </w:rPr>
              <w:t>JPMorgan Chase: </w:t>
            </w:r>
            <w:r>
              <w:rPr>
                <w:sz w:val="20"/>
              </w:rPr>
              <w:t>Phil Glackin</w:t>
            </w:r>
          </w:p>
          <w:p>
            <w:pPr>
              <w:pStyle w:val="TableParagraph"/>
              <w:spacing w:before="2"/>
              <w:ind w:left="20"/>
              <w:rPr>
                <w:sz w:val="20"/>
              </w:rPr>
            </w:pPr>
            <w:r>
              <w:rPr>
                <w:b/>
                <w:sz w:val="20"/>
              </w:rPr>
              <w:t>NCSC</w:t>
            </w:r>
            <w:r>
              <w:rPr>
                <w:sz w:val="20"/>
              </w:rPr>
              <w:t>: Virginia (Guest Speaker), Josh (Guest Speaker)</w:t>
            </w:r>
          </w:p>
          <w:p>
            <w:pPr>
              <w:pStyle w:val="TableParagraph"/>
              <w:spacing w:before="113"/>
              <w:ind w:left="20"/>
              <w:rPr>
                <w:sz w:val="20"/>
              </w:rPr>
            </w:pPr>
            <w:r>
              <w:rPr>
                <w:b/>
                <w:sz w:val="20"/>
              </w:rPr>
              <w:t>RBC: </w:t>
            </w:r>
            <w:r>
              <w:rPr>
                <w:sz w:val="20"/>
              </w:rPr>
              <w:t>Isabelle Dennigan (Chair)</w:t>
            </w:r>
          </w:p>
          <w:p>
            <w:pPr>
              <w:pStyle w:val="TableParagraph"/>
              <w:spacing w:before="116"/>
              <w:ind w:left="20"/>
              <w:rPr>
                <w:sz w:val="20"/>
              </w:rPr>
            </w:pPr>
            <w:r>
              <w:rPr>
                <w:b/>
                <w:sz w:val="20"/>
              </w:rPr>
              <w:t>Record Currency Management: </w:t>
            </w:r>
            <w:r>
              <w:rPr>
                <w:sz w:val="20"/>
              </w:rPr>
              <w:t>Joel Sleigh</w:t>
            </w:r>
          </w:p>
          <w:p>
            <w:pPr>
              <w:pStyle w:val="TableParagraph"/>
              <w:spacing w:before="115"/>
              <w:ind w:left="20"/>
              <w:rPr>
                <w:sz w:val="20"/>
              </w:rPr>
            </w:pPr>
            <w:r>
              <w:rPr>
                <w:b/>
                <w:sz w:val="20"/>
              </w:rPr>
              <w:t>Societe Generale: </w:t>
            </w:r>
            <w:r>
              <w:rPr>
                <w:sz w:val="20"/>
              </w:rPr>
              <w:t>Will Deighton</w:t>
            </w:r>
          </w:p>
          <w:p>
            <w:pPr>
              <w:pStyle w:val="TableParagraph"/>
              <w:spacing w:before="113"/>
              <w:ind w:left="20"/>
              <w:rPr>
                <w:sz w:val="20"/>
              </w:rPr>
            </w:pPr>
            <w:r>
              <w:rPr>
                <w:b/>
                <w:sz w:val="20"/>
              </w:rPr>
              <w:t>UBS: </w:t>
            </w:r>
            <w:r>
              <w:rPr>
                <w:sz w:val="20"/>
              </w:rPr>
              <w:t>Colin Parry</w:t>
            </w:r>
          </w:p>
          <w:p>
            <w:pPr>
              <w:pStyle w:val="TableParagraph"/>
              <w:spacing w:before="116"/>
              <w:ind w:left="20"/>
              <w:rPr>
                <w:sz w:val="20"/>
              </w:rPr>
            </w:pPr>
            <w:r>
              <w:rPr>
                <w:b/>
                <w:sz w:val="20"/>
              </w:rPr>
              <w:t>UK Finance: </w:t>
            </w:r>
            <w:r>
              <w:rPr>
                <w:sz w:val="20"/>
              </w:rPr>
              <w:t>Andrew Rogan</w:t>
            </w:r>
          </w:p>
          <w:p>
            <w:pPr>
              <w:pStyle w:val="TableParagraph"/>
              <w:spacing w:line="362" w:lineRule="auto" w:before="116"/>
              <w:ind w:left="20" w:right="292"/>
              <w:rPr>
                <w:sz w:val="20"/>
              </w:rPr>
            </w:pPr>
            <w:r>
              <w:rPr>
                <w:b/>
                <w:sz w:val="20"/>
              </w:rPr>
              <w:t>Bank of England: </w:t>
            </w:r>
            <w:r>
              <w:rPr>
                <w:sz w:val="20"/>
              </w:rPr>
              <w:t>James Manchester (Secretariat), Tom Lynch (Secretariat), Charlotte Pope- Williams (Legal Secretariat), Sharon Wallis (Guest Speaker)</w:t>
            </w:r>
          </w:p>
        </w:tc>
      </w:tr>
      <w:tr>
        <w:trPr>
          <w:trHeight w:val="2562" w:hRule="atLeast"/>
        </w:trPr>
        <w:tc>
          <w:tcPr>
            <w:tcW w:w="975" w:type="dxa"/>
          </w:tcPr>
          <w:p>
            <w:pPr>
              <w:pStyle w:val="TableParagraph"/>
              <w:spacing w:before="5"/>
              <w:rPr>
                <w:rFonts w:ascii="Times New Roman"/>
                <w:sz w:val="22"/>
              </w:rPr>
            </w:pPr>
          </w:p>
          <w:p>
            <w:pPr>
              <w:pStyle w:val="TableParagraph"/>
              <w:rPr>
                <w:sz w:val="20"/>
              </w:rPr>
            </w:pPr>
            <w:r>
              <w:rPr>
                <w:sz w:val="20"/>
              </w:rPr>
              <w:t>Apologies:</w:t>
            </w:r>
          </w:p>
        </w:tc>
        <w:tc>
          <w:tcPr>
            <w:tcW w:w="8646" w:type="dxa"/>
          </w:tcPr>
          <w:p>
            <w:pPr>
              <w:pStyle w:val="TableParagraph"/>
              <w:spacing w:before="3"/>
              <w:rPr>
                <w:rFonts w:ascii="Times New Roman"/>
                <w:sz w:val="22"/>
              </w:rPr>
            </w:pPr>
          </w:p>
          <w:p>
            <w:pPr>
              <w:pStyle w:val="TableParagraph"/>
              <w:spacing w:line="360" w:lineRule="auto"/>
              <w:ind w:left="20" w:right="4046"/>
              <w:rPr>
                <w:sz w:val="20"/>
              </w:rPr>
            </w:pPr>
            <w:r>
              <w:rPr>
                <w:b/>
                <w:sz w:val="20"/>
              </w:rPr>
              <w:t>Bank of England: </w:t>
            </w:r>
            <w:r>
              <w:rPr>
                <w:sz w:val="20"/>
              </w:rPr>
              <w:t>Jonathan Grant, Jennifer</w:t>
            </w:r>
            <w:r>
              <w:rPr>
                <w:spacing w:val="-14"/>
                <w:sz w:val="20"/>
              </w:rPr>
              <w:t> </w:t>
            </w:r>
            <w:r>
              <w:rPr>
                <w:sz w:val="20"/>
              </w:rPr>
              <w:t>Ashton </w:t>
            </w:r>
            <w:r>
              <w:rPr>
                <w:b/>
                <w:sz w:val="20"/>
              </w:rPr>
              <w:t>Bank of New York Mellon: </w:t>
            </w:r>
            <w:r>
              <w:rPr>
                <w:sz w:val="20"/>
              </w:rPr>
              <w:t>Jon Goddard </w:t>
            </w:r>
            <w:r>
              <w:rPr>
                <w:b/>
                <w:sz w:val="20"/>
              </w:rPr>
              <w:t>Barclays: </w:t>
            </w:r>
            <w:r>
              <w:rPr>
                <w:sz w:val="20"/>
              </w:rPr>
              <w:t>Duncan</w:t>
            </w:r>
            <w:r>
              <w:rPr>
                <w:spacing w:val="-1"/>
                <w:sz w:val="20"/>
              </w:rPr>
              <w:t> </w:t>
            </w:r>
            <w:r>
              <w:rPr>
                <w:sz w:val="20"/>
              </w:rPr>
              <w:t>Lord</w:t>
            </w:r>
          </w:p>
          <w:p>
            <w:pPr>
              <w:pStyle w:val="TableParagraph"/>
              <w:spacing w:line="229" w:lineRule="exact"/>
              <w:ind w:left="20"/>
              <w:rPr>
                <w:sz w:val="20"/>
              </w:rPr>
            </w:pPr>
            <w:r>
              <w:rPr>
                <w:b/>
                <w:sz w:val="20"/>
              </w:rPr>
              <w:t>CLS</w:t>
            </w:r>
            <w:r>
              <w:rPr>
                <w:sz w:val="20"/>
              </w:rPr>
              <w:t>: John Hagon</w:t>
            </w:r>
          </w:p>
          <w:p>
            <w:pPr>
              <w:pStyle w:val="TableParagraph"/>
              <w:spacing w:before="116"/>
              <w:ind w:left="20"/>
              <w:rPr>
                <w:sz w:val="20"/>
              </w:rPr>
            </w:pPr>
            <w:r>
              <w:rPr>
                <w:b/>
                <w:sz w:val="20"/>
              </w:rPr>
              <w:t>FCA</w:t>
            </w:r>
            <w:r>
              <w:rPr>
                <w:sz w:val="20"/>
              </w:rPr>
              <w:t>: Monica Rodriguez-Sanchez</w:t>
            </w:r>
          </w:p>
          <w:p>
            <w:pPr>
              <w:pStyle w:val="TableParagraph"/>
              <w:spacing w:before="115"/>
              <w:ind w:left="20"/>
              <w:rPr>
                <w:sz w:val="20"/>
              </w:rPr>
            </w:pPr>
            <w:r>
              <w:rPr>
                <w:b/>
                <w:sz w:val="20"/>
              </w:rPr>
              <w:t>Goldman Sachs</w:t>
            </w:r>
            <w:r>
              <w:rPr>
                <w:sz w:val="20"/>
              </w:rPr>
              <w:t>: John Blythe</w:t>
            </w:r>
          </w:p>
          <w:p>
            <w:pPr>
              <w:pStyle w:val="TableParagraph"/>
              <w:spacing w:line="218" w:lineRule="exact" w:before="113"/>
              <w:ind w:left="20"/>
              <w:rPr>
                <w:sz w:val="20"/>
              </w:rPr>
            </w:pPr>
            <w:r>
              <w:rPr>
                <w:b/>
                <w:sz w:val="20"/>
              </w:rPr>
              <w:t>SWIFT</w:t>
            </w:r>
            <w:r>
              <w:rPr>
                <w:sz w:val="20"/>
              </w:rPr>
              <w:t>: Joe Halberstadt</w:t>
            </w:r>
          </w:p>
        </w:tc>
      </w:tr>
    </w:tbl>
    <w:p>
      <w:pPr>
        <w:spacing w:after="0" w:line="218" w:lineRule="exact"/>
        <w:rPr>
          <w:sz w:val="20"/>
        </w:rPr>
        <w:sectPr>
          <w:footerReference w:type="default" r:id="rId5"/>
          <w:type w:val="continuous"/>
          <w:pgSz w:w="11910" w:h="16840"/>
          <w:pgMar w:footer="610" w:top="1440" w:bottom="800" w:left="960" w:right="9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4041"/>
        <w:gridCol w:w="4687"/>
      </w:tblGrid>
      <w:tr>
        <w:trPr>
          <w:trHeight w:val="688" w:hRule="atLeast"/>
        </w:trPr>
        <w:tc>
          <w:tcPr>
            <w:tcW w:w="1019" w:type="dxa"/>
          </w:tcPr>
          <w:p>
            <w:pPr>
              <w:pStyle w:val="TableParagraph"/>
              <w:spacing w:line="223" w:lineRule="exact"/>
              <w:ind w:left="200"/>
              <w:rPr>
                <w:b/>
                <w:sz w:val="20"/>
              </w:rPr>
            </w:pPr>
            <w:r>
              <w:rPr>
                <w:b/>
                <w:sz w:val="20"/>
              </w:rPr>
              <w:t>Minute</w:t>
            </w:r>
          </w:p>
          <w:p>
            <w:pPr>
              <w:pStyle w:val="TableParagraph"/>
              <w:spacing w:before="116"/>
              <w:ind w:left="200"/>
              <w:rPr>
                <w:b/>
                <w:sz w:val="20"/>
              </w:rPr>
            </w:pPr>
            <w:r>
              <w:rPr>
                <w:b/>
                <w:sz w:val="20"/>
              </w:rPr>
              <w:t>no.</w:t>
            </w:r>
          </w:p>
        </w:tc>
        <w:tc>
          <w:tcPr>
            <w:tcW w:w="4041" w:type="dxa"/>
          </w:tcPr>
          <w:p>
            <w:pPr>
              <w:pStyle w:val="TableParagraph"/>
              <w:spacing w:line="223" w:lineRule="exact"/>
              <w:ind w:left="174"/>
              <w:rPr>
                <w:b/>
                <w:sz w:val="20"/>
              </w:rPr>
            </w:pPr>
            <w:r>
              <w:rPr>
                <w:b/>
                <w:sz w:val="20"/>
              </w:rPr>
              <w:t>Minute</w:t>
            </w:r>
          </w:p>
        </w:tc>
        <w:tc>
          <w:tcPr>
            <w:tcW w:w="4687" w:type="dxa"/>
          </w:tcPr>
          <w:p>
            <w:pPr>
              <w:pStyle w:val="TableParagraph"/>
              <w:spacing w:line="276" w:lineRule="auto"/>
              <w:ind w:left="2887" w:right="197"/>
              <w:jc w:val="right"/>
              <w:rPr>
                <w:b/>
                <w:sz w:val="20"/>
              </w:rPr>
            </w:pPr>
            <w:r>
              <w:rPr>
                <w:b/>
                <w:sz w:val="20"/>
              </w:rPr>
              <w:t>Action owner</w:t>
            </w:r>
            <w:r>
              <w:rPr>
                <w:b/>
                <w:w w:val="99"/>
                <w:sz w:val="20"/>
              </w:rPr>
              <w:t> </w:t>
            </w:r>
            <w:r>
              <w:rPr>
                <w:b/>
                <w:sz w:val="20"/>
              </w:rPr>
              <w:t>and due date</w:t>
            </w:r>
          </w:p>
        </w:tc>
      </w:tr>
      <w:tr>
        <w:trPr>
          <w:trHeight w:val="6061" w:hRule="atLeast"/>
        </w:trPr>
        <w:tc>
          <w:tcPr>
            <w:tcW w:w="1019" w:type="dxa"/>
          </w:tcPr>
          <w:p>
            <w:pPr>
              <w:pStyle w:val="TableParagraph"/>
              <w:spacing w:before="115"/>
              <w:ind w:left="200"/>
              <w:rPr>
                <w:sz w:val="20"/>
              </w:rPr>
            </w:pPr>
            <w:r>
              <w:rPr>
                <w:sz w:val="20"/>
              </w:rPr>
              <w:t>1.</w:t>
            </w:r>
          </w:p>
        </w:tc>
        <w:tc>
          <w:tcPr>
            <w:tcW w:w="8728" w:type="dxa"/>
            <w:gridSpan w:val="2"/>
          </w:tcPr>
          <w:p>
            <w:pPr>
              <w:pStyle w:val="TableParagraph"/>
              <w:spacing w:before="113"/>
              <w:ind w:left="174"/>
              <w:rPr>
                <w:sz w:val="20"/>
              </w:rPr>
            </w:pPr>
            <w:r>
              <w:rPr>
                <w:b/>
                <w:sz w:val="20"/>
              </w:rPr>
              <w:t>Welcome and apologies for absence </w:t>
            </w:r>
            <w:r>
              <w:rPr>
                <w:sz w:val="20"/>
              </w:rPr>
              <w:t>(</w:t>
            </w:r>
            <w:r>
              <w:rPr>
                <w:i/>
                <w:sz w:val="20"/>
              </w:rPr>
              <w:t>Chair – Isabelle Dennigan, RBC</w:t>
            </w:r>
            <w:r>
              <w:rPr>
                <w:sz w:val="20"/>
              </w:rPr>
              <w:t>)</w:t>
            </w:r>
          </w:p>
          <w:p>
            <w:pPr>
              <w:pStyle w:val="TableParagraph"/>
              <w:spacing w:before="8"/>
              <w:rPr>
                <w:rFonts w:ascii="Times New Roman"/>
                <w:sz w:val="20"/>
              </w:rPr>
            </w:pPr>
          </w:p>
          <w:p>
            <w:pPr>
              <w:pStyle w:val="TableParagraph"/>
              <w:spacing w:line="360" w:lineRule="auto"/>
              <w:ind w:left="174" w:right="1681"/>
              <w:jc w:val="both"/>
              <w:rPr>
                <w:sz w:val="20"/>
              </w:rPr>
            </w:pPr>
            <w:r>
              <w:rPr>
                <w:sz w:val="20"/>
              </w:rPr>
              <w:t>Apologies were received from Jonathan Grant, Jennifer Ashton (Bank of England), Jon Goddard (Bank of New York Mellon), Duncan Lord (Barclays), John Hagon (CLS), Monica Rodriguez-Sanchez (FCA), John Blythe (Goldman Sachs) and Joe Halberstadt</w:t>
            </w:r>
            <w:r>
              <w:rPr>
                <w:spacing w:val="-2"/>
                <w:sz w:val="20"/>
              </w:rPr>
              <w:t> </w:t>
            </w:r>
            <w:r>
              <w:rPr>
                <w:sz w:val="20"/>
              </w:rPr>
              <w:t>(SWIFT).</w:t>
            </w:r>
          </w:p>
          <w:p>
            <w:pPr>
              <w:pStyle w:val="TableParagraph"/>
              <w:spacing w:line="360" w:lineRule="auto" w:before="120"/>
              <w:ind w:left="174" w:right="1684"/>
              <w:jc w:val="both"/>
              <w:rPr>
                <w:sz w:val="20"/>
              </w:rPr>
            </w:pPr>
            <w:r>
              <w:rPr>
                <w:sz w:val="20"/>
              </w:rPr>
              <w:t>The Chair welcomed Andrew Cooper (CLS) and Adam Jukes (Deutsche Bank) representing as alternates, and welcomed guest speakers from the National Cyber Security Centre (NCSC).</w:t>
            </w:r>
          </w:p>
          <w:p>
            <w:pPr>
              <w:pStyle w:val="TableParagraph"/>
              <w:spacing w:line="360" w:lineRule="auto" w:before="119"/>
              <w:ind w:left="174" w:right="1678"/>
              <w:jc w:val="both"/>
              <w:rPr>
                <w:sz w:val="20"/>
              </w:rPr>
            </w:pPr>
            <w:r>
              <w:rPr>
                <w:sz w:val="20"/>
              </w:rPr>
              <w:t>The Chair informed attendees that Darran Olive (Deutsche Bank) and Monica Rodriguez-Sanchez (FCA) will be stepping down from the Sub-committee going forward.</w:t>
            </w:r>
          </w:p>
          <w:p>
            <w:pPr>
              <w:pStyle w:val="TableParagraph"/>
              <w:spacing w:line="360" w:lineRule="auto" w:before="123"/>
              <w:ind w:left="174" w:right="1681"/>
              <w:jc w:val="both"/>
              <w:rPr>
                <w:sz w:val="20"/>
              </w:rPr>
            </w:pPr>
            <w:r>
              <w:rPr>
                <w:sz w:val="20"/>
              </w:rPr>
              <w:t>The Chair also informed members that Will Deighton (Societe Generale) will be taking over the role as co-deputy Chair of the Sub-committee going forward, and will be joining the Sub-committee’s membership panel. Jon Goddard will also be joining the membership panel in place of Duncan Lord</w:t>
            </w:r>
          </w:p>
          <w:p>
            <w:pPr>
              <w:pStyle w:val="TableParagraph"/>
              <w:ind w:left="174"/>
              <w:rPr>
                <w:sz w:val="20"/>
              </w:rPr>
            </w:pPr>
            <w:r>
              <w:rPr>
                <w:sz w:val="20"/>
              </w:rPr>
              <w:t>(Barclays).</w:t>
            </w:r>
          </w:p>
        </w:tc>
      </w:tr>
      <w:tr>
        <w:trPr>
          <w:trHeight w:val="1214" w:hRule="atLeast"/>
        </w:trPr>
        <w:tc>
          <w:tcPr>
            <w:tcW w:w="1019" w:type="dxa"/>
          </w:tcPr>
          <w:p>
            <w:pPr>
              <w:pStyle w:val="TableParagraph"/>
              <w:spacing w:before="54"/>
              <w:ind w:left="200"/>
              <w:rPr>
                <w:sz w:val="20"/>
              </w:rPr>
            </w:pPr>
            <w:r>
              <w:rPr>
                <w:sz w:val="20"/>
              </w:rPr>
              <w:t>2.</w:t>
            </w:r>
          </w:p>
        </w:tc>
        <w:tc>
          <w:tcPr>
            <w:tcW w:w="8728" w:type="dxa"/>
            <w:gridSpan w:val="2"/>
          </w:tcPr>
          <w:p>
            <w:pPr>
              <w:pStyle w:val="TableParagraph"/>
              <w:spacing w:line="360" w:lineRule="auto" w:before="52"/>
              <w:ind w:left="174" w:right="1115"/>
              <w:rPr>
                <w:i/>
                <w:sz w:val="20"/>
              </w:rPr>
            </w:pPr>
            <w:r>
              <w:rPr>
                <w:b/>
                <w:sz w:val="20"/>
              </w:rPr>
              <w:t>Minutes of 13 November meeting and matters arising </w:t>
            </w:r>
            <w:r>
              <w:rPr>
                <w:i/>
                <w:sz w:val="20"/>
              </w:rPr>
              <w:t>(Chair – Isabelle </w:t>
            </w:r>
            <w:r>
              <w:rPr>
                <w:i/>
                <w:sz w:val="20"/>
              </w:rPr>
              <w:t>Dennigan, RBC)</w:t>
            </w:r>
          </w:p>
          <w:p>
            <w:pPr>
              <w:pStyle w:val="TableParagraph"/>
              <w:spacing w:before="123"/>
              <w:ind w:left="174"/>
              <w:rPr>
                <w:sz w:val="20"/>
              </w:rPr>
            </w:pPr>
            <w:r>
              <w:rPr>
                <w:sz w:val="20"/>
              </w:rPr>
              <w:t>The minutes of the 13 November 2017 meeting were agreed.</w:t>
            </w:r>
          </w:p>
        </w:tc>
      </w:tr>
      <w:tr>
        <w:trPr>
          <w:trHeight w:val="3000" w:hRule="atLeast"/>
        </w:trPr>
        <w:tc>
          <w:tcPr>
            <w:tcW w:w="1019" w:type="dxa"/>
          </w:tcPr>
          <w:p>
            <w:pPr>
              <w:pStyle w:val="TableParagraph"/>
              <w:spacing w:before="114"/>
              <w:ind w:left="200"/>
              <w:rPr>
                <w:sz w:val="20"/>
              </w:rPr>
            </w:pPr>
            <w:r>
              <w:rPr>
                <w:sz w:val="20"/>
              </w:rPr>
              <w:t>3.</w:t>
            </w:r>
          </w:p>
        </w:tc>
        <w:tc>
          <w:tcPr>
            <w:tcW w:w="8728" w:type="dxa"/>
            <w:gridSpan w:val="2"/>
          </w:tcPr>
          <w:p>
            <w:pPr>
              <w:pStyle w:val="TableParagraph"/>
              <w:spacing w:line="360" w:lineRule="auto" w:before="112"/>
              <w:ind w:left="174" w:right="1682"/>
              <w:jc w:val="both"/>
              <w:rPr>
                <w:i/>
                <w:sz w:val="20"/>
              </w:rPr>
            </w:pPr>
            <w:r>
              <w:rPr>
                <w:b/>
                <w:sz w:val="20"/>
              </w:rPr>
              <w:t>Competition guidelines reminder </w:t>
            </w:r>
            <w:r>
              <w:rPr>
                <w:i/>
                <w:sz w:val="20"/>
              </w:rPr>
              <w:t>(Charlotte Pope-Williams, Bank of </w:t>
            </w:r>
            <w:r>
              <w:rPr>
                <w:i/>
                <w:sz w:val="20"/>
              </w:rPr>
              <w:t>England)</w:t>
            </w:r>
          </w:p>
          <w:p>
            <w:pPr>
              <w:pStyle w:val="TableParagraph"/>
              <w:spacing w:line="360" w:lineRule="auto" w:before="123"/>
              <w:ind w:left="174" w:right="1680"/>
              <w:jc w:val="both"/>
              <w:rPr>
                <w:sz w:val="20"/>
              </w:rPr>
            </w:pPr>
            <w:r>
              <w:rPr>
                <w:sz w:val="20"/>
              </w:rPr>
              <w:t>Charlotte Pope-Williams (Bank of England) reminded members of the competition guidelines and that the purpose of the FXJSC was to serve as a forum for discussing issues of common concern to market participants and infrastructure providers operating in the UK’s FX market. Charlotte Pope- Williams stated that members should not share any commercially sensitive</w:t>
            </w:r>
          </w:p>
          <w:p>
            <w:pPr>
              <w:pStyle w:val="TableParagraph"/>
              <w:spacing w:before="1"/>
              <w:ind w:left="174"/>
              <w:rPr>
                <w:sz w:val="20"/>
              </w:rPr>
            </w:pPr>
            <w:r>
              <w:rPr>
                <w:sz w:val="20"/>
              </w:rPr>
              <w:t>information.</w:t>
            </w:r>
          </w:p>
        </w:tc>
      </w:tr>
      <w:tr>
        <w:trPr>
          <w:trHeight w:val="2655" w:hRule="atLeast"/>
        </w:trPr>
        <w:tc>
          <w:tcPr>
            <w:tcW w:w="1019" w:type="dxa"/>
          </w:tcPr>
          <w:p>
            <w:pPr>
              <w:pStyle w:val="TableParagraph"/>
              <w:spacing w:before="114"/>
              <w:ind w:left="200"/>
              <w:rPr>
                <w:sz w:val="20"/>
              </w:rPr>
            </w:pPr>
            <w:r>
              <w:rPr>
                <w:sz w:val="20"/>
              </w:rPr>
              <w:t>4.</w:t>
            </w:r>
          </w:p>
        </w:tc>
        <w:tc>
          <w:tcPr>
            <w:tcW w:w="8728" w:type="dxa"/>
            <w:gridSpan w:val="2"/>
          </w:tcPr>
          <w:p>
            <w:pPr>
              <w:pStyle w:val="TableParagraph"/>
              <w:spacing w:before="112"/>
              <w:ind w:left="174"/>
              <w:jc w:val="both"/>
              <w:rPr>
                <w:i/>
                <w:sz w:val="20"/>
              </w:rPr>
            </w:pPr>
            <w:r>
              <w:rPr>
                <w:b/>
                <w:sz w:val="20"/>
              </w:rPr>
              <w:t>Guest presentation from NCSC </w:t>
            </w:r>
            <w:r>
              <w:rPr>
                <w:i/>
                <w:sz w:val="20"/>
              </w:rPr>
              <w:t>(National Cyber Security Centre)</w:t>
            </w:r>
          </w:p>
          <w:p>
            <w:pPr>
              <w:pStyle w:val="TableParagraph"/>
              <w:spacing w:before="7"/>
              <w:rPr>
                <w:rFonts w:ascii="Times New Roman"/>
                <w:sz w:val="20"/>
              </w:rPr>
            </w:pPr>
          </w:p>
          <w:p>
            <w:pPr>
              <w:pStyle w:val="TableParagraph"/>
              <w:spacing w:line="362" w:lineRule="auto" w:before="1"/>
              <w:ind w:left="174" w:right="1691"/>
              <w:jc w:val="both"/>
              <w:rPr>
                <w:sz w:val="20"/>
              </w:rPr>
            </w:pPr>
            <w:r>
              <w:rPr>
                <w:sz w:val="20"/>
              </w:rPr>
              <w:t>Virginia and Josh (NCSC) presented an overview of the NCSC, including its vision, structure, and categorisation of incidents.</w:t>
            </w:r>
          </w:p>
          <w:p>
            <w:pPr>
              <w:pStyle w:val="TableParagraph"/>
              <w:spacing w:line="360" w:lineRule="auto" w:before="117"/>
              <w:ind w:left="174" w:right="1681"/>
              <w:jc w:val="both"/>
              <w:rPr>
                <w:sz w:val="20"/>
              </w:rPr>
            </w:pPr>
            <w:r>
              <w:rPr>
                <w:sz w:val="20"/>
              </w:rPr>
              <w:t>Members discussed the threats from cyber agents to financial services. It was noted that while the finance sector is ahead of other sectors in the collective state </w:t>
            </w:r>
            <w:r>
              <w:rPr>
                <w:spacing w:val="8"/>
                <w:sz w:val="20"/>
              </w:rPr>
              <w:t> </w:t>
            </w:r>
            <w:r>
              <w:rPr>
                <w:sz w:val="20"/>
              </w:rPr>
              <w:t>of </w:t>
            </w:r>
            <w:r>
              <w:rPr>
                <w:spacing w:val="10"/>
                <w:sz w:val="20"/>
              </w:rPr>
              <w:t> </w:t>
            </w:r>
            <w:r>
              <w:rPr>
                <w:sz w:val="20"/>
              </w:rPr>
              <w:t>cyber </w:t>
            </w:r>
            <w:r>
              <w:rPr>
                <w:spacing w:val="9"/>
                <w:sz w:val="20"/>
              </w:rPr>
              <w:t> </w:t>
            </w:r>
            <w:r>
              <w:rPr>
                <w:sz w:val="20"/>
              </w:rPr>
              <w:t>defence </w:t>
            </w:r>
            <w:r>
              <w:rPr>
                <w:spacing w:val="8"/>
                <w:sz w:val="20"/>
              </w:rPr>
              <w:t> </w:t>
            </w:r>
            <w:r>
              <w:rPr>
                <w:sz w:val="20"/>
              </w:rPr>
              <w:t>there </w:t>
            </w:r>
            <w:r>
              <w:rPr>
                <w:spacing w:val="8"/>
                <w:sz w:val="20"/>
              </w:rPr>
              <w:t> </w:t>
            </w:r>
            <w:r>
              <w:rPr>
                <w:sz w:val="20"/>
              </w:rPr>
              <w:t>are </w:t>
            </w:r>
            <w:r>
              <w:rPr>
                <w:spacing w:val="9"/>
                <w:sz w:val="20"/>
              </w:rPr>
              <w:t> </w:t>
            </w:r>
            <w:r>
              <w:rPr>
                <w:sz w:val="20"/>
              </w:rPr>
              <w:t>still </w:t>
            </w:r>
            <w:r>
              <w:rPr>
                <w:spacing w:val="7"/>
                <w:sz w:val="20"/>
              </w:rPr>
              <w:t> </w:t>
            </w:r>
            <w:r>
              <w:rPr>
                <w:sz w:val="20"/>
              </w:rPr>
              <w:t>some </w:t>
            </w:r>
            <w:r>
              <w:rPr>
                <w:spacing w:val="8"/>
                <w:sz w:val="20"/>
              </w:rPr>
              <w:t> </w:t>
            </w:r>
            <w:r>
              <w:rPr>
                <w:sz w:val="20"/>
              </w:rPr>
              <w:t>observed </w:t>
            </w:r>
            <w:r>
              <w:rPr>
                <w:spacing w:val="10"/>
                <w:sz w:val="20"/>
              </w:rPr>
              <w:t> </w:t>
            </w:r>
            <w:r>
              <w:rPr>
                <w:sz w:val="20"/>
              </w:rPr>
              <w:t>vulnerabilities. </w:t>
            </w:r>
            <w:r>
              <w:rPr>
                <w:spacing w:val="8"/>
                <w:sz w:val="20"/>
              </w:rPr>
              <w:t> </w:t>
            </w:r>
            <w:r>
              <w:rPr>
                <w:sz w:val="20"/>
              </w:rPr>
              <w:t>To</w:t>
            </w:r>
          </w:p>
          <w:p>
            <w:pPr>
              <w:pStyle w:val="TableParagraph"/>
              <w:spacing w:line="209" w:lineRule="exact"/>
              <w:ind w:left="174"/>
              <w:jc w:val="both"/>
              <w:rPr>
                <w:sz w:val="20"/>
              </w:rPr>
            </w:pPr>
            <w:r>
              <w:rPr>
                <w:sz w:val="20"/>
              </w:rPr>
              <w:t>mitigate</w:t>
            </w:r>
            <w:r>
              <w:rPr>
                <w:spacing w:val="42"/>
                <w:sz w:val="20"/>
              </w:rPr>
              <w:t> </w:t>
            </w:r>
            <w:r>
              <w:rPr>
                <w:sz w:val="20"/>
              </w:rPr>
              <w:t>the</w:t>
            </w:r>
            <w:r>
              <w:rPr>
                <w:spacing w:val="42"/>
                <w:sz w:val="20"/>
              </w:rPr>
              <w:t> </w:t>
            </w:r>
            <w:r>
              <w:rPr>
                <w:sz w:val="20"/>
              </w:rPr>
              <w:t>impact</w:t>
            </w:r>
            <w:r>
              <w:rPr>
                <w:spacing w:val="42"/>
                <w:sz w:val="20"/>
              </w:rPr>
              <w:t> </w:t>
            </w:r>
            <w:r>
              <w:rPr>
                <w:sz w:val="20"/>
              </w:rPr>
              <w:t>of</w:t>
            </w:r>
            <w:r>
              <w:rPr>
                <w:spacing w:val="45"/>
                <w:sz w:val="20"/>
              </w:rPr>
              <w:t> </w:t>
            </w:r>
            <w:r>
              <w:rPr>
                <w:sz w:val="20"/>
              </w:rPr>
              <w:t>cyber</w:t>
            </w:r>
            <w:r>
              <w:rPr>
                <w:spacing w:val="43"/>
                <w:sz w:val="20"/>
              </w:rPr>
              <w:t> </w:t>
            </w:r>
            <w:r>
              <w:rPr>
                <w:sz w:val="20"/>
              </w:rPr>
              <w:t>incidents,</w:t>
            </w:r>
            <w:r>
              <w:rPr>
                <w:spacing w:val="42"/>
                <w:sz w:val="20"/>
              </w:rPr>
              <w:t> </w:t>
            </w:r>
            <w:r>
              <w:rPr>
                <w:sz w:val="20"/>
              </w:rPr>
              <w:t>there</w:t>
            </w:r>
            <w:r>
              <w:rPr>
                <w:spacing w:val="43"/>
                <w:sz w:val="20"/>
              </w:rPr>
              <w:t> </w:t>
            </w:r>
            <w:r>
              <w:rPr>
                <w:sz w:val="20"/>
              </w:rPr>
              <w:t>is</w:t>
            </w:r>
            <w:r>
              <w:rPr>
                <w:spacing w:val="43"/>
                <w:sz w:val="20"/>
              </w:rPr>
              <w:t> </w:t>
            </w:r>
            <w:r>
              <w:rPr>
                <w:sz w:val="20"/>
              </w:rPr>
              <w:t>the</w:t>
            </w:r>
            <w:r>
              <w:rPr>
                <w:spacing w:val="45"/>
                <w:sz w:val="20"/>
              </w:rPr>
              <w:t> </w:t>
            </w:r>
            <w:r>
              <w:rPr>
                <w:sz w:val="20"/>
              </w:rPr>
              <w:t>Authorities’</w:t>
            </w:r>
            <w:r>
              <w:rPr>
                <w:spacing w:val="44"/>
                <w:sz w:val="20"/>
              </w:rPr>
              <w:t> </w:t>
            </w:r>
            <w:r>
              <w:rPr>
                <w:sz w:val="20"/>
              </w:rPr>
              <w:t>Response</w:t>
            </w:r>
          </w:p>
        </w:tc>
      </w:tr>
    </w:tbl>
    <w:p>
      <w:pPr>
        <w:spacing w:after="0" w:line="209" w:lineRule="exact"/>
        <w:jc w:val="both"/>
        <w:rPr>
          <w:sz w:val="20"/>
        </w:rPr>
        <w:sectPr>
          <w:pgSz w:w="11910" w:h="16840"/>
          <w:pgMar w:header="0" w:footer="610" w:top="1420" w:bottom="800" w:left="960" w:right="9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7393"/>
        <w:gridCol w:w="1627"/>
      </w:tblGrid>
      <w:tr>
        <w:trPr>
          <w:trHeight w:val="1377" w:hRule="atLeast"/>
        </w:trPr>
        <w:tc>
          <w:tcPr>
            <w:tcW w:w="779" w:type="dxa"/>
          </w:tcPr>
          <w:p>
            <w:pPr>
              <w:pStyle w:val="TableParagraph"/>
              <w:rPr>
                <w:rFonts w:ascii="Times New Roman"/>
                <w:sz w:val="18"/>
              </w:rPr>
            </w:pPr>
          </w:p>
        </w:tc>
        <w:tc>
          <w:tcPr>
            <w:tcW w:w="7393" w:type="dxa"/>
          </w:tcPr>
          <w:p>
            <w:pPr>
              <w:pStyle w:val="TableParagraph"/>
              <w:spacing w:line="360" w:lineRule="auto"/>
              <w:ind w:left="414" w:right="108"/>
              <w:jc w:val="both"/>
              <w:rPr>
                <w:sz w:val="20"/>
              </w:rPr>
            </w:pPr>
            <w:r>
              <w:rPr>
                <w:sz w:val="20"/>
              </w:rPr>
              <w:t>Framework which provides guidance on how the Financial Authorities can respond and manage cyber incidents. Furthermore, it was noted that there are</w:t>
            </w:r>
            <w:r>
              <w:rPr>
                <w:spacing w:val="45"/>
                <w:sz w:val="20"/>
              </w:rPr>
              <w:t> </w:t>
            </w:r>
            <w:r>
              <w:rPr>
                <w:sz w:val="20"/>
              </w:rPr>
              <w:t>other</w:t>
            </w:r>
            <w:r>
              <w:rPr>
                <w:spacing w:val="46"/>
                <w:sz w:val="20"/>
              </w:rPr>
              <w:t> </w:t>
            </w:r>
            <w:r>
              <w:rPr>
                <w:sz w:val="20"/>
              </w:rPr>
              <w:t>sector</w:t>
            </w:r>
            <w:r>
              <w:rPr>
                <w:spacing w:val="45"/>
                <w:sz w:val="20"/>
              </w:rPr>
              <w:t> </w:t>
            </w:r>
            <w:r>
              <w:rPr>
                <w:sz w:val="20"/>
              </w:rPr>
              <w:t>engagement</w:t>
            </w:r>
            <w:r>
              <w:rPr>
                <w:spacing w:val="45"/>
                <w:sz w:val="20"/>
              </w:rPr>
              <w:t> </w:t>
            </w:r>
            <w:r>
              <w:rPr>
                <w:sz w:val="20"/>
              </w:rPr>
              <w:t>forums</w:t>
            </w:r>
            <w:r>
              <w:rPr>
                <w:spacing w:val="46"/>
                <w:sz w:val="20"/>
              </w:rPr>
              <w:t> </w:t>
            </w:r>
            <w:r>
              <w:rPr>
                <w:sz w:val="20"/>
              </w:rPr>
              <w:t>and</w:t>
            </w:r>
            <w:r>
              <w:rPr>
                <w:spacing w:val="44"/>
                <w:sz w:val="20"/>
              </w:rPr>
              <w:t> </w:t>
            </w:r>
            <w:r>
              <w:rPr>
                <w:sz w:val="20"/>
              </w:rPr>
              <w:t>working</w:t>
            </w:r>
            <w:r>
              <w:rPr>
                <w:spacing w:val="45"/>
                <w:sz w:val="20"/>
              </w:rPr>
              <w:t> </w:t>
            </w:r>
            <w:r>
              <w:rPr>
                <w:sz w:val="20"/>
              </w:rPr>
              <w:t>group</w:t>
            </w:r>
            <w:r>
              <w:rPr>
                <w:spacing w:val="47"/>
                <w:sz w:val="20"/>
              </w:rPr>
              <w:t> </w:t>
            </w:r>
            <w:r>
              <w:rPr>
                <w:sz w:val="20"/>
              </w:rPr>
              <w:t>initiatives,</w:t>
            </w:r>
            <w:r>
              <w:rPr>
                <w:spacing w:val="47"/>
                <w:sz w:val="20"/>
              </w:rPr>
              <w:t> </w:t>
            </w:r>
            <w:r>
              <w:rPr>
                <w:sz w:val="20"/>
              </w:rPr>
              <w:t>which</w:t>
            </w:r>
          </w:p>
          <w:p>
            <w:pPr>
              <w:pStyle w:val="TableParagraph"/>
              <w:ind w:left="414"/>
              <w:jc w:val="both"/>
              <w:rPr>
                <w:sz w:val="20"/>
              </w:rPr>
            </w:pPr>
            <w:r>
              <w:rPr>
                <w:sz w:val="20"/>
              </w:rPr>
              <w:t>produce guidance on addressing specific threats and sharing best practices.</w:t>
            </w:r>
          </w:p>
        </w:tc>
        <w:tc>
          <w:tcPr>
            <w:tcW w:w="1627" w:type="dxa"/>
          </w:tcPr>
          <w:p>
            <w:pPr>
              <w:pStyle w:val="TableParagraph"/>
              <w:rPr>
                <w:rFonts w:ascii="Times New Roman"/>
                <w:sz w:val="18"/>
              </w:rPr>
            </w:pPr>
          </w:p>
        </w:tc>
      </w:tr>
      <w:tr>
        <w:trPr>
          <w:trHeight w:val="3690" w:hRule="atLeast"/>
        </w:trPr>
        <w:tc>
          <w:tcPr>
            <w:tcW w:w="779" w:type="dxa"/>
          </w:tcPr>
          <w:p>
            <w:pPr>
              <w:pStyle w:val="TableParagraph"/>
              <w:spacing w:before="115"/>
              <w:ind w:left="200"/>
              <w:rPr>
                <w:sz w:val="20"/>
              </w:rPr>
            </w:pPr>
            <w:r>
              <w:rPr>
                <w:sz w:val="20"/>
              </w:rPr>
              <w:t>5.</w:t>
            </w:r>
          </w:p>
        </w:tc>
        <w:tc>
          <w:tcPr>
            <w:tcW w:w="7393" w:type="dxa"/>
          </w:tcPr>
          <w:p>
            <w:pPr>
              <w:pStyle w:val="TableParagraph"/>
              <w:spacing w:before="113"/>
              <w:ind w:left="414"/>
              <w:jc w:val="both"/>
              <w:rPr>
                <w:i/>
                <w:sz w:val="20"/>
              </w:rPr>
            </w:pPr>
            <w:r>
              <w:rPr>
                <w:b/>
                <w:sz w:val="20"/>
              </w:rPr>
              <w:t>2018 Committee work priorities </w:t>
            </w:r>
            <w:r>
              <w:rPr>
                <w:i/>
                <w:sz w:val="20"/>
              </w:rPr>
              <w:t>(Chair – Isabelle Dennigan, RBC)</w:t>
            </w:r>
          </w:p>
          <w:p>
            <w:pPr>
              <w:pStyle w:val="TableParagraph"/>
              <w:spacing w:before="8"/>
              <w:rPr>
                <w:rFonts w:ascii="Times New Roman"/>
                <w:sz w:val="20"/>
              </w:rPr>
            </w:pPr>
          </w:p>
          <w:p>
            <w:pPr>
              <w:pStyle w:val="TableParagraph"/>
              <w:spacing w:line="360" w:lineRule="auto"/>
              <w:ind w:left="414" w:right="103"/>
              <w:jc w:val="both"/>
              <w:rPr>
                <w:sz w:val="20"/>
              </w:rPr>
            </w:pPr>
            <w:r>
              <w:rPr>
                <w:sz w:val="20"/>
              </w:rPr>
              <w:t>Members discussed the Sub-committee priorities for 2018 and potential presentation topics. The themes of operational resiliency and impacts of distributed ledger technology to the FX market were discussed as being priorities. This could encapsulate the Sub-committee’s work on the FX Resiliency playbook, and education-based presentations in the pipeline similar to the presentations delivered by the NCSC and PRA’s Sector Resilience Team. Lastly, it was noted that members should look to have appropriate</w:t>
            </w:r>
            <w:r>
              <w:rPr>
                <w:spacing w:val="32"/>
                <w:sz w:val="20"/>
              </w:rPr>
              <w:t> </w:t>
            </w:r>
            <w:r>
              <w:rPr>
                <w:sz w:val="20"/>
              </w:rPr>
              <w:t>discussions</w:t>
            </w:r>
            <w:r>
              <w:rPr>
                <w:spacing w:val="33"/>
                <w:sz w:val="20"/>
              </w:rPr>
              <w:t> </w:t>
            </w:r>
            <w:r>
              <w:rPr>
                <w:sz w:val="20"/>
              </w:rPr>
              <w:t>to</w:t>
            </w:r>
            <w:r>
              <w:rPr>
                <w:spacing w:val="34"/>
                <w:sz w:val="20"/>
              </w:rPr>
              <w:t> </w:t>
            </w:r>
            <w:r>
              <w:rPr>
                <w:sz w:val="20"/>
              </w:rPr>
              <w:t>prepare</w:t>
            </w:r>
            <w:r>
              <w:rPr>
                <w:spacing w:val="36"/>
                <w:sz w:val="20"/>
              </w:rPr>
              <w:t> </w:t>
            </w:r>
            <w:r>
              <w:rPr>
                <w:sz w:val="20"/>
              </w:rPr>
              <w:t>ahead</w:t>
            </w:r>
            <w:r>
              <w:rPr>
                <w:spacing w:val="35"/>
                <w:sz w:val="20"/>
              </w:rPr>
              <w:t> </w:t>
            </w:r>
            <w:r>
              <w:rPr>
                <w:sz w:val="20"/>
              </w:rPr>
              <w:t>of</w:t>
            </w:r>
            <w:r>
              <w:rPr>
                <w:spacing w:val="36"/>
                <w:sz w:val="20"/>
              </w:rPr>
              <w:t> </w:t>
            </w:r>
            <w:r>
              <w:rPr>
                <w:sz w:val="20"/>
              </w:rPr>
              <w:t>the</w:t>
            </w:r>
            <w:r>
              <w:rPr>
                <w:spacing w:val="34"/>
                <w:sz w:val="20"/>
              </w:rPr>
              <w:t> </w:t>
            </w:r>
            <w:r>
              <w:rPr>
                <w:sz w:val="20"/>
              </w:rPr>
              <w:t>UK’s</w:t>
            </w:r>
            <w:r>
              <w:rPr>
                <w:spacing w:val="36"/>
                <w:sz w:val="20"/>
              </w:rPr>
              <w:t> </w:t>
            </w:r>
            <w:r>
              <w:rPr>
                <w:sz w:val="20"/>
              </w:rPr>
              <w:t>withdrawal</w:t>
            </w:r>
            <w:r>
              <w:rPr>
                <w:spacing w:val="33"/>
                <w:sz w:val="20"/>
              </w:rPr>
              <w:t> </w:t>
            </w:r>
            <w:r>
              <w:rPr>
                <w:sz w:val="20"/>
              </w:rPr>
              <w:t>from</w:t>
            </w:r>
            <w:r>
              <w:rPr>
                <w:spacing w:val="37"/>
                <w:sz w:val="20"/>
              </w:rPr>
              <w:t> </w:t>
            </w:r>
            <w:r>
              <w:rPr>
                <w:sz w:val="20"/>
              </w:rPr>
              <w:t>the</w:t>
            </w:r>
          </w:p>
          <w:p>
            <w:pPr>
              <w:pStyle w:val="TableParagraph"/>
              <w:spacing w:before="1"/>
              <w:ind w:left="414"/>
              <w:rPr>
                <w:sz w:val="20"/>
              </w:rPr>
            </w:pPr>
            <w:r>
              <w:rPr>
                <w:sz w:val="20"/>
              </w:rPr>
              <w:t>EU.</w:t>
            </w:r>
          </w:p>
        </w:tc>
        <w:tc>
          <w:tcPr>
            <w:tcW w:w="1627" w:type="dxa"/>
          </w:tcPr>
          <w:p>
            <w:pPr>
              <w:pStyle w:val="TableParagraph"/>
              <w:rPr>
                <w:rFonts w:ascii="Times New Roman"/>
                <w:sz w:val="18"/>
              </w:rPr>
            </w:pPr>
          </w:p>
        </w:tc>
      </w:tr>
      <w:tr>
        <w:trPr>
          <w:trHeight w:val="2998" w:hRule="atLeast"/>
        </w:trPr>
        <w:tc>
          <w:tcPr>
            <w:tcW w:w="779" w:type="dxa"/>
          </w:tcPr>
          <w:p>
            <w:pPr>
              <w:pStyle w:val="TableParagraph"/>
              <w:spacing w:before="114"/>
              <w:ind w:left="200"/>
              <w:rPr>
                <w:sz w:val="20"/>
              </w:rPr>
            </w:pPr>
            <w:r>
              <w:rPr>
                <w:sz w:val="20"/>
              </w:rPr>
              <w:t>6.</w:t>
            </w:r>
          </w:p>
        </w:tc>
        <w:tc>
          <w:tcPr>
            <w:tcW w:w="7393" w:type="dxa"/>
          </w:tcPr>
          <w:p>
            <w:pPr>
              <w:pStyle w:val="TableParagraph"/>
              <w:spacing w:before="112"/>
              <w:ind w:left="414"/>
              <w:jc w:val="both"/>
              <w:rPr>
                <w:i/>
                <w:sz w:val="20"/>
              </w:rPr>
            </w:pPr>
            <w:r>
              <w:rPr>
                <w:b/>
                <w:sz w:val="20"/>
              </w:rPr>
              <w:t>MIFID II – post implementation discussion </w:t>
            </w:r>
            <w:r>
              <w:rPr>
                <w:i/>
                <w:sz w:val="20"/>
              </w:rPr>
              <w:t>(Stephen Hanks, FCA)</w:t>
            </w:r>
          </w:p>
          <w:p>
            <w:pPr>
              <w:pStyle w:val="TableParagraph"/>
              <w:spacing w:before="7"/>
              <w:rPr>
                <w:rFonts w:ascii="Times New Roman"/>
                <w:sz w:val="20"/>
              </w:rPr>
            </w:pPr>
          </w:p>
          <w:p>
            <w:pPr>
              <w:pStyle w:val="TableParagraph"/>
              <w:spacing w:line="360" w:lineRule="auto" w:before="1"/>
              <w:ind w:left="414" w:right="104"/>
              <w:jc w:val="both"/>
              <w:rPr>
                <w:sz w:val="20"/>
              </w:rPr>
            </w:pPr>
            <w:r>
              <w:rPr>
                <w:sz w:val="20"/>
              </w:rPr>
              <w:t>Stephen Hanks (FCA) noted that the second Markets in Financial  Instruments Directive and new Markets in Financial Instruments Regulations (together known as ‘MIFID II’) came into force on 3 January 2018, and provided a general update since its go live. Attendees discussed matters relating</w:t>
            </w:r>
            <w:r>
              <w:rPr>
                <w:spacing w:val="14"/>
                <w:sz w:val="20"/>
              </w:rPr>
              <w:t> </w:t>
            </w:r>
            <w:r>
              <w:rPr>
                <w:sz w:val="20"/>
              </w:rPr>
              <w:t>to</w:t>
            </w:r>
            <w:r>
              <w:rPr>
                <w:spacing w:val="13"/>
                <w:sz w:val="20"/>
              </w:rPr>
              <w:t> </w:t>
            </w:r>
            <w:r>
              <w:rPr>
                <w:sz w:val="20"/>
              </w:rPr>
              <w:t>transaction</w:t>
            </w:r>
            <w:r>
              <w:rPr>
                <w:spacing w:val="13"/>
                <w:sz w:val="20"/>
              </w:rPr>
              <w:t> </w:t>
            </w:r>
            <w:r>
              <w:rPr>
                <w:sz w:val="20"/>
              </w:rPr>
              <w:t>reporting</w:t>
            </w:r>
            <w:r>
              <w:rPr>
                <w:spacing w:val="13"/>
                <w:sz w:val="20"/>
              </w:rPr>
              <w:t> </w:t>
            </w:r>
            <w:r>
              <w:rPr>
                <w:sz w:val="20"/>
              </w:rPr>
              <w:t>requirements,</w:t>
            </w:r>
            <w:r>
              <w:rPr>
                <w:spacing w:val="14"/>
                <w:sz w:val="20"/>
              </w:rPr>
              <w:t> </w:t>
            </w:r>
            <w:r>
              <w:rPr>
                <w:sz w:val="20"/>
              </w:rPr>
              <w:t>and</w:t>
            </w:r>
            <w:r>
              <w:rPr>
                <w:spacing w:val="20"/>
                <w:sz w:val="20"/>
              </w:rPr>
              <w:t> </w:t>
            </w:r>
            <w:r>
              <w:rPr>
                <w:sz w:val="20"/>
              </w:rPr>
              <w:t>how</w:t>
            </w:r>
            <w:r>
              <w:rPr>
                <w:spacing w:val="15"/>
                <w:sz w:val="20"/>
              </w:rPr>
              <w:t> </w:t>
            </w:r>
            <w:r>
              <w:rPr>
                <w:sz w:val="20"/>
              </w:rPr>
              <w:t>elements</w:t>
            </w:r>
            <w:r>
              <w:rPr>
                <w:spacing w:val="15"/>
                <w:sz w:val="20"/>
              </w:rPr>
              <w:t> </w:t>
            </w:r>
            <w:r>
              <w:rPr>
                <w:sz w:val="20"/>
              </w:rPr>
              <w:t>of</w:t>
            </w:r>
            <w:r>
              <w:rPr>
                <w:spacing w:val="15"/>
                <w:sz w:val="20"/>
              </w:rPr>
              <w:t> </w:t>
            </w:r>
            <w:r>
              <w:rPr>
                <w:sz w:val="20"/>
              </w:rPr>
              <w:t>MIFID</w:t>
            </w:r>
            <w:r>
              <w:rPr>
                <w:spacing w:val="14"/>
                <w:sz w:val="20"/>
              </w:rPr>
              <w:t> </w:t>
            </w:r>
            <w:r>
              <w:rPr>
                <w:sz w:val="20"/>
              </w:rPr>
              <w:t>II</w:t>
            </w:r>
          </w:p>
          <w:p>
            <w:pPr>
              <w:pStyle w:val="TableParagraph"/>
              <w:ind w:left="414"/>
              <w:jc w:val="both"/>
              <w:rPr>
                <w:sz w:val="20"/>
              </w:rPr>
            </w:pPr>
            <w:r>
              <w:rPr>
                <w:sz w:val="20"/>
              </w:rPr>
              <w:t>–</w:t>
            </w:r>
            <w:r>
              <w:rPr>
                <w:spacing w:val="33"/>
                <w:sz w:val="20"/>
              </w:rPr>
              <w:t> </w:t>
            </w:r>
            <w:r>
              <w:rPr>
                <w:sz w:val="20"/>
              </w:rPr>
              <w:t>for</w:t>
            </w:r>
            <w:r>
              <w:rPr>
                <w:spacing w:val="34"/>
                <w:sz w:val="20"/>
              </w:rPr>
              <w:t> </w:t>
            </w:r>
            <w:r>
              <w:rPr>
                <w:sz w:val="20"/>
              </w:rPr>
              <w:t>example</w:t>
            </w:r>
            <w:r>
              <w:rPr>
                <w:spacing w:val="34"/>
                <w:sz w:val="20"/>
              </w:rPr>
              <w:t> </w:t>
            </w:r>
            <w:r>
              <w:rPr>
                <w:sz w:val="20"/>
              </w:rPr>
              <w:t>liquidity</w:t>
            </w:r>
            <w:r>
              <w:rPr>
                <w:spacing w:val="32"/>
                <w:sz w:val="20"/>
              </w:rPr>
              <w:t> </w:t>
            </w:r>
            <w:r>
              <w:rPr>
                <w:sz w:val="20"/>
              </w:rPr>
              <w:t>thresholds</w:t>
            </w:r>
            <w:r>
              <w:rPr>
                <w:spacing w:val="34"/>
                <w:sz w:val="20"/>
              </w:rPr>
              <w:t> </w:t>
            </w:r>
            <w:r>
              <w:rPr>
                <w:sz w:val="20"/>
              </w:rPr>
              <w:t>and</w:t>
            </w:r>
            <w:r>
              <w:rPr>
                <w:spacing w:val="34"/>
                <w:sz w:val="20"/>
              </w:rPr>
              <w:t> </w:t>
            </w:r>
            <w:r>
              <w:rPr>
                <w:sz w:val="20"/>
              </w:rPr>
              <w:t>exchange</w:t>
            </w:r>
            <w:r>
              <w:rPr>
                <w:spacing w:val="35"/>
                <w:sz w:val="20"/>
              </w:rPr>
              <w:t> </w:t>
            </w:r>
            <w:r>
              <w:rPr>
                <w:sz w:val="20"/>
              </w:rPr>
              <w:t>of</w:t>
            </w:r>
            <w:r>
              <w:rPr>
                <w:spacing w:val="35"/>
                <w:sz w:val="20"/>
              </w:rPr>
              <w:t> </w:t>
            </w:r>
            <w:r>
              <w:rPr>
                <w:sz w:val="20"/>
              </w:rPr>
              <w:t>information</w:t>
            </w:r>
            <w:r>
              <w:rPr>
                <w:spacing w:val="41"/>
                <w:sz w:val="20"/>
              </w:rPr>
              <w:t> </w:t>
            </w:r>
            <w:r>
              <w:rPr>
                <w:sz w:val="20"/>
              </w:rPr>
              <w:t>–</w:t>
            </w:r>
            <w:r>
              <w:rPr>
                <w:spacing w:val="33"/>
                <w:sz w:val="20"/>
              </w:rPr>
              <w:t> </w:t>
            </w:r>
            <w:r>
              <w:rPr>
                <w:sz w:val="20"/>
              </w:rPr>
              <w:t>could</w:t>
            </w:r>
            <w:r>
              <w:rPr>
                <w:spacing w:val="35"/>
                <w:sz w:val="20"/>
              </w:rPr>
              <w:t> </w:t>
            </w:r>
            <w:r>
              <w:rPr>
                <w:sz w:val="20"/>
              </w:rPr>
              <w:t>be</w:t>
            </w:r>
          </w:p>
          <w:p>
            <w:pPr>
              <w:pStyle w:val="TableParagraph"/>
              <w:spacing w:before="114"/>
              <w:ind w:left="414"/>
              <w:jc w:val="both"/>
              <w:rPr>
                <w:sz w:val="20"/>
              </w:rPr>
            </w:pPr>
            <w:r>
              <w:rPr>
                <w:sz w:val="20"/>
              </w:rPr>
              <w:t>impacted by the UK’s withdrawal from the EU.</w:t>
            </w:r>
          </w:p>
        </w:tc>
        <w:tc>
          <w:tcPr>
            <w:tcW w:w="1627" w:type="dxa"/>
          </w:tcPr>
          <w:p>
            <w:pPr>
              <w:pStyle w:val="TableParagraph"/>
              <w:rPr>
                <w:rFonts w:ascii="Times New Roman"/>
                <w:sz w:val="18"/>
              </w:rPr>
            </w:pPr>
          </w:p>
        </w:tc>
      </w:tr>
      <w:tr>
        <w:trPr>
          <w:trHeight w:val="5236" w:hRule="atLeast"/>
        </w:trPr>
        <w:tc>
          <w:tcPr>
            <w:tcW w:w="779" w:type="dxa"/>
          </w:tcPr>
          <w:p>
            <w:pPr>
              <w:pStyle w:val="TableParagraph"/>
              <w:spacing w:before="115"/>
              <w:ind w:left="200"/>
              <w:rPr>
                <w:sz w:val="20"/>
              </w:rPr>
            </w:pPr>
            <w:r>
              <w:rPr>
                <w:sz w:val="20"/>
              </w:rPr>
              <w:t>7.</w:t>
            </w:r>
          </w:p>
        </w:tc>
        <w:tc>
          <w:tcPr>
            <w:tcW w:w="7393" w:type="dxa"/>
          </w:tcPr>
          <w:p>
            <w:pPr>
              <w:pStyle w:val="TableParagraph"/>
              <w:spacing w:before="113"/>
              <w:ind w:left="414"/>
              <w:jc w:val="both"/>
              <w:rPr>
                <w:i/>
                <w:sz w:val="20"/>
              </w:rPr>
            </w:pPr>
            <w:r>
              <w:rPr>
                <w:b/>
                <w:sz w:val="20"/>
              </w:rPr>
              <w:t>Operational Resiliency </w:t>
            </w:r>
            <w:r>
              <w:rPr>
                <w:i/>
                <w:sz w:val="20"/>
              </w:rPr>
              <w:t>(Sharon Wallis, Bank of England)</w:t>
            </w:r>
          </w:p>
          <w:p>
            <w:pPr>
              <w:pStyle w:val="TableParagraph"/>
              <w:spacing w:before="8"/>
              <w:rPr>
                <w:rFonts w:ascii="Times New Roman"/>
                <w:sz w:val="20"/>
              </w:rPr>
            </w:pPr>
          </w:p>
          <w:p>
            <w:pPr>
              <w:pStyle w:val="TableParagraph"/>
              <w:spacing w:line="360" w:lineRule="auto"/>
              <w:ind w:left="414" w:right="105"/>
              <w:jc w:val="both"/>
              <w:rPr>
                <w:sz w:val="20"/>
              </w:rPr>
            </w:pPr>
            <w:r>
              <w:rPr>
                <w:sz w:val="20"/>
              </w:rPr>
              <w:t>Sharon Wallis (Bank of England) delivered a presentation on operational and cyber resilience. As the Financial Stability Authority, Sharon explained the Bank’s role in cyber, and interaction with the FCA and PRA, to assess and improve cyber resilience within the UK financial system. Members discussed areas of focus for cyber resilience including strategic executive leadership and technological investment. It was noted that the National Institute of Standards and Technology (NIST) provides a de facto list of areas for firms to strengthen their cyber resilience.</w:t>
            </w:r>
          </w:p>
          <w:p>
            <w:pPr>
              <w:pStyle w:val="TableParagraph"/>
              <w:spacing w:line="360" w:lineRule="auto" w:before="120"/>
              <w:ind w:left="414" w:right="111"/>
              <w:jc w:val="both"/>
              <w:rPr>
                <w:sz w:val="20"/>
              </w:rPr>
            </w:pPr>
            <w:r>
              <w:rPr>
                <w:sz w:val="20"/>
              </w:rPr>
              <w:t>Sharon also outlined an industry guide on the options for responding to major operational disruption, including a Voluntary Interbank Sterling Settlement Postponement (VISSP) – and welcomed members to provide any feedback after the meeting.</w:t>
            </w:r>
          </w:p>
        </w:tc>
        <w:tc>
          <w:tcPr>
            <w:tcW w:w="1627" w:type="dxa"/>
          </w:tcPr>
          <w:p>
            <w:pPr>
              <w:pStyle w:val="TableParagraph"/>
              <w:spacing w:before="113"/>
              <w:ind w:left="110"/>
              <w:rPr>
                <w:b/>
                <w:sz w:val="20"/>
              </w:rPr>
            </w:pPr>
            <w:r>
              <w:rPr>
                <w:b/>
                <w:sz w:val="20"/>
              </w:rPr>
              <w:t>ACT FXJSC</w:t>
            </w:r>
          </w:p>
          <w:p>
            <w:pPr>
              <w:pStyle w:val="TableParagraph"/>
              <w:spacing w:line="360" w:lineRule="auto" w:before="116"/>
              <w:ind w:left="110" w:right="196"/>
              <w:rPr>
                <w:sz w:val="20"/>
              </w:rPr>
            </w:pPr>
            <w:r>
              <w:rPr>
                <w:b/>
                <w:sz w:val="20"/>
              </w:rPr>
              <w:t>Secretariat </w:t>
            </w:r>
            <w:r>
              <w:rPr>
                <w:sz w:val="20"/>
              </w:rPr>
              <w:t>– to circulate the VISSP</w:t>
            </w:r>
          </w:p>
          <w:p>
            <w:pPr>
              <w:pStyle w:val="TableParagraph"/>
              <w:spacing w:line="360" w:lineRule="auto" w:before="1"/>
              <w:ind w:left="110" w:right="102"/>
              <w:rPr>
                <w:sz w:val="20"/>
              </w:rPr>
            </w:pPr>
            <w:r>
              <w:rPr>
                <w:sz w:val="20"/>
              </w:rPr>
              <w:t>industry guide and presentation to FXJSC</w:t>
            </w:r>
          </w:p>
          <w:p>
            <w:pPr>
              <w:pStyle w:val="TableParagraph"/>
              <w:spacing w:line="360" w:lineRule="auto" w:before="1"/>
              <w:ind w:left="110" w:right="418"/>
              <w:rPr>
                <w:sz w:val="20"/>
              </w:rPr>
            </w:pPr>
            <w:r>
              <w:rPr>
                <w:sz w:val="20"/>
              </w:rPr>
              <w:t>members. </w:t>
            </w:r>
            <w:r>
              <w:rPr>
                <w:b/>
                <w:sz w:val="20"/>
              </w:rPr>
              <w:t>ACT all </w:t>
            </w:r>
            <w:r>
              <w:rPr>
                <w:sz w:val="20"/>
              </w:rPr>
              <w:t>– to review and provide feedback of the VISSP</w:t>
            </w:r>
          </w:p>
          <w:p>
            <w:pPr>
              <w:pStyle w:val="TableParagraph"/>
              <w:spacing w:before="2"/>
              <w:ind w:left="110"/>
              <w:rPr>
                <w:sz w:val="20"/>
              </w:rPr>
            </w:pPr>
            <w:r>
              <w:rPr>
                <w:sz w:val="20"/>
              </w:rPr>
              <w:t>industry guide.</w:t>
            </w:r>
          </w:p>
        </w:tc>
      </w:tr>
      <w:tr>
        <w:trPr>
          <w:trHeight w:val="284" w:hRule="atLeast"/>
        </w:trPr>
        <w:tc>
          <w:tcPr>
            <w:tcW w:w="779" w:type="dxa"/>
          </w:tcPr>
          <w:p>
            <w:pPr>
              <w:pStyle w:val="TableParagraph"/>
              <w:spacing w:line="210" w:lineRule="exact" w:before="54"/>
              <w:ind w:left="200"/>
              <w:rPr>
                <w:sz w:val="20"/>
              </w:rPr>
            </w:pPr>
            <w:r>
              <w:rPr>
                <w:sz w:val="20"/>
              </w:rPr>
              <w:t>8.</w:t>
            </w:r>
          </w:p>
        </w:tc>
        <w:tc>
          <w:tcPr>
            <w:tcW w:w="7393" w:type="dxa"/>
          </w:tcPr>
          <w:p>
            <w:pPr>
              <w:pStyle w:val="TableParagraph"/>
              <w:spacing w:line="212" w:lineRule="exact" w:before="52"/>
              <w:ind w:left="414"/>
              <w:rPr>
                <w:b/>
                <w:sz w:val="20"/>
              </w:rPr>
            </w:pPr>
            <w:r>
              <w:rPr>
                <w:b/>
                <w:sz w:val="20"/>
              </w:rPr>
              <w:t>Education and Outreach</w:t>
            </w:r>
          </w:p>
        </w:tc>
        <w:tc>
          <w:tcPr>
            <w:tcW w:w="1627" w:type="dxa"/>
          </w:tcPr>
          <w:p>
            <w:pPr>
              <w:pStyle w:val="TableParagraph"/>
              <w:spacing w:line="212" w:lineRule="exact" w:before="52"/>
              <w:ind w:left="110"/>
              <w:rPr>
                <w:b/>
                <w:sz w:val="20"/>
              </w:rPr>
            </w:pPr>
            <w:r>
              <w:rPr>
                <w:b/>
                <w:sz w:val="20"/>
              </w:rPr>
              <w:t>ACT FXJSC</w:t>
            </w:r>
          </w:p>
        </w:tc>
      </w:tr>
    </w:tbl>
    <w:p>
      <w:pPr>
        <w:spacing w:after="0" w:line="212" w:lineRule="exact"/>
        <w:rPr>
          <w:sz w:val="20"/>
        </w:rPr>
        <w:sectPr>
          <w:pgSz w:w="11910" w:h="16840"/>
          <w:pgMar w:header="0" w:footer="610" w:top="1420" w:bottom="800" w:left="960" w:right="9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7340"/>
        <w:gridCol w:w="1606"/>
      </w:tblGrid>
      <w:tr>
        <w:trPr>
          <w:trHeight w:val="9809" w:hRule="atLeast"/>
        </w:trPr>
        <w:tc>
          <w:tcPr>
            <w:tcW w:w="835" w:type="dxa"/>
          </w:tcPr>
          <w:p>
            <w:pPr>
              <w:pStyle w:val="TableParagraph"/>
              <w:rPr>
                <w:rFonts w:ascii="Times New Roman"/>
                <w:sz w:val="18"/>
              </w:rPr>
            </w:pPr>
          </w:p>
        </w:tc>
        <w:tc>
          <w:tcPr>
            <w:tcW w:w="7340" w:type="dxa"/>
          </w:tcPr>
          <w:p>
            <w:pPr>
              <w:pStyle w:val="TableParagraph"/>
              <w:numPr>
                <w:ilvl w:val="0"/>
                <w:numId w:val="1"/>
              </w:numPr>
              <w:tabs>
                <w:tab w:pos="1079" w:val="left" w:leader="none"/>
              </w:tabs>
              <w:spacing w:line="223" w:lineRule="exact" w:before="0" w:after="0"/>
              <w:ind w:left="1078" w:right="0" w:hanging="361"/>
              <w:jc w:val="both"/>
              <w:rPr>
                <w:i/>
                <w:sz w:val="20"/>
              </w:rPr>
            </w:pPr>
            <w:r>
              <w:rPr>
                <w:sz w:val="20"/>
              </w:rPr>
              <w:t>Investment Association update </w:t>
            </w:r>
            <w:r>
              <w:rPr>
                <w:i/>
                <w:sz w:val="20"/>
              </w:rPr>
              <w:t>(David Broadway,</w:t>
            </w:r>
            <w:r>
              <w:rPr>
                <w:i/>
                <w:spacing w:val="-4"/>
                <w:sz w:val="20"/>
              </w:rPr>
              <w:t> </w:t>
            </w:r>
            <w:r>
              <w:rPr>
                <w:i/>
                <w:sz w:val="20"/>
              </w:rPr>
              <w:t>IA)</w:t>
            </w:r>
          </w:p>
          <w:p>
            <w:pPr>
              <w:pStyle w:val="TableParagraph"/>
              <w:spacing w:before="8"/>
              <w:rPr>
                <w:rFonts w:ascii="Times New Roman"/>
                <w:sz w:val="20"/>
              </w:rPr>
            </w:pPr>
          </w:p>
          <w:p>
            <w:pPr>
              <w:pStyle w:val="TableParagraph"/>
              <w:spacing w:line="360" w:lineRule="auto"/>
              <w:ind w:left="358" w:right="106"/>
              <w:jc w:val="both"/>
              <w:rPr>
                <w:sz w:val="20"/>
              </w:rPr>
            </w:pPr>
            <w:r>
              <w:rPr>
                <w:sz w:val="20"/>
              </w:rPr>
              <w:t>David Broadway (Investment Association) provided an update on the IA’s current focuses, and reported on some of the IA members’ experiences in regard to implementing MIFID II. Specific to FX, it was noted that the IA had recently published a position paper on the practice of Last Look, and were looking to organise a member event to promote the FX Global Code in May 2018.</w:t>
            </w:r>
          </w:p>
          <w:p>
            <w:pPr>
              <w:pStyle w:val="TableParagraph"/>
              <w:numPr>
                <w:ilvl w:val="0"/>
                <w:numId w:val="1"/>
              </w:numPr>
              <w:tabs>
                <w:tab w:pos="1079" w:val="left" w:leader="none"/>
              </w:tabs>
              <w:spacing w:line="240" w:lineRule="auto" w:before="117" w:after="0"/>
              <w:ind w:left="1078" w:right="0" w:hanging="361"/>
              <w:jc w:val="both"/>
              <w:rPr>
                <w:i/>
                <w:sz w:val="20"/>
              </w:rPr>
            </w:pPr>
            <w:r>
              <w:rPr>
                <w:sz w:val="20"/>
              </w:rPr>
              <w:t>UK Finance update </w:t>
            </w:r>
            <w:r>
              <w:rPr>
                <w:i/>
                <w:sz w:val="20"/>
              </w:rPr>
              <w:t>(Andrew Rogan, UK</w:t>
            </w:r>
            <w:r>
              <w:rPr>
                <w:i/>
                <w:spacing w:val="-2"/>
                <w:sz w:val="20"/>
              </w:rPr>
              <w:t> </w:t>
            </w:r>
            <w:r>
              <w:rPr>
                <w:i/>
                <w:sz w:val="20"/>
              </w:rPr>
              <w:t>Finance)</w:t>
            </w:r>
          </w:p>
          <w:p>
            <w:pPr>
              <w:pStyle w:val="TableParagraph"/>
              <w:spacing w:before="8"/>
              <w:rPr>
                <w:rFonts w:ascii="Times New Roman"/>
                <w:sz w:val="20"/>
              </w:rPr>
            </w:pPr>
          </w:p>
          <w:p>
            <w:pPr>
              <w:pStyle w:val="TableParagraph"/>
              <w:spacing w:line="360" w:lineRule="auto"/>
              <w:ind w:left="358" w:right="111"/>
              <w:jc w:val="both"/>
              <w:rPr>
                <w:sz w:val="20"/>
              </w:rPr>
            </w:pPr>
            <w:r>
              <w:rPr>
                <w:sz w:val="20"/>
              </w:rPr>
              <w:t>Andrew Rogan (UK Finance) provided an update on some key political and regulatory developments. It was noted that UK Finance are consulting with members to understand their experiences of the MIFID II implementation process. In regard to UK withdrawal from the EU, UK Finance are focusing on contractual certainty and how a soft or hard Brexit will affect legal EU provisions. It was also noted that UK Finance had recently published a report outlining the options for the future UK-EU data-sharing relationship.</w:t>
            </w:r>
          </w:p>
          <w:p>
            <w:pPr>
              <w:pStyle w:val="TableParagraph"/>
              <w:numPr>
                <w:ilvl w:val="0"/>
                <w:numId w:val="1"/>
              </w:numPr>
              <w:tabs>
                <w:tab w:pos="1079" w:val="left" w:leader="none"/>
              </w:tabs>
              <w:spacing w:line="240" w:lineRule="auto" w:before="118" w:after="0"/>
              <w:ind w:left="1078" w:right="0" w:hanging="361"/>
              <w:jc w:val="both"/>
              <w:rPr>
                <w:i/>
                <w:sz w:val="20"/>
              </w:rPr>
            </w:pPr>
            <w:r>
              <w:rPr>
                <w:sz w:val="20"/>
              </w:rPr>
              <w:t>GFXD update </w:t>
            </w:r>
            <w:r>
              <w:rPr>
                <w:i/>
                <w:sz w:val="20"/>
              </w:rPr>
              <w:t>(Will Deighton, Societe</w:t>
            </w:r>
            <w:r>
              <w:rPr>
                <w:i/>
                <w:spacing w:val="-5"/>
                <w:sz w:val="20"/>
              </w:rPr>
              <w:t> </w:t>
            </w:r>
            <w:r>
              <w:rPr>
                <w:i/>
                <w:sz w:val="20"/>
              </w:rPr>
              <w:t>Generale)</w:t>
            </w:r>
          </w:p>
          <w:p>
            <w:pPr>
              <w:pStyle w:val="TableParagraph"/>
              <w:spacing w:before="7"/>
              <w:rPr>
                <w:rFonts w:ascii="Times New Roman"/>
                <w:sz w:val="20"/>
              </w:rPr>
            </w:pPr>
          </w:p>
          <w:p>
            <w:pPr>
              <w:pStyle w:val="TableParagraph"/>
              <w:spacing w:line="360" w:lineRule="auto" w:before="1"/>
              <w:ind w:left="358" w:right="106"/>
              <w:jc w:val="both"/>
              <w:rPr>
                <w:sz w:val="20"/>
              </w:rPr>
            </w:pPr>
            <w:r>
              <w:rPr>
                <w:sz w:val="20"/>
              </w:rPr>
              <w:t>Will Deighton noted that at the most recent GFXD meeting members had discussed the forum’s priorities for the year ahead, key themes included: best practices for STP, cyber security, and a technology theme focusing on AI technology and the issues it raises. It was agreed that the Sub-committee should look to connect with the GFXD given the overlapping interests of the two forums.</w:t>
            </w:r>
          </w:p>
          <w:p>
            <w:pPr>
              <w:pStyle w:val="TableParagraph"/>
              <w:numPr>
                <w:ilvl w:val="0"/>
                <w:numId w:val="1"/>
              </w:numPr>
              <w:tabs>
                <w:tab w:pos="1079" w:val="left" w:leader="none"/>
              </w:tabs>
              <w:spacing w:line="240" w:lineRule="auto" w:before="117" w:after="0"/>
              <w:ind w:left="1078" w:right="0" w:hanging="361"/>
              <w:jc w:val="both"/>
              <w:rPr>
                <w:i/>
                <w:sz w:val="20"/>
              </w:rPr>
            </w:pPr>
            <w:r>
              <w:rPr>
                <w:sz w:val="20"/>
              </w:rPr>
              <w:t>ECB OMG update </w:t>
            </w:r>
            <w:r>
              <w:rPr>
                <w:i/>
                <w:sz w:val="20"/>
              </w:rPr>
              <w:t>(Will Deighton, Societe</w:t>
            </w:r>
            <w:r>
              <w:rPr>
                <w:i/>
                <w:spacing w:val="-5"/>
                <w:sz w:val="20"/>
              </w:rPr>
              <w:t> </w:t>
            </w:r>
            <w:r>
              <w:rPr>
                <w:i/>
                <w:sz w:val="20"/>
              </w:rPr>
              <w:t>Generale)</w:t>
            </w:r>
          </w:p>
          <w:p>
            <w:pPr>
              <w:pStyle w:val="TableParagraph"/>
              <w:spacing w:before="7"/>
              <w:rPr>
                <w:rFonts w:ascii="Times New Roman"/>
                <w:sz w:val="20"/>
              </w:rPr>
            </w:pPr>
          </w:p>
          <w:p>
            <w:pPr>
              <w:pStyle w:val="TableParagraph"/>
              <w:spacing w:before="1"/>
              <w:ind w:left="358"/>
              <w:jc w:val="both"/>
              <w:rPr>
                <w:sz w:val="20"/>
              </w:rPr>
            </w:pPr>
            <w:r>
              <w:rPr>
                <w:sz w:val="20"/>
              </w:rPr>
              <w:t>Will Deighton noted that the key themes of the most recent ECB</w:t>
            </w:r>
            <w:r>
              <w:rPr>
                <w:spacing w:val="55"/>
                <w:sz w:val="20"/>
              </w:rPr>
              <w:t> </w:t>
            </w:r>
            <w:r>
              <w:rPr>
                <w:sz w:val="20"/>
              </w:rPr>
              <w:t>OMG</w:t>
            </w:r>
          </w:p>
          <w:p>
            <w:pPr>
              <w:pStyle w:val="TableParagraph"/>
              <w:spacing w:line="340" w:lineRule="atLeast" w:before="5"/>
              <w:ind w:left="358" w:right="115"/>
              <w:jc w:val="both"/>
              <w:rPr>
                <w:sz w:val="20"/>
              </w:rPr>
            </w:pPr>
            <w:r>
              <w:rPr>
                <w:sz w:val="20"/>
              </w:rPr>
              <w:t>meeting focused on: MIFID II implementation, the impacts of Brexit, and the use of smart contracts from a legal perspective.</w:t>
            </w:r>
          </w:p>
        </w:tc>
        <w:tc>
          <w:tcPr>
            <w:tcW w:w="1606" w:type="dxa"/>
          </w:tcPr>
          <w:p>
            <w:pPr>
              <w:pStyle w:val="TableParagraph"/>
              <w:spacing w:line="360" w:lineRule="auto"/>
              <w:ind w:left="107" w:right="242"/>
              <w:rPr>
                <w:sz w:val="20"/>
              </w:rPr>
            </w:pPr>
            <w:r>
              <w:rPr>
                <w:b/>
                <w:sz w:val="20"/>
              </w:rPr>
              <w:t>Secretariat – </w:t>
            </w:r>
            <w:r>
              <w:rPr>
                <w:sz w:val="20"/>
              </w:rPr>
              <w:t>to circulate IA Last Look position </w:t>
            </w:r>
            <w:r>
              <w:rPr>
                <w:spacing w:val="-4"/>
                <w:sz w:val="20"/>
              </w:rPr>
              <w:t>paper </w:t>
            </w:r>
            <w:r>
              <w:rPr>
                <w:sz w:val="20"/>
              </w:rPr>
              <w:t>to</w:t>
            </w:r>
            <w:r>
              <w:rPr>
                <w:spacing w:val="-2"/>
                <w:sz w:val="20"/>
              </w:rPr>
              <w:t> </w:t>
            </w:r>
            <w:r>
              <w:rPr>
                <w:sz w:val="20"/>
              </w:rPr>
              <w:t>FXJSC</w:t>
            </w:r>
          </w:p>
          <w:p>
            <w:pPr>
              <w:pStyle w:val="TableParagraph"/>
              <w:ind w:left="107"/>
              <w:rPr>
                <w:sz w:val="20"/>
              </w:rPr>
            </w:pPr>
            <w:r>
              <w:rPr>
                <w:sz w:val="20"/>
              </w:rPr>
              <w:t>members.</w:t>
            </w:r>
          </w:p>
          <w:p>
            <w:pPr>
              <w:pStyle w:val="TableParagraph"/>
              <w:spacing w:before="107"/>
              <w:ind w:left="107"/>
              <w:rPr>
                <w:b/>
                <w:sz w:val="20"/>
              </w:rPr>
            </w:pPr>
            <w:r>
              <w:rPr>
                <w:b/>
                <w:sz w:val="20"/>
              </w:rPr>
              <w:t>ACT FXJSC</w:t>
            </w:r>
          </w:p>
          <w:p>
            <w:pPr>
              <w:pStyle w:val="TableParagraph"/>
              <w:spacing w:line="360" w:lineRule="auto" w:before="115"/>
              <w:ind w:left="107" w:right="178"/>
              <w:rPr>
                <w:sz w:val="20"/>
              </w:rPr>
            </w:pPr>
            <w:r>
              <w:rPr>
                <w:b/>
                <w:sz w:val="20"/>
              </w:rPr>
              <w:t>Secretariat </w:t>
            </w:r>
            <w:r>
              <w:rPr>
                <w:sz w:val="20"/>
              </w:rPr>
              <w:t>– to circulate UK Finance paper on UK-EU</w:t>
            </w:r>
          </w:p>
          <w:p>
            <w:pPr>
              <w:pStyle w:val="TableParagraph"/>
              <w:spacing w:line="360" w:lineRule="auto" w:before="3"/>
              <w:ind w:left="107"/>
              <w:rPr>
                <w:sz w:val="20"/>
              </w:rPr>
            </w:pPr>
            <w:r>
              <w:rPr>
                <w:sz w:val="20"/>
              </w:rPr>
              <w:t>data sharing relationship to FXJSC</w:t>
            </w:r>
          </w:p>
          <w:p>
            <w:pPr>
              <w:pStyle w:val="TableParagraph"/>
              <w:ind w:left="107"/>
              <w:rPr>
                <w:sz w:val="20"/>
              </w:rPr>
            </w:pPr>
            <w:r>
              <w:rPr>
                <w:sz w:val="20"/>
              </w:rPr>
              <w:t>members.</w:t>
            </w:r>
          </w:p>
        </w:tc>
      </w:tr>
      <w:tr>
        <w:trPr>
          <w:trHeight w:val="2311" w:hRule="atLeast"/>
        </w:trPr>
        <w:tc>
          <w:tcPr>
            <w:tcW w:w="835" w:type="dxa"/>
          </w:tcPr>
          <w:p>
            <w:pPr>
              <w:pStyle w:val="TableParagraph"/>
              <w:spacing w:before="115"/>
              <w:ind w:left="200"/>
              <w:rPr>
                <w:sz w:val="20"/>
              </w:rPr>
            </w:pPr>
            <w:r>
              <w:rPr>
                <w:sz w:val="20"/>
              </w:rPr>
              <w:t>9.</w:t>
            </w:r>
          </w:p>
        </w:tc>
        <w:tc>
          <w:tcPr>
            <w:tcW w:w="7340" w:type="dxa"/>
          </w:tcPr>
          <w:p>
            <w:pPr>
              <w:pStyle w:val="TableParagraph"/>
              <w:spacing w:before="113"/>
              <w:ind w:left="358"/>
              <w:rPr>
                <w:i/>
                <w:sz w:val="20"/>
              </w:rPr>
            </w:pPr>
            <w:r>
              <w:rPr>
                <w:b/>
                <w:sz w:val="20"/>
              </w:rPr>
              <w:t>Contingency call test </w:t>
            </w:r>
            <w:r>
              <w:rPr>
                <w:i/>
                <w:sz w:val="20"/>
              </w:rPr>
              <w:t>(FXJSC Secretariat, Bank of England)</w:t>
            </w:r>
          </w:p>
          <w:p>
            <w:pPr>
              <w:pStyle w:val="TableParagraph"/>
              <w:spacing w:before="8"/>
              <w:rPr>
                <w:rFonts w:ascii="Times New Roman"/>
                <w:sz w:val="20"/>
              </w:rPr>
            </w:pPr>
          </w:p>
          <w:p>
            <w:pPr>
              <w:pStyle w:val="TableParagraph"/>
              <w:spacing w:line="360" w:lineRule="auto"/>
              <w:ind w:left="358" w:right="131"/>
              <w:rPr>
                <w:sz w:val="20"/>
              </w:rPr>
            </w:pPr>
            <w:r>
              <w:rPr>
                <w:sz w:val="20"/>
              </w:rPr>
              <w:t>The Secretariat provided a summary of the contingency call test that took place in December 2017, noting that results had improved from the previous test. Members agreed that the use of multiple communication channels helped to alert members of contingency calls that are taking place at short</w:t>
            </w:r>
          </w:p>
          <w:p>
            <w:pPr>
              <w:pStyle w:val="TableParagraph"/>
              <w:spacing w:before="1"/>
              <w:ind w:left="358"/>
              <w:rPr>
                <w:sz w:val="20"/>
              </w:rPr>
            </w:pPr>
            <w:r>
              <w:rPr>
                <w:sz w:val="20"/>
              </w:rPr>
              <w:t>notice.</w:t>
            </w:r>
          </w:p>
        </w:tc>
        <w:tc>
          <w:tcPr>
            <w:tcW w:w="1606" w:type="dxa"/>
          </w:tcPr>
          <w:p>
            <w:pPr>
              <w:pStyle w:val="TableParagraph"/>
              <w:rPr>
                <w:rFonts w:ascii="Times New Roman"/>
                <w:sz w:val="18"/>
              </w:rPr>
            </w:pPr>
          </w:p>
        </w:tc>
      </w:tr>
      <w:tr>
        <w:trPr>
          <w:trHeight w:val="808" w:hRule="atLeast"/>
        </w:trPr>
        <w:tc>
          <w:tcPr>
            <w:tcW w:w="835" w:type="dxa"/>
          </w:tcPr>
          <w:p>
            <w:pPr>
              <w:pStyle w:val="TableParagraph"/>
              <w:spacing w:before="115"/>
              <w:ind w:left="200"/>
              <w:rPr>
                <w:sz w:val="20"/>
              </w:rPr>
            </w:pPr>
            <w:r>
              <w:rPr>
                <w:sz w:val="20"/>
              </w:rPr>
              <w:t>10.</w:t>
            </w:r>
          </w:p>
        </w:tc>
        <w:tc>
          <w:tcPr>
            <w:tcW w:w="7340" w:type="dxa"/>
          </w:tcPr>
          <w:p>
            <w:pPr>
              <w:pStyle w:val="TableParagraph"/>
              <w:spacing w:before="113"/>
              <w:ind w:left="358"/>
              <w:rPr>
                <w:i/>
                <w:sz w:val="20"/>
              </w:rPr>
            </w:pPr>
            <w:r>
              <w:rPr>
                <w:b/>
                <w:sz w:val="20"/>
              </w:rPr>
              <w:t>Any other business </w:t>
            </w:r>
            <w:r>
              <w:rPr>
                <w:i/>
                <w:sz w:val="20"/>
              </w:rPr>
              <w:t>(Chair – Isabelle Dennigan, RBC)</w:t>
            </w:r>
          </w:p>
          <w:p>
            <w:pPr>
              <w:pStyle w:val="TableParagraph"/>
              <w:spacing w:before="115"/>
              <w:ind w:left="358"/>
              <w:rPr>
                <w:sz w:val="20"/>
              </w:rPr>
            </w:pPr>
            <w:r>
              <w:rPr>
                <w:sz w:val="20"/>
              </w:rPr>
              <w:t>None discussed.</w:t>
            </w:r>
          </w:p>
        </w:tc>
        <w:tc>
          <w:tcPr>
            <w:tcW w:w="1606" w:type="dxa"/>
          </w:tcPr>
          <w:p>
            <w:pPr>
              <w:pStyle w:val="TableParagraph"/>
              <w:rPr>
                <w:rFonts w:ascii="Times New Roman"/>
                <w:sz w:val="18"/>
              </w:rPr>
            </w:pPr>
          </w:p>
        </w:tc>
      </w:tr>
      <w:tr>
        <w:trPr>
          <w:trHeight w:val="688" w:hRule="atLeast"/>
        </w:trPr>
        <w:tc>
          <w:tcPr>
            <w:tcW w:w="835" w:type="dxa"/>
          </w:tcPr>
          <w:p>
            <w:pPr>
              <w:pStyle w:val="TableParagraph"/>
              <w:rPr>
                <w:rFonts w:ascii="Times New Roman"/>
                <w:sz w:val="18"/>
              </w:rPr>
            </w:pPr>
          </w:p>
        </w:tc>
        <w:tc>
          <w:tcPr>
            <w:tcW w:w="7340" w:type="dxa"/>
          </w:tcPr>
          <w:p>
            <w:pPr>
              <w:pStyle w:val="TableParagraph"/>
              <w:spacing w:line="346" w:lineRule="exact" w:before="24"/>
              <w:ind w:left="358"/>
              <w:rPr>
                <w:b/>
                <w:sz w:val="20"/>
              </w:rPr>
            </w:pPr>
            <w:r>
              <w:rPr>
                <w:b/>
                <w:sz w:val="20"/>
              </w:rPr>
              <w:t>The next meeting of the FXJSC Operations Sub-committee is scheduled to be held on 23 April 2018.</w:t>
            </w:r>
          </w:p>
        </w:tc>
        <w:tc>
          <w:tcPr>
            <w:tcW w:w="1606" w:type="dxa"/>
          </w:tcPr>
          <w:p>
            <w:pPr>
              <w:pStyle w:val="TableParagraph"/>
              <w:rPr>
                <w:rFonts w:ascii="Times New Roman"/>
                <w:sz w:val="18"/>
              </w:rPr>
            </w:pPr>
          </w:p>
        </w:tc>
      </w:tr>
    </w:tbl>
    <w:p>
      <w:pPr>
        <w:spacing w:after="0"/>
        <w:rPr>
          <w:rFonts w:ascii="Times New Roman"/>
          <w:sz w:val="18"/>
        </w:rPr>
        <w:sectPr>
          <w:pgSz w:w="11910" w:h="16840"/>
          <w:pgMar w:header="0" w:footer="610" w:top="1420" w:bottom="800" w:left="960" w:right="940"/>
        </w:sectPr>
      </w:pPr>
    </w:p>
    <w:p>
      <w:pPr>
        <w:pStyle w:val="BodyText"/>
        <w:spacing w:before="4"/>
        <w:rPr>
          <w:rFonts w:ascii="Times New Roman"/>
          <w:sz w:val="17"/>
        </w:rPr>
      </w:pPr>
    </w:p>
    <w:sectPr>
      <w:pgSz w:w="11910" w:h="16840"/>
      <w:pgMar w:header="0" w:footer="610" w:top="1580" w:bottom="800" w:left="9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1.183998pt;margin-top:796.417603pt;width:72.350pt;height:11pt;mso-position-horizontal-relative:page;mso-position-vertical-relative:page;z-index:-251936768" type="#_x0000_t202" filled="false" stroked="false">
          <v:textbox inset="0,0,0,0">
            <w:txbxContent>
              <w:p>
                <w:pPr>
                  <w:pStyle w:val="BodyText"/>
                  <w:spacing w:before="15"/>
                  <w:ind w:left="20"/>
                </w:pPr>
                <w:r>
                  <w:rPr/>
                  <w:t>Markets 1164423v3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078"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706" w:hanging="360"/>
      </w:pPr>
      <w:rPr>
        <w:rFonts w:hint="default"/>
        <w:lang w:val="en-gb" w:eastAsia="en-gb" w:bidi="en-gb"/>
      </w:rPr>
    </w:lvl>
    <w:lvl w:ilvl="2">
      <w:start w:val="0"/>
      <w:numFmt w:val="bullet"/>
      <w:lvlText w:val="•"/>
      <w:lvlJc w:val="left"/>
      <w:pPr>
        <w:ind w:left="2332" w:hanging="360"/>
      </w:pPr>
      <w:rPr>
        <w:rFonts w:hint="default"/>
        <w:lang w:val="en-gb" w:eastAsia="en-gb" w:bidi="en-gb"/>
      </w:rPr>
    </w:lvl>
    <w:lvl w:ilvl="3">
      <w:start w:val="0"/>
      <w:numFmt w:val="bullet"/>
      <w:lvlText w:val="•"/>
      <w:lvlJc w:val="left"/>
      <w:pPr>
        <w:ind w:left="2958" w:hanging="360"/>
      </w:pPr>
      <w:rPr>
        <w:rFonts w:hint="default"/>
        <w:lang w:val="en-gb" w:eastAsia="en-gb" w:bidi="en-gb"/>
      </w:rPr>
    </w:lvl>
    <w:lvl w:ilvl="4">
      <w:start w:val="0"/>
      <w:numFmt w:val="bullet"/>
      <w:lvlText w:val="•"/>
      <w:lvlJc w:val="left"/>
      <w:pPr>
        <w:ind w:left="3584" w:hanging="360"/>
      </w:pPr>
      <w:rPr>
        <w:rFonts w:hint="default"/>
        <w:lang w:val="en-gb" w:eastAsia="en-gb" w:bidi="en-gb"/>
      </w:rPr>
    </w:lvl>
    <w:lvl w:ilvl="5">
      <w:start w:val="0"/>
      <w:numFmt w:val="bullet"/>
      <w:lvlText w:val="•"/>
      <w:lvlJc w:val="left"/>
      <w:pPr>
        <w:ind w:left="4210" w:hanging="360"/>
      </w:pPr>
      <w:rPr>
        <w:rFonts w:hint="default"/>
        <w:lang w:val="en-gb" w:eastAsia="en-gb" w:bidi="en-gb"/>
      </w:rPr>
    </w:lvl>
    <w:lvl w:ilvl="6">
      <w:start w:val="0"/>
      <w:numFmt w:val="bullet"/>
      <w:lvlText w:val="•"/>
      <w:lvlJc w:val="left"/>
      <w:pPr>
        <w:ind w:left="4836" w:hanging="360"/>
      </w:pPr>
      <w:rPr>
        <w:rFonts w:hint="default"/>
        <w:lang w:val="en-gb" w:eastAsia="en-gb" w:bidi="en-gb"/>
      </w:rPr>
    </w:lvl>
    <w:lvl w:ilvl="7">
      <w:start w:val="0"/>
      <w:numFmt w:val="bullet"/>
      <w:lvlText w:val="•"/>
      <w:lvlJc w:val="left"/>
      <w:pPr>
        <w:ind w:left="5462" w:hanging="360"/>
      </w:pPr>
      <w:rPr>
        <w:rFonts w:hint="default"/>
        <w:lang w:val="en-gb" w:eastAsia="en-gb" w:bidi="en-gb"/>
      </w:rPr>
    </w:lvl>
    <w:lvl w:ilvl="8">
      <w:start w:val="0"/>
      <w:numFmt w:val="bullet"/>
      <w:lvlText w:val="•"/>
      <w:lvlJc w:val="left"/>
      <w:pPr>
        <w:ind w:left="6088"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16"/>
      <w:szCs w:val="16"/>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London FXJSC Operations Sub-Committee - 26 January 2018</dc:title>
  <dcterms:created xsi:type="dcterms:W3CDTF">2020-06-01T02:01:27Z</dcterms:created>
  <dcterms:modified xsi:type="dcterms:W3CDTF">2020-06-01T02:01:27Z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LastSaved">
    <vt:filetime>2020-06-01T00:00:00Z</vt:filetime>
  </property>
</Properties>
</file>