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7"/>
      </w:tblGrid>
      <w:tr>
        <w:trPr>
          <w:trHeight w:val="719" w:hRule="atLeast"/>
        </w:trPr>
        <w:tc>
          <w:tcPr>
            <w:tcW w:w="6517" w:type="dxa"/>
          </w:tcPr>
          <w:p>
            <w:pPr>
              <w:pStyle w:val="TableParagraph"/>
              <w:spacing w:line="483" w:lineRule="exact"/>
              <w:ind w:left="200"/>
              <w:rPr>
                <w:sz w:val="44"/>
              </w:rPr>
            </w:pPr>
            <w:r>
              <w:rPr>
                <w:sz w:val="44"/>
              </w:rPr>
              <w:t>Minutes</w:t>
            </w:r>
          </w:p>
        </w:tc>
      </w:tr>
      <w:tr>
        <w:trPr>
          <w:trHeight w:val="777" w:hRule="atLeast"/>
        </w:trPr>
        <w:tc>
          <w:tcPr>
            <w:tcW w:w="6517" w:type="dxa"/>
          </w:tcPr>
          <w:p>
            <w:pPr>
              <w:pStyle w:val="TableParagraph"/>
              <w:spacing w:line="270" w:lineRule="atLeast" w:before="213"/>
              <w:ind w:left="200"/>
              <w:rPr>
                <w:b/>
                <w:sz w:val="24"/>
              </w:rPr>
            </w:pPr>
            <w:r>
              <w:rPr>
                <w:b/>
                <w:sz w:val="24"/>
              </w:rPr>
              <w:t>FOREIGN EXCHANGE JOINT STANDING COMMITTEE OPERATIONS SUB-COMMITTEE</w:t>
            </w:r>
          </w:p>
        </w:tc>
      </w:tr>
      <w:tr>
        <w:trPr>
          <w:trHeight w:val="272" w:hRule="atLeast"/>
        </w:trPr>
        <w:tc>
          <w:tcPr>
            <w:tcW w:w="6517" w:type="dxa"/>
          </w:tcPr>
          <w:p>
            <w:pPr>
              <w:pStyle w:val="TableParagraph"/>
              <w:spacing w:line="252" w:lineRule="exact"/>
              <w:ind w:left="200"/>
              <w:rPr>
                <w:sz w:val="24"/>
              </w:rPr>
            </w:pPr>
            <w:r>
              <w:rPr>
                <w:sz w:val="24"/>
              </w:rPr>
              <w:t>31 January 2019</w:t>
            </w:r>
          </w:p>
        </w:tc>
      </w:tr>
    </w:tbl>
    <w:p>
      <w:pPr>
        <w:pStyle w:val="BodyText"/>
        <w:rPr>
          <w:rFonts w:ascii="Times New Roman"/>
          <w:u w:val="none"/>
        </w:rPr>
      </w:pPr>
    </w:p>
    <w:p>
      <w:pPr>
        <w:pStyle w:val="BodyText"/>
        <w:spacing w:before="6"/>
        <w:rPr>
          <w:rFonts w:ascii="Times New Roman"/>
          <w:sz w:val="11"/>
          <w:u w:val="none"/>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51"/>
        <w:gridCol w:w="8149"/>
      </w:tblGrid>
      <w:tr>
        <w:trPr>
          <w:trHeight w:val="357" w:hRule="atLeast"/>
        </w:trPr>
        <w:tc>
          <w:tcPr>
            <w:tcW w:w="1351" w:type="dxa"/>
          </w:tcPr>
          <w:p>
            <w:pPr>
              <w:pStyle w:val="TableParagraph"/>
              <w:spacing w:line="223" w:lineRule="exact"/>
              <w:ind w:left="243"/>
              <w:rPr>
                <w:sz w:val="20"/>
              </w:rPr>
            </w:pPr>
            <w:r>
              <w:rPr>
                <w:sz w:val="20"/>
              </w:rPr>
              <w:t>Location:</w:t>
            </w:r>
          </w:p>
        </w:tc>
        <w:tc>
          <w:tcPr>
            <w:tcW w:w="8149" w:type="dxa"/>
          </w:tcPr>
          <w:p>
            <w:pPr>
              <w:pStyle w:val="TableParagraph"/>
              <w:spacing w:line="223" w:lineRule="exact"/>
              <w:ind w:left="171"/>
              <w:rPr>
                <w:sz w:val="20"/>
              </w:rPr>
            </w:pPr>
            <w:r>
              <w:rPr>
                <w:sz w:val="20"/>
              </w:rPr>
              <w:t>Prudential Regulation Authority, 20 Moorgate, London, EC2R 6DA</w:t>
            </w:r>
          </w:p>
        </w:tc>
      </w:tr>
      <w:tr>
        <w:trPr>
          <w:trHeight w:val="5652" w:hRule="atLeast"/>
        </w:trPr>
        <w:tc>
          <w:tcPr>
            <w:tcW w:w="1351" w:type="dxa"/>
          </w:tcPr>
          <w:p>
            <w:pPr>
              <w:pStyle w:val="TableParagraph"/>
              <w:spacing w:before="130"/>
              <w:ind w:left="224"/>
              <w:rPr>
                <w:sz w:val="20"/>
              </w:rPr>
            </w:pPr>
            <w:r>
              <w:rPr>
                <w:sz w:val="20"/>
              </w:rPr>
              <w:t>Attendees:</w:t>
            </w:r>
          </w:p>
        </w:tc>
        <w:tc>
          <w:tcPr>
            <w:tcW w:w="8149" w:type="dxa"/>
          </w:tcPr>
          <w:p>
            <w:pPr>
              <w:pStyle w:val="TableParagraph"/>
              <w:spacing w:before="127"/>
              <w:ind w:left="171"/>
              <w:rPr>
                <w:sz w:val="20"/>
              </w:rPr>
            </w:pPr>
            <w:r>
              <w:rPr>
                <w:b/>
                <w:sz w:val="20"/>
              </w:rPr>
              <w:t>Association of Foreign Banks</w:t>
            </w:r>
            <w:r>
              <w:rPr>
                <w:sz w:val="20"/>
              </w:rPr>
              <w:t>: Bruk Woldegabreil</w:t>
            </w:r>
          </w:p>
          <w:p>
            <w:pPr>
              <w:pStyle w:val="TableParagraph"/>
              <w:spacing w:before="34"/>
              <w:ind w:left="171"/>
              <w:rPr>
                <w:sz w:val="20"/>
              </w:rPr>
            </w:pPr>
            <w:r>
              <w:rPr>
                <w:b/>
                <w:sz w:val="20"/>
              </w:rPr>
              <w:t>BNY Mellon</w:t>
            </w:r>
            <w:r>
              <w:rPr>
                <w:sz w:val="20"/>
              </w:rPr>
              <w:t>: Jon Goddard</w:t>
            </w:r>
          </w:p>
          <w:p>
            <w:pPr>
              <w:pStyle w:val="TableParagraph"/>
              <w:spacing w:before="37"/>
              <w:ind w:left="171"/>
              <w:rPr>
                <w:sz w:val="20"/>
              </w:rPr>
            </w:pPr>
            <w:r>
              <w:rPr>
                <w:b/>
                <w:sz w:val="20"/>
              </w:rPr>
              <w:t>Citigroup</w:t>
            </w:r>
            <w:r>
              <w:rPr>
                <w:sz w:val="20"/>
              </w:rPr>
              <w:t>: Daniel Horgan</w:t>
            </w:r>
          </w:p>
          <w:p>
            <w:pPr>
              <w:pStyle w:val="TableParagraph"/>
              <w:spacing w:before="34"/>
              <w:ind w:left="171"/>
              <w:rPr>
                <w:sz w:val="20"/>
              </w:rPr>
            </w:pPr>
            <w:r>
              <w:rPr>
                <w:b/>
                <w:sz w:val="20"/>
              </w:rPr>
              <w:t>CLS</w:t>
            </w:r>
            <w:r>
              <w:rPr>
                <w:sz w:val="20"/>
              </w:rPr>
              <w:t>: Andrew Cooper (Alternate)</w:t>
            </w:r>
          </w:p>
          <w:p>
            <w:pPr>
              <w:pStyle w:val="TableParagraph"/>
              <w:spacing w:before="34"/>
              <w:ind w:left="171"/>
              <w:rPr>
                <w:sz w:val="20"/>
              </w:rPr>
            </w:pPr>
            <w:r>
              <w:rPr>
                <w:b/>
                <w:sz w:val="20"/>
              </w:rPr>
              <w:t>Financial Conduct Authority</w:t>
            </w:r>
            <w:r>
              <w:rPr>
                <w:sz w:val="20"/>
              </w:rPr>
              <w:t>: Alan Barnes (Alternate)</w:t>
            </w:r>
          </w:p>
          <w:p>
            <w:pPr>
              <w:pStyle w:val="TableParagraph"/>
              <w:spacing w:before="34"/>
              <w:ind w:left="171"/>
              <w:rPr>
                <w:sz w:val="20"/>
              </w:rPr>
            </w:pPr>
            <w:r>
              <w:rPr>
                <w:b/>
                <w:sz w:val="20"/>
              </w:rPr>
              <w:t>Goldman Sachs</w:t>
            </w:r>
            <w:r>
              <w:rPr>
                <w:sz w:val="20"/>
              </w:rPr>
              <w:t>: John Blythe (Deputy Chair)</w:t>
            </w:r>
          </w:p>
          <w:p>
            <w:pPr>
              <w:pStyle w:val="TableParagraph"/>
              <w:spacing w:before="34"/>
              <w:ind w:left="171"/>
              <w:rPr>
                <w:sz w:val="20"/>
              </w:rPr>
            </w:pPr>
            <w:r>
              <w:rPr>
                <w:b/>
                <w:sz w:val="20"/>
              </w:rPr>
              <w:t>HSBC</w:t>
            </w:r>
            <w:r>
              <w:rPr>
                <w:sz w:val="20"/>
              </w:rPr>
              <w:t>: James Kaye</w:t>
            </w:r>
          </w:p>
          <w:p>
            <w:pPr>
              <w:pStyle w:val="TableParagraph"/>
              <w:spacing w:before="37"/>
              <w:ind w:left="171"/>
              <w:rPr>
                <w:sz w:val="20"/>
              </w:rPr>
            </w:pPr>
            <w:r>
              <w:rPr>
                <w:b/>
                <w:sz w:val="20"/>
              </w:rPr>
              <w:t>Insight Investment</w:t>
            </w:r>
            <w:r>
              <w:rPr>
                <w:sz w:val="20"/>
              </w:rPr>
              <w:t>: Gavin Platman</w:t>
            </w:r>
          </w:p>
          <w:p>
            <w:pPr>
              <w:pStyle w:val="TableParagraph"/>
              <w:spacing w:before="34"/>
              <w:ind w:left="171"/>
              <w:rPr>
                <w:sz w:val="20"/>
              </w:rPr>
            </w:pPr>
            <w:r>
              <w:rPr>
                <w:b/>
                <w:sz w:val="20"/>
              </w:rPr>
              <w:t>JP Morgan Chase</w:t>
            </w:r>
            <w:r>
              <w:rPr>
                <w:sz w:val="20"/>
              </w:rPr>
              <w:t>: Rachel Gerrelli (Alternate)</w:t>
            </w:r>
          </w:p>
          <w:p>
            <w:pPr>
              <w:pStyle w:val="TableParagraph"/>
              <w:spacing w:before="34"/>
              <w:ind w:left="171"/>
              <w:rPr>
                <w:sz w:val="20"/>
              </w:rPr>
            </w:pPr>
            <w:r>
              <w:rPr>
                <w:b/>
                <w:sz w:val="20"/>
              </w:rPr>
              <w:t>MUFG Bank</w:t>
            </w:r>
            <w:r>
              <w:rPr>
                <w:sz w:val="20"/>
              </w:rPr>
              <w:t>: Kerry Peacock</w:t>
            </w:r>
          </w:p>
          <w:p>
            <w:pPr>
              <w:pStyle w:val="TableParagraph"/>
              <w:spacing w:before="34"/>
              <w:ind w:left="171"/>
              <w:rPr>
                <w:sz w:val="20"/>
              </w:rPr>
            </w:pPr>
            <w:r>
              <w:rPr>
                <w:b/>
                <w:sz w:val="20"/>
              </w:rPr>
              <w:t>RBC</w:t>
            </w:r>
            <w:r>
              <w:rPr>
                <w:sz w:val="20"/>
              </w:rPr>
              <w:t>: Isabelle Dennigan (Chair)</w:t>
            </w:r>
          </w:p>
          <w:p>
            <w:pPr>
              <w:pStyle w:val="TableParagraph"/>
              <w:spacing w:before="34"/>
              <w:ind w:left="171"/>
              <w:rPr>
                <w:sz w:val="20"/>
              </w:rPr>
            </w:pPr>
            <w:r>
              <w:rPr>
                <w:b/>
                <w:sz w:val="20"/>
              </w:rPr>
              <w:t>Societe Generale</w:t>
            </w:r>
            <w:r>
              <w:rPr>
                <w:sz w:val="20"/>
              </w:rPr>
              <w:t>: Will Deighton (Deputy Chair)</w:t>
            </w:r>
          </w:p>
          <w:p>
            <w:pPr>
              <w:pStyle w:val="TableParagraph"/>
              <w:spacing w:before="36"/>
              <w:ind w:left="171"/>
              <w:rPr>
                <w:sz w:val="20"/>
              </w:rPr>
            </w:pPr>
            <w:r>
              <w:rPr>
                <w:b/>
                <w:sz w:val="20"/>
              </w:rPr>
              <w:t>SWIFT</w:t>
            </w:r>
            <w:r>
              <w:rPr>
                <w:sz w:val="20"/>
              </w:rPr>
              <w:t>: Joe Halberstadt</w:t>
            </w:r>
          </w:p>
          <w:p>
            <w:pPr>
              <w:pStyle w:val="TableParagraph"/>
              <w:spacing w:before="34"/>
              <w:ind w:left="171"/>
              <w:rPr>
                <w:sz w:val="20"/>
              </w:rPr>
            </w:pPr>
            <w:r>
              <w:rPr>
                <w:b/>
                <w:sz w:val="20"/>
              </w:rPr>
              <w:t>The Investment Association</w:t>
            </w:r>
            <w:r>
              <w:rPr>
                <w:sz w:val="20"/>
              </w:rPr>
              <w:t>: David Broadway</w:t>
            </w:r>
          </w:p>
          <w:p>
            <w:pPr>
              <w:pStyle w:val="TableParagraph"/>
              <w:spacing w:before="34"/>
              <w:ind w:left="171"/>
              <w:rPr>
                <w:sz w:val="20"/>
              </w:rPr>
            </w:pPr>
            <w:r>
              <w:rPr>
                <w:b/>
                <w:sz w:val="20"/>
              </w:rPr>
              <w:t>UBS</w:t>
            </w:r>
            <w:r>
              <w:rPr>
                <w:sz w:val="20"/>
              </w:rPr>
              <w:t>: Steve Forrest</w:t>
            </w:r>
          </w:p>
          <w:p>
            <w:pPr>
              <w:pStyle w:val="TableParagraph"/>
              <w:spacing w:before="34"/>
              <w:ind w:left="171"/>
              <w:jc w:val="both"/>
              <w:rPr>
                <w:sz w:val="20"/>
              </w:rPr>
            </w:pPr>
            <w:r>
              <w:rPr>
                <w:b/>
                <w:sz w:val="20"/>
              </w:rPr>
              <w:t>UK Finance</w:t>
            </w:r>
            <w:r>
              <w:rPr>
                <w:sz w:val="20"/>
              </w:rPr>
              <w:t>: Andrew Rogan</w:t>
            </w:r>
          </w:p>
          <w:p>
            <w:pPr>
              <w:pStyle w:val="TableParagraph"/>
              <w:spacing w:before="34"/>
              <w:ind w:left="171"/>
              <w:jc w:val="both"/>
              <w:rPr>
                <w:sz w:val="20"/>
              </w:rPr>
            </w:pPr>
            <w:r>
              <w:rPr>
                <w:b/>
                <w:sz w:val="20"/>
              </w:rPr>
              <w:t>XTX Markets: </w:t>
            </w:r>
            <w:r>
              <w:rPr>
                <w:sz w:val="20"/>
              </w:rPr>
              <w:t>Mike Irwin</w:t>
            </w:r>
          </w:p>
          <w:p>
            <w:pPr>
              <w:pStyle w:val="TableParagraph"/>
              <w:spacing w:line="278" w:lineRule="auto" w:before="34"/>
              <w:ind w:left="171" w:right="198"/>
              <w:jc w:val="both"/>
              <w:rPr>
                <w:sz w:val="20"/>
              </w:rPr>
            </w:pPr>
            <w:r>
              <w:rPr>
                <w:b/>
                <w:sz w:val="20"/>
              </w:rPr>
              <w:t>Bank of England</w:t>
            </w:r>
            <w:r>
              <w:rPr>
                <w:sz w:val="20"/>
              </w:rPr>
              <w:t>: Matt Dukelow, James Manchester (Secretariat), Sakshi Gupta</w:t>
            </w:r>
            <w:r>
              <w:rPr>
                <w:spacing w:val="-21"/>
                <w:sz w:val="20"/>
              </w:rPr>
              <w:t> </w:t>
            </w:r>
            <w:r>
              <w:rPr>
                <w:sz w:val="20"/>
              </w:rPr>
              <w:t>(Legal Secretariat), Ben Dyson (Guest speaker), Simon Scorer (Guest speaker), John Jackson (Guest speaker), Sara Ward, (Guest speaker), David Edmunds (Guest</w:t>
            </w:r>
            <w:r>
              <w:rPr>
                <w:spacing w:val="-15"/>
                <w:sz w:val="20"/>
              </w:rPr>
              <w:t> </w:t>
            </w:r>
            <w:r>
              <w:rPr>
                <w:sz w:val="20"/>
              </w:rPr>
              <w:t>speaker)</w:t>
            </w:r>
          </w:p>
        </w:tc>
      </w:tr>
      <w:tr>
        <w:trPr>
          <w:trHeight w:val="1283" w:hRule="atLeast"/>
        </w:trPr>
        <w:tc>
          <w:tcPr>
            <w:tcW w:w="1351" w:type="dxa"/>
          </w:tcPr>
          <w:p>
            <w:pPr>
              <w:pStyle w:val="TableParagraph"/>
              <w:spacing w:before="9"/>
              <w:rPr>
                <w:rFonts w:ascii="Times New Roman"/>
                <w:sz w:val="22"/>
              </w:rPr>
            </w:pPr>
          </w:p>
          <w:p>
            <w:pPr>
              <w:pStyle w:val="TableParagraph"/>
              <w:ind w:left="200"/>
              <w:rPr>
                <w:sz w:val="20"/>
              </w:rPr>
            </w:pPr>
            <w:r>
              <w:rPr>
                <w:sz w:val="20"/>
              </w:rPr>
              <w:t>Apologies:</w:t>
            </w:r>
          </w:p>
        </w:tc>
        <w:tc>
          <w:tcPr>
            <w:tcW w:w="8149" w:type="dxa"/>
          </w:tcPr>
          <w:p>
            <w:pPr>
              <w:pStyle w:val="TableParagraph"/>
              <w:spacing w:before="6"/>
              <w:rPr>
                <w:rFonts w:ascii="Times New Roman"/>
                <w:sz w:val="22"/>
              </w:rPr>
            </w:pPr>
          </w:p>
          <w:p>
            <w:pPr>
              <w:pStyle w:val="TableParagraph"/>
              <w:ind w:left="171"/>
              <w:rPr>
                <w:sz w:val="20"/>
              </w:rPr>
            </w:pPr>
            <w:r>
              <w:rPr>
                <w:b/>
                <w:sz w:val="20"/>
              </w:rPr>
              <w:t>CLS</w:t>
            </w:r>
            <w:r>
              <w:rPr>
                <w:sz w:val="20"/>
              </w:rPr>
              <w:t>: John Hagon</w:t>
            </w:r>
          </w:p>
          <w:p>
            <w:pPr>
              <w:pStyle w:val="TableParagraph"/>
              <w:spacing w:before="34"/>
              <w:ind w:left="171"/>
              <w:rPr>
                <w:sz w:val="20"/>
              </w:rPr>
            </w:pPr>
            <w:r>
              <w:rPr>
                <w:b/>
                <w:sz w:val="20"/>
              </w:rPr>
              <w:t>Deutsche Bank</w:t>
            </w:r>
            <w:r>
              <w:rPr>
                <w:sz w:val="20"/>
              </w:rPr>
              <w:t>: Adam Jukes</w:t>
            </w:r>
          </w:p>
          <w:p>
            <w:pPr>
              <w:pStyle w:val="TableParagraph"/>
              <w:spacing w:before="37"/>
              <w:ind w:left="171"/>
              <w:rPr>
                <w:sz w:val="20"/>
              </w:rPr>
            </w:pPr>
            <w:r>
              <w:rPr>
                <w:b/>
                <w:sz w:val="20"/>
              </w:rPr>
              <w:t>FCA</w:t>
            </w:r>
            <w:r>
              <w:rPr>
                <w:sz w:val="20"/>
              </w:rPr>
              <w:t>: Babatunde Carew</w:t>
            </w:r>
          </w:p>
          <w:p>
            <w:pPr>
              <w:pStyle w:val="TableParagraph"/>
              <w:spacing w:line="210" w:lineRule="exact" w:before="34"/>
              <w:ind w:left="171"/>
              <w:rPr>
                <w:sz w:val="20"/>
              </w:rPr>
            </w:pPr>
            <w:r>
              <w:rPr>
                <w:b/>
                <w:sz w:val="20"/>
              </w:rPr>
              <w:t>JP Morgan Chase</w:t>
            </w:r>
            <w:r>
              <w:rPr>
                <w:sz w:val="20"/>
              </w:rPr>
              <w:t>: Phil Glackin</w:t>
            </w:r>
          </w:p>
        </w:tc>
      </w:tr>
    </w:tbl>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rPr>
          <w:rFonts w:ascii="Times New Roman"/>
          <w:u w:val="none"/>
        </w:rPr>
      </w:pPr>
    </w:p>
    <w:p>
      <w:pPr>
        <w:pStyle w:val="BodyText"/>
        <w:spacing w:before="6"/>
        <w:rPr>
          <w:rFonts w:ascii="Times New Roman"/>
          <w:sz w:val="27"/>
          <w:u w:val="none"/>
        </w:rPr>
      </w:pPr>
      <w:r>
        <w:rPr/>
        <w:pict>
          <v:shape style="position:absolute;margin-left:57.023998pt;margin-top:17.972919pt;width:482.9pt;height:.1pt;mso-position-horizontal-relative:page;mso-position-vertical-relative:paragraph;z-index:-251658240;mso-wrap-distance-left:0;mso-wrap-distance-right:0" coordorigin="1140,359" coordsize="9658,0" path="m1140,359l10798,359e" filled="false" stroked="true" strokeweight=".23999pt" strokecolor="#000000">
            <v:path arrowok="t"/>
            <v:stroke dashstyle="solid"/>
            <w10:wrap type="topAndBottom"/>
          </v:shape>
        </w:pict>
      </w:r>
    </w:p>
    <w:p>
      <w:pPr>
        <w:spacing w:after="0"/>
        <w:rPr>
          <w:rFonts w:ascii="Times New Roman"/>
          <w:sz w:val="27"/>
        </w:rPr>
        <w:sectPr>
          <w:type w:val="continuous"/>
          <w:pgSz w:w="11910" w:h="16840"/>
          <w:pgMar w:top="1440" w:bottom="280" w:left="800" w:right="960"/>
        </w:sect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4095"/>
        <w:gridCol w:w="4687"/>
      </w:tblGrid>
      <w:tr>
        <w:trPr>
          <w:trHeight w:val="688" w:hRule="atLeast"/>
        </w:trPr>
        <w:tc>
          <w:tcPr>
            <w:tcW w:w="965" w:type="dxa"/>
          </w:tcPr>
          <w:p>
            <w:pPr>
              <w:pStyle w:val="TableParagraph"/>
              <w:spacing w:line="223" w:lineRule="exact"/>
              <w:ind w:left="200"/>
              <w:rPr>
                <w:b/>
                <w:sz w:val="20"/>
              </w:rPr>
            </w:pPr>
            <w:r>
              <w:rPr>
                <w:b/>
                <w:sz w:val="20"/>
              </w:rPr>
              <w:t>Minute</w:t>
            </w:r>
          </w:p>
          <w:p>
            <w:pPr>
              <w:pStyle w:val="TableParagraph"/>
              <w:spacing w:before="116"/>
              <w:ind w:left="200"/>
              <w:rPr>
                <w:b/>
                <w:sz w:val="20"/>
              </w:rPr>
            </w:pPr>
            <w:r>
              <w:rPr>
                <w:b/>
                <w:sz w:val="20"/>
              </w:rPr>
              <w:t>no.</w:t>
            </w:r>
          </w:p>
        </w:tc>
        <w:tc>
          <w:tcPr>
            <w:tcW w:w="4095" w:type="dxa"/>
          </w:tcPr>
          <w:p>
            <w:pPr>
              <w:pStyle w:val="TableParagraph"/>
              <w:spacing w:line="223" w:lineRule="exact"/>
              <w:ind w:left="228"/>
              <w:rPr>
                <w:b/>
                <w:sz w:val="20"/>
              </w:rPr>
            </w:pPr>
            <w:r>
              <w:rPr>
                <w:b/>
                <w:sz w:val="20"/>
              </w:rPr>
              <w:t>Minute</w:t>
            </w:r>
          </w:p>
        </w:tc>
        <w:tc>
          <w:tcPr>
            <w:tcW w:w="4687" w:type="dxa"/>
          </w:tcPr>
          <w:p>
            <w:pPr>
              <w:pStyle w:val="TableParagraph"/>
              <w:spacing w:line="276" w:lineRule="auto"/>
              <w:ind w:left="2887" w:right="197"/>
              <w:jc w:val="right"/>
              <w:rPr>
                <w:b/>
                <w:sz w:val="20"/>
              </w:rPr>
            </w:pPr>
            <w:r>
              <w:rPr>
                <w:b/>
                <w:sz w:val="20"/>
              </w:rPr>
              <w:t>Action owner</w:t>
            </w:r>
            <w:r>
              <w:rPr>
                <w:b/>
                <w:w w:val="99"/>
                <w:sz w:val="20"/>
              </w:rPr>
              <w:t> </w:t>
            </w:r>
            <w:r>
              <w:rPr>
                <w:b/>
                <w:sz w:val="20"/>
              </w:rPr>
              <w:t>and due date</w:t>
            </w:r>
          </w:p>
        </w:tc>
      </w:tr>
      <w:tr>
        <w:trPr>
          <w:trHeight w:val="2304" w:hRule="atLeast"/>
        </w:trPr>
        <w:tc>
          <w:tcPr>
            <w:tcW w:w="965" w:type="dxa"/>
          </w:tcPr>
          <w:p>
            <w:pPr>
              <w:pStyle w:val="TableParagraph"/>
              <w:spacing w:before="115"/>
              <w:ind w:left="200"/>
              <w:rPr>
                <w:sz w:val="20"/>
              </w:rPr>
            </w:pPr>
            <w:r>
              <w:rPr>
                <w:sz w:val="20"/>
              </w:rPr>
              <w:t>1.</w:t>
            </w:r>
          </w:p>
        </w:tc>
        <w:tc>
          <w:tcPr>
            <w:tcW w:w="8782" w:type="dxa"/>
            <w:gridSpan w:val="2"/>
          </w:tcPr>
          <w:p>
            <w:pPr>
              <w:pStyle w:val="TableParagraph"/>
              <w:spacing w:before="113"/>
              <w:ind w:left="120"/>
              <w:jc w:val="both"/>
              <w:rPr>
                <w:b/>
                <w:sz w:val="20"/>
              </w:rPr>
            </w:pPr>
            <w:r>
              <w:rPr>
                <w:b/>
                <w:sz w:val="20"/>
              </w:rPr>
              <w:t>Welcome and apologies</w:t>
            </w:r>
          </w:p>
          <w:p>
            <w:pPr>
              <w:pStyle w:val="TableParagraph"/>
              <w:spacing w:before="3"/>
              <w:ind w:left="120" w:right="1681"/>
              <w:jc w:val="both"/>
              <w:rPr>
                <w:sz w:val="20"/>
              </w:rPr>
            </w:pPr>
            <w:r>
              <w:rPr>
                <w:sz w:val="20"/>
              </w:rPr>
              <w:t>Isabelle Dennigan (Chair, RBC) noted the apologies received and introduced Matt Dukelow (Bank of England) and Sakshi Gupta (Legal Secretariat, Bank of England) as new members of the Operations Sub-committee. The Chair welcomed Andrew Cooper (CLS), Alan Barnes (FCA), and Rachel Gerrelli (JP Morgan Chase) representing as alternates. The Chair informed members that Jennifer</w:t>
            </w:r>
            <w:r>
              <w:rPr>
                <w:spacing w:val="-10"/>
                <w:sz w:val="20"/>
              </w:rPr>
              <w:t> </w:t>
            </w:r>
            <w:r>
              <w:rPr>
                <w:sz w:val="20"/>
              </w:rPr>
              <w:t>Ashton</w:t>
            </w:r>
            <w:r>
              <w:rPr>
                <w:spacing w:val="-10"/>
                <w:sz w:val="20"/>
              </w:rPr>
              <w:t> </w:t>
            </w:r>
            <w:r>
              <w:rPr>
                <w:sz w:val="20"/>
              </w:rPr>
              <w:t>and</w:t>
            </w:r>
            <w:r>
              <w:rPr>
                <w:spacing w:val="-10"/>
                <w:sz w:val="20"/>
              </w:rPr>
              <w:t> </w:t>
            </w:r>
            <w:r>
              <w:rPr>
                <w:sz w:val="20"/>
              </w:rPr>
              <w:t>Charlotte</w:t>
            </w:r>
            <w:r>
              <w:rPr>
                <w:spacing w:val="-11"/>
                <w:sz w:val="20"/>
              </w:rPr>
              <w:t> </w:t>
            </w:r>
            <w:r>
              <w:rPr>
                <w:sz w:val="20"/>
              </w:rPr>
              <w:t>Pope-Williams</w:t>
            </w:r>
            <w:r>
              <w:rPr>
                <w:spacing w:val="-11"/>
                <w:sz w:val="20"/>
              </w:rPr>
              <w:t> </w:t>
            </w:r>
            <w:r>
              <w:rPr>
                <w:sz w:val="20"/>
              </w:rPr>
              <w:t>(Bank</w:t>
            </w:r>
            <w:r>
              <w:rPr>
                <w:spacing w:val="-8"/>
                <w:sz w:val="20"/>
              </w:rPr>
              <w:t> </w:t>
            </w:r>
            <w:r>
              <w:rPr>
                <w:sz w:val="20"/>
              </w:rPr>
              <w:t>of</w:t>
            </w:r>
            <w:r>
              <w:rPr>
                <w:spacing w:val="-10"/>
                <w:sz w:val="20"/>
              </w:rPr>
              <w:t> </w:t>
            </w:r>
            <w:r>
              <w:rPr>
                <w:sz w:val="20"/>
              </w:rPr>
              <w:t>England)</w:t>
            </w:r>
            <w:r>
              <w:rPr>
                <w:spacing w:val="-9"/>
                <w:sz w:val="20"/>
              </w:rPr>
              <w:t> </w:t>
            </w:r>
            <w:r>
              <w:rPr>
                <w:sz w:val="20"/>
              </w:rPr>
              <w:t>and</w:t>
            </w:r>
            <w:r>
              <w:rPr>
                <w:spacing w:val="-10"/>
                <w:sz w:val="20"/>
              </w:rPr>
              <w:t> </w:t>
            </w:r>
            <w:r>
              <w:rPr>
                <w:sz w:val="20"/>
              </w:rPr>
              <w:t>Joel</w:t>
            </w:r>
            <w:r>
              <w:rPr>
                <w:spacing w:val="-12"/>
                <w:sz w:val="20"/>
              </w:rPr>
              <w:t> </w:t>
            </w:r>
            <w:r>
              <w:rPr>
                <w:sz w:val="20"/>
              </w:rPr>
              <w:t>Sleigh (Record Currency Management) had stepped down from the Operations Sub- committee.</w:t>
            </w:r>
          </w:p>
        </w:tc>
      </w:tr>
      <w:tr>
        <w:trPr>
          <w:trHeight w:val="919" w:hRule="atLeast"/>
        </w:trPr>
        <w:tc>
          <w:tcPr>
            <w:tcW w:w="965" w:type="dxa"/>
          </w:tcPr>
          <w:p>
            <w:pPr>
              <w:pStyle w:val="TableParagraph"/>
              <w:spacing w:before="113"/>
              <w:ind w:left="200"/>
              <w:rPr>
                <w:sz w:val="20"/>
              </w:rPr>
            </w:pPr>
            <w:r>
              <w:rPr>
                <w:sz w:val="20"/>
              </w:rPr>
              <w:t>2.</w:t>
            </w:r>
          </w:p>
        </w:tc>
        <w:tc>
          <w:tcPr>
            <w:tcW w:w="8782" w:type="dxa"/>
            <w:gridSpan w:val="2"/>
          </w:tcPr>
          <w:p>
            <w:pPr>
              <w:pStyle w:val="TableParagraph"/>
              <w:spacing w:before="110"/>
              <w:ind w:left="120"/>
              <w:rPr>
                <w:b/>
                <w:sz w:val="20"/>
              </w:rPr>
            </w:pPr>
            <w:r>
              <w:rPr>
                <w:b/>
                <w:sz w:val="20"/>
              </w:rPr>
              <w:t>Minutes of 6 September meeting</w:t>
            </w:r>
          </w:p>
          <w:p>
            <w:pPr>
              <w:pStyle w:val="TableParagraph"/>
              <w:spacing w:before="1"/>
              <w:ind w:left="120" w:right="1322"/>
              <w:rPr>
                <w:sz w:val="20"/>
              </w:rPr>
            </w:pPr>
            <w:r>
              <w:rPr>
                <w:sz w:val="20"/>
              </w:rPr>
              <w:t>The minutes of the 6 September 2018 meeting were agreed. There were no matters arising.</w:t>
            </w:r>
          </w:p>
        </w:tc>
      </w:tr>
      <w:tr>
        <w:trPr>
          <w:trHeight w:val="2070" w:hRule="atLeast"/>
        </w:trPr>
        <w:tc>
          <w:tcPr>
            <w:tcW w:w="965" w:type="dxa"/>
          </w:tcPr>
          <w:p>
            <w:pPr>
              <w:pStyle w:val="TableParagraph"/>
              <w:spacing w:before="113"/>
              <w:ind w:left="200"/>
              <w:rPr>
                <w:sz w:val="20"/>
              </w:rPr>
            </w:pPr>
            <w:r>
              <w:rPr>
                <w:sz w:val="20"/>
              </w:rPr>
              <w:t>3.</w:t>
            </w:r>
          </w:p>
        </w:tc>
        <w:tc>
          <w:tcPr>
            <w:tcW w:w="8782" w:type="dxa"/>
            <w:gridSpan w:val="2"/>
          </w:tcPr>
          <w:p>
            <w:pPr>
              <w:pStyle w:val="TableParagraph"/>
              <w:spacing w:before="110"/>
              <w:ind w:left="120"/>
              <w:jc w:val="both"/>
              <w:rPr>
                <w:b/>
                <w:sz w:val="20"/>
              </w:rPr>
            </w:pPr>
            <w:r>
              <w:rPr>
                <w:b/>
                <w:sz w:val="20"/>
              </w:rPr>
              <w:t>Competition guidelines reminder</w:t>
            </w:r>
          </w:p>
          <w:p>
            <w:pPr>
              <w:pStyle w:val="TableParagraph"/>
              <w:spacing w:before="4"/>
              <w:ind w:left="120" w:right="1682"/>
              <w:jc w:val="both"/>
              <w:rPr>
                <w:sz w:val="20"/>
              </w:rPr>
            </w:pPr>
            <w:r>
              <w:rPr>
                <w:sz w:val="20"/>
              </w:rPr>
              <w:t>Ms Gupta reminded members of the competition guidelines</w:t>
            </w:r>
            <w:r>
              <w:rPr>
                <w:position w:val="6"/>
                <w:sz w:val="13"/>
              </w:rPr>
              <w:t>1 </w:t>
            </w:r>
            <w:r>
              <w:rPr>
                <w:sz w:val="20"/>
              </w:rPr>
              <w:t>and that the purpose</w:t>
            </w:r>
            <w:r>
              <w:rPr>
                <w:spacing w:val="-10"/>
                <w:sz w:val="20"/>
              </w:rPr>
              <w:t> </w:t>
            </w:r>
            <w:r>
              <w:rPr>
                <w:sz w:val="20"/>
              </w:rPr>
              <w:t>of</w:t>
            </w:r>
            <w:r>
              <w:rPr>
                <w:spacing w:val="-8"/>
                <w:sz w:val="20"/>
              </w:rPr>
              <w:t> </w:t>
            </w:r>
            <w:r>
              <w:rPr>
                <w:sz w:val="20"/>
              </w:rPr>
              <w:t>the</w:t>
            </w:r>
            <w:r>
              <w:rPr>
                <w:spacing w:val="-10"/>
                <w:sz w:val="20"/>
              </w:rPr>
              <w:t> </w:t>
            </w:r>
            <w:r>
              <w:rPr>
                <w:sz w:val="20"/>
              </w:rPr>
              <w:t>FXJSC</w:t>
            </w:r>
            <w:r>
              <w:rPr>
                <w:spacing w:val="-7"/>
                <w:sz w:val="20"/>
              </w:rPr>
              <w:t> </w:t>
            </w:r>
            <w:r>
              <w:rPr>
                <w:sz w:val="20"/>
              </w:rPr>
              <w:t>was</w:t>
            </w:r>
            <w:r>
              <w:rPr>
                <w:spacing w:val="-9"/>
                <w:sz w:val="20"/>
              </w:rPr>
              <w:t> </w:t>
            </w:r>
            <w:r>
              <w:rPr>
                <w:sz w:val="20"/>
              </w:rPr>
              <w:t>to</w:t>
            </w:r>
            <w:r>
              <w:rPr>
                <w:spacing w:val="-9"/>
                <w:sz w:val="20"/>
              </w:rPr>
              <w:t> </w:t>
            </w:r>
            <w:r>
              <w:rPr>
                <w:sz w:val="20"/>
              </w:rPr>
              <w:t>serve</w:t>
            </w:r>
            <w:r>
              <w:rPr>
                <w:spacing w:val="-10"/>
                <w:sz w:val="20"/>
              </w:rPr>
              <w:t> </w:t>
            </w:r>
            <w:r>
              <w:rPr>
                <w:sz w:val="20"/>
              </w:rPr>
              <w:t>as</w:t>
            </w:r>
            <w:r>
              <w:rPr>
                <w:spacing w:val="-8"/>
                <w:sz w:val="20"/>
              </w:rPr>
              <w:t> </w:t>
            </w:r>
            <w:r>
              <w:rPr>
                <w:sz w:val="20"/>
              </w:rPr>
              <w:t>a</w:t>
            </w:r>
            <w:r>
              <w:rPr>
                <w:spacing w:val="-10"/>
                <w:sz w:val="20"/>
              </w:rPr>
              <w:t> </w:t>
            </w:r>
            <w:r>
              <w:rPr>
                <w:sz w:val="20"/>
              </w:rPr>
              <w:t>forum</w:t>
            </w:r>
            <w:r>
              <w:rPr>
                <w:spacing w:val="-8"/>
                <w:sz w:val="20"/>
              </w:rPr>
              <w:t> </w:t>
            </w:r>
            <w:r>
              <w:rPr>
                <w:sz w:val="20"/>
              </w:rPr>
              <w:t>for</w:t>
            </w:r>
            <w:r>
              <w:rPr>
                <w:spacing w:val="-8"/>
                <w:sz w:val="20"/>
              </w:rPr>
              <w:t> </w:t>
            </w:r>
            <w:r>
              <w:rPr>
                <w:sz w:val="20"/>
              </w:rPr>
              <w:t>discussing</w:t>
            </w:r>
            <w:r>
              <w:rPr>
                <w:spacing w:val="-11"/>
                <w:sz w:val="20"/>
              </w:rPr>
              <w:t> </w:t>
            </w:r>
            <w:r>
              <w:rPr>
                <w:sz w:val="20"/>
              </w:rPr>
              <w:t>issues</w:t>
            </w:r>
            <w:r>
              <w:rPr>
                <w:spacing w:val="-8"/>
                <w:sz w:val="20"/>
              </w:rPr>
              <w:t> </w:t>
            </w:r>
            <w:r>
              <w:rPr>
                <w:sz w:val="20"/>
              </w:rPr>
              <w:t>of</w:t>
            </w:r>
            <w:r>
              <w:rPr>
                <w:spacing w:val="-8"/>
                <w:sz w:val="20"/>
              </w:rPr>
              <w:t> </w:t>
            </w:r>
            <w:r>
              <w:rPr>
                <w:sz w:val="20"/>
              </w:rPr>
              <w:t>common concern</w:t>
            </w:r>
            <w:r>
              <w:rPr>
                <w:spacing w:val="-15"/>
                <w:sz w:val="20"/>
              </w:rPr>
              <w:t> </w:t>
            </w:r>
            <w:r>
              <w:rPr>
                <w:sz w:val="20"/>
              </w:rPr>
              <w:t>to</w:t>
            </w:r>
            <w:r>
              <w:rPr>
                <w:spacing w:val="-14"/>
                <w:sz w:val="20"/>
              </w:rPr>
              <w:t> </w:t>
            </w:r>
            <w:r>
              <w:rPr>
                <w:sz w:val="20"/>
              </w:rPr>
              <w:t>market</w:t>
            </w:r>
            <w:r>
              <w:rPr>
                <w:spacing w:val="-15"/>
                <w:sz w:val="20"/>
              </w:rPr>
              <w:t> </w:t>
            </w:r>
            <w:r>
              <w:rPr>
                <w:sz w:val="20"/>
              </w:rPr>
              <w:t>participants</w:t>
            </w:r>
            <w:r>
              <w:rPr>
                <w:spacing w:val="-14"/>
                <w:sz w:val="20"/>
              </w:rPr>
              <w:t> </w:t>
            </w:r>
            <w:r>
              <w:rPr>
                <w:sz w:val="20"/>
              </w:rPr>
              <w:t>and</w:t>
            </w:r>
            <w:r>
              <w:rPr>
                <w:spacing w:val="-15"/>
                <w:sz w:val="20"/>
              </w:rPr>
              <w:t> </w:t>
            </w:r>
            <w:r>
              <w:rPr>
                <w:sz w:val="20"/>
              </w:rPr>
              <w:t>infrastructure</w:t>
            </w:r>
            <w:r>
              <w:rPr>
                <w:spacing w:val="-14"/>
                <w:sz w:val="20"/>
              </w:rPr>
              <w:t> </w:t>
            </w:r>
            <w:r>
              <w:rPr>
                <w:sz w:val="20"/>
              </w:rPr>
              <w:t>providers</w:t>
            </w:r>
            <w:r>
              <w:rPr>
                <w:spacing w:val="-14"/>
                <w:sz w:val="20"/>
              </w:rPr>
              <w:t> </w:t>
            </w:r>
            <w:r>
              <w:rPr>
                <w:sz w:val="20"/>
              </w:rPr>
              <w:t>operating</w:t>
            </w:r>
            <w:r>
              <w:rPr>
                <w:spacing w:val="-14"/>
                <w:sz w:val="20"/>
              </w:rPr>
              <w:t> </w:t>
            </w:r>
            <w:r>
              <w:rPr>
                <w:sz w:val="20"/>
              </w:rPr>
              <w:t>in</w:t>
            </w:r>
            <w:r>
              <w:rPr>
                <w:spacing w:val="-15"/>
                <w:sz w:val="20"/>
              </w:rPr>
              <w:t> </w:t>
            </w:r>
            <w:r>
              <w:rPr>
                <w:sz w:val="20"/>
              </w:rPr>
              <w:t>the</w:t>
            </w:r>
            <w:r>
              <w:rPr>
                <w:spacing w:val="-15"/>
                <w:sz w:val="20"/>
              </w:rPr>
              <w:t> </w:t>
            </w:r>
            <w:r>
              <w:rPr>
                <w:sz w:val="20"/>
              </w:rPr>
              <w:t>UK’s FX market. Ms Gupta noted that members should not share any commercially sensitive information, and urged members to familiarise themselves with the competition guidelines and share them with other staff in their organisations involved in FXJSC</w:t>
            </w:r>
            <w:r>
              <w:rPr>
                <w:spacing w:val="-1"/>
                <w:sz w:val="20"/>
              </w:rPr>
              <w:t> </w:t>
            </w:r>
            <w:r>
              <w:rPr>
                <w:sz w:val="20"/>
              </w:rPr>
              <w:t>work.</w:t>
            </w:r>
          </w:p>
        </w:tc>
      </w:tr>
      <w:tr>
        <w:trPr>
          <w:trHeight w:val="1609" w:hRule="atLeast"/>
        </w:trPr>
        <w:tc>
          <w:tcPr>
            <w:tcW w:w="965" w:type="dxa"/>
          </w:tcPr>
          <w:p>
            <w:pPr>
              <w:pStyle w:val="TableParagraph"/>
              <w:spacing w:before="112"/>
              <w:ind w:left="200"/>
              <w:rPr>
                <w:sz w:val="20"/>
              </w:rPr>
            </w:pPr>
            <w:r>
              <w:rPr>
                <w:sz w:val="20"/>
              </w:rPr>
              <w:t>4.</w:t>
            </w:r>
          </w:p>
        </w:tc>
        <w:tc>
          <w:tcPr>
            <w:tcW w:w="8782" w:type="dxa"/>
            <w:gridSpan w:val="2"/>
          </w:tcPr>
          <w:p>
            <w:pPr>
              <w:pStyle w:val="TableParagraph"/>
              <w:spacing w:before="109"/>
              <w:ind w:left="120"/>
              <w:jc w:val="both"/>
              <w:rPr>
                <w:b/>
                <w:sz w:val="20"/>
              </w:rPr>
            </w:pPr>
            <w:r>
              <w:rPr>
                <w:b/>
                <w:sz w:val="20"/>
              </w:rPr>
              <w:t>FXJSC Terms of Reference</w:t>
            </w:r>
          </w:p>
          <w:p>
            <w:pPr>
              <w:pStyle w:val="TableParagraph"/>
              <w:spacing w:before="3"/>
              <w:ind w:left="120" w:right="1682"/>
              <w:jc w:val="both"/>
              <w:rPr>
                <w:sz w:val="20"/>
              </w:rPr>
            </w:pPr>
            <w:r>
              <w:rPr>
                <w:sz w:val="20"/>
              </w:rPr>
              <w:t>James</w:t>
            </w:r>
            <w:r>
              <w:rPr>
                <w:spacing w:val="-17"/>
                <w:sz w:val="20"/>
              </w:rPr>
              <w:t> </w:t>
            </w:r>
            <w:r>
              <w:rPr>
                <w:sz w:val="20"/>
              </w:rPr>
              <w:t>Manchester</w:t>
            </w:r>
            <w:r>
              <w:rPr>
                <w:spacing w:val="-17"/>
                <w:sz w:val="20"/>
              </w:rPr>
              <w:t> </w:t>
            </w:r>
            <w:r>
              <w:rPr>
                <w:sz w:val="20"/>
              </w:rPr>
              <w:t>(Secretariat,</w:t>
            </w:r>
            <w:r>
              <w:rPr>
                <w:spacing w:val="-15"/>
                <w:sz w:val="20"/>
              </w:rPr>
              <w:t> </w:t>
            </w:r>
            <w:r>
              <w:rPr>
                <w:sz w:val="20"/>
              </w:rPr>
              <w:t>Bank</w:t>
            </w:r>
            <w:r>
              <w:rPr>
                <w:spacing w:val="-14"/>
                <w:sz w:val="20"/>
              </w:rPr>
              <w:t> </w:t>
            </w:r>
            <w:r>
              <w:rPr>
                <w:sz w:val="20"/>
              </w:rPr>
              <w:t>of</w:t>
            </w:r>
            <w:r>
              <w:rPr>
                <w:spacing w:val="-16"/>
                <w:sz w:val="20"/>
              </w:rPr>
              <w:t> </w:t>
            </w:r>
            <w:r>
              <w:rPr>
                <w:sz w:val="20"/>
              </w:rPr>
              <w:t>England)</w:t>
            </w:r>
            <w:r>
              <w:rPr>
                <w:spacing w:val="-16"/>
                <w:sz w:val="20"/>
              </w:rPr>
              <w:t> </w:t>
            </w:r>
            <w:r>
              <w:rPr>
                <w:sz w:val="20"/>
              </w:rPr>
              <w:t>noted</w:t>
            </w:r>
            <w:r>
              <w:rPr>
                <w:spacing w:val="-18"/>
                <w:sz w:val="20"/>
              </w:rPr>
              <w:t> </w:t>
            </w:r>
            <w:r>
              <w:rPr>
                <w:sz w:val="20"/>
              </w:rPr>
              <w:t>that</w:t>
            </w:r>
            <w:r>
              <w:rPr>
                <w:spacing w:val="-12"/>
                <w:sz w:val="20"/>
              </w:rPr>
              <w:t> </w:t>
            </w:r>
            <w:r>
              <w:rPr>
                <w:sz w:val="20"/>
              </w:rPr>
              <w:t>the</w:t>
            </w:r>
            <w:r>
              <w:rPr>
                <w:spacing w:val="-16"/>
                <w:sz w:val="20"/>
              </w:rPr>
              <w:t> </w:t>
            </w:r>
            <w:r>
              <w:rPr>
                <w:sz w:val="20"/>
              </w:rPr>
              <w:t>Secretariat</w:t>
            </w:r>
            <w:r>
              <w:rPr>
                <w:spacing w:val="-15"/>
                <w:sz w:val="20"/>
              </w:rPr>
              <w:t> </w:t>
            </w:r>
            <w:r>
              <w:rPr>
                <w:sz w:val="20"/>
              </w:rPr>
              <w:t>had reviewed and updated the FXJSC Operations Sub-committee Terms of Reference, and provided a summary of the proposed changes that had been made. There were no further comments and the updated Terms of Reference were</w:t>
            </w:r>
            <w:r>
              <w:rPr>
                <w:spacing w:val="-2"/>
                <w:sz w:val="20"/>
              </w:rPr>
              <w:t> </w:t>
            </w:r>
            <w:r>
              <w:rPr>
                <w:sz w:val="20"/>
              </w:rPr>
              <w:t>agreed.</w:t>
            </w:r>
          </w:p>
        </w:tc>
      </w:tr>
      <w:tr>
        <w:trPr>
          <w:trHeight w:val="4483" w:hRule="atLeast"/>
        </w:trPr>
        <w:tc>
          <w:tcPr>
            <w:tcW w:w="965" w:type="dxa"/>
          </w:tcPr>
          <w:p>
            <w:pPr>
              <w:pStyle w:val="TableParagraph"/>
              <w:spacing w:before="113"/>
              <w:ind w:left="200"/>
              <w:rPr>
                <w:sz w:val="20"/>
              </w:rPr>
            </w:pPr>
            <w:r>
              <w:rPr>
                <w:sz w:val="20"/>
              </w:rPr>
              <w:t>5.</w:t>
            </w:r>
          </w:p>
        </w:tc>
        <w:tc>
          <w:tcPr>
            <w:tcW w:w="8782" w:type="dxa"/>
            <w:gridSpan w:val="2"/>
          </w:tcPr>
          <w:p>
            <w:pPr>
              <w:pStyle w:val="TableParagraph"/>
              <w:spacing w:before="110"/>
              <w:ind w:left="120"/>
              <w:jc w:val="both"/>
              <w:rPr>
                <w:b/>
                <w:sz w:val="20"/>
              </w:rPr>
            </w:pPr>
            <w:r>
              <w:rPr>
                <w:b/>
                <w:sz w:val="20"/>
              </w:rPr>
              <w:t>Readout of the GFXC meeting held 29-30 November</w:t>
            </w:r>
          </w:p>
          <w:p>
            <w:pPr>
              <w:pStyle w:val="TableParagraph"/>
              <w:spacing w:before="4"/>
              <w:ind w:left="120" w:right="1685"/>
              <w:jc w:val="both"/>
              <w:rPr>
                <w:sz w:val="20"/>
              </w:rPr>
            </w:pPr>
            <w:r>
              <w:rPr>
                <w:sz w:val="20"/>
              </w:rPr>
              <w:t>David</w:t>
            </w:r>
            <w:r>
              <w:rPr>
                <w:spacing w:val="-11"/>
                <w:sz w:val="20"/>
              </w:rPr>
              <w:t> </w:t>
            </w:r>
            <w:r>
              <w:rPr>
                <w:sz w:val="20"/>
              </w:rPr>
              <w:t>Edmunds</w:t>
            </w:r>
            <w:r>
              <w:rPr>
                <w:spacing w:val="-12"/>
                <w:sz w:val="20"/>
              </w:rPr>
              <w:t> </w:t>
            </w:r>
            <w:r>
              <w:rPr>
                <w:sz w:val="20"/>
              </w:rPr>
              <w:t>(Bank</w:t>
            </w:r>
            <w:r>
              <w:rPr>
                <w:spacing w:val="-8"/>
                <w:sz w:val="20"/>
              </w:rPr>
              <w:t> </w:t>
            </w:r>
            <w:r>
              <w:rPr>
                <w:sz w:val="20"/>
              </w:rPr>
              <w:t>of</w:t>
            </w:r>
            <w:r>
              <w:rPr>
                <w:spacing w:val="-11"/>
                <w:sz w:val="20"/>
              </w:rPr>
              <w:t> </w:t>
            </w:r>
            <w:r>
              <w:rPr>
                <w:sz w:val="20"/>
              </w:rPr>
              <w:t>England)</w:t>
            </w:r>
            <w:r>
              <w:rPr>
                <w:spacing w:val="-7"/>
                <w:sz w:val="20"/>
              </w:rPr>
              <w:t> </w:t>
            </w:r>
            <w:r>
              <w:rPr>
                <w:sz w:val="20"/>
              </w:rPr>
              <w:t>provided</w:t>
            </w:r>
            <w:r>
              <w:rPr>
                <w:spacing w:val="-10"/>
                <w:sz w:val="20"/>
              </w:rPr>
              <w:t> </w:t>
            </w:r>
            <w:r>
              <w:rPr>
                <w:sz w:val="20"/>
              </w:rPr>
              <w:t>an</w:t>
            </w:r>
            <w:r>
              <w:rPr>
                <w:spacing w:val="-11"/>
                <w:sz w:val="20"/>
              </w:rPr>
              <w:t> </w:t>
            </w:r>
            <w:r>
              <w:rPr>
                <w:sz w:val="20"/>
              </w:rPr>
              <w:t>update</w:t>
            </w:r>
            <w:r>
              <w:rPr>
                <w:spacing w:val="-9"/>
                <w:sz w:val="20"/>
              </w:rPr>
              <w:t> </w:t>
            </w:r>
            <w:r>
              <w:rPr>
                <w:sz w:val="20"/>
              </w:rPr>
              <w:t>on</w:t>
            </w:r>
            <w:r>
              <w:rPr>
                <w:spacing w:val="-13"/>
                <w:sz w:val="20"/>
              </w:rPr>
              <w:t> </w:t>
            </w:r>
            <w:r>
              <w:rPr>
                <w:sz w:val="20"/>
              </w:rPr>
              <w:t>the</w:t>
            </w:r>
            <w:r>
              <w:rPr>
                <w:spacing w:val="-11"/>
                <w:sz w:val="20"/>
              </w:rPr>
              <w:t> </w:t>
            </w:r>
            <w:r>
              <w:rPr>
                <w:sz w:val="20"/>
              </w:rPr>
              <w:t>work</w:t>
            </w:r>
            <w:r>
              <w:rPr>
                <w:spacing w:val="-8"/>
                <w:sz w:val="20"/>
              </w:rPr>
              <w:t> </w:t>
            </w:r>
            <w:r>
              <w:rPr>
                <w:sz w:val="20"/>
              </w:rPr>
              <w:t>of</w:t>
            </w:r>
            <w:r>
              <w:rPr>
                <w:spacing w:val="-11"/>
                <w:sz w:val="20"/>
              </w:rPr>
              <w:t> </w:t>
            </w:r>
            <w:r>
              <w:rPr>
                <w:sz w:val="20"/>
              </w:rPr>
              <w:t>the</w:t>
            </w:r>
            <w:r>
              <w:rPr>
                <w:spacing w:val="-12"/>
                <w:sz w:val="20"/>
              </w:rPr>
              <w:t> </w:t>
            </w:r>
            <w:r>
              <w:rPr>
                <w:sz w:val="20"/>
              </w:rPr>
              <w:t>GFXC and the most recent meeting held in Paris on 29-30</w:t>
            </w:r>
            <w:r>
              <w:rPr>
                <w:spacing w:val="-6"/>
                <w:sz w:val="20"/>
              </w:rPr>
              <w:t> </w:t>
            </w:r>
            <w:r>
              <w:rPr>
                <w:sz w:val="20"/>
              </w:rPr>
              <w:t>November</w:t>
            </w:r>
            <w:r>
              <w:rPr>
                <w:position w:val="6"/>
                <w:sz w:val="13"/>
              </w:rPr>
              <w:t>23</w:t>
            </w:r>
            <w:r>
              <w:rPr>
                <w:sz w:val="20"/>
              </w:rPr>
              <w:t>.</w:t>
            </w:r>
          </w:p>
          <w:p>
            <w:pPr>
              <w:pStyle w:val="TableParagraph"/>
              <w:spacing w:before="10"/>
              <w:rPr>
                <w:rFonts w:ascii="Times New Roman"/>
                <w:sz w:val="19"/>
              </w:rPr>
            </w:pPr>
          </w:p>
          <w:p>
            <w:pPr>
              <w:pStyle w:val="TableParagraph"/>
              <w:ind w:left="120" w:right="1680"/>
              <w:jc w:val="both"/>
              <w:rPr>
                <w:sz w:val="20"/>
              </w:rPr>
            </w:pPr>
            <w:r>
              <w:rPr>
                <w:sz w:val="20"/>
              </w:rPr>
              <w:t>During the first day, the GFXC reviewed the work conducted by its four</w:t>
            </w:r>
            <w:r>
              <w:rPr>
                <w:spacing w:val="-38"/>
                <w:sz w:val="20"/>
              </w:rPr>
              <w:t> </w:t>
            </w:r>
            <w:r>
              <w:rPr>
                <w:sz w:val="20"/>
              </w:rPr>
              <w:t>working groups and agreed next steps. The GFXC discussed the draft papers for publication</w:t>
            </w:r>
            <w:r>
              <w:rPr>
                <w:spacing w:val="-13"/>
                <w:sz w:val="20"/>
              </w:rPr>
              <w:t> </w:t>
            </w:r>
            <w:r>
              <w:rPr>
                <w:sz w:val="20"/>
              </w:rPr>
              <w:t>produced</w:t>
            </w:r>
            <w:r>
              <w:rPr>
                <w:spacing w:val="-15"/>
                <w:sz w:val="20"/>
              </w:rPr>
              <w:t> </w:t>
            </w:r>
            <w:r>
              <w:rPr>
                <w:sz w:val="20"/>
              </w:rPr>
              <w:t>by</w:t>
            </w:r>
            <w:r>
              <w:rPr>
                <w:spacing w:val="-17"/>
                <w:sz w:val="20"/>
              </w:rPr>
              <w:t> </w:t>
            </w:r>
            <w:r>
              <w:rPr>
                <w:sz w:val="20"/>
              </w:rPr>
              <w:t>the</w:t>
            </w:r>
            <w:r>
              <w:rPr>
                <w:spacing w:val="-12"/>
                <w:sz w:val="20"/>
              </w:rPr>
              <w:t> </w:t>
            </w:r>
            <w:r>
              <w:rPr>
                <w:sz w:val="20"/>
              </w:rPr>
              <w:t>Cover</w:t>
            </w:r>
            <w:r>
              <w:rPr>
                <w:spacing w:val="-13"/>
                <w:sz w:val="20"/>
              </w:rPr>
              <w:t> </w:t>
            </w:r>
            <w:r>
              <w:rPr>
                <w:sz w:val="20"/>
              </w:rPr>
              <w:t>and</w:t>
            </w:r>
            <w:r>
              <w:rPr>
                <w:spacing w:val="-14"/>
                <w:sz w:val="20"/>
              </w:rPr>
              <w:t> </w:t>
            </w:r>
            <w:r>
              <w:rPr>
                <w:sz w:val="20"/>
              </w:rPr>
              <w:t>Deal</w:t>
            </w:r>
            <w:r>
              <w:rPr>
                <w:spacing w:val="-15"/>
                <w:sz w:val="20"/>
              </w:rPr>
              <w:t> </w:t>
            </w:r>
            <w:r>
              <w:rPr>
                <w:sz w:val="20"/>
              </w:rPr>
              <w:t>and</w:t>
            </w:r>
            <w:r>
              <w:rPr>
                <w:spacing w:val="-14"/>
                <w:sz w:val="20"/>
              </w:rPr>
              <w:t> </w:t>
            </w:r>
            <w:r>
              <w:rPr>
                <w:sz w:val="20"/>
              </w:rPr>
              <w:t>the</w:t>
            </w:r>
            <w:r>
              <w:rPr>
                <w:spacing w:val="-15"/>
                <w:sz w:val="20"/>
              </w:rPr>
              <w:t> </w:t>
            </w:r>
            <w:r>
              <w:rPr>
                <w:sz w:val="20"/>
              </w:rPr>
              <w:t>Disclosures</w:t>
            </w:r>
            <w:r>
              <w:rPr>
                <w:spacing w:val="-13"/>
                <w:sz w:val="20"/>
              </w:rPr>
              <w:t> </w:t>
            </w:r>
            <w:r>
              <w:rPr>
                <w:sz w:val="20"/>
              </w:rPr>
              <w:t>working</w:t>
            </w:r>
            <w:r>
              <w:rPr>
                <w:spacing w:val="-15"/>
                <w:sz w:val="20"/>
              </w:rPr>
              <w:t> </w:t>
            </w:r>
            <w:r>
              <w:rPr>
                <w:sz w:val="20"/>
              </w:rPr>
              <w:t>groups and considered the comments received from local FX committees including</w:t>
            </w:r>
            <w:r>
              <w:rPr>
                <w:spacing w:val="-27"/>
                <w:sz w:val="20"/>
              </w:rPr>
              <w:t> </w:t>
            </w:r>
            <w:r>
              <w:rPr>
                <w:sz w:val="20"/>
              </w:rPr>
              <w:t>the FXJSC.</w:t>
            </w:r>
            <w:r>
              <w:rPr>
                <w:spacing w:val="-10"/>
                <w:sz w:val="20"/>
              </w:rPr>
              <w:t> </w:t>
            </w:r>
            <w:r>
              <w:rPr>
                <w:sz w:val="20"/>
              </w:rPr>
              <w:t>It</w:t>
            </w:r>
            <w:r>
              <w:rPr>
                <w:spacing w:val="-10"/>
                <w:sz w:val="20"/>
              </w:rPr>
              <w:t> </w:t>
            </w:r>
            <w:r>
              <w:rPr>
                <w:sz w:val="20"/>
              </w:rPr>
              <w:t>was</w:t>
            </w:r>
            <w:r>
              <w:rPr>
                <w:spacing w:val="-8"/>
                <w:sz w:val="20"/>
              </w:rPr>
              <w:t> </w:t>
            </w:r>
            <w:r>
              <w:rPr>
                <w:sz w:val="20"/>
              </w:rPr>
              <w:t>agreed</w:t>
            </w:r>
            <w:r>
              <w:rPr>
                <w:spacing w:val="-11"/>
                <w:sz w:val="20"/>
              </w:rPr>
              <w:t> </w:t>
            </w:r>
            <w:r>
              <w:rPr>
                <w:sz w:val="20"/>
              </w:rPr>
              <w:t>that</w:t>
            </w:r>
            <w:r>
              <w:rPr>
                <w:spacing w:val="-7"/>
                <w:sz w:val="20"/>
              </w:rPr>
              <w:t> </w:t>
            </w:r>
            <w:r>
              <w:rPr>
                <w:sz w:val="20"/>
              </w:rPr>
              <w:t>both</w:t>
            </w:r>
            <w:r>
              <w:rPr>
                <w:spacing w:val="-11"/>
                <w:sz w:val="20"/>
              </w:rPr>
              <w:t> </w:t>
            </w:r>
            <w:r>
              <w:rPr>
                <w:sz w:val="20"/>
              </w:rPr>
              <w:t>papers</w:t>
            </w:r>
            <w:r>
              <w:rPr>
                <w:spacing w:val="-2"/>
                <w:sz w:val="20"/>
              </w:rPr>
              <w:t> </w:t>
            </w:r>
            <w:r>
              <w:rPr>
                <w:sz w:val="20"/>
              </w:rPr>
              <w:t>would</w:t>
            </w:r>
            <w:r>
              <w:rPr>
                <w:spacing w:val="-10"/>
                <w:sz w:val="20"/>
              </w:rPr>
              <w:t> </w:t>
            </w:r>
            <w:r>
              <w:rPr>
                <w:sz w:val="20"/>
              </w:rPr>
              <w:t>be</w:t>
            </w:r>
            <w:r>
              <w:rPr>
                <w:spacing w:val="-9"/>
                <w:sz w:val="20"/>
              </w:rPr>
              <w:t> </w:t>
            </w:r>
            <w:r>
              <w:rPr>
                <w:sz w:val="20"/>
              </w:rPr>
              <w:t>updated</w:t>
            </w:r>
            <w:r>
              <w:rPr>
                <w:spacing w:val="-11"/>
                <w:sz w:val="20"/>
              </w:rPr>
              <w:t> </w:t>
            </w:r>
            <w:r>
              <w:rPr>
                <w:sz w:val="20"/>
              </w:rPr>
              <w:t>and</w:t>
            </w:r>
            <w:r>
              <w:rPr>
                <w:spacing w:val="-9"/>
                <w:sz w:val="20"/>
              </w:rPr>
              <w:t> </w:t>
            </w:r>
            <w:r>
              <w:rPr>
                <w:sz w:val="20"/>
              </w:rPr>
              <w:t>published</w:t>
            </w:r>
            <w:r>
              <w:rPr>
                <w:spacing w:val="-11"/>
                <w:sz w:val="20"/>
              </w:rPr>
              <w:t> </w:t>
            </w:r>
            <w:r>
              <w:rPr>
                <w:sz w:val="20"/>
              </w:rPr>
              <w:t>in</w:t>
            </w:r>
            <w:r>
              <w:rPr>
                <w:spacing w:val="-10"/>
                <w:sz w:val="20"/>
              </w:rPr>
              <w:t> </w:t>
            </w:r>
            <w:r>
              <w:rPr>
                <w:sz w:val="20"/>
              </w:rPr>
              <w:t>early 2019.</w:t>
            </w:r>
          </w:p>
          <w:p>
            <w:pPr>
              <w:pStyle w:val="TableParagraph"/>
              <w:rPr>
                <w:rFonts w:ascii="Times New Roman"/>
                <w:sz w:val="20"/>
              </w:rPr>
            </w:pPr>
          </w:p>
          <w:p>
            <w:pPr>
              <w:pStyle w:val="TableParagraph"/>
              <w:ind w:left="120" w:right="1683"/>
              <w:jc w:val="both"/>
              <w:rPr>
                <w:sz w:val="20"/>
              </w:rPr>
            </w:pPr>
            <w:r>
              <w:rPr>
                <w:sz w:val="20"/>
              </w:rPr>
              <w:t>The GFXC discussed work on embedding the Code and reviewed the findings from</w:t>
            </w:r>
            <w:r>
              <w:rPr>
                <w:spacing w:val="-3"/>
                <w:sz w:val="20"/>
              </w:rPr>
              <w:t> </w:t>
            </w:r>
            <w:r>
              <w:rPr>
                <w:sz w:val="20"/>
              </w:rPr>
              <w:t>its</w:t>
            </w:r>
            <w:r>
              <w:rPr>
                <w:spacing w:val="-6"/>
                <w:sz w:val="20"/>
              </w:rPr>
              <w:t> </w:t>
            </w:r>
            <w:r>
              <w:rPr>
                <w:sz w:val="20"/>
              </w:rPr>
              <w:t>2018</w:t>
            </w:r>
            <w:r>
              <w:rPr>
                <w:spacing w:val="-5"/>
                <w:sz w:val="20"/>
              </w:rPr>
              <w:t> </w:t>
            </w:r>
            <w:r>
              <w:rPr>
                <w:sz w:val="20"/>
              </w:rPr>
              <w:t>survey</w:t>
            </w:r>
            <w:r>
              <w:rPr>
                <w:spacing w:val="-8"/>
                <w:sz w:val="20"/>
              </w:rPr>
              <w:t> </w:t>
            </w:r>
            <w:r>
              <w:rPr>
                <w:sz w:val="20"/>
              </w:rPr>
              <w:t>to</w:t>
            </w:r>
            <w:r>
              <w:rPr>
                <w:spacing w:val="-5"/>
                <w:sz w:val="20"/>
              </w:rPr>
              <w:t> </w:t>
            </w:r>
            <w:r>
              <w:rPr>
                <w:sz w:val="20"/>
              </w:rPr>
              <w:t>measure</w:t>
            </w:r>
            <w:r>
              <w:rPr>
                <w:spacing w:val="-6"/>
                <w:sz w:val="20"/>
              </w:rPr>
              <w:t> </w:t>
            </w:r>
            <w:r>
              <w:rPr>
                <w:sz w:val="20"/>
              </w:rPr>
              <w:t>the</w:t>
            </w:r>
            <w:r>
              <w:rPr>
                <w:spacing w:val="-5"/>
                <w:sz w:val="20"/>
              </w:rPr>
              <w:t> </w:t>
            </w:r>
            <w:r>
              <w:rPr>
                <w:sz w:val="20"/>
              </w:rPr>
              <w:t>effects</w:t>
            </w:r>
            <w:r>
              <w:rPr>
                <w:spacing w:val="-6"/>
                <w:sz w:val="20"/>
              </w:rPr>
              <w:t> </w:t>
            </w:r>
            <w:r>
              <w:rPr>
                <w:sz w:val="20"/>
              </w:rPr>
              <w:t>of</w:t>
            </w:r>
            <w:r>
              <w:rPr>
                <w:spacing w:val="-5"/>
                <w:sz w:val="20"/>
              </w:rPr>
              <w:t> </w:t>
            </w:r>
            <w:r>
              <w:rPr>
                <w:sz w:val="20"/>
              </w:rPr>
              <w:t>the</w:t>
            </w:r>
            <w:r>
              <w:rPr>
                <w:spacing w:val="-7"/>
                <w:sz w:val="20"/>
              </w:rPr>
              <w:t> </w:t>
            </w:r>
            <w:r>
              <w:rPr>
                <w:spacing w:val="2"/>
                <w:sz w:val="20"/>
              </w:rPr>
              <w:t>FX</w:t>
            </w:r>
            <w:r>
              <w:rPr>
                <w:spacing w:val="-5"/>
                <w:sz w:val="20"/>
              </w:rPr>
              <w:t> </w:t>
            </w:r>
            <w:r>
              <w:rPr>
                <w:sz w:val="20"/>
              </w:rPr>
              <w:t>Global</w:t>
            </w:r>
            <w:r>
              <w:rPr>
                <w:spacing w:val="-6"/>
                <w:sz w:val="20"/>
              </w:rPr>
              <w:t> </w:t>
            </w:r>
            <w:r>
              <w:rPr>
                <w:sz w:val="20"/>
              </w:rPr>
              <w:t>Code</w:t>
            </w:r>
            <w:r>
              <w:rPr>
                <w:spacing w:val="-5"/>
                <w:sz w:val="20"/>
              </w:rPr>
              <w:t> </w:t>
            </w:r>
            <w:r>
              <w:rPr>
                <w:sz w:val="20"/>
              </w:rPr>
              <w:t>one</w:t>
            </w:r>
            <w:r>
              <w:rPr>
                <w:spacing w:val="-3"/>
                <w:sz w:val="20"/>
              </w:rPr>
              <w:t> </w:t>
            </w:r>
            <w:r>
              <w:rPr>
                <w:sz w:val="20"/>
              </w:rPr>
              <w:t>year</w:t>
            </w:r>
            <w:r>
              <w:rPr>
                <w:spacing w:val="-4"/>
                <w:sz w:val="20"/>
              </w:rPr>
              <w:t> </w:t>
            </w:r>
            <w:r>
              <w:rPr>
                <w:sz w:val="20"/>
              </w:rPr>
              <w:t>on. Overall the preliminary results were encouragingly positive – awareness was good and Code adoption had grown. In particular, the overwhelming majority</w:t>
            </w:r>
            <w:r>
              <w:rPr>
                <w:spacing w:val="-40"/>
                <w:sz w:val="20"/>
              </w:rPr>
              <w:t> </w:t>
            </w:r>
            <w:r>
              <w:rPr>
                <w:sz w:val="20"/>
              </w:rPr>
              <w:t>of respondents reported that the Code had had a positive impact on behaviours and</w:t>
            </w:r>
            <w:r>
              <w:rPr>
                <w:spacing w:val="4"/>
                <w:sz w:val="20"/>
              </w:rPr>
              <w:t> </w:t>
            </w:r>
            <w:r>
              <w:rPr>
                <w:sz w:val="20"/>
              </w:rPr>
              <w:t>practices</w:t>
            </w:r>
            <w:r>
              <w:rPr>
                <w:spacing w:val="6"/>
                <w:sz w:val="20"/>
              </w:rPr>
              <w:t> </w:t>
            </w:r>
            <w:r>
              <w:rPr>
                <w:sz w:val="20"/>
              </w:rPr>
              <w:t>both</w:t>
            </w:r>
            <w:r>
              <w:rPr>
                <w:spacing w:val="4"/>
                <w:sz w:val="20"/>
              </w:rPr>
              <w:t> </w:t>
            </w:r>
            <w:r>
              <w:rPr>
                <w:sz w:val="20"/>
              </w:rPr>
              <w:t>in</w:t>
            </w:r>
            <w:r>
              <w:rPr>
                <w:spacing w:val="7"/>
                <w:sz w:val="20"/>
              </w:rPr>
              <w:t> </w:t>
            </w:r>
            <w:r>
              <w:rPr>
                <w:sz w:val="20"/>
              </w:rPr>
              <w:t>their</w:t>
            </w:r>
            <w:r>
              <w:rPr>
                <w:spacing w:val="5"/>
                <w:sz w:val="20"/>
              </w:rPr>
              <w:t> </w:t>
            </w:r>
            <w:r>
              <w:rPr>
                <w:sz w:val="20"/>
              </w:rPr>
              <w:t>own</w:t>
            </w:r>
            <w:r>
              <w:rPr>
                <w:spacing w:val="5"/>
                <w:sz w:val="20"/>
              </w:rPr>
              <w:t> </w:t>
            </w:r>
            <w:r>
              <w:rPr>
                <w:sz w:val="20"/>
              </w:rPr>
              <w:t>firms</w:t>
            </w:r>
            <w:r>
              <w:rPr>
                <w:spacing w:val="5"/>
                <w:sz w:val="20"/>
              </w:rPr>
              <w:t> </w:t>
            </w:r>
            <w:r>
              <w:rPr>
                <w:sz w:val="20"/>
              </w:rPr>
              <w:t>and</w:t>
            </w:r>
            <w:r>
              <w:rPr>
                <w:spacing w:val="5"/>
                <w:sz w:val="20"/>
              </w:rPr>
              <w:t> </w:t>
            </w:r>
            <w:r>
              <w:rPr>
                <w:sz w:val="20"/>
              </w:rPr>
              <w:t>in</w:t>
            </w:r>
            <w:r>
              <w:rPr>
                <w:spacing w:val="5"/>
                <w:sz w:val="20"/>
              </w:rPr>
              <w:t> </w:t>
            </w:r>
            <w:r>
              <w:rPr>
                <w:sz w:val="20"/>
              </w:rPr>
              <w:t>the</w:t>
            </w:r>
            <w:r>
              <w:rPr>
                <w:spacing w:val="3"/>
                <w:sz w:val="20"/>
              </w:rPr>
              <w:t> </w:t>
            </w:r>
            <w:r>
              <w:rPr>
                <w:sz w:val="20"/>
              </w:rPr>
              <w:t>market</w:t>
            </w:r>
            <w:r>
              <w:rPr>
                <w:spacing w:val="5"/>
                <w:sz w:val="20"/>
              </w:rPr>
              <w:t> </w:t>
            </w:r>
            <w:r>
              <w:rPr>
                <w:sz w:val="20"/>
              </w:rPr>
              <w:t>as</w:t>
            </w:r>
            <w:r>
              <w:rPr>
                <w:spacing w:val="5"/>
                <w:sz w:val="20"/>
              </w:rPr>
              <w:t> </w:t>
            </w:r>
            <w:r>
              <w:rPr>
                <w:sz w:val="20"/>
              </w:rPr>
              <w:t>a</w:t>
            </w:r>
            <w:r>
              <w:rPr>
                <w:spacing w:val="7"/>
                <w:sz w:val="20"/>
              </w:rPr>
              <w:t> </w:t>
            </w:r>
            <w:r>
              <w:rPr>
                <w:sz w:val="20"/>
              </w:rPr>
              <w:t>whole,</w:t>
            </w:r>
            <w:r>
              <w:rPr>
                <w:spacing w:val="6"/>
                <w:sz w:val="20"/>
              </w:rPr>
              <w:t> </w:t>
            </w:r>
            <w:r>
              <w:rPr>
                <w:sz w:val="20"/>
              </w:rPr>
              <w:t>with</w:t>
            </w:r>
            <w:r>
              <w:rPr>
                <w:spacing w:val="7"/>
                <w:sz w:val="20"/>
              </w:rPr>
              <w:t> </w:t>
            </w:r>
            <w:r>
              <w:rPr>
                <w:sz w:val="20"/>
              </w:rPr>
              <w:t>only</w:t>
            </w:r>
            <w:r>
              <w:rPr>
                <w:spacing w:val="4"/>
                <w:sz w:val="20"/>
              </w:rPr>
              <w:t> </w:t>
            </w:r>
            <w:r>
              <w:rPr>
                <w:sz w:val="20"/>
              </w:rPr>
              <w:t>a</w:t>
            </w:r>
          </w:p>
          <w:p>
            <w:pPr>
              <w:pStyle w:val="TableParagraph"/>
              <w:spacing w:line="230" w:lineRule="atLeast" w:before="1"/>
              <w:ind w:left="120" w:right="1687"/>
              <w:jc w:val="both"/>
              <w:rPr>
                <w:sz w:val="20"/>
              </w:rPr>
            </w:pPr>
            <w:r>
              <w:rPr>
                <w:sz w:val="20"/>
              </w:rPr>
              <w:t>tiny minority (approx.1-2%) reporting negative impacts. The GFXC noted that the survey results might also indicate a heightening of expectations that</w:t>
            </w:r>
            <w:r>
              <w:rPr>
                <w:spacing w:val="-39"/>
                <w:sz w:val="20"/>
              </w:rPr>
              <w:t> </w:t>
            </w:r>
            <w:r>
              <w:rPr>
                <w:sz w:val="20"/>
              </w:rPr>
              <w:t>market</w:t>
            </w:r>
          </w:p>
        </w:tc>
      </w:tr>
    </w:tbl>
    <w:p>
      <w:pPr>
        <w:pStyle w:val="BodyText"/>
        <w:rPr>
          <w:rFonts w:ascii="Times New Roman"/>
          <w:u w:val="none"/>
        </w:rPr>
      </w:pPr>
    </w:p>
    <w:p>
      <w:pPr>
        <w:pStyle w:val="BodyText"/>
        <w:spacing w:before="2"/>
        <w:rPr>
          <w:rFonts w:ascii="Times New Roman"/>
          <w:sz w:val="10"/>
          <w:u w:val="none"/>
        </w:rPr>
      </w:pPr>
      <w:r>
        <w:rPr/>
        <w:pict>
          <v:shape style="position:absolute;margin-left:92.183998pt;margin-top:8.113770pt;width:144.050pt;height:.1pt;mso-position-horizontal-relative:page;mso-position-vertical-relative:paragraph;z-index:-251657216;mso-wrap-distance-left:0;mso-wrap-distance-right:0" coordorigin="1844,162" coordsize="2881,0" path="m1844,162l4724,162e" filled="false" stroked="true" strokeweight=".60004pt" strokecolor="#000000">
            <v:path arrowok="t"/>
            <v:stroke dashstyle="solid"/>
            <w10:wrap type="topAndBottom"/>
          </v:shape>
        </w:pict>
      </w:r>
    </w:p>
    <w:p>
      <w:pPr>
        <w:pStyle w:val="BodyText"/>
        <w:spacing w:before="78"/>
        <w:ind w:left="1043"/>
        <w:rPr>
          <w:u w:val="none"/>
        </w:rPr>
      </w:pPr>
      <w:r>
        <w:rPr>
          <w:position w:val="6"/>
          <w:sz w:val="13"/>
          <w:u w:val="none"/>
        </w:rPr>
        <w:t>1</w:t>
      </w:r>
      <w:hyperlink r:id="rId5">
        <w:r>
          <w:rPr>
            <w:color w:val="0000FF"/>
            <w:u w:val="single" w:color="0000FF"/>
          </w:rPr>
          <w:t>https://www.bankofengland.co.uk/-/media/boe/files/markets/foreign-exchange-joint-standing-</w:t>
        </w:r>
      </w:hyperlink>
    </w:p>
    <w:p>
      <w:pPr>
        <w:pStyle w:val="BodyText"/>
        <w:spacing w:line="229" w:lineRule="exact" w:before="1"/>
        <w:ind w:left="1043"/>
        <w:rPr>
          <w:u w:val="none"/>
        </w:rPr>
      </w:pPr>
      <w:hyperlink r:id="rId5">
        <w:r>
          <w:rPr>
            <w:color w:val="0000FF"/>
            <w:u w:val="single" w:color="0000FF"/>
          </w:rPr>
          <w:t>committee/fxjsc-competition-guidelines-2018.pdf</w:t>
        </w:r>
      </w:hyperlink>
    </w:p>
    <w:p>
      <w:pPr>
        <w:pStyle w:val="BodyText"/>
        <w:ind w:left="1043" w:right="713"/>
        <w:rPr>
          <w:u w:val="none"/>
        </w:rPr>
      </w:pPr>
      <w:r>
        <w:rPr>
          <w:position w:val="6"/>
          <w:sz w:val="13"/>
          <w:u w:val="none"/>
        </w:rPr>
        <w:t>2 </w:t>
      </w:r>
      <w:r>
        <w:rPr>
          <w:u w:val="none"/>
        </w:rPr>
        <w:t>The 29-30 November meeting agenda can be found at: </w:t>
      </w:r>
      <w:hyperlink r:id="rId6">
        <w:r>
          <w:rPr>
            <w:color w:val="0000FF"/>
            <w:u w:val="single" w:color="0000FF"/>
          </w:rPr>
          <w:t>https://www.globalfxc.org/agendas.htm</w:t>
        </w:r>
      </w:hyperlink>
    </w:p>
    <w:p>
      <w:pPr>
        <w:pStyle w:val="BodyText"/>
        <w:ind w:left="1043" w:right="713"/>
        <w:rPr>
          <w:u w:val="none"/>
        </w:rPr>
      </w:pPr>
      <w:r>
        <w:rPr>
          <w:position w:val="6"/>
          <w:sz w:val="13"/>
          <w:u w:val="none"/>
        </w:rPr>
        <w:t>3 </w:t>
      </w:r>
      <w:r>
        <w:rPr>
          <w:u w:val="none"/>
        </w:rPr>
        <w:t>The accompanying press release following the GFXC meeting held 29-30 November can be found at: </w:t>
      </w:r>
      <w:hyperlink r:id="rId7">
        <w:r>
          <w:rPr>
            <w:color w:val="0000FF"/>
            <w:u w:val="single" w:color="0000FF"/>
          </w:rPr>
          <w:t>https://www.globalfxc.org/press/p190214.htm</w:t>
        </w:r>
      </w:hyperlink>
    </w:p>
    <w:p>
      <w:pPr>
        <w:spacing w:after="0"/>
        <w:sectPr>
          <w:pgSz w:w="11910" w:h="16840"/>
          <w:pgMar w:top="1420" w:bottom="280" w:left="800" w:right="960"/>
        </w:sect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7447"/>
        <w:gridCol w:w="1606"/>
      </w:tblGrid>
      <w:tr>
        <w:trPr>
          <w:trHeight w:val="3789" w:hRule="atLeast"/>
        </w:trPr>
        <w:tc>
          <w:tcPr>
            <w:tcW w:w="725" w:type="dxa"/>
          </w:tcPr>
          <w:p>
            <w:pPr>
              <w:pStyle w:val="TableParagraph"/>
              <w:rPr>
                <w:rFonts w:ascii="Times New Roman"/>
                <w:sz w:val="18"/>
              </w:rPr>
            </w:pPr>
          </w:p>
        </w:tc>
        <w:tc>
          <w:tcPr>
            <w:tcW w:w="7447" w:type="dxa"/>
          </w:tcPr>
          <w:p>
            <w:pPr>
              <w:pStyle w:val="TableParagraph"/>
              <w:ind w:left="360" w:right="105"/>
              <w:jc w:val="both"/>
              <w:rPr>
                <w:sz w:val="20"/>
              </w:rPr>
            </w:pPr>
            <w:r>
              <w:rPr>
                <w:sz w:val="20"/>
              </w:rPr>
              <w:t>participants have of their counterparties: one of the key objectives of the  Code. Analysis of the survey results was ongoing and the GFXC would publish its findings in early</w:t>
            </w:r>
            <w:r>
              <w:rPr>
                <w:spacing w:val="-6"/>
                <w:sz w:val="20"/>
              </w:rPr>
              <w:t> </w:t>
            </w:r>
            <w:r>
              <w:rPr>
                <w:sz w:val="20"/>
              </w:rPr>
              <w:t>2019.</w:t>
            </w:r>
          </w:p>
          <w:p>
            <w:pPr>
              <w:pStyle w:val="TableParagraph"/>
              <w:spacing w:before="3"/>
              <w:rPr>
                <w:sz w:val="19"/>
              </w:rPr>
            </w:pPr>
          </w:p>
          <w:p>
            <w:pPr>
              <w:pStyle w:val="TableParagraph"/>
              <w:spacing w:before="1"/>
              <w:ind w:left="360" w:right="108"/>
              <w:jc w:val="both"/>
              <w:rPr>
                <w:sz w:val="20"/>
              </w:rPr>
            </w:pPr>
            <w:r>
              <w:rPr>
                <w:sz w:val="20"/>
              </w:rPr>
              <w:t>The GFXC also reviewed the work of the buy-side outreach working group completed during 2018 and its plans for 2019. A focus of the planned outreach efforts</w:t>
            </w:r>
            <w:r>
              <w:rPr>
                <w:spacing w:val="-8"/>
                <w:sz w:val="20"/>
              </w:rPr>
              <w:t> </w:t>
            </w:r>
            <w:r>
              <w:rPr>
                <w:sz w:val="20"/>
              </w:rPr>
              <w:t>would</w:t>
            </w:r>
            <w:r>
              <w:rPr>
                <w:spacing w:val="-7"/>
                <w:sz w:val="20"/>
              </w:rPr>
              <w:t> </w:t>
            </w:r>
            <w:r>
              <w:rPr>
                <w:sz w:val="20"/>
              </w:rPr>
              <w:t>be</w:t>
            </w:r>
            <w:r>
              <w:rPr>
                <w:spacing w:val="-7"/>
                <w:sz w:val="20"/>
              </w:rPr>
              <w:t> </w:t>
            </w:r>
            <w:r>
              <w:rPr>
                <w:sz w:val="20"/>
              </w:rPr>
              <w:t>clearly</w:t>
            </w:r>
            <w:r>
              <w:rPr>
                <w:spacing w:val="-10"/>
                <w:sz w:val="20"/>
              </w:rPr>
              <w:t> </w:t>
            </w:r>
            <w:r>
              <w:rPr>
                <w:sz w:val="20"/>
              </w:rPr>
              <w:t>articulating</w:t>
            </w:r>
            <w:r>
              <w:rPr>
                <w:spacing w:val="-8"/>
                <w:sz w:val="20"/>
              </w:rPr>
              <w:t> </w:t>
            </w:r>
            <w:r>
              <w:rPr>
                <w:sz w:val="20"/>
              </w:rPr>
              <w:t>the</w:t>
            </w:r>
            <w:r>
              <w:rPr>
                <w:spacing w:val="-7"/>
                <w:sz w:val="20"/>
              </w:rPr>
              <w:t> </w:t>
            </w:r>
            <w:r>
              <w:rPr>
                <w:sz w:val="20"/>
              </w:rPr>
              <w:t>benefits</w:t>
            </w:r>
            <w:r>
              <w:rPr>
                <w:spacing w:val="-6"/>
                <w:sz w:val="20"/>
              </w:rPr>
              <w:t> </w:t>
            </w:r>
            <w:r>
              <w:rPr>
                <w:sz w:val="20"/>
              </w:rPr>
              <w:t>of</w:t>
            </w:r>
            <w:r>
              <w:rPr>
                <w:spacing w:val="-6"/>
                <w:sz w:val="20"/>
              </w:rPr>
              <w:t> </w:t>
            </w:r>
            <w:r>
              <w:rPr>
                <w:sz w:val="20"/>
              </w:rPr>
              <w:t>signing</w:t>
            </w:r>
            <w:r>
              <w:rPr>
                <w:spacing w:val="-7"/>
                <w:sz w:val="20"/>
              </w:rPr>
              <w:t> </w:t>
            </w:r>
            <w:r>
              <w:rPr>
                <w:sz w:val="20"/>
              </w:rPr>
              <w:t>up</w:t>
            </w:r>
            <w:r>
              <w:rPr>
                <w:spacing w:val="-7"/>
                <w:sz w:val="20"/>
              </w:rPr>
              <w:t> </w:t>
            </w:r>
            <w:r>
              <w:rPr>
                <w:sz w:val="20"/>
              </w:rPr>
              <w:t>to</w:t>
            </w:r>
            <w:r>
              <w:rPr>
                <w:spacing w:val="-7"/>
                <w:sz w:val="20"/>
              </w:rPr>
              <w:t> </w:t>
            </w:r>
            <w:r>
              <w:rPr>
                <w:sz w:val="20"/>
              </w:rPr>
              <w:t>the</w:t>
            </w:r>
            <w:r>
              <w:rPr>
                <w:spacing w:val="-8"/>
                <w:sz w:val="20"/>
              </w:rPr>
              <w:t> </w:t>
            </w:r>
            <w:r>
              <w:rPr>
                <w:sz w:val="20"/>
              </w:rPr>
              <w:t>Code</w:t>
            </w:r>
            <w:r>
              <w:rPr>
                <w:spacing w:val="-7"/>
                <w:sz w:val="20"/>
              </w:rPr>
              <w:t> </w:t>
            </w:r>
            <w:r>
              <w:rPr>
                <w:sz w:val="20"/>
              </w:rPr>
              <w:t>for</w:t>
            </w:r>
            <w:r>
              <w:rPr>
                <w:spacing w:val="-6"/>
                <w:sz w:val="20"/>
              </w:rPr>
              <w:t> </w:t>
            </w:r>
            <w:r>
              <w:rPr>
                <w:sz w:val="20"/>
              </w:rPr>
              <w:t>the buy-side community and understanding the challenges faced. This would be achieved via bilateral engagement and by expanding the GFXC's participation in buy-side-focused industry</w:t>
            </w:r>
            <w:r>
              <w:rPr>
                <w:spacing w:val="-5"/>
                <w:sz w:val="20"/>
              </w:rPr>
              <w:t> </w:t>
            </w:r>
            <w:r>
              <w:rPr>
                <w:sz w:val="20"/>
              </w:rPr>
              <w:t>events.</w:t>
            </w:r>
          </w:p>
          <w:p>
            <w:pPr>
              <w:pStyle w:val="TableParagraph"/>
              <w:rPr>
                <w:sz w:val="20"/>
              </w:rPr>
            </w:pPr>
          </w:p>
          <w:p>
            <w:pPr>
              <w:pStyle w:val="TableParagraph"/>
              <w:ind w:left="360" w:right="107"/>
              <w:jc w:val="both"/>
              <w:rPr>
                <w:sz w:val="20"/>
              </w:rPr>
            </w:pPr>
            <w:r>
              <w:rPr>
                <w:sz w:val="20"/>
              </w:rPr>
              <w:t>Mr Edmunds noted that the second day of the GFXC meeting featured</w:t>
            </w:r>
            <w:r>
              <w:rPr>
                <w:spacing w:val="-19"/>
                <w:sz w:val="20"/>
              </w:rPr>
              <w:t> </w:t>
            </w:r>
            <w:r>
              <w:rPr>
                <w:sz w:val="20"/>
              </w:rPr>
              <w:t>updates from local foreign exchange committees, including the FXJSC, and a presentation on reference rate reform and its applicability to FX markets. The meeting minutes and papers would be published in Q1 2019. The next GFXC meeting would be held in 22-23 May in</w:t>
            </w:r>
            <w:r>
              <w:rPr>
                <w:spacing w:val="-2"/>
                <w:sz w:val="20"/>
              </w:rPr>
              <w:t> </w:t>
            </w:r>
            <w:r>
              <w:rPr>
                <w:sz w:val="20"/>
              </w:rPr>
              <w:t>Tokyo.</w:t>
            </w:r>
          </w:p>
        </w:tc>
        <w:tc>
          <w:tcPr>
            <w:tcW w:w="1606" w:type="dxa"/>
          </w:tcPr>
          <w:p>
            <w:pPr>
              <w:pStyle w:val="TableParagraph"/>
              <w:rPr>
                <w:rFonts w:ascii="Times New Roman"/>
                <w:sz w:val="18"/>
              </w:rPr>
            </w:pPr>
          </w:p>
        </w:tc>
      </w:tr>
      <w:tr>
        <w:trPr>
          <w:trHeight w:val="5980" w:hRule="atLeast"/>
        </w:trPr>
        <w:tc>
          <w:tcPr>
            <w:tcW w:w="725" w:type="dxa"/>
          </w:tcPr>
          <w:p>
            <w:pPr>
              <w:pStyle w:val="TableParagraph"/>
              <w:spacing w:before="113"/>
              <w:ind w:left="200"/>
              <w:rPr>
                <w:sz w:val="20"/>
              </w:rPr>
            </w:pPr>
            <w:r>
              <w:rPr>
                <w:sz w:val="20"/>
              </w:rPr>
              <w:t>6.</w:t>
            </w:r>
          </w:p>
        </w:tc>
        <w:tc>
          <w:tcPr>
            <w:tcW w:w="7447" w:type="dxa"/>
          </w:tcPr>
          <w:p>
            <w:pPr>
              <w:pStyle w:val="TableParagraph"/>
              <w:spacing w:before="110"/>
              <w:ind w:left="360" w:right="106"/>
              <w:jc w:val="both"/>
              <w:rPr>
                <w:b/>
                <w:sz w:val="20"/>
              </w:rPr>
            </w:pPr>
            <w:r>
              <w:rPr>
                <w:b/>
                <w:sz w:val="20"/>
              </w:rPr>
              <w:t>Member discussion regarding Japan unforeseen market holiday in April- May 2019</w:t>
            </w:r>
          </w:p>
          <w:p>
            <w:pPr>
              <w:pStyle w:val="TableParagraph"/>
              <w:spacing w:before="4"/>
              <w:ind w:left="360" w:right="105"/>
              <w:jc w:val="both"/>
              <w:rPr>
                <w:sz w:val="20"/>
              </w:rPr>
            </w:pPr>
            <w:r>
              <w:rPr>
                <w:sz w:val="20"/>
              </w:rPr>
              <w:t>The Chair explained that there would be a 10-day unforeseen market holiday period due to be observed in Japan, which will be held over Japan’s Golden Week between 27 April – 6 May 2019, and was ‘unforeseen’ due to the Japanese emperor’s planned abdication.</w:t>
            </w:r>
          </w:p>
          <w:p>
            <w:pPr>
              <w:pStyle w:val="TableParagraph"/>
              <w:rPr>
                <w:sz w:val="20"/>
              </w:rPr>
            </w:pPr>
          </w:p>
          <w:p>
            <w:pPr>
              <w:pStyle w:val="TableParagraph"/>
              <w:ind w:left="360" w:right="108"/>
              <w:jc w:val="both"/>
              <w:rPr>
                <w:sz w:val="20"/>
              </w:rPr>
            </w:pPr>
            <w:r>
              <w:rPr>
                <w:sz w:val="20"/>
              </w:rPr>
              <w:t>The Tokyo Foreign Exchange Committee (FXC) had produced a draft output detailing proposed settlement guidance in the interbank market during this Golden Week. The draft guidance proposed that, in the absence of existing bilateral</w:t>
            </w:r>
            <w:r>
              <w:rPr>
                <w:spacing w:val="-6"/>
                <w:sz w:val="20"/>
              </w:rPr>
              <w:t> </w:t>
            </w:r>
            <w:r>
              <w:rPr>
                <w:sz w:val="20"/>
              </w:rPr>
              <w:t>agreements,</w:t>
            </w:r>
            <w:r>
              <w:rPr>
                <w:spacing w:val="-8"/>
                <w:sz w:val="20"/>
              </w:rPr>
              <w:t> </w:t>
            </w:r>
            <w:r>
              <w:rPr>
                <w:sz w:val="20"/>
              </w:rPr>
              <w:t>market</w:t>
            </w:r>
            <w:r>
              <w:rPr>
                <w:spacing w:val="-6"/>
                <w:sz w:val="20"/>
              </w:rPr>
              <w:t> </w:t>
            </w:r>
            <w:r>
              <w:rPr>
                <w:sz w:val="20"/>
              </w:rPr>
              <w:t>participants</w:t>
            </w:r>
            <w:r>
              <w:rPr>
                <w:spacing w:val="-5"/>
                <w:sz w:val="20"/>
              </w:rPr>
              <w:t> </w:t>
            </w:r>
            <w:r>
              <w:rPr>
                <w:sz w:val="20"/>
              </w:rPr>
              <w:t>adopt</w:t>
            </w:r>
            <w:r>
              <w:rPr>
                <w:spacing w:val="-6"/>
                <w:sz w:val="20"/>
              </w:rPr>
              <w:t> </w:t>
            </w:r>
            <w:r>
              <w:rPr>
                <w:sz w:val="20"/>
              </w:rPr>
              <w:t>a</w:t>
            </w:r>
            <w:r>
              <w:rPr>
                <w:spacing w:val="-6"/>
                <w:sz w:val="20"/>
              </w:rPr>
              <w:t> </w:t>
            </w:r>
            <w:r>
              <w:rPr>
                <w:sz w:val="20"/>
              </w:rPr>
              <w:t>modified</w:t>
            </w:r>
            <w:r>
              <w:rPr>
                <w:spacing w:val="-6"/>
                <w:sz w:val="20"/>
              </w:rPr>
              <w:t> </w:t>
            </w:r>
            <w:r>
              <w:rPr>
                <w:sz w:val="20"/>
              </w:rPr>
              <w:t>following</w:t>
            </w:r>
            <w:r>
              <w:rPr>
                <w:spacing w:val="-6"/>
                <w:sz w:val="20"/>
              </w:rPr>
              <w:t> </w:t>
            </w:r>
            <w:r>
              <w:rPr>
                <w:sz w:val="20"/>
              </w:rPr>
              <w:t>convention for FX spot and forward contracts as a moderate market</w:t>
            </w:r>
            <w:r>
              <w:rPr>
                <w:spacing w:val="-10"/>
                <w:sz w:val="20"/>
              </w:rPr>
              <w:t> </w:t>
            </w:r>
            <w:r>
              <w:rPr>
                <w:sz w:val="20"/>
              </w:rPr>
              <w:t>practice.</w:t>
            </w:r>
          </w:p>
          <w:p>
            <w:pPr>
              <w:pStyle w:val="TableParagraph"/>
              <w:rPr>
                <w:sz w:val="20"/>
              </w:rPr>
            </w:pPr>
          </w:p>
          <w:p>
            <w:pPr>
              <w:pStyle w:val="TableParagraph"/>
              <w:ind w:left="360" w:right="107"/>
              <w:jc w:val="both"/>
              <w:rPr>
                <w:sz w:val="20"/>
              </w:rPr>
            </w:pPr>
            <w:r>
              <w:rPr>
                <w:sz w:val="20"/>
              </w:rPr>
              <w:t>Members discussed some of the implications of adopting a modified following convention, particularly the impacts this may have on system changes and potential ambiguities this could create to pricing spot and forward FX transactions with different settlement dates in the days immediately prior to the Golden Week. Mr Cooper noted that CLS had loaded the Japanese yen currency holidays into the CLS system on a modified following basis, and had sent a notification to its members.</w:t>
            </w:r>
          </w:p>
          <w:p>
            <w:pPr>
              <w:pStyle w:val="TableParagraph"/>
              <w:spacing w:before="10"/>
              <w:rPr>
                <w:sz w:val="19"/>
              </w:rPr>
            </w:pPr>
          </w:p>
          <w:p>
            <w:pPr>
              <w:pStyle w:val="TableParagraph"/>
              <w:ind w:left="360" w:right="110"/>
              <w:jc w:val="both"/>
              <w:rPr>
                <w:sz w:val="20"/>
              </w:rPr>
            </w:pPr>
            <w:r>
              <w:rPr>
                <w:sz w:val="20"/>
              </w:rPr>
              <w:t>Members welcomed the guidance received from the Tokyo FXC, but noted</w:t>
            </w:r>
            <w:r>
              <w:rPr>
                <w:spacing w:val="-26"/>
                <w:sz w:val="20"/>
              </w:rPr>
              <w:t> </w:t>
            </w:r>
            <w:r>
              <w:rPr>
                <w:sz w:val="20"/>
              </w:rPr>
              <w:t>that firms may also want to engage bilaterally with their counterparties. Mr Manchester</w:t>
            </w:r>
            <w:r>
              <w:rPr>
                <w:spacing w:val="-12"/>
                <w:sz w:val="20"/>
              </w:rPr>
              <w:t> </w:t>
            </w:r>
            <w:r>
              <w:rPr>
                <w:sz w:val="20"/>
              </w:rPr>
              <w:t>noted</w:t>
            </w:r>
            <w:r>
              <w:rPr>
                <w:spacing w:val="-12"/>
                <w:sz w:val="20"/>
              </w:rPr>
              <w:t> </w:t>
            </w:r>
            <w:r>
              <w:rPr>
                <w:sz w:val="20"/>
              </w:rPr>
              <w:t>that</w:t>
            </w:r>
            <w:r>
              <w:rPr>
                <w:spacing w:val="-10"/>
                <w:sz w:val="20"/>
              </w:rPr>
              <w:t> </w:t>
            </w:r>
            <w:r>
              <w:rPr>
                <w:sz w:val="20"/>
              </w:rPr>
              <w:t>the</w:t>
            </w:r>
            <w:r>
              <w:rPr>
                <w:spacing w:val="-8"/>
                <w:sz w:val="20"/>
              </w:rPr>
              <w:t> </w:t>
            </w:r>
            <w:r>
              <w:rPr>
                <w:sz w:val="20"/>
              </w:rPr>
              <w:t>Tokyo</w:t>
            </w:r>
            <w:r>
              <w:rPr>
                <w:spacing w:val="-13"/>
                <w:sz w:val="20"/>
              </w:rPr>
              <w:t> </w:t>
            </w:r>
            <w:r>
              <w:rPr>
                <w:sz w:val="20"/>
              </w:rPr>
              <w:t>FXC</w:t>
            </w:r>
            <w:r>
              <w:rPr>
                <w:spacing w:val="-9"/>
                <w:sz w:val="20"/>
              </w:rPr>
              <w:t> </w:t>
            </w:r>
            <w:r>
              <w:rPr>
                <w:sz w:val="20"/>
              </w:rPr>
              <w:t>would</w:t>
            </w:r>
            <w:r>
              <w:rPr>
                <w:spacing w:val="-12"/>
                <w:sz w:val="20"/>
              </w:rPr>
              <w:t> </w:t>
            </w:r>
            <w:r>
              <w:rPr>
                <w:sz w:val="20"/>
              </w:rPr>
              <w:t>be</w:t>
            </w:r>
            <w:r>
              <w:rPr>
                <w:spacing w:val="-13"/>
                <w:sz w:val="20"/>
              </w:rPr>
              <w:t> </w:t>
            </w:r>
            <w:r>
              <w:rPr>
                <w:sz w:val="20"/>
              </w:rPr>
              <w:t>publishing</w:t>
            </w:r>
            <w:r>
              <w:rPr>
                <w:spacing w:val="-12"/>
                <w:sz w:val="20"/>
              </w:rPr>
              <w:t> </w:t>
            </w:r>
            <w:r>
              <w:rPr>
                <w:sz w:val="20"/>
              </w:rPr>
              <w:t>a</w:t>
            </w:r>
            <w:r>
              <w:rPr>
                <w:spacing w:val="-12"/>
                <w:sz w:val="20"/>
              </w:rPr>
              <w:t> </w:t>
            </w:r>
            <w:r>
              <w:rPr>
                <w:sz w:val="20"/>
              </w:rPr>
              <w:t>finalised</w:t>
            </w:r>
            <w:r>
              <w:rPr>
                <w:spacing w:val="-13"/>
                <w:sz w:val="20"/>
              </w:rPr>
              <w:t> </w:t>
            </w:r>
            <w:r>
              <w:rPr>
                <w:sz w:val="20"/>
              </w:rPr>
              <w:t>statement outlining the recommended settlement guidance in February</w:t>
            </w:r>
            <w:r>
              <w:rPr>
                <w:spacing w:val="-6"/>
                <w:sz w:val="20"/>
              </w:rPr>
              <w:t> </w:t>
            </w:r>
            <w:r>
              <w:rPr>
                <w:sz w:val="20"/>
              </w:rPr>
              <w:t>2019</w:t>
            </w:r>
            <w:r>
              <w:rPr>
                <w:position w:val="6"/>
                <w:sz w:val="13"/>
              </w:rPr>
              <w:t>4</w:t>
            </w:r>
            <w:r>
              <w:rPr>
                <w:sz w:val="20"/>
              </w:rPr>
              <w:t>.</w:t>
            </w:r>
          </w:p>
        </w:tc>
        <w:tc>
          <w:tcPr>
            <w:tcW w:w="1606" w:type="dxa"/>
          </w:tcPr>
          <w:p>
            <w:pPr>
              <w:pStyle w:val="TableParagraph"/>
              <w:rPr>
                <w:rFonts w:ascii="Times New Roman"/>
                <w:sz w:val="18"/>
              </w:rPr>
            </w:pPr>
          </w:p>
        </w:tc>
      </w:tr>
      <w:tr>
        <w:trPr>
          <w:trHeight w:val="3366" w:hRule="atLeast"/>
        </w:trPr>
        <w:tc>
          <w:tcPr>
            <w:tcW w:w="725" w:type="dxa"/>
          </w:tcPr>
          <w:p>
            <w:pPr>
              <w:pStyle w:val="TableParagraph"/>
              <w:spacing w:before="112"/>
              <w:ind w:left="200"/>
              <w:rPr>
                <w:sz w:val="20"/>
              </w:rPr>
            </w:pPr>
            <w:r>
              <w:rPr>
                <w:sz w:val="20"/>
              </w:rPr>
              <w:t>7.</w:t>
            </w:r>
          </w:p>
        </w:tc>
        <w:tc>
          <w:tcPr>
            <w:tcW w:w="7447" w:type="dxa"/>
          </w:tcPr>
          <w:p>
            <w:pPr>
              <w:pStyle w:val="TableParagraph"/>
              <w:spacing w:line="259" w:lineRule="auto" w:before="109"/>
              <w:ind w:left="360" w:right="107"/>
              <w:rPr>
                <w:sz w:val="20"/>
              </w:rPr>
            </w:pPr>
            <w:r>
              <w:rPr>
                <w:b/>
                <w:sz w:val="20"/>
              </w:rPr>
              <w:t>Presentation on Digital Currencies and Distributed Ledger Technology </w:t>
            </w:r>
            <w:r>
              <w:rPr>
                <w:sz w:val="20"/>
              </w:rPr>
              <w:t>Ben</w:t>
            </w:r>
            <w:r>
              <w:rPr>
                <w:spacing w:val="-6"/>
                <w:sz w:val="20"/>
              </w:rPr>
              <w:t> </w:t>
            </w:r>
            <w:r>
              <w:rPr>
                <w:sz w:val="20"/>
              </w:rPr>
              <w:t>Dyson</w:t>
            </w:r>
            <w:r>
              <w:rPr>
                <w:spacing w:val="-6"/>
                <w:sz w:val="20"/>
              </w:rPr>
              <w:t> </w:t>
            </w:r>
            <w:r>
              <w:rPr>
                <w:sz w:val="20"/>
              </w:rPr>
              <w:t>and</w:t>
            </w:r>
            <w:r>
              <w:rPr>
                <w:spacing w:val="-6"/>
                <w:sz w:val="20"/>
              </w:rPr>
              <w:t> </w:t>
            </w:r>
            <w:r>
              <w:rPr>
                <w:sz w:val="20"/>
              </w:rPr>
              <w:t>Simon</w:t>
            </w:r>
            <w:r>
              <w:rPr>
                <w:spacing w:val="-5"/>
                <w:sz w:val="20"/>
              </w:rPr>
              <w:t> </w:t>
            </w:r>
            <w:r>
              <w:rPr>
                <w:sz w:val="20"/>
              </w:rPr>
              <w:t>Scorer</w:t>
            </w:r>
            <w:r>
              <w:rPr>
                <w:spacing w:val="-5"/>
                <w:sz w:val="20"/>
              </w:rPr>
              <w:t> </w:t>
            </w:r>
            <w:r>
              <w:rPr>
                <w:sz w:val="20"/>
              </w:rPr>
              <w:t>delivered</w:t>
            </w:r>
            <w:r>
              <w:rPr>
                <w:spacing w:val="-6"/>
                <w:sz w:val="20"/>
              </w:rPr>
              <w:t> </w:t>
            </w:r>
            <w:r>
              <w:rPr>
                <w:sz w:val="20"/>
              </w:rPr>
              <w:t>a</w:t>
            </w:r>
            <w:r>
              <w:rPr>
                <w:spacing w:val="-6"/>
                <w:sz w:val="20"/>
              </w:rPr>
              <w:t> </w:t>
            </w:r>
            <w:r>
              <w:rPr>
                <w:sz w:val="20"/>
              </w:rPr>
              <w:t>presentation</w:t>
            </w:r>
            <w:r>
              <w:rPr>
                <w:spacing w:val="-3"/>
                <w:sz w:val="20"/>
              </w:rPr>
              <w:t> </w:t>
            </w:r>
            <w:r>
              <w:rPr>
                <w:sz w:val="20"/>
              </w:rPr>
              <w:t>on</w:t>
            </w:r>
            <w:r>
              <w:rPr>
                <w:spacing w:val="-8"/>
                <w:sz w:val="20"/>
              </w:rPr>
              <w:t> </w:t>
            </w:r>
            <w:r>
              <w:rPr>
                <w:sz w:val="20"/>
              </w:rPr>
              <w:t>cryptocurrencies</w:t>
            </w:r>
            <w:r>
              <w:rPr>
                <w:spacing w:val="-5"/>
                <w:sz w:val="20"/>
              </w:rPr>
              <w:t> </w:t>
            </w:r>
            <w:r>
              <w:rPr>
                <w:sz w:val="20"/>
              </w:rPr>
              <w:t>and distributed ledger technology (DLT). Mr Dyson outlined some of the areas </w:t>
            </w:r>
            <w:r>
              <w:rPr>
                <w:spacing w:val="1"/>
                <w:sz w:val="20"/>
              </w:rPr>
              <w:t> </w:t>
            </w:r>
            <w:r>
              <w:rPr>
                <w:sz w:val="20"/>
              </w:rPr>
              <w:t>that</w:t>
            </w:r>
          </w:p>
          <w:p>
            <w:pPr>
              <w:pStyle w:val="TableParagraph"/>
              <w:spacing w:line="212" w:lineRule="exact"/>
              <w:ind w:left="360"/>
              <w:rPr>
                <w:sz w:val="20"/>
              </w:rPr>
            </w:pPr>
            <w:r>
              <w:rPr>
                <w:sz w:val="20"/>
              </w:rPr>
              <w:t>the</w:t>
            </w:r>
            <w:r>
              <w:rPr>
                <w:spacing w:val="-8"/>
                <w:sz w:val="20"/>
              </w:rPr>
              <w:t> </w:t>
            </w:r>
            <w:r>
              <w:rPr>
                <w:sz w:val="20"/>
              </w:rPr>
              <w:t>Bank</w:t>
            </w:r>
            <w:r>
              <w:rPr>
                <w:spacing w:val="-4"/>
                <w:sz w:val="20"/>
              </w:rPr>
              <w:t> </w:t>
            </w:r>
            <w:r>
              <w:rPr>
                <w:sz w:val="20"/>
              </w:rPr>
              <w:t>of</w:t>
            </w:r>
            <w:r>
              <w:rPr>
                <w:spacing w:val="-6"/>
                <w:sz w:val="20"/>
              </w:rPr>
              <w:t> </w:t>
            </w:r>
            <w:r>
              <w:rPr>
                <w:sz w:val="20"/>
              </w:rPr>
              <w:t>England</w:t>
            </w:r>
            <w:r>
              <w:rPr>
                <w:spacing w:val="-7"/>
                <w:sz w:val="20"/>
              </w:rPr>
              <w:t> </w:t>
            </w:r>
            <w:r>
              <w:rPr>
                <w:sz w:val="20"/>
              </w:rPr>
              <w:t>had</w:t>
            </w:r>
            <w:r>
              <w:rPr>
                <w:spacing w:val="-8"/>
                <w:sz w:val="20"/>
              </w:rPr>
              <w:t> </w:t>
            </w:r>
            <w:r>
              <w:rPr>
                <w:sz w:val="20"/>
              </w:rPr>
              <w:t>researched</w:t>
            </w:r>
            <w:r>
              <w:rPr>
                <w:spacing w:val="-5"/>
                <w:sz w:val="20"/>
              </w:rPr>
              <w:t> </w:t>
            </w:r>
            <w:r>
              <w:rPr>
                <w:sz w:val="20"/>
              </w:rPr>
              <w:t>such</w:t>
            </w:r>
            <w:r>
              <w:rPr>
                <w:spacing w:val="-8"/>
                <w:sz w:val="20"/>
              </w:rPr>
              <w:t> </w:t>
            </w:r>
            <w:r>
              <w:rPr>
                <w:sz w:val="20"/>
              </w:rPr>
              <w:t>as</w:t>
            </w:r>
            <w:r>
              <w:rPr>
                <w:spacing w:val="-5"/>
                <w:sz w:val="20"/>
              </w:rPr>
              <w:t> </w:t>
            </w:r>
            <w:r>
              <w:rPr>
                <w:sz w:val="20"/>
              </w:rPr>
              <w:t>how</w:t>
            </w:r>
            <w:r>
              <w:rPr>
                <w:spacing w:val="-7"/>
                <w:sz w:val="20"/>
              </w:rPr>
              <w:t> </w:t>
            </w:r>
            <w:r>
              <w:rPr>
                <w:sz w:val="20"/>
              </w:rPr>
              <w:t>widely</w:t>
            </w:r>
            <w:r>
              <w:rPr>
                <w:spacing w:val="-11"/>
                <w:sz w:val="20"/>
              </w:rPr>
              <w:t> </w:t>
            </w:r>
            <w:r>
              <w:rPr>
                <w:sz w:val="20"/>
              </w:rPr>
              <w:t>used</w:t>
            </w:r>
            <w:r>
              <w:rPr>
                <w:spacing w:val="-7"/>
                <w:sz w:val="20"/>
              </w:rPr>
              <w:t> </w:t>
            </w:r>
            <w:r>
              <w:rPr>
                <w:sz w:val="20"/>
              </w:rPr>
              <w:t>cryptocurrencies</w:t>
            </w:r>
          </w:p>
          <w:p>
            <w:pPr>
              <w:pStyle w:val="TableParagraph"/>
              <w:spacing w:before="1"/>
              <w:ind w:left="360" w:right="106"/>
              <w:jc w:val="both"/>
              <w:rPr>
                <w:sz w:val="20"/>
              </w:rPr>
            </w:pPr>
            <w:r>
              <w:rPr>
                <w:sz w:val="20"/>
              </w:rPr>
              <w:t>are for payments or settlement, the size of exposures taken by systemically important firms, and whether they posed a risk in disrupting systemically important financial markets. Mr Dyson also explained some of the Bank’s work in monitoring developments in underlying and derivative markets, and monitoring whether technological, behavioural and regulatory constraints could be overcome.</w:t>
            </w:r>
          </w:p>
          <w:p>
            <w:pPr>
              <w:pStyle w:val="TableParagraph"/>
              <w:spacing w:before="1"/>
              <w:rPr>
                <w:sz w:val="20"/>
              </w:rPr>
            </w:pPr>
          </w:p>
          <w:p>
            <w:pPr>
              <w:pStyle w:val="TableParagraph"/>
              <w:ind w:left="360"/>
              <w:jc w:val="both"/>
              <w:rPr>
                <w:sz w:val="20"/>
              </w:rPr>
            </w:pPr>
            <w:r>
              <w:rPr>
                <w:sz w:val="20"/>
              </w:rPr>
              <w:t>Mr</w:t>
            </w:r>
            <w:r>
              <w:rPr>
                <w:spacing w:val="31"/>
                <w:sz w:val="20"/>
              </w:rPr>
              <w:t> </w:t>
            </w:r>
            <w:r>
              <w:rPr>
                <w:sz w:val="20"/>
              </w:rPr>
              <w:t>Scorer</w:t>
            </w:r>
            <w:r>
              <w:rPr>
                <w:spacing w:val="32"/>
                <w:sz w:val="20"/>
              </w:rPr>
              <w:t> </w:t>
            </w:r>
            <w:r>
              <w:rPr>
                <w:sz w:val="20"/>
              </w:rPr>
              <w:t>explained</w:t>
            </w:r>
            <w:r>
              <w:rPr>
                <w:spacing w:val="31"/>
                <w:sz w:val="20"/>
              </w:rPr>
              <w:t> </w:t>
            </w:r>
            <w:r>
              <w:rPr>
                <w:sz w:val="20"/>
              </w:rPr>
              <w:t>the</w:t>
            </w:r>
            <w:r>
              <w:rPr>
                <w:spacing w:val="30"/>
                <w:sz w:val="20"/>
              </w:rPr>
              <w:t> </w:t>
            </w:r>
            <w:r>
              <w:rPr>
                <w:sz w:val="20"/>
              </w:rPr>
              <w:t>underlying</w:t>
            </w:r>
            <w:r>
              <w:rPr>
                <w:spacing w:val="34"/>
                <w:sz w:val="20"/>
              </w:rPr>
              <w:t> </w:t>
            </w:r>
            <w:r>
              <w:rPr>
                <w:sz w:val="20"/>
              </w:rPr>
              <w:t>DLT</w:t>
            </w:r>
            <w:r>
              <w:rPr>
                <w:spacing w:val="34"/>
                <w:sz w:val="20"/>
              </w:rPr>
              <w:t> </w:t>
            </w:r>
            <w:r>
              <w:rPr>
                <w:sz w:val="20"/>
              </w:rPr>
              <w:t>and</w:t>
            </w:r>
            <w:r>
              <w:rPr>
                <w:spacing w:val="31"/>
                <w:sz w:val="20"/>
              </w:rPr>
              <w:t> </w:t>
            </w:r>
            <w:r>
              <w:rPr>
                <w:sz w:val="20"/>
              </w:rPr>
              <w:t>the</w:t>
            </w:r>
            <w:r>
              <w:rPr>
                <w:spacing w:val="31"/>
                <w:sz w:val="20"/>
              </w:rPr>
              <w:t> </w:t>
            </w:r>
            <w:r>
              <w:rPr>
                <w:sz w:val="20"/>
              </w:rPr>
              <w:t>range</w:t>
            </w:r>
            <w:r>
              <w:rPr>
                <w:spacing w:val="30"/>
                <w:sz w:val="20"/>
              </w:rPr>
              <w:t> </w:t>
            </w:r>
            <w:r>
              <w:rPr>
                <w:sz w:val="20"/>
              </w:rPr>
              <w:t>of</w:t>
            </w:r>
            <w:r>
              <w:rPr>
                <w:spacing w:val="34"/>
                <w:sz w:val="20"/>
              </w:rPr>
              <w:t> </w:t>
            </w:r>
            <w:r>
              <w:rPr>
                <w:sz w:val="20"/>
              </w:rPr>
              <w:t>different</w:t>
            </w:r>
            <w:r>
              <w:rPr>
                <w:spacing w:val="31"/>
                <w:sz w:val="20"/>
              </w:rPr>
              <w:t> </w:t>
            </w:r>
            <w:r>
              <w:rPr>
                <w:sz w:val="20"/>
              </w:rPr>
              <w:t>types</w:t>
            </w:r>
            <w:r>
              <w:rPr>
                <w:spacing w:val="32"/>
                <w:sz w:val="20"/>
              </w:rPr>
              <w:t> </w:t>
            </w:r>
            <w:r>
              <w:rPr>
                <w:sz w:val="20"/>
              </w:rPr>
              <w:t>of</w:t>
            </w:r>
          </w:p>
          <w:p>
            <w:pPr>
              <w:pStyle w:val="TableParagraph"/>
              <w:spacing w:line="228" w:lineRule="exact" w:before="5"/>
              <w:ind w:left="360" w:right="111"/>
              <w:rPr>
                <w:sz w:val="20"/>
              </w:rPr>
            </w:pPr>
            <w:r>
              <w:rPr>
                <w:sz w:val="20"/>
              </w:rPr>
              <w:t>platform which usually combine four features: data distribution,</w:t>
            </w:r>
            <w:r>
              <w:rPr>
                <w:spacing w:val="-37"/>
                <w:sz w:val="20"/>
              </w:rPr>
              <w:t> </w:t>
            </w:r>
            <w:r>
              <w:rPr>
                <w:sz w:val="20"/>
              </w:rPr>
              <w:t>decentralisation of</w:t>
            </w:r>
            <w:r>
              <w:rPr>
                <w:spacing w:val="-16"/>
                <w:sz w:val="20"/>
              </w:rPr>
              <w:t> </w:t>
            </w:r>
            <w:r>
              <w:rPr>
                <w:sz w:val="20"/>
              </w:rPr>
              <w:t>control,</w:t>
            </w:r>
            <w:r>
              <w:rPr>
                <w:spacing w:val="-15"/>
                <w:sz w:val="20"/>
              </w:rPr>
              <w:t> </w:t>
            </w:r>
            <w:r>
              <w:rPr>
                <w:sz w:val="20"/>
              </w:rPr>
              <w:t>use</w:t>
            </w:r>
            <w:r>
              <w:rPr>
                <w:spacing w:val="-14"/>
                <w:sz w:val="20"/>
              </w:rPr>
              <w:t> </w:t>
            </w:r>
            <w:r>
              <w:rPr>
                <w:sz w:val="20"/>
              </w:rPr>
              <w:t>of</w:t>
            </w:r>
            <w:r>
              <w:rPr>
                <w:spacing w:val="-16"/>
                <w:sz w:val="20"/>
              </w:rPr>
              <w:t> </w:t>
            </w:r>
            <w:r>
              <w:rPr>
                <w:sz w:val="20"/>
              </w:rPr>
              <w:t>cryptography</w:t>
            </w:r>
            <w:r>
              <w:rPr>
                <w:spacing w:val="-18"/>
                <w:sz w:val="20"/>
              </w:rPr>
              <w:t> </w:t>
            </w:r>
            <w:r>
              <w:rPr>
                <w:sz w:val="20"/>
              </w:rPr>
              <w:t>and</w:t>
            </w:r>
            <w:r>
              <w:rPr>
                <w:spacing w:val="-17"/>
                <w:sz w:val="20"/>
              </w:rPr>
              <w:t> </w:t>
            </w:r>
            <w:r>
              <w:rPr>
                <w:sz w:val="20"/>
              </w:rPr>
              <w:t>programmability</w:t>
            </w:r>
            <w:r>
              <w:rPr>
                <w:spacing w:val="-18"/>
                <w:sz w:val="20"/>
              </w:rPr>
              <w:t> </w:t>
            </w:r>
            <w:r>
              <w:rPr>
                <w:sz w:val="20"/>
              </w:rPr>
              <w:t>/</w:t>
            </w:r>
            <w:r>
              <w:rPr>
                <w:spacing w:val="-14"/>
                <w:sz w:val="20"/>
              </w:rPr>
              <w:t> </w:t>
            </w:r>
            <w:r>
              <w:rPr>
                <w:sz w:val="20"/>
              </w:rPr>
              <w:t>automation;</w:t>
            </w:r>
            <w:r>
              <w:rPr>
                <w:spacing w:val="-15"/>
                <w:sz w:val="20"/>
              </w:rPr>
              <w:t> </w:t>
            </w:r>
            <w:r>
              <w:rPr>
                <w:sz w:val="20"/>
              </w:rPr>
              <w:t>and</w:t>
            </w:r>
            <w:r>
              <w:rPr>
                <w:spacing w:val="-15"/>
                <w:sz w:val="20"/>
              </w:rPr>
              <w:t> </w:t>
            </w:r>
            <w:r>
              <w:rPr>
                <w:sz w:val="20"/>
              </w:rPr>
              <w:t>how</w:t>
            </w:r>
            <w:r>
              <w:rPr>
                <w:spacing w:val="-16"/>
                <w:sz w:val="20"/>
              </w:rPr>
              <w:t> </w:t>
            </w:r>
            <w:r>
              <w:rPr>
                <w:sz w:val="20"/>
              </w:rPr>
              <w:t>these</w:t>
            </w:r>
          </w:p>
        </w:tc>
        <w:tc>
          <w:tcPr>
            <w:tcW w:w="1606" w:type="dxa"/>
          </w:tcPr>
          <w:p>
            <w:pPr>
              <w:pStyle w:val="TableParagraph"/>
              <w:spacing w:before="109"/>
              <w:ind w:left="110"/>
              <w:rPr>
                <w:b/>
                <w:sz w:val="20"/>
              </w:rPr>
            </w:pPr>
            <w:r>
              <w:rPr>
                <w:b/>
                <w:sz w:val="20"/>
              </w:rPr>
              <w:t>ACT</w:t>
            </w:r>
          </w:p>
          <w:p>
            <w:pPr>
              <w:pStyle w:val="TableParagraph"/>
              <w:spacing w:line="276" w:lineRule="auto" w:before="37"/>
              <w:ind w:left="110" w:right="175"/>
              <w:rPr>
                <w:sz w:val="20"/>
              </w:rPr>
            </w:pPr>
            <w:r>
              <w:rPr>
                <w:b/>
                <w:sz w:val="20"/>
              </w:rPr>
              <w:t>Secretariat </w:t>
            </w:r>
            <w:r>
              <w:rPr>
                <w:sz w:val="20"/>
              </w:rPr>
              <w:t>– to circulate the Cryptoasset Taskforce report.</w:t>
            </w:r>
          </w:p>
        </w:tc>
      </w:tr>
    </w:tbl>
    <w:p>
      <w:pPr>
        <w:pStyle w:val="BodyText"/>
        <w:spacing w:before="10"/>
        <w:rPr>
          <w:sz w:val="17"/>
          <w:u w:val="none"/>
        </w:rPr>
      </w:pPr>
      <w:r>
        <w:rPr/>
        <w:pict>
          <v:shape style="position:absolute;margin-left:92.183998pt;margin-top:12.532823pt;width:144.050pt;height:.1pt;mso-position-horizontal-relative:page;mso-position-vertical-relative:paragraph;z-index:-251656192;mso-wrap-distance-left:0;mso-wrap-distance-right:0" coordorigin="1844,251" coordsize="2881,0" path="m1844,251l4724,251e" filled="false" stroked="true" strokeweight=".599980pt" strokecolor="#000000">
            <v:path arrowok="t"/>
            <v:stroke dashstyle="solid"/>
            <w10:wrap type="topAndBottom"/>
          </v:shape>
        </w:pict>
      </w:r>
    </w:p>
    <w:p>
      <w:pPr>
        <w:pStyle w:val="BodyText"/>
        <w:spacing w:before="78"/>
        <w:ind w:left="1043"/>
        <w:rPr>
          <w:u w:val="none"/>
        </w:rPr>
      </w:pPr>
      <w:r>
        <w:rPr>
          <w:position w:val="6"/>
          <w:sz w:val="13"/>
          <w:u w:val="none"/>
        </w:rPr>
        <w:t>4 </w:t>
      </w:r>
      <w:r>
        <w:rPr>
          <w:u w:val="none"/>
        </w:rPr>
        <w:t>The Tokyo FXC’s published statement could be found at: </w:t>
      </w:r>
      <w:hyperlink r:id="rId8">
        <w:r>
          <w:rPr>
            <w:color w:val="0000FF"/>
            <w:w w:val="95"/>
            <w:u w:val="single" w:color="0000FF"/>
          </w:rPr>
          <w:t>http://www.fxcomtky.com/announce/index_e.html#public_doc05</w:t>
        </w:r>
      </w:hyperlink>
    </w:p>
    <w:p>
      <w:pPr>
        <w:spacing w:after="0"/>
        <w:sectPr>
          <w:pgSz w:w="11910" w:h="16840"/>
          <w:pgMar w:top="1420" w:bottom="280" w:left="800" w:right="960"/>
        </w:sect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7540"/>
      </w:tblGrid>
      <w:tr>
        <w:trPr>
          <w:trHeight w:val="4267" w:hRule="atLeast"/>
        </w:trPr>
        <w:tc>
          <w:tcPr>
            <w:tcW w:w="725" w:type="dxa"/>
          </w:tcPr>
          <w:p>
            <w:pPr>
              <w:pStyle w:val="TableParagraph"/>
              <w:rPr>
                <w:rFonts w:ascii="Times New Roman"/>
                <w:sz w:val="18"/>
              </w:rPr>
            </w:pPr>
          </w:p>
        </w:tc>
        <w:tc>
          <w:tcPr>
            <w:tcW w:w="7540" w:type="dxa"/>
          </w:tcPr>
          <w:p>
            <w:pPr>
              <w:pStyle w:val="TableParagraph"/>
              <w:ind w:left="360" w:right="197"/>
              <w:jc w:val="both"/>
              <w:rPr>
                <w:sz w:val="20"/>
              </w:rPr>
            </w:pPr>
            <w:r>
              <w:rPr>
                <w:sz w:val="20"/>
              </w:rPr>
              <w:t>design</w:t>
            </w:r>
            <w:r>
              <w:rPr>
                <w:spacing w:val="-7"/>
                <w:sz w:val="20"/>
              </w:rPr>
              <w:t> </w:t>
            </w:r>
            <w:r>
              <w:rPr>
                <w:sz w:val="20"/>
              </w:rPr>
              <w:t>choices</w:t>
            </w:r>
            <w:r>
              <w:rPr>
                <w:spacing w:val="-6"/>
                <w:sz w:val="20"/>
              </w:rPr>
              <w:t> </w:t>
            </w:r>
            <w:r>
              <w:rPr>
                <w:sz w:val="20"/>
              </w:rPr>
              <w:t>ranged</w:t>
            </w:r>
            <w:r>
              <w:rPr>
                <w:spacing w:val="-5"/>
                <w:sz w:val="20"/>
              </w:rPr>
              <w:t> </w:t>
            </w:r>
            <w:r>
              <w:rPr>
                <w:sz w:val="20"/>
              </w:rPr>
              <w:t>in</w:t>
            </w:r>
            <w:r>
              <w:rPr>
                <w:spacing w:val="-5"/>
                <w:sz w:val="20"/>
              </w:rPr>
              <w:t> </w:t>
            </w:r>
            <w:r>
              <w:rPr>
                <w:sz w:val="20"/>
              </w:rPr>
              <w:t>terms</w:t>
            </w:r>
            <w:r>
              <w:rPr>
                <w:spacing w:val="-6"/>
                <w:sz w:val="20"/>
              </w:rPr>
              <w:t> </w:t>
            </w:r>
            <w:r>
              <w:rPr>
                <w:sz w:val="20"/>
              </w:rPr>
              <w:t>of</w:t>
            </w:r>
            <w:r>
              <w:rPr>
                <w:spacing w:val="-5"/>
                <w:sz w:val="20"/>
              </w:rPr>
              <w:t> </w:t>
            </w:r>
            <w:r>
              <w:rPr>
                <w:sz w:val="20"/>
              </w:rPr>
              <w:t>how</w:t>
            </w:r>
            <w:r>
              <w:rPr>
                <w:spacing w:val="-6"/>
                <w:sz w:val="20"/>
              </w:rPr>
              <w:t> </w:t>
            </w:r>
            <w:r>
              <w:rPr>
                <w:sz w:val="20"/>
              </w:rPr>
              <w:t>data</w:t>
            </w:r>
            <w:r>
              <w:rPr>
                <w:spacing w:val="-5"/>
                <w:sz w:val="20"/>
              </w:rPr>
              <w:t> </w:t>
            </w:r>
            <w:r>
              <w:rPr>
                <w:sz w:val="20"/>
              </w:rPr>
              <w:t>is</w:t>
            </w:r>
            <w:r>
              <w:rPr>
                <w:spacing w:val="-3"/>
                <w:sz w:val="20"/>
              </w:rPr>
              <w:t> </w:t>
            </w:r>
            <w:r>
              <w:rPr>
                <w:sz w:val="20"/>
              </w:rPr>
              <w:t>shared</w:t>
            </w:r>
            <w:r>
              <w:rPr>
                <w:spacing w:val="-5"/>
                <w:sz w:val="20"/>
              </w:rPr>
              <w:t> </w:t>
            </w:r>
            <w:r>
              <w:rPr>
                <w:sz w:val="20"/>
              </w:rPr>
              <w:t>and</w:t>
            </w:r>
            <w:r>
              <w:rPr>
                <w:spacing w:val="-5"/>
                <w:sz w:val="20"/>
              </w:rPr>
              <w:t> </w:t>
            </w:r>
            <w:r>
              <w:rPr>
                <w:sz w:val="20"/>
              </w:rPr>
              <w:t>user</w:t>
            </w:r>
            <w:r>
              <w:rPr>
                <w:spacing w:val="-6"/>
                <w:sz w:val="20"/>
              </w:rPr>
              <w:t> </w:t>
            </w:r>
            <w:r>
              <w:rPr>
                <w:sz w:val="20"/>
              </w:rPr>
              <w:t>permissions.</w:t>
            </w:r>
            <w:r>
              <w:rPr>
                <w:spacing w:val="-7"/>
                <w:sz w:val="20"/>
              </w:rPr>
              <w:t> </w:t>
            </w:r>
            <w:r>
              <w:rPr>
                <w:sz w:val="20"/>
              </w:rPr>
              <w:t>Mr Scorer outlined some of the potential benefits of applying DLT,</w:t>
            </w:r>
            <w:r>
              <w:rPr>
                <w:spacing w:val="30"/>
                <w:sz w:val="20"/>
              </w:rPr>
              <w:t> </w:t>
            </w:r>
            <w:r>
              <w:rPr>
                <w:sz w:val="20"/>
              </w:rPr>
              <w:t>including: enhanced resiliency, increased efficiency in end-to-end settlement processes, enabling tokenisation of existing assets, and efficiency gains in reporting, auditing and oversight, and automated contract tools. Mr Scorer also outlined some</w:t>
            </w:r>
            <w:r>
              <w:rPr>
                <w:spacing w:val="-5"/>
                <w:sz w:val="20"/>
              </w:rPr>
              <w:t> </w:t>
            </w:r>
            <w:r>
              <w:rPr>
                <w:sz w:val="20"/>
              </w:rPr>
              <w:t>of</w:t>
            </w:r>
            <w:r>
              <w:rPr>
                <w:spacing w:val="-3"/>
                <w:sz w:val="20"/>
              </w:rPr>
              <w:t> </w:t>
            </w:r>
            <w:r>
              <w:rPr>
                <w:sz w:val="20"/>
              </w:rPr>
              <w:t>the</w:t>
            </w:r>
            <w:r>
              <w:rPr>
                <w:spacing w:val="-4"/>
                <w:sz w:val="20"/>
              </w:rPr>
              <w:t> </w:t>
            </w:r>
            <w:r>
              <w:rPr>
                <w:sz w:val="20"/>
              </w:rPr>
              <w:t>trade-offs</w:t>
            </w:r>
            <w:r>
              <w:rPr>
                <w:spacing w:val="-3"/>
                <w:sz w:val="20"/>
              </w:rPr>
              <w:t> </w:t>
            </w:r>
            <w:r>
              <w:rPr>
                <w:sz w:val="20"/>
              </w:rPr>
              <w:t>in</w:t>
            </w:r>
            <w:r>
              <w:rPr>
                <w:spacing w:val="-4"/>
                <w:sz w:val="20"/>
              </w:rPr>
              <w:t> </w:t>
            </w:r>
            <w:r>
              <w:rPr>
                <w:sz w:val="20"/>
              </w:rPr>
              <w:t>the</w:t>
            </w:r>
            <w:r>
              <w:rPr>
                <w:spacing w:val="-5"/>
                <w:sz w:val="20"/>
              </w:rPr>
              <w:t> </w:t>
            </w:r>
            <w:r>
              <w:rPr>
                <w:sz w:val="20"/>
              </w:rPr>
              <w:t>design</w:t>
            </w:r>
            <w:r>
              <w:rPr>
                <w:spacing w:val="-2"/>
                <w:sz w:val="20"/>
              </w:rPr>
              <w:t> </w:t>
            </w:r>
            <w:r>
              <w:rPr>
                <w:sz w:val="20"/>
              </w:rPr>
              <w:t>choices,</w:t>
            </w:r>
            <w:r>
              <w:rPr>
                <w:spacing w:val="-4"/>
                <w:sz w:val="20"/>
              </w:rPr>
              <w:t> </w:t>
            </w:r>
            <w:r>
              <w:rPr>
                <w:sz w:val="20"/>
              </w:rPr>
              <w:t>and</w:t>
            </w:r>
            <w:r>
              <w:rPr>
                <w:spacing w:val="-1"/>
                <w:sz w:val="20"/>
              </w:rPr>
              <w:t> </w:t>
            </w:r>
            <w:r>
              <w:rPr>
                <w:sz w:val="20"/>
              </w:rPr>
              <w:t>a</w:t>
            </w:r>
            <w:r>
              <w:rPr>
                <w:spacing w:val="-5"/>
                <w:sz w:val="20"/>
              </w:rPr>
              <w:t> </w:t>
            </w:r>
            <w:r>
              <w:rPr>
                <w:sz w:val="20"/>
              </w:rPr>
              <w:t>number</w:t>
            </w:r>
            <w:r>
              <w:rPr>
                <w:spacing w:val="-3"/>
                <w:sz w:val="20"/>
              </w:rPr>
              <w:t> </w:t>
            </w:r>
            <w:r>
              <w:rPr>
                <w:sz w:val="20"/>
              </w:rPr>
              <w:t>of</w:t>
            </w:r>
            <w:r>
              <w:rPr>
                <w:spacing w:val="-3"/>
                <w:sz w:val="20"/>
              </w:rPr>
              <w:t> </w:t>
            </w:r>
            <w:r>
              <w:rPr>
                <w:sz w:val="20"/>
              </w:rPr>
              <w:t>the</w:t>
            </w:r>
            <w:r>
              <w:rPr>
                <w:spacing w:val="-5"/>
                <w:sz w:val="20"/>
              </w:rPr>
              <w:t> </w:t>
            </w:r>
            <w:r>
              <w:rPr>
                <w:sz w:val="20"/>
              </w:rPr>
              <w:t>challenges</w:t>
            </w:r>
            <w:r>
              <w:rPr>
                <w:spacing w:val="-2"/>
                <w:sz w:val="20"/>
              </w:rPr>
              <w:t> </w:t>
            </w:r>
            <w:r>
              <w:rPr>
                <w:sz w:val="20"/>
              </w:rPr>
              <w:t>to the widespread adoption of DLT. Members discussed how the trade-offs in design choices between the benefits of resiliency and increased efficiency versus performance and</w:t>
            </w:r>
            <w:r>
              <w:rPr>
                <w:spacing w:val="-3"/>
                <w:sz w:val="20"/>
              </w:rPr>
              <w:t> </w:t>
            </w:r>
            <w:r>
              <w:rPr>
                <w:sz w:val="20"/>
              </w:rPr>
              <w:t>privacy.</w:t>
            </w:r>
          </w:p>
          <w:p>
            <w:pPr>
              <w:pStyle w:val="TableParagraph"/>
              <w:spacing w:before="4"/>
              <w:rPr>
                <w:sz w:val="19"/>
              </w:rPr>
            </w:pPr>
          </w:p>
          <w:p>
            <w:pPr>
              <w:pStyle w:val="TableParagraph"/>
              <w:ind w:left="360" w:right="199"/>
              <w:jc w:val="both"/>
              <w:rPr>
                <w:sz w:val="20"/>
              </w:rPr>
            </w:pPr>
            <w:r>
              <w:rPr>
                <w:sz w:val="20"/>
              </w:rPr>
              <w:t>The Bank of England, FCA and HMT had formed a Cryptoasset Taskforce,</w:t>
            </w:r>
            <w:r>
              <w:rPr>
                <w:spacing w:val="-29"/>
                <w:sz w:val="20"/>
              </w:rPr>
              <w:t> </w:t>
            </w:r>
            <w:r>
              <w:rPr>
                <w:sz w:val="20"/>
              </w:rPr>
              <w:t>and had</w:t>
            </w:r>
            <w:r>
              <w:rPr>
                <w:spacing w:val="-11"/>
                <w:sz w:val="20"/>
              </w:rPr>
              <w:t> </w:t>
            </w:r>
            <w:r>
              <w:rPr>
                <w:sz w:val="20"/>
              </w:rPr>
              <w:t>produced</w:t>
            </w:r>
            <w:r>
              <w:rPr>
                <w:spacing w:val="-14"/>
                <w:sz w:val="20"/>
              </w:rPr>
              <w:t> </w:t>
            </w:r>
            <w:r>
              <w:rPr>
                <w:sz w:val="20"/>
              </w:rPr>
              <w:t>a</w:t>
            </w:r>
            <w:r>
              <w:rPr>
                <w:spacing w:val="-13"/>
                <w:sz w:val="20"/>
              </w:rPr>
              <w:t> </w:t>
            </w:r>
            <w:r>
              <w:rPr>
                <w:sz w:val="20"/>
              </w:rPr>
              <w:t>final</w:t>
            </w:r>
            <w:r>
              <w:rPr>
                <w:spacing w:val="-15"/>
                <w:sz w:val="20"/>
              </w:rPr>
              <w:t> </w:t>
            </w:r>
            <w:r>
              <w:rPr>
                <w:sz w:val="20"/>
              </w:rPr>
              <w:t>report</w:t>
            </w:r>
            <w:r>
              <w:rPr>
                <w:spacing w:val="-10"/>
                <w:sz w:val="20"/>
              </w:rPr>
              <w:t> </w:t>
            </w:r>
            <w:r>
              <w:rPr>
                <w:sz w:val="20"/>
              </w:rPr>
              <w:t>which</w:t>
            </w:r>
            <w:r>
              <w:rPr>
                <w:spacing w:val="-14"/>
                <w:sz w:val="20"/>
              </w:rPr>
              <w:t> </w:t>
            </w:r>
            <w:r>
              <w:rPr>
                <w:sz w:val="20"/>
              </w:rPr>
              <w:t>set</w:t>
            </w:r>
            <w:r>
              <w:rPr>
                <w:spacing w:val="-9"/>
                <w:sz w:val="20"/>
              </w:rPr>
              <w:t> </w:t>
            </w:r>
            <w:r>
              <w:rPr>
                <w:sz w:val="20"/>
              </w:rPr>
              <w:t>out</w:t>
            </w:r>
            <w:r>
              <w:rPr>
                <w:spacing w:val="-10"/>
                <w:sz w:val="20"/>
              </w:rPr>
              <w:t> </w:t>
            </w:r>
            <w:r>
              <w:rPr>
                <w:sz w:val="20"/>
              </w:rPr>
              <w:t>the</w:t>
            </w:r>
            <w:r>
              <w:rPr>
                <w:spacing w:val="-12"/>
                <w:sz w:val="20"/>
              </w:rPr>
              <w:t> </w:t>
            </w:r>
            <w:r>
              <w:rPr>
                <w:sz w:val="20"/>
              </w:rPr>
              <w:t>UK’s</w:t>
            </w:r>
            <w:r>
              <w:rPr>
                <w:spacing w:val="-12"/>
                <w:sz w:val="20"/>
              </w:rPr>
              <w:t> </w:t>
            </w:r>
            <w:r>
              <w:rPr>
                <w:sz w:val="20"/>
              </w:rPr>
              <w:t>approach</w:t>
            </w:r>
            <w:r>
              <w:rPr>
                <w:spacing w:val="-13"/>
                <w:sz w:val="20"/>
              </w:rPr>
              <w:t> </w:t>
            </w:r>
            <w:r>
              <w:rPr>
                <w:sz w:val="20"/>
              </w:rPr>
              <w:t>to</w:t>
            </w:r>
            <w:r>
              <w:rPr>
                <w:spacing w:val="-14"/>
                <w:sz w:val="20"/>
              </w:rPr>
              <w:t> </w:t>
            </w:r>
            <w:r>
              <w:rPr>
                <w:sz w:val="20"/>
              </w:rPr>
              <w:t>cryptoassets</w:t>
            </w:r>
            <w:r>
              <w:rPr>
                <w:spacing w:val="-12"/>
                <w:sz w:val="20"/>
              </w:rPr>
              <w:t> </w:t>
            </w:r>
            <w:r>
              <w:rPr>
                <w:sz w:val="20"/>
              </w:rPr>
              <w:t>and distributed</w:t>
            </w:r>
            <w:r>
              <w:rPr>
                <w:spacing w:val="-6"/>
                <w:sz w:val="20"/>
              </w:rPr>
              <w:t> </w:t>
            </w:r>
            <w:r>
              <w:rPr>
                <w:sz w:val="20"/>
              </w:rPr>
              <w:t>ledger</w:t>
            </w:r>
            <w:r>
              <w:rPr>
                <w:spacing w:val="-5"/>
                <w:sz w:val="20"/>
              </w:rPr>
              <w:t> </w:t>
            </w:r>
            <w:r>
              <w:rPr>
                <w:sz w:val="20"/>
              </w:rPr>
              <w:t>technology</w:t>
            </w:r>
            <w:r>
              <w:rPr>
                <w:spacing w:val="-6"/>
                <w:sz w:val="20"/>
              </w:rPr>
              <w:t> </w:t>
            </w:r>
            <w:r>
              <w:rPr>
                <w:sz w:val="20"/>
              </w:rPr>
              <w:t>in</w:t>
            </w:r>
            <w:r>
              <w:rPr>
                <w:spacing w:val="-6"/>
                <w:sz w:val="20"/>
              </w:rPr>
              <w:t> </w:t>
            </w:r>
            <w:r>
              <w:rPr>
                <w:sz w:val="20"/>
              </w:rPr>
              <w:t>financial</w:t>
            </w:r>
            <w:r>
              <w:rPr>
                <w:spacing w:val="-5"/>
                <w:sz w:val="20"/>
              </w:rPr>
              <w:t> </w:t>
            </w:r>
            <w:r>
              <w:rPr>
                <w:sz w:val="20"/>
              </w:rPr>
              <w:t>services.</w:t>
            </w:r>
            <w:r>
              <w:rPr>
                <w:spacing w:val="-5"/>
                <w:sz w:val="20"/>
              </w:rPr>
              <w:t> </w:t>
            </w:r>
            <w:r>
              <w:rPr>
                <w:sz w:val="20"/>
              </w:rPr>
              <w:t>It</w:t>
            </w:r>
            <w:r>
              <w:rPr>
                <w:spacing w:val="-6"/>
                <w:sz w:val="20"/>
              </w:rPr>
              <w:t> </w:t>
            </w:r>
            <w:r>
              <w:rPr>
                <w:sz w:val="20"/>
              </w:rPr>
              <w:t>was</w:t>
            </w:r>
            <w:r>
              <w:rPr>
                <w:spacing w:val="-4"/>
                <w:sz w:val="20"/>
              </w:rPr>
              <w:t> </w:t>
            </w:r>
            <w:r>
              <w:rPr>
                <w:sz w:val="20"/>
              </w:rPr>
              <w:t>agreed</w:t>
            </w:r>
            <w:r>
              <w:rPr>
                <w:spacing w:val="-6"/>
                <w:sz w:val="20"/>
              </w:rPr>
              <w:t> </w:t>
            </w:r>
            <w:r>
              <w:rPr>
                <w:sz w:val="20"/>
              </w:rPr>
              <w:t>to</w:t>
            </w:r>
            <w:r>
              <w:rPr>
                <w:spacing w:val="-5"/>
                <w:sz w:val="20"/>
              </w:rPr>
              <w:t> </w:t>
            </w:r>
            <w:r>
              <w:rPr>
                <w:sz w:val="20"/>
              </w:rPr>
              <w:t>circulate</w:t>
            </w:r>
            <w:r>
              <w:rPr>
                <w:spacing w:val="-6"/>
                <w:sz w:val="20"/>
              </w:rPr>
              <w:t> </w:t>
            </w:r>
            <w:r>
              <w:rPr>
                <w:sz w:val="20"/>
              </w:rPr>
              <w:t>the Cryptoassets</w:t>
            </w:r>
            <w:r>
              <w:rPr>
                <w:spacing w:val="-14"/>
                <w:sz w:val="20"/>
              </w:rPr>
              <w:t> </w:t>
            </w:r>
            <w:r>
              <w:rPr>
                <w:sz w:val="20"/>
              </w:rPr>
              <w:t>Taskforce</w:t>
            </w:r>
            <w:r>
              <w:rPr>
                <w:spacing w:val="-14"/>
                <w:sz w:val="20"/>
              </w:rPr>
              <w:t> </w:t>
            </w:r>
            <w:r>
              <w:rPr>
                <w:sz w:val="20"/>
              </w:rPr>
              <w:t>report</w:t>
            </w:r>
            <w:r>
              <w:rPr>
                <w:position w:val="6"/>
                <w:sz w:val="13"/>
              </w:rPr>
              <w:t>5</w:t>
            </w:r>
            <w:r>
              <w:rPr>
                <w:spacing w:val="5"/>
                <w:position w:val="6"/>
                <w:sz w:val="13"/>
              </w:rPr>
              <w:t> </w:t>
            </w:r>
            <w:r>
              <w:rPr>
                <w:sz w:val="20"/>
              </w:rPr>
              <w:t>to</w:t>
            </w:r>
            <w:r>
              <w:rPr>
                <w:spacing w:val="-14"/>
                <w:sz w:val="20"/>
              </w:rPr>
              <w:t> </w:t>
            </w:r>
            <w:r>
              <w:rPr>
                <w:sz w:val="20"/>
              </w:rPr>
              <w:t>members.</w:t>
            </w:r>
            <w:r>
              <w:rPr>
                <w:spacing w:val="-14"/>
                <w:sz w:val="20"/>
              </w:rPr>
              <w:t> </w:t>
            </w:r>
            <w:r>
              <w:rPr>
                <w:sz w:val="20"/>
              </w:rPr>
              <w:t>Mr</w:t>
            </w:r>
            <w:r>
              <w:rPr>
                <w:spacing w:val="-14"/>
                <w:sz w:val="20"/>
              </w:rPr>
              <w:t> </w:t>
            </w:r>
            <w:r>
              <w:rPr>
                <w:sz w:val="20"/>
              </w:rPr>
              <w:t>Barnes</w:t>
            </w:r>
            <w:r>
              <w:rPr>
                <w:spacing w:val="-15"/>
                <w:sz w:val="20"/>
              </w:rPr>
              <w:t> </w:t>
            </w:r>
            <w:r>
              <w:rPr>
                <w:sz w:val="20"/>
              </w:rPr>
              <w:t>noted</w:t>
            </w:r>
            <w:r>
              <w:rPr>
                <w:spacing w:val="-14"/>
                <w:sz w:val="20"/>
              </w:rPr>
              <w:t> </w:t>
            </w:r>
            <w:r>
              <w:rPr>
                <w:sz w:val="20"/>
              </w:rPr>
              <w:t>that</w:t>
            </w:r>
            <w:r>
              <w:rPr>
                <w:spacing w:val="-15"/>
                <w:sz w:val="20"/>
              </w:rPr>
              <w:t> </w:t>
            </w:r>
            <w:r>
              <w:rPr>
                <w:sz w:val="20"/>
              </w:rPr>
              <w:t>the</w:t>
            </w:r>
            <w:r>
              <w:rPr>
                <w:spacing w:val="-15"/>
                <w:sz w:val="20"/>
              </w:rPr>
              <w:t> </w:t>
            </w:r>
            <w:r>
              <w:rPr>
                <w:sz w:val="20"/>
              </w:rPr>
              <w:t>FCA</w:t>
            </w:r>
            <w:r>
              <w:rPr>
                <w:spacing w:val="-12"/>
                <w:sz w:val="20"/>
              </w:rPr>
              <w:t> </w:t>
            </w:r>
            <w:r>
              <w:rPr>
                <w:sz w:val="20"/>
              </w:rPr>
              <w:t>were consulting on perimeter guidance</w:t>
            </w:r>
            <w:r>
              <w:rPr>
                <w:position w:val="6"/>
                <w:sz w:val="13"/>
              </w:rPr>
              <w:t>6 </w:t>
            </w:r>
            <w:r>
              <w:rPr>
                <w:sz w:val="20"/>
              </w:rPr>
              <w:t>to clarify which cryptoassets fall within the FCA’s existing regulatory perimeter and which did not. The FCA were due to publish a separate consultation on a potential prohibition of the sale to retail consumers of</w:t>
            </w:r>
            <w:r>
              <w:rPr>
                <w:spacing w:val="1"/>
                <w:sz w:val="20"/>
              </w:rPr>
              <w:t> </w:t>
            </w:r>
            <w:r>
              <w:rPr>
                <w:sz w:val="20"/>
              </w:rPr>
              <w:t>derivatives.</w:t>
            </w:r>
          </w:p>
        </w:tc>
      </w:tr>
      <w:tr>
        <w:trPr>
          <w:trHeight w:val="8480" w:hRule="atLeast"/>
        </w:trPr>
        <w:tc>
          <w:tcPr>
            <w:tcW w:w="725" w:type="dxa"/>
          </w:tcPr>
          <w:p>
            <w:pPr>
              <w:pStyle w:val="TableParagraph"/>
              <w:spacing w:before="130"/>
              <w:ind w:left="200"/>
              <w:rPr>
                <w:sz w:val="20"/>
              </w:rPr>
            </w:pPr>
            <w:r>
              <w:rPr>
                <w:sz w:val="20"/>
              </w:rPr>
              <w:t>8.</w:t>
            </w:r>
          </w:p>
        </w:tc>
        <w:tc>
          <w:tcPr>
            <w:tcW w:w="7540" w:type="dxa"/>
          </w:tcPr>
          <w:p>
            <w:pPr>
              <w:pStyle w:val="TableParagraph"/>
              <w:spacing w:before="127"/>
              <w:ind w:left="360"/>
              <w:jc w:val="both"/>
              <w:rPr>
                <w:b/>
                <w:sz w:val="20"/>
              </w:rPr>
            </w:pPr>
            <w:r>
              <w:rPr>
                <w:b/>
                <w:sz w:val="20"/>
              </w:rPr>
              <w:t>Education and Outreach</w:t>
            </w:r>
          </w:p>
          <w:p>
            <w:pPr>
              <w:pStyle w:val="TableParagraph"/>
              <w:spacing w:before="2"/>
              <w:rPr>
                <w:sz w:val="26"/>
              </w:rPr>
            </w:pPr>
          </w:p>
          <w:p>
            <w:pPr>
              <w:pStyle w:val="TableParagraph"/>
              <w:numPr>
                <w:ilvl w:val="0"/>
                <w:numId w:val="1"/>
              </w:numPr>
              <w:tabs>
                <w:tab w:pos="721" w:val="left" w:leader="none"/>
              </w:tabs>
              <w:spacing w:line="240" w:lineRule="auto" w:before="0" w:after="0"/>
              <w:ind w:left="720" w:right="0" w:hanging="361"/>
              <w:jc w:val="both"/>
              <w:rPr>
                <w:sz w:val="20"/>
              </w:rPr>
            </w:pPr>
            <w:r>
              <w:rPr>
                <w:sz w:val="20"/>
              </w:rPr>
              <w:t>UK Finance</w:t>
            </w:r>
            <w:r>
              <w:rPr>
                <w:spacing w:val="-1"/>
                <w:sz w:val="20"/>
              </w:rPr>
              <w:t> </w:t>
            </w:r>
            <w:r>
              <w:rPr>
                <w:sz w:val="20"/>
              </w:rPr>
              <w:t>update</w:t>
            </w:r>
          </w:p>
          <w:p>
            <w:pPr>
              <w:pStyle w:val="TableParagraph"/>
              <w:ind w:left="360" w:right="197"/>
              <w:jc w:val="both"/>
              <w:rPr>
                <w:sz w:val="20"/>
              </w:rPr>
            </w:pPr>
            <w:r>
              <w:rPr>
                <w:sz w:val="20"/>
              </w:rPr>
              <w:t>Andrew Rogan (UK Finance) provided an update on recent political developments, particularly in relation to the UK Government’s preparations for the UK’s exit from the EU. Mr Rogan noted that domestic politics were fluid. Most recently, the UK Parliament had held votes on seven amendments which set out various alternative EU-withdrawal proposals. Mr Rogan explained the likely implications the outcome of these votes had, and also provided insight</w:t>
            </w:r>
            <w:r>
              <w:rPr>
                <w:spacing w:val="-32"/>
                <w:sz w:val="20"/>
              </w:rPr>
              <w:t> </w:t>
            </w:r>
            <w:r>
              <w:rPr>
                <w:sz w:val="20"/>
              </w:rPr>
              <w:t>as to</w:t>
            </w:r>
            <w:r>
              <w:rPr>
                <w:spacing w:val="-15"/>
                <w:sz w:val="20"/>
              </w:rPr>
              <w:t> </w:t>
            </w:r>
            <w:r>
              <w:rPr>
                <w:sz w:val="20"/>
              </w:rPr>
              <w:t>the</w:t>
            </w:r>
            <w:r>
              <w:rPr>
                <w:spacing w:val="-12"/>
                <w:sz w:val="20"/>
              </w:rPr>
              <w:t> </w:t>
            </w:r>
            <w:r>
              <w:rPr>
                <w:sz w:val="20"/>
              </w:rPr>
              <w:t>possible</w:t>
            </w:r>
            <w:r>
              <w:rPr>
                <w:spacing w:val="-12"/>
                <w:sz w:val="20"/>
              </w:rPr>
              <w:t> </w:t>
            </w:r>
            <w:r>
              <w:rPr>
                <w:sz w:val="20"/>
              </w:rPr>
              <w:t>ways</w:t>
            </w:r>
            <w:r>
              <w:rPr>
                <w:spacing w:val="-11"/>
                <w:sz w:val="20"/>
              </w:rPr>
              <w:t> </w:t>
            </w:r>
            <w:r>
              <w:rPr>
                <w:sz w:val="20"/>
              </w:rPr>
              <w:t>in</w:t>
            </w:r>
            <w:r>
              <w:rPr>
                <w:spacing w:val="-12"/>
                <w:sz w:val="20"/>
              </w:rPr>
              <w:t> </w:t>
            </w:r>
            <w:r>
              <w:rPr>
                <w:sz w:val="20"/>
              </w:rPr>
              <w:t>which</w:t>
            </w:r>
            <w:r>
              <w:rPr>
                <w:spacing w:val="-14"/>
                <w:sz w:val="20"/>
              </w:rPr>
              <w:t> </w:t>
            </w:r>
            <w:r>
              <w:rPr>
                <w:sz w:val="20"/>
              </w:rPr>
              <w:t>political</w:t>
            </w:r>
            <w:r>
              <w:rPr>
                <w:spacing w:val="-13"/>
                <w:sz w:val="20"/>
              </w:rPr>
              <w:t> </w:t>
            </w:r>
            <w:r>
              <w:rPr>
                <w:sz w:val="20"/>
              </w:rPr>
              <w:t>events</w:t>
            </w:r>
            <w:r>
              <w:rPr>
                <w:spacing w:val="-14"/>
                <w:sz w:val="20"/>
              </w:rPr>
              <w:t> </w:t>
            </w:r>
            <w:r>
              <w:rPr>
                <w:sz w:val="20"/>
              </w:rPr>
              <w:t>may</w:t>
            </w:r>
            <w:r>
              <w:rPr>
                <w:spacing w:val="-17"/>
                <w:sz w:val="20"/>
              </w:rPr>
              <w:t> </w:t>
            </w:r>
            <w:r>
              <w:rPr>
                <w:sz w:val="20"/>
              </w:rPr>
              <w:t>unfold</w:t>
            </w:r>
            <w:r>
              <w:rPr>
                <w:spacing w:val="-14"/>
                <w:sz w:val="20"/>
              </w:rPr>
              <w:t> </w:t>
            </w:r>
            <w:r>
              <w:rPr>
                <w:sz w:val="20"/>
              </w:rPr>
              <w:t>over</w:t>
            </w:r>
            <w:r>
              <w:rPr>
                <w:spacing w:val="-13"/>
                <w:sz w:val="20"/>
              </w:rPr>
              <w:t> </w:t>
            </w:r>
            <w:r>
              <w:rPr>
                <w:sz w:val="20"/>
              </w:rPr>
              <w:t>the</w:t>
            </w:r>
            <w:r>
              <w:rPr>
                <w:spacing w:val="-15"/>
                <w:sz w:val="20"/>
              </w:rPr>
              <w:t> </w:t>
            </w:r>
            <w:r>
              <w:rPr>
                <w:sz w:val="20"/>
              </w:rPr>
              <w:t>coming</w:t>
            </w:r>
            <w:r>
              <w:rPr>
                <w:spacing w:val="-13"/>
                <w:sz w:val="20"/>
              </w:rPr>
              <w:t> </w:t>
            </w:r>
            <w:r>
              <w:rPr>
                <w:sz w:val="20"/>
              </w:rPr>
              <w:t>weeks.</w:t>
            </w:r>
          </w:p>
          <w:p>
            <w:pPr>
              <w:pStyle w:val="TableParagraph"/>
              <w:spacing w:before="1"/>
              <w:rPr>
                <w:sz w:val="20"/>
              </w:rPr>
            </w:pPr>
          </w:p>
          <w:p>
            <w:pPr>
              <w:pStyle w:val="TableParagraph"/>
              <w:numPr>
                <w:ilvl w:val="0"/>
                <w:numId w:val="1"/>
              </w:numPr>
              <w:tabs>
                <w:tab w:pos="721" w:val="left" w:leader="none"/>
              </w:tabs>
              <w:spacing w:line="240" w:lineRule="auto" w:before="0" w:after="0"/>
              <w:ind w:left="720" w:right="0" w:hanging="361"/>
              <w:jc w:val="both"/>
              <w:rPr>
                <w:sz w:val="20"/>
              </w:rPr>
            </w:pPr>
            <w:r>
              <w:rPr>
                <w:sz w:val="20"/>
              </w:rPr>
              <w:t>Investment Association</w:t>
            </w:r>
            <w:r>
              <w:rPr>
                <w:spacing w:val="-3"/>
                <w:sz w:val="20"/>
              </w:rPr>
              <w:t> </w:t>
            </w:r>
            <w:r>
              <w:rPr>
                <w:sz w:val="20"/>
              </w:rPr>
              <w:t>update</w:t>
            </w:r>
          </w:p>
          <w:p>
            <w:pPr>
              <w:pStyle w:val="TableParagraph"/>
              <w:spacing w:before="1"/>
              <w:ind w:left="360" w:right="198"/>
              <w:jc w:val="both"/>
              <w:rPr>
                <w:sz w:val="20"/>
              </w:rPr>
            </w:pPr>
            <w:r>
              <w:rPr>
                <w:sz w:val="20"/>
              </w:rPr>
              <w:t>David Broadway (the Investment Association) provided an update on its </w:t>
            </w:r>
            <w:r>
              <w:rPr>
                <w:spacing w:val="2"/>
                <w:sz w:val="20"/>
              </w:rPr>
              <w:t>key </w:t>
            </w:r>
            <w:r>
              <w:rPr>
                <w:sz w:val="20"/>
              </w:rPr>
              <w:t>focus areas in the capital markets space. The IA was consulting with its members on two guides it had planned to publish concerning the FX Global Code</w:t>
            </w:r>
            <w:r>
              <w:rPr>
                <w:spacing w:val="-6"/>
                <w:sz w:val="20"/>
              </w:rPr>
              <w:t> </w:t>
            </w:r>
            <w:r>
              <w:rPr>
                <w:sz w:val="20"/>
              </w:rPr>
              <w:t>(“the</w:t>
            </w:r>
            <w:r>
              <w:rPr>
                <w:spacing w:val="-5"/>
                <w:sz w:val="20"/>
              </w:rPr>
              <w:t> </w:t>
            </w:r>
            <w:r>
              <w:rPr>
                <w:sz w:val="20"/>
              </w:rPr>
              <w:t>Code”)</w:t>
            </w:r>
            <w:r>
              <w:rPr>
                <w:spacing w:val="-3"/>
                <w:sz w:val="20"/>
              </w:rPr>
              <w:t> </w:t>
            </w:r>
            <w:r>
              <w:rPr>
                <w:sz w:val="20"/>
              </w:rPr>
              <w:t>–</w:t>
            </w:r>
            <w:r>
              <w:rPr>
                <w:spacing w:val="-5"/>
                <w:sz w:val="20"/>
              </w:rPr>
              <w:t> </w:t>
            </w:r>
            <w:r>
              <w:rPr>
                <w:sz w:val="20"/>
              </w:rPr>
              <w:t>one</w:t>
            </w:r>
            <w:r>
              <w:rPr>
                <w:spacing w:val="-6"/>
                <w:sz w:val="20"/>
              </w:rPr>
              <w:t> </w:t>
            </w:r>
            <w:r>
              <w:rPr>
                <w:sz w:val="20"/>
              </w:rPr>
              <w:t>regarding</w:t>
            </w:r>
            <w:r>
              <w:rPr>
                <w:spacing w:val="-5"/>
                <w:sz w:val="20"/>
              </w:rPr>
              <w:t> </w:t>
            </w:r>
            <w:r>
              <w:rPr>
                <w:sz w:val="20"/>
              </w:rPr>
              <w:t>signing</w:t>
            </w:r>
            <w:r>
              <w:rPr>
                <w:spacing w:val="-6"/>
                <w:sz w:val="20"/>
              </w:rPr>
              <w:t> </w:t>
            </w:r>
            <w:r>
              <w:rPr>
                <w:sz w:val="20"/>
              </w:rPr>
              <w:t>up</w:t>
            </w:r>
            <w:r>
              <w:rPr>
                <w:spacing w:val="-5"/>
                <w:sz w:val="20"/>
              </w:rPr>
              <w:t> </w:t>
            </w:r>
            <w:r>
              <w:rPr>
                <w:sz w:val="20"/>
              </w:rPr>
              <w:t>to</w:t>
            </w:r>
            <w:r>
              <w:rPr>
                <w:spacing w:val="-6"/>
                <w:sz w:val="20"/>
              </w:rPr>
              <w:t> </w:t>
            </w:r>
            <w:r>
              <w:rPr>
                <w:sz w:val="20"/>
              </w:rPr>
              <w:t>the</w:t>
            </w:r>
            <w:r>
              <w:rPr>
                <w:spacing w:val="-5"/>
                <w:sz w:val="20"/>
              </w:rPr>
              <w:t> </w:t>
            </w:r>
            <w:r>
              <w:rPr>
                <w:sz w:val="20"/>
              </w:rPr>
              <w:t>Code,</w:t>
            </w:r>
            <w:r>
              <w:rPr>
                <w:spacing w:val="-5"/>
                <w:sz w:val="20"/>
              </w:rPr>
              <w:t> </w:t>
            </w:r>
            <w:r>
              <w:rPr>
                <w:sz w:val="20"/>
              </w:rPr>
              <w:t>and</w:t>
            </w:r>
            <w:r>
              <w:rPr>
                <w:spacing w:val="-6"/>
                <w:sz w:val="20"/>
              </w:rPr>
              <w:t> </w:t>
            </w:r>
            <w:r>
              <w:rPr>
                <w:sz w:val="20"/>
              </w:rPr>
              <w:t>the</w:t>
            </w:r>
            <w:r>
              <w:rPr>
                <w:spacing w:val="-5"/>
                <w:sz w:val="20"/>
              </w:rPr>
              <w:t> </w:t>
            </w:r>
            <w:r>
              <w:rPr>
                <w:sz w:val="20"/>
              </w:rPr>
              <w:t>other</w:t>
            </w:r>
            <w:r>
              <w:rPr>
                <w:spacing w:val="-5"/>
                <w:sz w:val="20"/>
              </w:rPr>
              <w:t> </w:t>
            </w:r>
            <w:r>
              <w:rPr>
                <w:sz w:val="20"/>
              </w:rPr>
              <w:t>on</w:t>
            </w:r>
            <w:r>
              <w:rPr>
                <w:spacing w:val="-5"/>
                <w:sz w:val="20"/>
              </w:rPr>
              <w:t> </w:t>
            </w:r>
            <w:r>
              <w:rPr>
                <w:sz w:val="20"/>
              </w:rPr>
              <w:t>the application of the Code itself in</w:t>
            </w:r>
            <w:r>
              <w:rPr>
                <w:spacing w:val="-2"/>
                <w:sz w:val="20"/>
              </w:rPr>
              <w:t> </w:t>
            </w:r>
            <w:r>
              <w:rPr>
                <w:sz w:val="20"/>
              </w:rPr>
              <w:t>practice.</w:t>
            </w:r>
          </w:p>
          <w:p>
            <w:pPr>
              <w:pStyle w:val="TableParagraph"/>
              <w:spacing w:before="9"/>
              <w:rPr>
                <w:sz w:val="19"/>
              </w:rPr>
            </w:pPr>
          </w:p>
          <w:p>
            <w:pPr>
              <w:pStyle w:val="TableParagraph"/>
              <w:ind w:left="360" w:right="196"/>
              <w:jc w:val="both"/>
              <w:rPr>
                <w:sz w:val="20"/>
              </w:rPr>
            </w:pPr>
            <w:r>
              <w:rPr>
                <w:sz w:val="20"/>
              </w:rPr>
              <w:t>In regards to the reporting of FX swaps under MiFIR and EMIR, Mr Broadway noted that the IA had communicated to its members that there was no requirement</w:t>
            </w:r>
            <w:r>
              <w:rPr>
                <w:spacing w:val="-8"/>
                <w:sz w:val="20"/>
              </w:rPr>
              <w:t> </w:t>
            </w:r>
            <w:r>
              <w:rPr>
                <w:sz w:val="20"/>
              </w:rPr>
              <w:t>to</w:t>
            </w:r>
            <w:r>
              <w:rPr>
                <w:spacing w:val="-8"/>
                <w:sz w:val="20"/>
              </w:rPr>
              <w:t> </w:t>
            </w:r>
            <w:r>
              <w:rPr>
                <w:sz w:val="20"/>
              </w:rPr>
              <w:t>change</w:t>
            </w:r>
            <w:r>
              <w:rPr>
                <w:spacing w:val="-8"/>
                <w:sz w:val="20"/>
              </w:rPr>
              <w:t> </w:t>
            </w:r>
            <w:r>
              <w:rPr>
                <w:sz w:val="20"/>
              </w:rPr>
              <w:t>their</w:t>
            </w:r>
            <w:r>
              <w:rPr>
                <w:spacing w:val="-7"/>
                <w:sz w:val="20"/>
              </w:rPr>
              <w:t> </w:t>
            </w:r>
            <w:r>
              <w:rPr>
                <w:sz w:val="20"/>
              </w:rPr>
              <w:t>approach,</w:t>
            </w:r>
            <w:r>
              <w:rPr>
                <w:spacing w:val="-4"/>
                <w:sz w:val="20"/>
              </w:rPr>
              <w:t> </w:t>
            </w:r>
            <w:r>
              <w:rPr>
                <w:sz w:val="20"/>
              </w:rPr>
              <w:t>while</w:t>
            </w:r>
            <w:r>
              <w:rPr>
                <w:spacing w:val="-6"/>
                <w:sz w:val="20"/>
              </w:rPr>
              <w:t> </w:t>
            </w:r>
            <w:r>
              <w:rPr>
                <w:sz w:val="20"/>
              </w:rPr>
              <w:t>highlighting</w:t>
            </w:r>
            <w:r>
              <w:rPr>
                <w:spacing w:val="-8"/>
                <w:sz w:val="20"/>
              </w:rPr>
              <w:t> </w:t>
            </w:r>
            <w:r>
              <w:rPr>
                <w:sz w:val="20"/>
              </w:rPr>
              <w:t>the</w:t>
            </w:r>
            <w:r>
              <w:rPr>
                <w:spacing w:val="-6"/>
                <w:sz w:val="20"/>
              </w:rPr>
              <w:t> </w:t>
            </w:r>
            <w:r>
              <w:rPr>
                <w:sz w:val="20"/>
              </w:rPr>
              <w:t>importance</w:t>
            </w:r>
            <w:r>
              <w:rPr>
                <w:spacing w:val="-8"/>
                <w:sz w:val="20"/>
              </w:rPr>
              <w:t> </w:t>
            </w:r>
            <w:r>
              <w:rPr>
                <w:sz w:val="20"/>
              </w:rPr>
              <w:t>of</w:t>
            </w:r>
            <w:r>
              <w:rPr>
                <w:spacing w:val="-4"/>
                <w:sz w:val="20"/>
              </w:rPr>
              <w:t> </w:t>
            </w:r>
            <w:r>
              <w:rPr>
                <w:sz w:val="20"/>
              </w:rPr>
              <w:t>both parties – and any venue across which they trade – having a common understanding of what was executed and therefore what should be</w:t>
            </w:r>
            <w:r>
              <w:rPr>
                <w:spacing w:val="-8"/>
                <w:sz w:val="20"/>
              </w:rPr>
              <w:t> </w:t>
            </w:r>
            <w:r>
              <w:rPr>
                <w:sz w:val="20"/>
              </w:rPr>
              <w:t>reported.</w:t>
            </w:r>
          </w:p>
          <w:p>
            <w:pPr>
              <w:pStyle w:val="TableParagraph"/>
              <w:rPr>
                <w:sz w:val="20"/>
              </w:rPr>
            </w:pPr>
          </w:p>
          <w:p>
            <w:pPr>
              <w:pStyle w:val="TableParagraph"/>
              <w:ind w:left="360" w:right="198"/>
              <w:jc w:val="both"/>
              <w:rPr>
                <w:sz w:val="20"/>
              </w:rPr>
            </w:pPr>
            <w:r>
              <w:rPr>
                <w:sz w:val="20"/>
              </w:rPr>
              <w:t>Mr</w:t>
            </w:r>
            <w:r>
              <w:rPr>
                <w:spacing w:val="-7"/>
                <w:sz w:val="20"/>
              </w:rPr>
              <w:t> </w:t>
            </w:r>
            <w:r>
              <w:rPr>
                <w:sz w:val="20"/>
              </w:rPr>
              <w:t>Broadway</w:t>
            </w:r>
            <w:r>
              <w:rPr>
                <w:spacing w:val="-10"/>
                <w:sz w:val="20"/>
              </w:rPr>
              <w:t> </w:t>
            </w:r>
            <w:r>
              <w:rPr>
                <w:sz w:val="20"/>
              </w:rPr>
              <w:t>also</w:t>
            </w:r>
            <w:r>
              <w:rPr>
                <w:spacing w:val="-5"/>
                <w:sz w:val="20"/>
              </w:rPr>
              <w:t> </w:t>
            </w:r>
            <w:r>
              <w:rPr>
                <w:sz w:val="20"/>
              </w:rPr>
              <w:t>noted</w:t>
            </w:r>
            <w:r>
              <w:rPr>
                <w:spacing w:val="-8"/>
                <w:sz w:val="20"/>
              </w:rPr>
              <w:t> </w:t>
            </w:r>
            <w:r>
              <w:rPr>
                <w:sz w:val="20"/>
              </w:rPr>
              <w:t>that</w:t>
            </w:r>
            <w:r>
              <w:rPr>
                <w:spacing w:val="-7"/>
                <w:sz w:val="20"/>
              </w:rPr>
              <w:t> </w:t>
            </w:r>
            <w:r>
              <w:rPr>
                <w:sz w:val="20"/>
              </w:rPr>
              <w:t>the</w:t>
            </w:r>
            <w:r>
              <w:rPr>
                <w:spacing w:val="-7"/>
                <w:sz w:val="20"/>
              </w:rPr>
              <w:t> </w:t>
            </w:r>
            <w:r>
              <w:rPr>
                <w:sz w:val="20"/>
              </w:rPr>
              <w:t>IA</w:t>
            </w:r>
            <w:r>
              <w:rPr>
                <w:spacing w:val="-5"/>
                <w:sz w:val="20"/>
              </w:rPr>
              <w:t> </w:t>
            </w:r>
            <w:r>
              <w:rPr>
                <w:sz w:val="20"/>
              </w:rPr>
              <w:t>was</w:t>
            </w:r>
            <w:r>
              <w:rPr>
                <w:spacing w:val="-7"/>
                <w:sz w:val="20"/>
              </w:rPr>
              <w:t> </w:t>
            </w:r>
            <w:r>
              <w:rPr>
                <w:sz w:val="20"/>
              </w:rPr>
              <w:t>inputting</w:t>
            </w:r>
            <w:r>
              <w:rPr>
                <w:spacing w:val="-7"/>
                <w:sz w:val="20"/>
              </w:rPr>
              <w:t> </w:t>
            </w:r>
            <w:r>
              <w:rPr>
                <w:sz w:val="20"/>
              </w:rPr>
              <w:t>to</w:t>
            </w:r>
            <w:r>
              <w:rPr>
                <w:spacing w:val="-7"/>
                <w:sz w:val="20"/>
              </w:rPr>
              <w:t> </w:t>
            </w:r>
            <w:r>
              <w:rPr>
                <w:sz w:val="20"/>
              </w:rPr>
              <w:t>an</w:t>
            </w:r>
            <w:r>
              <w:rPr>
                <w:spacing w:val="-6"/>
                <w:sz w:val="20"/>
              </w:rPr>
              <w:t> </w:t>
            </w:r>
            <w:r>
              <w:rPr>
                <w:sz w:val="20"/>
              </w:rPr>
              <w:t>international</w:t>
            </w:r>
            <w:r>
              <w:rPr>
                <w:spacing w:val="-8"/>
                <w:sz w:val="20"/>
              </w:rPr>
              <w:t> </w:t>
            </w:r>
            <w:r>
              <w:rPr>
                <w:sz w:val="20"/>
              </w:rPr>
              <w:t>strategy</w:t>
            </w:r>
            <w:r>
              <w:rPr>
                <w:spacing w:val="-10"/>
                <w:sz w:val="20"/>
              </w:rPr>
              <w:t> </w:t>
            </w:r>
            <w:r>
              <w:rPr>
                <w:sz w:val="20"/>
              </w:rPr>
              <w:t>for the future of financial services that was being prepared by the Economic Secretary,</w:t>
            </w:r>
            <w:r>
              <w:rPr>
                <w:spacing w:val="-13"/>
                <w:sz w:val="20"/>
              </w:rPr>
              <w:t> </w:t>
            </w:r>
            <w:r>
              <w:rPr>
                <w:sz w:val="20"/>
              </w:rPr>
              <w:t>and</w:t>
            </w:r>
            <w:r>
              <w:rPr>
                <w:spacing w:val="-13"/>
                <w:sz w:val="20"/>
              </w:rPr>
              <w:t> </w:t>
            </w:r>
            <w:r>
              <w:rPr>
                <w:sz w:val="20"/>
              </w:rPr>
              <w:t>noted</w:t>
            </w:r>
            <w:r>
              <w:rPr>
                <w:spacing w:val="-13"/>
                <w:sz w:val="20"/>
              </w:rPr>
              <w:t> </w:t>
            </w:r>
            <w:r>
              <w:rPr>
                <w:sz w:val="20"/>
              </w:rPr>
              <w:t>other</w:t>
            </w:r>
            <w:r>
              <w:rPr>
                <w:spacing w:val="-9"/>
                <w:sz w:val="20"/>
              </w:rPr>
              <w:t> </w:t>
            </w:r>
            <w:r>
              <w:rPr>
                <w:sz w:val="20"/>
              </w:rPr>
              <w:t>key</w:t>
            </w:r>
            <w:r>
              <w:rPr>
                <w:spacing w:val="-14"/>
                <w:sz w:val="20"/>
              </w:rPr>
              <w:t> </w:t>
            </w:r>
            <w:r>
              <w:rPr>
                <w:sz w:val="20"/>
              </w:rPr>
              <w:t>focuses</w:t>
            </w:r>
            <w:r>
              <w:rPr>
                <w:spacing w:val="-11"/>
                <w:sz w:val="20"/>
              </w:rPr>
              <w:t> </w:t>
            </w:r>
            <w:r>
              <w:rPr>
                <w:sz w:val="20"/>
              </w:rPr>
              <w:t>included:</w:t>
            </w:r>
            <w:r>
              <w:rPr>
                <w:spacing w:val="-13"/>
                <w:sz w:val="20"/>
              </w:rPr>
              <w:t> </w:t>
            </w:r>
            <w:r>
              <w:rPr>
                <w:sz w:val="20"/>
              </w:rPr>
              <w:t>the</w:t>
            </w:r>
            <w:r>
              <w:rPr>
                <w:spacing w:val="-13"/>
                <w:sz w:val="20"/>
              </w:rPr>
              <w:t> </w:t>
            </w:r>
            <w:r>
              <w:rPr>
                <w:sz w:val="20"/>
              </w:rPr>
              <w:t>LIBOR</w:t>
            </w:r>
            <w:r>
              <w:rPr>
                <w:spacing w:val="-12"/>
                <w:sz w:val="20"/>
              </w:rPr>
              <w:t> </w:t>
            </w:r>
            <w:r>
              <w:rPr>
                <w:sz w:val="20"/>
              </w:rPr>
              <w:t>reform,</w:t>
            </w:r>
            <w:r>
              <w:rPr>
                <w:spacing w:val="-12"/>
                <w:sz w:val="20"/>
              </w:rPr>
              <w:t> </w:t>
            </w:r>
            <w:r>
              <w:rPr>
                <w:sz w:val="20"/>
              </w:rPr>
              <w:t>sustainable finance, preparations for the settlement discipline regime that would be introduced by the Central Securities Depositories Regulation (CSDR) from September 2020, and the new Securities Financing Transactions Regulation (SFTR) trade reporting requirements that would apply to IA members’ clients from the end of</w:t>
            </w:r>
            <w:r>
              <w:rPr>
                <w:spacing w:val="2"/>
                <w:sz w:val="20"/>
              </w:rPr>
              <w:t> </w:t>
            </w:r>
            <w:r>
              <w:rPr>
                <w:sz w:val="20"/>
              </w:rPr>
              <w:t>2020.</w:t>
            </w:r>
          </w:p>
          <w:p>
            <w:pPr>
              <w:pStyle w:val="TableParagraph"/>
              <w:spacing w:before="2"/>
              <w:rPr>
                <w:sz w:val="20"/>
              </w:rPr>
            </w:pPr>
          </w:p>
          <w:p>
            <w:pPr>
              <w:pStyle w:val="TableParagraph"/>
              <w:numPr>
                <w:ilvl w:val="0"/>
                <w:numId w:val="1"/>
              </w:numPr>
              <w:tabs>
                <w:tab w:pos="720" w:val="left" w:leader="none"/>
                <w:tab w:pos="721" w:val="left" w:leader="none"/>
              </w:tabs>
              <w:spacing w:line="240" w:lineRule="auto" w:before="0" w:after="0"/>
              <w:ind w:left="720" w:right="0" w:hanging="361"/>
              <w:jc w:val="left"/>
              <w:rPr>
                <w:sz w:val="20"/>
              </w:rPr>
            </w:pPr>
            <w:r>
              <w:rPr>
                <w:sz w:val="20"/>
              </w:rPr>
              <w:t>Association of Foreign Banks update</w:t>
            </w:r>
          </w:p>
          <w:p>
            <w:pPr>
              <w:pStyle w:val="TableParagraph"/>
              <w:spacing w:line="230" w:lineRule="atLeast" w:before="1"/>
              <w:ind w:left="360" w:right="197"/>
              <w:jc w:val="both"/>
              <w:rPr>
                <w:sz w:val="20"/>
              </w:rPr>
            </w:pPr>
            <w:r>
              <w:rPr>
                <w:sz w:val="20"/>
              </w:rPr>
              <w:t>Bruk</w:t>
            </w:r>
            <w:r>
              <w:rPr>
                <w:spacing w:val="-13"/>
                <w:sz w:val="20"/>
              </w:rPr>
              <w:t> </w:t>
            </w:r>
            <w:r>
              <w:rPr>
                <w:sz w:val="20"/>
              </w:rPr>
              <w:t>Woldegabreil</w:t>
            </w:r>
            <w:r>
              <w:rPr>
                <w:spacing w:val="-13"/>
                <w:sz w:val="20"/>
              </w:rPr>
              <w:t> </w:t>
            </w:r>
            <w:r>
              <w:rPr>
                <w:sz w:val="20"/>
              </w:rPr>
              <w:t>(Association</w:t>
            </w:r>
            <w:r>
              <w:rPr>
                <w:spacing w:val="-10"/>
                <w:sz w:val="20"/>
              </w:rPr>
              <w:t> </w:t>
            </w:r>
            <w:r>
              <w:rPr>
                <w:sz w:val="20"/>
              </w:rPr>
              <w:t>of</w:t>
            </w:r>
            <w:r>
              <w:rPr>
                <w:spacing w:val="-10"/>
                <w:sz w:val="20"/>
              </w:rPr>
              <w:t> </w:t>
            </w:r>
            <w:r>
              <w:rPr>
                <w:sz w:val="20"/>
              </w:rPr>
              <w:t>Foreign</w:t>
            </w:r>
            <w:r>
              <w:rPr>
                <w:spacing w:val="-9"/>
                <w:sz w:val="20"/>
              </w:rPr>
              <w:t> </w:t>
            </w:r>
            <w:r>
              <w:rPr>
                <w:sz w:val="20"/>
              </w:rPr>
              <w:t>Banks)</w:t>
            </w:r>
            <w:r>
              <w:rPr>
                <w:spacing w:val="-11"/>
                <w:sz w:val="20"/>
              </w:rPr>
              <w:t> </w:t>
            </w:r>
            <w:r>
              <w:rPr>
                <w:sz w:val="20"/>
              </w:rPr>
              <w:t>provided</w:t>
            </w:r>
            <w:r>
              <w:rPr>
                <w:spacing w:val="-9"/>
                <w:sz w:val="20"/>
              </w:rPr>
              <w:t> </w:t>
            </w:r>
            <w:r>
              <w:rPr>
                <w:sz w:val="20"/>
              </w:rPr>
              <w:t>an</w:t>
            </w:r>
            <w:r>
              <w:rPr>
                <w:spacing w:val="-12"/>
                <w:sz w:val="20"/>
              </w:rPr>
              <w:t> </w:t>
            </w:r>
            <w:r>
              <w:rPr>
                <w:sz w:val="20"/>
              </w:rPr>
              <w:t>update</w:t>
            </w:r>
            <w:r>
              <w:rPr>
                <w:spacing w:val="-10"/>
                <w:sz w:val="20"/>
              </w:rPr>
              <w:t> </w:t>
            </w:r>
            <w:r>
              <w:rPr>
                <w:sz w:val="20"/>
              </w:rPr>
              <w:t>on</w:t>
            </w:r>
            <w:r>
              <w:rPr>
                <w:spacing w:val="-10"/>
                <w:sz w:val="20"/>
              </w:rPr>
              <w:t> </w:t>
            </w:r>
            <w:r>
              <w:rPr>
                <w:sz w:val="20"/>
              </w:rPr>
              <w:t>its</w:t>
            </w:r>
            <w:r>
              <w:rPr>
                <w:spacing w:val="-11"/>
                <w:sz w:val="20"/>
              </w:rPr>
              <w:t> </w:t>
            </w:r>
            <w:r>
              <w:rPr>
                <w:sz w:val="20"/>
              </w:rPr>
              <w:t>key focuses,</w:t>
            </w:r>
            <w:r>
              <w:rPr>
                <w:spacing w:val="-15"/>
                <w:sz w:val="20"/>
              </w:rPr>
              <w:t> </w:t>
            </w:r>
            <w:r>
              <w:rPr>
                <w:sz w:val="20"/>
              </w:rPr>
              <w:t>covering</w:t>
            </w:r>
            <w:r>
              <w:rPr>
                <w:spacing w:val="-12"/>
                <w:sz w:val="20"/>
              </w:rPr>
              <w:t> </w:t>
            </w:r>
            <w:r>
              <w:rPr>
                <w:sz w:val="20"/>
              </w:rPr>
              <w:t>its</w:t>
            </w:r>
            <w:r>
              <w:rPr>
                <w:spacing w:val="-15"/>
                <w:sz w:val="20"/>
              </w:rPr>
              <w:t> </w:t>
            </w:r>
            <w:r>
              <w:rPr>
                <w:sz w:val="20"/>
              </w:rPr>
              <w:t>members’</w:t>
            </w:r>
            <w:r>
              <w:rPr>
                <w:spacing w:val="-14"/>
                <w:sz w:val="20"/>
              </w:rPr>
              <w:t> </w:t>
            </w:r>
            <w:r>
              <w:rPr>
                <w:sz w:val="20"/>
              </w:rPr>
              <w:t>preparations</w:t>
            </w:r>
            <w:r>
              <w:rPr>
                <w:spacing w:val="-13"/>
                <w:sz w:val="20"/>
              </w:rPr>
              <w:t> </w:t>
            </w:r>
            <w:r>
              <w:rPr>
                <w:sz w:val="20"/>
              </w:rPr>
              <w:t>ahead</w:t>
            </w:r>
            <w:r>
              <w:rPr>
                <w:spacing w:val="-14"/>
                <w:sz w:val="20"/>
              </w:rPr>
              <w:t> </w:t>
            </w:r>
            <w:r>
              <w:rPr>
                <w:sz w:val="20"/>
              </w:rPr>
              <w:t>of</w:t>
            </w:r>
            <w:r>
              <w:rPr>
                <w:spacing w:val="-13"/>
                <w:sz w:val="20"/>
              </w:rPr>
              <w:t> </w:t>
            </w:r>
            <w:r>
              <w:rPr>
                <w:sz w:val="20"/>
              </w:rPr>
              <w:t>the</w:t>
            </w:r>
            <w:r>
              <w:rPr>
                <w:spacing w:val="-14"/>
                <w:sz w:val="20"/>
              </w:rPr>
              <w:t> </w:t>
            </w:r>
            <w:r>
              <w:rPr>
                <w:sz w:val="20"/>
              </w:rPr>
              <w:t>UK’s</w:t>
            </w:r>
            <w:r>
              <w:rPr>
                <w:spacing w:val="-12"/>
                <w:sz w:val="20"/>
              </w:rPr>
              <w:t> </w:t>
            </w:r>
            <w:r>
              <w:rPr>
                <w:sz w:val="20"/>
              </w:rPr>
              <w:t>exit</w:t>
            </w:r>
            <w:r>
              <w:rPr>
                <w:spacing w:val="-14"/>
                <w:sz w:val="20"/>
              </w:rPr>
              <w:t> </w:t>
            </w:r>
            <w:r>
              <w:rPr>
                <w:sz w:val="20"/>
              </w:rPr>
              <w:t>from</w:t>
            </w:r>
            <w:r>
              <w:rPr>
                <w:spacing w:val="-9"/>
                <w:sz w:val="20"/>
              </w:rPr>
              <w:t> </w:t>
            </w:r>
            <w:r>
              <w:rPr>
                <w:sz w:val="20"/>
              </w:rPr>
              <w:t>the</w:t>
            </w:r>
            <w:r>
              <w:rPr>
                <w:spacing w:val="-15"/>
                <w:sz w:val="20"/>
              </w:rPr>
              <w:t> </w:t>
            </w:r>
            <w:r>
              <w:rPr>
                <w:sz w:val="20"/>
              </w:rPr>
              <w:t>EU,</w:t>
            </w:r>
          </w:p>
        </w:tc>
      </w:tr>
    </w:tbl>
    <w:p>
      <w:pPr>
        <w:pStyle w:val="BodyText"/>
        <w:rPr>
          <w:u w:val="none"/>
        </w:rPr>
      </w:pPr>
    </w:p>
    <w:p>
      <w:pPr>
        <w:pStyle w:val="BodyText"/>
        <w:spacing w:before="7"/>
        <w:rPr>
          <w:sz w:val="11"/>
          <w:u w:val="none"/>
        </w:rPr>
      </w:pPr>
      <w:r>
        <w:rPr/>
        <w:pict>
          <v:shape style="position:absolute;margin-left:92.183998pt;margin-top:8.953769pt;width:144.050pt;height:.1pt;mso-position-horizontal-relative:page;mso-position-vertical-relative:paragraph;z-index:-251655168;mso-wrap-distance-left:0;mso-wrap-distance-right:0" coordorigin="1844,179" coordsize="2881,0" path="m1844,179l4724,179e" filled="false" stroked="true" strokeweight=".60004pt" strokecolor="#000000">
            <v:path arrowok="t"/>
            <v:stroke dashstyle="solid"/>
            <w10:wrap type="topAndBottom"/>
          </v:shape>
        </w:pict>
      </w:r>
    </w:p>
    <w:p>
      <w:pPr>
        <w:pStyle w:val="BodyText"/>
        <w:spacing w:before="78"/>
        <w:ind w:left="1043" w:right="1084"/>
        <w:rPr>
          <w:u w:val="none"/>
        </w:rPr>
      </w:pPr>
      <w:r>
        <w:rPr>
          <w:position w:val="6"/>
          <w:sz w:val="13"/>
          <w:u w:val="none"/>
        </w:rPr>
        <w:t>5 </w:t>
      </w:r>
      <w:hyperlink r:id="rId9">
        <w:r>
          <w:rPr>
            <w:color w:val="0000FF"/>
            <w:u w:val="single" w:color="0000FF"/>
          </w:rPr>
          <w:t>https://www.bankofengland.co.uk/report/2018/publication-of-the-hmt-fca-boe-cryptoasset-</w:t>
        </w:r>
      </w:hyperlink>
      <w:r>
        <w:rPr>
          <w:color w:val="0000FF"/>
          <w:u w:val="none"/>
        </w:rPr>
        <w:t> </w:t>
      </w:r>
      <w:hyperlink r:id="rId9">
        <w:r>
          <w:rPr>
            <w:color w:val="0000FF"/>
            <w:u w:val="single" w:color="0000FF"/>
          </w:rPr>
          <w:t>taskforce-report</w:t>
        </w:r>
      </w:hyperlink>
    </w:p>
    <w:p>
      <w:pPr>
        <w:pStyle w:val="BodyText"/>
        <w:spacing w:before="1"/>
        <w:ind w:left="1043"/>
        <w:rPr>
          <w:u w:val="none"/>
        </w:rPr>
      </w:pPr>
      <w:r>
        <w:rPr>
          <w:position w:val="6"/>
          <w:sz w:val="13"/>
          <w:u w:val="none"/>
        </w:rPr>
        <w:t>6 </w:t>
      </w:r>
      <w:hyperlink r:id="rId10">
        <w:r>
          <w:rPr>
            <w:color w:val="0000FF"/>
            <w:u w:val="single" w:color="0000FF"/>
          </w:rPr>
          <w:t>https://www.fca.org.uk/publication/consultation/cp19-03.pdf</w:t>
        </w:r>
      </w:hyperlink>
    </w:p>
    <w:p>
      <w:pPr>
        <w:spacing w:after="0"/>
        <w:sectPr>
          <w:pgSz w:w="11910" w:h="16840"/>
          <w:pgMar w:top="1420" w:bottom="280" w:left="800" w:right="960"/>
        </w:sect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7486"/>
      </w:tblGrid>
      <w:tr>
        <w:trPr>
          <w:trHeight w:val="464" w:hRule="atLeast"/>
        </w:trPr>
        <w:tc>
          <w:tcPr>
            <w:tcW w:w="781" w:type="dxa"/>
          </w:tcPr>
          <w:p>
            <w:pPr>
              <w:pStyle w:val="TableParagraph"/>
              <w:rPr>
                <w:rFonts w:ascii="Times New Roman"/>
                <w:sz w:val="18"/>
              </w:rPr>
            </w:pPr>
          </w:p>
        </w:tc>
        <w:tc>
          <w:tcPr>
            <w:tcW w:w="7486" w:type="dxa"/>
          </w:tcPr>
          <w:p>
            <w:pPr>
              <w:pStyle w:val="TableParagraph"/>
              <w:spacing w:line="223" w:lineRule="exact"/>
              <w:ind w:left="304"/>
              <w:rPr>
                <w:sz w:val="20"/>
              </w:rPr>
            </w:pPr>
            <w:r>
              <w:rPr>
                <w:sz w:val="20"/>
              </w:rPr>
              <w:t>the AFB’s work relating to the Market Abuse Regulation (MAR), and work with</w:t>
            </w:r>
          </w:p>
          <w:p>
            <w:pPr>
              <w:pStyle w:val="TableParagraph"/>
              <w:spacing w:line="221" w:lineRule="exact"/>
              <w:ind w:left="304"/>
              <w:rPr>
                <w:sz w:val="20"/>
              </w:rPr>
            </w:pPr>
            <w:r>
              <w:rPr>
                <w:sz w:val="20"/>
              </w:rPr>
              <w:t>its members in preparation of the LIBOR transition.</w:t>
            </w:r>
          </w:p>
        </w:tc>
      </w:tr>
      <w:tr>
        <w:trPr>
          <w:trHeight w:val="4298" w:hRule="atLeast"/>
        </w:trPr>
        <w:tc>
          <w:tcPr>
            <w:tcW w:w="781" w:type="dxa"/>
          </w:tcPr>
          <w:p>
            <w:pPr>
              <w:pStyle w:val="TableParagraph"/>
              <w:spacing w:before="6"/>
              <w:ind w:left="200"/>
              <w:rPr>
                <w:sz w:val="20"/>
              </w:rPr>
            </w:pPr>
            <w:r>
              <w:rPr>
                <w:sz w:val="20"/>
              </w:rPr>
              <w:t>9.</w:t>
            </w:r>
          </w:p>
        </w:tc>
        <w:tc>
          <w:tcPr>
            <w:tcW w:w="7486" w:type="dxa"/>
          </w:tcPr>
          <w:p>
            <w:pPr>
              <w:pStyle w:val="TableParagraph"/>
              <w:spacing w:before="4"/>
              <w:ind w:left="304"/>
              <w:jc w:val="both"/>
              <w:rPr>
                <w:b/>
                <w:sz w:val="20"/>
              </w:rPr>
            </w:pPr>
            <w:r>
              <w:rPr>
                <w:b/>
                <w:sz w:val="20"/>
              </w:rPr>
              <w:t>FCA regulatory update</w:t>
            </w:r>
          </w:p>
          <w:p>
            <w:pPr>
              <w:pStyle w:val="TableParagraph"/>
              <w:spacing w:before="36"/>
              <w:ind w:left="304" w:right="202"/>
              <w:jc w:val="both"/>
              <w:rPr>
                <w:sz w:val="20"/>
              </w:rPr>
            </w:pPr>
            <w:r>
              <w:rPr>
                <w:sz w:val="20"/>
              </w:rPr>
              <w:t>Alan</w:t>
            </w:r>
            <w:r>
              <w:rPr>
                <w:spacing w:val="-8"/>
                <w:sz w:val="20"/>
              </w:rPr>
              <w:t> </w:t>
            </w:r>
            <w:r>
              <w:rPr>
                <w:sz w:val="20"/>
              </w:rPr>
              <w:t>Barnes</w:t>
            </w:r>
            <w:r>
              <w:rPr>
                <w:spacing w:val="-9"/>
                <w:sz w:val="20"/>
              </w:rPr>
              <w:t> </w:t>
            </w:r>
            <w:r>
              <w:rPr>
                <w:sz w:val="20"/>
              </w:rPr>
              <w:t>(FCA)</w:t>
            </w:r>
            <w:r>
              <w:rPr>
                <w:spacing w:val="-7"/>
                <w:sz w:val="20"/>
              </w:rPr>
              <w:t> </w:t>
            </w:r>
            <w:r>
              <w:rPr>
                <w:sz w:val="20"/>
              </w:rPr>
              <w:t>provided</w:t>
            </w:r>
            <w:r>
              <w:rPr>
                <w:spacing w:val="-10"/>
                <w:sz w:val="20"/>
              </w:rPr>
              <w:t> </w:t>
            </w:r>
            <w:r>
              <w:rPr>
                <w:sz w:val="20"/>
              </w:rPr>
              <w:t>an</w:t>
            </w:r>
            <w:r>
              <w:rPr>
                <w:spacing w:val="-9"/>
                <w:sz w:val="20"/>
              </w:rPr>
              <w:t> </w:t>
            </w:r>
            <w:r>
              <w:rPr>
                <w:sz w:val="20"/>
              </w:rPr>
              <w:t>overview</w:t>
            </w:r>
            <w:r>
              <w:rPr>
                <w:spacing w:val="-10"/>
                <w:sz w:val="20"/>
              </w:rPr>
              <w:t> </w:t>
            </w:r>
            <w:r>
              <w:rPr>
                <w:sz w:val="20"/>
              </w:rPr>
              <w:t>of</w:t>
            </w:r>
            <w:r>
              <w:rPr>
                <w:spacing w:val="-8"/>
                <w:sz w:val="20"/>
              </w:rPr>
              <w:t> </w:t>
            </w:r>
            <w:r>
              <w:rPr>
                <w:sz w:val="20"/>
              </w:rPr>
              <w:t>the</w:t>
            </w:r>
            <w:r>
              <w:rPr>
                <w:spacing w:val="-6"/>
                <w:sz w:val="20"/>
              </w:rPr>
              <w:t> </w:t>
            </w:r>
            <w:r>
              <w:rPr>
                <w:sz w:val="20"/>
              </w:rPr>
              <w:t>various</w:t>
            </w:r>
            <w:r>
              <w:rPr>
                <w:spacing w:val="-9"/>
                <w:sz w:val="20"/>
              </w:rPr>
              <w:t> </w:t>
            </w:r>
            <w:r>
              <w:rPr>
                <w:sz w:val="20"/>
              </w:rPr>
              <w:t>arrangements</w:t>
            </w:r>
            <w:r>
              <w:rPr>
                <w:spacing w:val="-8"/>
                <w:sz w:val="20"/>
              </w:rPr>
              <w:t> </w:t>
            </w:r>
            <w:r>
              <w:rPr>
                <w:sz w:val="20"/>
              </w:rPr>
              <w:t>that</w:t>
            </w:r>
            <w:r>
              <w:rPr>
                <w:spacing w:val="-8"/>
                <w:sz w:val="20"/>
              </w:rPr>
              <w:t> </w:t>
            </w:r>
            <w:r>
              <w:rPr>
                <w:sz w:val="20"/>
              </w:rPr>
              <w:t>HMT and the FCA would put in place if the UK leaves the EU without an agreement and implementation period. Mr Barnes highlighted the main changes arising from the MiFID II and MAR Statutory Instruments which convert EU legislation into UK law, the Temporary Permissions Regime, and the Temporary Transitional</w:t>
            </w:r>
            <w:r>
              <w:rPr>
                <w:spacing w:val="-1"/>
                <w:sz w:val="20"/>
              </w:rPr>
              <w:t> </w:t>
            </w:r>
            <w:r>
              <w:rPr>
                <w:sz w:val="20"/>
              </w:rPr>
              <w:t>Power.</w:t>
            </w:r>
          </w:p>
          <w:p>
            <w:pPr>
              <w:pStyle w:val="TableParagraph"/>
              <w:spacing w:before="1"/>
              <w:rPr>
                <w:sz w:val="20"/>
              </w:rPr>
            </w:pPr>
          </w:p>
          <w:p>
            <w:pPr>
              <w:pStyle w:val="TableParagraph"/>
              <w:ind w:left="304" w:right="203"/>
              <w:jc w:val="both"/>
              <w:rPr>
                <w:sz w:val="20"/>
              </w:rPr>
            </w:pPr>
            <w:r>
              <w:rPr>
                <w:sz w:val="20"/>
              </w:rPr>
              <w:t>Mr Barnes reported that the FCA had discussed market concerns with EMIR and MiFID Q&amp;A requirements for the reporting of FX swaps. The changes aimed to support the consistent treatment and reporting of FX swaps and forwards. Trading Venues and Firms needed to consider when they are executing a FX swap as a distinct product class and when they are executing two forwards transactions and to report those respective transactions as</w:t>
            </w:r>
            <w:r>
              <w:rPr>
                <w:spacing w:val="-37"/>
                <w:sz w:val="20"/>
              </w:rPr>
              <w:t> </w:t>
            </w:r>
            <w:r>
              <w:rPr>
                <w:sz w:val="20"/>
              </w:rPr>
              <w:t>swaps or forwards</w:t>
            </w:r>
            <w:r>
              <w:rPr>
                <w:spacing w:val="-1"/>
                <w:sz w:val="20"/>
              </w:rPr>
              <w:t> </w:t>
            </w:r>
            <w:r>
              <w:rPr>
                <w:sz w:val="20"/>
              </w:rPr>
              <w:t>accordingly.</w:t>
            </w:r>
          </w:p>
          <w:p>
            <w:pPr>
              <w:pStyle w:val="TableParagraph"/>
              <w:spacing w:before="10"/>
              <w:rPr>
                <w:sz w:val="19"/>
              </w:rPr>
            </w:pPr>
          </w:p>
          <w:p>
            <w:pPr>
              <w:pStyle w:val="TableParagraph"/>
              <w:ind w:left="304" w:right="209"/>
              <w:jc w:val="both"/>
              <w:rPr>
                <w:sz w:val="20"/>
              </w:rPr>
            </w:pPr>
            <w:r>
              <w:rPr>
                <w:sz w:val="20"/>
              </w:rPr>
              <w:t>Mr Barnes also noted that the FCA consultation on recognising the FX Global Code was due to close on 6 February 2019.</w:t>
            </w:r>
          </w:p>
        </w:tc>
      </w:tr>
      <w:tr>
        <w:trPr>
          <w:trHeight w:val="2103" w:hRule="atLeast"/>
        </w:trPr>
        <w:tc>
          <w:tcPr>
            <w:tcW w:w="781" w:type="dxa"/>
          </w:tcPr>
          <w:p>
            <w:pPr>
              <w:pStyle w:val="TableParagraph"/>
              <w:spacing w:before="113"/>
              <w:ind w:left="200"/>
              <w:rPr>
                <w:sz w:val="20"/>
              </w:rPr>
            </w:pPr>
            <w:r>
              <w:rPr>
                <w:sz w:val="20"/>
              </w:rPr>
              <w:t>10.</w:t>
            </w:r>
          </w:p>
        </w:tc>
        <w:tc>
          <w:tcPr>
            <w:tcW w:w="7486" w:type="dxa"/>
          </w:tcPr>
          <w:p>
            <w:pPr>
              <w:pStyle w:val="TableParagraph"/>
              <w:spacing w:before="110"/>
              <w:ind w:left="304"/>
              <w:jc w:val="both"/>
              <w:rPr>
                <w:b/>
                <w:sz w:val="20"/>
              </w:rPr>
            </w:pPr>
            <w:r>
              <w:rPr>
                <w:b/>
                <w:sz w:val="20"/>
              </w:rPr>
              <w:t>CLS industry update</w:t>
            </w:r>
          </w:p>
          <w:p>
            <w:pPr>
              <w:pStyle w:val="TableParagraph"/>
              <w:spacing w:before="37"/>
              <w:ind w:left="304" w:right="200"/>
              <w:jc w:val="both"/>
              <w:rPr>
                <w:sz w:val="20"/>
              </w:rPr>
            </w:pPr>
            <w:r>
              <w:rPr>
                <w:sz w:val="20"/>
              </w:rPr>
              <w:t>Mr Cooper provided an industry update on CLS and provided some high-level trends of its ecosystem performance. Mr Cooper noted that total pay-in delays and incidents had almost double in 2018 versus 2017. Mr Cooper noted that CLS were looking further to understand what may be contributing to this trend. Mr Cooper also provided an update on CLSNet, noting that there were five active participants with four more in the pipeline, and that the average daily netting benefit was $680million decreasing to $387million.</w:t>
            </w:r>
          </w:p>
        </w:tc>
      </w:tr>
      <w:tr>
        <w:trPr>
          <w:trHeight w:val="6749" w:hRule="atLeast"/>
        </w:trPr>
        <w:tc>
          <w:tcPr>
            <w:tcW w:w="781" w:type="dxa"/>
          </w:tcPr>
          <w:p>
            <w:pPr>
              <w:pStyle w:val="TableParagraph"/>
              <w:spacing w:before="114"/>
              <w:ind w:left="200"/>
              <w:rPr>
                <w:sz w:val="20"/>
              </w:rPr>
            </w:pPr>
            <w:r>
              <w:rPr>
                <w:sz w:val="20"/>
              </w:rPr>
              <w:t>11.</w:t>
            </w:r>
          </w:p>
        </w:tc>
        <w:tc>
          <w:tcPr>
            <w:tcW w:w="7486" w:type="dxa"/>
          </w:tcPr>
          <w:p>
            <w:pPr>
              <w:pStyle w:val="TableParagraph"/>
              <w:spacing w:before="109"/>
              <w:ind w:left="304"/>
              <w:jc w:val="both"/>
              <w:rPr>
                <w:b/>
                <w:sz w:val="20"/>
              </w:rPr>
            </w:pPr>
            <w:r>
              <w:rPr>
                <w:b/>
                <w:sz w:val="20"/>
              </w:rPr>
              <w:t>Presentation on the RTGS Renewal Programme</w:t>
            </w:r>
          </w:p>
          <w:p>
            <w:pPr>
              <w:pStyle w:val="TableParagraph"/>
              <w:spacing w:before="3"/>
              <w:ind w:left="304" w:right="198"/>
              <w:jc w:val="both"/>
              <w:rPr>
                <w:sz w:val="20"/>
              </w:rPr>
            </w:pPr>
            <w:r>
              <w:rPr>
                <w:sz w:val="20"/>
              </w:rPr>
              <w:t>Sara Ward and John Jackson (Bank of England) presented an update on the Real-Time Gross Settlement (RTGS) Renewal Programme (“the Programme”). Ms Ward provided background on the next generation of the RTGS infrastructure and outlined the key visions of the Programme: increased resiliency, wider access of firms to directly benefit the RTGS, interoperability and flexibility to reroute payments, improved user functionality, and strengthened end-to-end risk management.</w:t>
            </w:r>
          </w:p>
          <w:p>
            <w:pPr>
              <w:pStyle w:val="TableParagraph"/>
              <w:spacing w:before="1"/>
              <w:rPr>
                <w:sz w:val="20"/>
              </w:rPr>
            </w:pPr>
          </w:p>
          <w:p>
            <w:pPr>
              <w:pStyle w:val="TableParagraph"/>
              <w:ind w:left="304" w:right="200"/>
              <w:jc w:val="both"/>
              <w:rPr>
                <w:sz w:val="20"/>
              </w:rPr>
            </w:pPr>
            <w:r>
              <w:rPr>
                <w:sz w:val="20"/>
              </w:rPr>
              <w:t>Ms Ward outlined the journey of the Programme to date which had entailed producing a Blueprint for the new RTGS service</w:t>
            </w:r>
            <w:r>
              <w:rPr>
                <w:position w:val="6"/>
                <w:sz w:val="13"/>
              </w:rPr>
              <w:t>7</w:t>
            </w:r>
            <w:r>
              <w:rPr>
                <w:sz w:val="20"/>
              </w:rPr>
              <w:t>, and the plan-analyse-design stage. The indicative programme plan ahead would consist of four overlapping transition states to minimise delivery risk and allow early benefit realisation.</w:t>
            </w:r>
          </w:p>
          <w:p>
            <w:pPr>
              <w:pStyle w:val="TableParagraph"/>
              <w:rPr>
                <w:sz w:val="20"/>
              </w:rPr>
            </w:pPr>
          </w:p>
          <w:p>
            <w:pPr>
              <w:pStyle w:val="TableParagraph"/>
              <w:ind w:left="304" w:right="201"/>
              <w:jc w:val="both"/>
              <w:rPr>
                <w:sz w:val="20"/>
              </w:rPr>
            </w:pPr>
            <w:r>
              <w:rPr>
                <w:sz w:val="20"/>
              </w:rPr>
              <w:t>Mr Jackson noted the shift in the UK payments industry towards the ISO</w:t>
            </w:r>
            <w:r>
              <w:rPr>
                <w:spacing w:val="-32"/>
                <w:sz w:val="20"/>
              </w:rPr>
              <w:t> </w:t>
            </w:r>
            <w:r>
              <w:rPr>
                <w:sz w:val="20"/>
              </w:rPr>
              <w:t>20022 messaging standard – the emerging global standard for payments messaging. It was noted that ISO 20022 would be adopted by CHAPS, Bacs and Faster Payments, and this adoption would help address challenges by creating consistent a data format, domestic interoperability and international harmonisation.</w:t>
            </w:r>
            <w:r>
              <w:rPr>
                <w:spacing w:val="-15"/>
                <w:sz w:val="20"/>
              </w:rPr>
              <w:t> </w:t>
            </w:r>
            <w:r>
              <w:rPr>
                <w:sz w:val="20"/>
              </w:rPr>
              <w:t>Mr</w:t>
            </w:r>
            <w:r>
              <w:rPr>
                <w:spacing w:val="-16"/>
                <w:sz w:val="20"/>
              </w:rPr>
              <w:t> </w:t>
            </w:r>
            <w:r>
              <w:rPr>
                <w:sz w:val="20"/>
              </w:rPr>
              <w:t>Jackson</w:t>
            </w:r>
            <w:r>
              <w:rPr>
                <w:spacing w:val="-17"/>
                <w:sz w:val="20"/>
              </w:rPr>
              <w:t> </w:t>
            </w:r>
            <w:r>
              <w:rPr>
                <w:sz w:val="20"/>
              </w:rPr>
              <w:t>explained</w:t>
            </w:r>
            <w:r>
              <w:rPr>
                <w:spacing w:val="-14"/>
                <w:sz w:val="20"/>
              </w:rPr>
              <w:t> </w:t>
            </w:r>
            <w:r>
              <w:rPr>
                <w:sz w:val="20"/>
              </w:rPr>
              <w:t>how</w:t>
            </w:r>
            <w:r>
              <w:rPr>
                <w:spacing w:val="-13"/>
                <w:sz w:val="20"/>
              </w:rPr>
              <w:t> </w:t>
            </w:r>
            <w:r>
              <w:rPr>
                <w:sz w:val="20"/>
              </w:rPr>
              <w:t>the</w:t>
            </w:r>
            <w:r>
              <w:rPr>
                <w:spacing w:val="-17"/>
                <w:sz w:val="20"/>
              </w:rPr>
              <w:t> </w:t>
            </w:r>
            <w:r>
              <w:rPr>
                <w:sz w:val="20"/>
              </w:rPr>
              <w:t>adoption</w:t>
            </w:r>
            <w:r>
              <w:rPr>
                <w:spacing w:val="-15"/>
                <w:sz w:val="20"/>
              </w:rPr>
              <w:t> </w:t>
            </w:r>
            <w:r>
              <w:rPr>
                <w:sz w:val="20"/>
              </w:rPr>
              <w:t>of</w:t>
            </w:r>
            <w:r>
              <w:rPr>
                <w:spacing w:val="-15"/>
                <w:sz w:val="20"/>
              </w:rPr>
              <w:t> </w:t>
            </w:r>
            <w:r>
              <w:rPr>
                <w:sz w:val="20"/>
              </w:rPr>
              <w:t>ISO</w:t>
            </w:r>
            <w:r>
              <w:rPr>
                <w:spacing w:val="-16"/>
                <w:sz w:val="20"/>
              </w:rPr>
              <w:t> </w:t>
            </w:r>
            <w:r>
              <w:rPr>
                <w:sz w:val="20"/>
              </w:rPr>
              <w:t>20022</w:t>
            </w:r>
            <w:r>
              <w:rPr>
                <w:spacing w:val="-15"/>
                <w:sz w:val="20"/>
              </w:rPr>
              <w:t> </w:t>
            </w:r>
            <w:r>
              <w:rPr>
                <w:sz w:val="20"/>
              </w:rPr>
              <w:t>would</w:t>
            </w:r>
            <w:r>
              <w:rPr>
                <w:spacing w:val="-12"/>
                <w:sz w:val="20"/>
              </w:rPr>
              <w:t> </w:t>
            </w:r>
            <w:r>
              <w:rPr>
                <w:sz w:val="20"/>
              </w:rPr>
              <w:t>lead to key changes particularly in common credit messages, character sets, and Legal Entity Identifiers (LEIs), and how this would help international harmonisation.</w:t>
            </w:r>
          </w:p>
          <w:p>
            <w:pPr>
              <w:pStyle w:val="TableParagraph"/>
              <w:rPr>
                <w:sz w:val="20"/>
              </w:rPr>
            </w:pPr>
          </w:p>
          <w:p>
            <w:pPr>
              <w:pStyle w:val="TableParagraph"/>
              <w:ind w:left="304" w:right="201"/>
              <w:jc w:val="both"/>
              <w:rPr>
                <w:sz w:val="20"/>
              </w:rPr>
            </w:pPr>
            <w:r>
              <w:rPr>
                <w:sz w:val="20"/>
              </w:rPr>
              <w:t>The Bank had consulted with direct CHAPS participants on the future shape of CHAPS liquidity saving functionality, and were analysing these responses with a view to share a public response in 2019. The Programme would also deliver a</w:t>
            </w:r>
            <w:r>
              <w:rPr>
                <w:spacing w:val="-10"/>
                <w:sz w:val="20"/>
              </w:rPr>
              <w:t> </w:t>
            </w:r>
            <w:r>
              <w:rPr>
                <w:sz w:val="20"/>
              </w:rPr>
              <w:t>package</w:t>
            </w:r>
            <w:r>
              <w:rPr>
                <w:spacing w:val="-10"/>
                <w:sz w:val="20"/>
              </w:rPr>
              <w:t> </w:t>
            </w:r>
            <w:r>
              <w:rPr>
                <w:sz w:val="20"/>
              </w:rPr>
              <w:t>of</w:t>
            </w:r>
            <w:r>
              <w:rPr>
                <w:spacing w:val="-7"/>
                <w:sz w:val="20"/>
              </w:rPr>
              <w:t> </w:t>
            </w:r>
            <w:r>
              <w:rPr>
                <w:sz w:val="20"/>
              </w:rPr>
              <w:t>Application</w:t>
            </w:r>
            <w:r>
              <w:rPr>
                <w:spacing w:val="-8"/>
                <w:sz w:val="20"/>
              </w:rPr>
              <w:t> </w:t>
            </w:r>
            <w:r>
              <w:rPr>
                <w:sz w:val="20"/>
              </w:rPr>
              <w:t>Programming</w:t>
            </w:r>
            <w:r>
              <w:rPr>
                <w:spacing w:val="-11"/>
                <w:sz w:val="20"/>
              </w:rPr>
              <w:t> </w:t>
            </w:r>
            <w:r>
              <w:rPr>
                <w:sz w:val="20"/>
              </w:rPr>
              <w:t>Interface</w:t>
            </w:r>
            <w:r>
              <w:rPr>
                <w:spacing w:val="-9"/>
                <w:sz w:val="20"/>
              </w:rPr>
              <w:t> </w:t>
            </w:r>
            <w:r>
              <w:rPr>
                <w:sz w:val="20"/>
              </w:rPr>
              <w:t>(API)</w:t>
            </w:r>
            <w:r>
              <w:rPr>
                <w:spacing w:val="-7"/>
                <w:sz w:val="20"/>
              </w:rPr>
              <w:t> </w:t>
            </w:r>
            <w:r>
              <w:rPr>
                <w:sz w:val="20"/>
              </w:rPr>
              <w:t>enabled</w:t>
            </w:r>
            <w:r>
              <w:rPr>
                <w:spacing w:val="-10"/>
                <w:sz w:val="20"/>
              </w:rPr>
              <w:t> </w:t>
            </w:r>
            <w:r>
              <w:rPr>
                <w:sz w:val="20"/>
              </w:rPr>
              <w:t>functionality</w:t>
            </w:r>
            <w:r>
              <w:rPr>
                <w:spacing w:val="-13"/>
                <w:sz w:val="20"/>
              </w:rPr>
              <w:t> </w:t>
            </w:r>
            <w:r>
              <w:rPr>
                <w:sz w:val="20"/>
              </w:rPr>
              <w:t>that</w:t>
            </w:r>
          </w:p>
        </w:tc>
      </w:tr>
    </w:tbl>
    <w:p>
      <w:pPr>
        <w:pStyle w:val="BodyText"/>
        <w:spacing w:line="20" w:lineRule="exact"/>
        <w:ind w:left="1037"/>
        <w:rPr>
          <w:sz w:val="2"/>
          <w:u w:val="none"/>
        </w:rPr>
      </w:pPr>
      <w:r>
        <w:rPr>
          <w:sz w:val="2"/>
          <w:u w:val="none"/>
        </w:rPr>
        <w:pict>
          <v:group style="width:144.050pt;height:.6pt;mso-position-horizontal-relative:char;mso-position-vertical-relative:line" coordorigin="0,0" coordsize="2881,12">
            <v:line style="position:absolute" from="0,6" to="2880,6" stroked="true" strokeweight=".599980pt" strokecolor="#000000">
              <v:stroke dashstyle="solid"/>
            </v:line>
          </v:group>
        </w:pict>
      </w:r>
      <w:r>
        <w:rPr>
          <w:sz w:val="2"/>
          <w:u w:val="none"/>
        </w:rPr>
      </w:r>
    </w:p>
    <w:p>
      <w:pPr>
        <w:pStyle w:val="BodyText"/>
        <w:spacing w:before="96"/>
        <w:ind w:left="1043"/>
        <w:rPr>
          <w:u w:val="none"/>
        </w:rPr>
      </w:pPr>
      <w:r>
        <w:rPr>
          <w:position w:val="6"/>
          <w:sz w:val="13"/>
          <w:u w:val="none"/>
        </w:rPr>
        <w:t>7 </w:t>
      </w:r>
      <w:hyperlink r:id="rId11">
        <w:r>
          <w:rPr>
            <w:color w:val="0000FF"/>
            <w:u w:val="single" w:color="0000FF"/>
          </w:rPr>
          <w:t>https://www.bankofengland.co.uk/paper/2017/a-blueprint-for-a-new-rtgs-service-for-the-uk</w:t>
        </w:r>
      </w:hyperlink>
    </w:p>
    <w:p>
      <w:pPr>
        <w:spacing w:after="0"/>
        <w:sectPr>
          <w:pgSz w:w="11910" w:h="16840"/>
          <w:pgMar w:top="1420" w:bottom="280" w:left="800" w:right="960"/>
        </w:sectPr>
      </w:pPr>
    </w:p>
    <w:tbl>
      <w:tblPr>
        <w:tblW w:w="0" w:type="auto"/>
        <w:jc w:val="lef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7486"/>
      </w:tblGrid>
      <w:tr>
        <w:trPr>
          <w:trHeight w:val="1507" w:hRule="atLeast"/>
        </w:trPr>
        <w:tc>
          <w:tcPr>
            <w:tcW w:w="781" w:type="dxa"/>
          </w:tcPr>
          <w:p>
            <w:pPr>
              <w:pStyle w:val="TableParagraph"/>
              <w:rPr>
                <w:rFonts w:ascii="Times New Roman"/>
                <w:sz w:val="18"/>
              </w:rPr>
            </w:pPr>
          </w:p>
        </w:tc>
        <w:tc>
          <w:tcPr>
            <w:tcW w:w="7486" w:type="dxa"/>
          </w:tcPr>
          <w:p>
            <w:pPr>
              <w:pStyle w:val="TableParagraph"/>
              <w:ind w:left="304" w:right="201"/>
              <w:jc w:val="both"/>
              <w:rPr>
                <w:sz w:val="20"/>
              </w:rPr>
            </w:pPr>
            <w:r>
              <w:rPr>
                <w:sz w:val="20"/>
              </w:rPr>
              <w:t>unlocked tangible benefits for users. The Programme was also exploring what functionality could be best enabled by a package of APIs, what technical standard would be most appropriate, and what implementation would look like. Members welcomed the update on from the Programme, and noted the Sub- committee’s</w:t>
            </w:r>
            <w:r>
              <w:rPr>
                <w:spacing w:val="-14"/>
                <w:sz w:val="20"/>
              </w:rPr>
              <w:t> </w:t>
            </w:r>
            <w:r>
              <w:rPr>
                <w:sz w:val="20"/>
              </w:rPr>
              <w:t>interest</w:t>
            </w:r>
            <w:r>
              <w:rPr>
                <w:spacing w:val="-16"/>
                <w:sz w:val="20"/>
              </w:rPr>
              <w:t> </w:t>
            </w:r>
            <w:r>
              <w:rPr>
                <w:sz w:val="20"/>
              </w:rPr>
              <w:t>in</w:t>
            </w:r>
            <w:r>
              <w:rPr>
                <w:spacing w:val="-14"/>
                <w:sz w:val="20"/>
              </w:rPr>
              <w:t> </w:t>
            </w:r>
            <w:r>
              <w:rPr>
                <w:sz w:val="20"/>
              </w:rPr>
              <w:t>understanding</w:t>
            </w:r>
            <w:r>
              <w:rPr>
                <w:spacing w:val="-15"/>
                <w:sz w:val="20"/>
              </w:rPr>
              <w:t> </w:t>
            </w:r>
            <w:r>
              <w:rPr>
                <w:sz w:val="20"/>
              </w:rPr>
              <w:t>how</w:t>
            </w:r>
            <w:r>
              <w:rPr>
                <w:spacing w:val="-18"/>
                <w:sz w:val="20"/>
              </w:rPr>
              <w:t> </w:t>
            </w:r>
            <w:r>
              <w:rPr>
                <w:sz w:val="20"/>
              </w:rPr>
              <w:t>new</w:t>
            </w:r>
            <w:r>
              <w:rPr>
                <w:spacing w:val="-14"/>
                <w:sz w:val="20"/>
              </w:rPr>
              <w:t> </w:t>
            </w:r>
            <w:r>
              <w:rPr>
                <w:sz w:val="20"/>
              </w:rPr>
              <w:t>technologies</w:t>
            </w:r>
            <w:r>
              <w:rPr>
                <w:spacing w:val="-15"/>
                <w:sz w:val="20"/>
              </w:rPr>
              <w:t> </w:t>
            </w:r>
            <w:r>
              <w:rPr>
                <w:sz w:val="20"/>
              </w:rPr>
              <w:t>were</w:t>
            </w:r>
            <w:r>
              <w:rPr>
                <w:spacing w:val="-16"/>
                <w:sz w:val="20"/>
              </w:rPr>
              <w:t> </w:t>
            </w:r>
            <w:r>
              <w:rPr>
                <w:sz w:val="20"/>
              </w:rPr>
              <w:t>being</w:t>
            </w:r>
            <w:r>
              <w:rPr>
                <w:spacing w:val="-14"/>
                <w:sz w:val="20"/>
              </w:rPr>
              <w:t> </w:t>
            </w:r>
            <w:r>
              <w:rPr>
                <w:sz w:val="20"/>
              </w:rPr>
              <w:t>applied to financial</w:t>
            </w:r>
            <w:r>
              <w:rPr>
                <w:spacing w:val="-2"/>
                <w:sz w:val="20"/>
              </w:rPr>
              <w:t> </w:t>
            </w:r>
            <w:r>
              <w:rPr>
                <w:sz w:val="20"/>
              </w:rPr>
              <w:t>services.</w:t>
            </w:r>
          </w:p>
        </w:tc>
      </w:tr>
      <w:tr>
        <w:trPr>
          <w:trHeight w:val="2121" w:hRule="atLeast"/>
        </w:trPr>
        <w:tc>
          <w:tcPr>
            <w:tcW w:w="781" w:type="dxa"/>
          </w:tcPr>
          <w:p>
            <w:pPr>
              <w:pStyle w:val="TableParagraph"/>
              <w:spacing w:before="130"/>
              <w:ind w:left="200"/>
              <w:rPr>
                <w:sz w:val="20"/>
              </w:rPr>
            </w:pPr>
            <w:r>
              <w:rPr>
                <w:sz w:val="20"/>
              </w:rPr>
              <w:t>12.</w:t>
            </w:r>
          </w:p>
        </w:tc>
        <w:tc>
          <w:tcPr>
            <w:tcW w:w="7486" w:type="dxa"/>
          </w:tcPr>
          <w:p>
            <w:pPr>
              <w:pStyle w:val="TableParagraph"/>
              <w:spacing w:before="127"/>
              <w:ind w:left="304"/>
              <w:jc w:val="both"/>
              <w:rPr>
                <w:b/>
                <w:sz w:val="20"/>
              </w:rPr>
            </w:pPr>
            <w:r>
              <w:rPr>
                <w:b/>
                <w:sz w:val="20"/>
              </w:rPr>
              <w:t>FX Settlement Crisis Management Playbook</w:t>
            </w:r>
          </w:p>
          <w:p>
            <w:pPr>
              <w:pStyle w:val="TableParagraph"/>
              <w:spacing w:before="37"/>
              <w:ind w:left="304" w:right="201"/>
              <w:jc w:val="both"/>
              <w:rPr>
                <w:sz w:val="20"/>
              </w:rPr>
            </w:pPr>
            <w:r>
              <w:rPr>
                <w:sz w:val="20"/>
              </w:rPr>
              <w:t>Jon</w:t>
            </w:r>
            <w:r>
              <w:rPr>
                <w:spacing w:val="-8"/>
                <w:sz w:val="20"/>
              </w:rPr>
              <w:t> </w:t>
            </w:r>
            <w:r>
              <w:rPr>
                <w:sz w:val="20"/>
              </w:rPr>
              <w:t>Goddard</w:t>
            </w:r>
            <w:r>
              <w:rPr>
                <w:spacing w:val="-7"/>
                <w:sz w:val="20"/>
              </w:rPr>
              <w:t> </w:t>
            </w:r>
            <w:r>
              <w:rPr>
                <w:sz w:val="20"/>
              </w:rPr>
              <w:t>(BNY</w:t>
            </w:r>
            <w:r>
              <w:rPr>
                <w:spacing w:val="-5"/>
                <w:sz w:val="20"/>
              </w:rPr>
              <w:t> </w:t>
            </w:r>
            <w:r>
              <w:rPr>
                <w:sz w:val="20"/>
              </w:rPr>
              <w:t>Mellon)</w:t>
            </w:r>
            <w:r>
              <w:rPr>
                <w:spacing w:val="-7"/>
                <w:sz w:val="20"/>
              </w:rPr>
              <w:t> </w:t>
            </w:r>
            <w:r>
              <w:rPr>
                <w:sz w:val="20"/>
              </w:rPr>
              <w:t>noted</w:t>
            </w:r>
            <w:r>
              <w:rPr>
                <w:spacing w:val="-7"/>
                <w:sz w:val="20"/>
              </w:rPr>
              <w:t> </w:t>
            </w:r>
            <w:r>
              <w:rPr>
                <w:sz w:val="20"/>
              </w:rPr>
              <w:t>that</w:t>
            </w:r>
            <w:r>
              <w:rPr>
                <w:spacing w:val="-8"/>
                <w:sz w:val="20"/>
              </w:rPr>
              <w:t> </w:t>
            </w:r>
            <w:r>
              <w:rPr>
                <w:sz w:val="20"/>
              </w:rPr>
              <w:t>he</w:t>
            </w:r>
            <w:r>
              <w:rPr>
                <w:spacing w:val="-5"/>
                <w:sz w:val="20"/>
              </w:rPr>
              <w:t> </w:t>
            </w:r>
            <w:r>
              <w:rPr>
                <w:sz w:val="20"/>
              </w:rPr>
              <w:t>and</w:t>
            </w:r>
            <w:r>
              <w:rPr>
                <w:spacing w:val="-8"/>
                <w:sz w:val="20"/>
              </w:rPr>
              <w:t> </w:t>
            </w:r>
            <w:r>
              <w:rPr>
                <w:sz w:val="20"/>
              </w:rPr>
              <w:t>Steve</w:t>
            </w:r>
            <w:r>
              <w:rPr>
                <w:spacing w:val="-7"/>
                <w:sz w:val="20"/>
              </w:rPr>
              <w:t> </w:t>
            </w:r>
            <w:r>
              <w:rPr>
                <w:sz w:val="20"/>
              </w:rPr>
              <w:t>Forrest</w:t>
            </w:r>
            <w:r>
              <w:rPr>
                <w:spacing w:val="-8"/>
                <w:sz w:val="20"/>
              </w:rPr>
              <w:t> </w:t>
            </w:r>
            <w:r>
              <w:rPr>
                <w:sz w:val="20"/>
              </w:rPr>
              <w:t>(UBS)</w:t>
            </w:r>
            <w:r>
              <w:rPr>
                <w:spacing w:val="-6"/>
                <w:sz w:val="20"/>
              </w:rPr>
              <w:t> </w:t>
            </w:r>
            <w:r>
              <w:rPr>
                <w:sz w:val="20"/>
              </w:rPr>
              <w:t>had</w:t>
            </w:r>
            <w:r>
              <w:rPr>
                <w:spacing w:val="-8"/>
                <w:sz w:val="20"/>
              </w:rPr>
              <w:t> </w:t>
            </w:r>
            <w:r>
              <w:rPr>
                <w:sz w:val="20"/>
              </w:rPr>
              <w:t>updated the FX Settlement Crisis Management Playbook (“the Playbook”), which was presented</w:t>
            </w:r>
            <w:r>
              <w:rPr>
                <w:spacing w:val="-12"/>
                <w:sz w:val="20"/>
              </w:rPr>
              <w:t> </w:t>
            </w:r>
            <w:r>
              <w:rPr>
                <w:sz w:val="20"/>
              </w:rPr>
              <w:t>at</w:t>
            </w:r>
            <w:r>
              <w:rPr>
                <w:spacing w:val="-11"/>
                <w:sz w:val="20"/>
              </w:rPr>
              <w:t> </w:t>
            </w:r>
            <w:r>
              <w:rPr>
                <w:sz w:val="20"/>
              </w:rPr>
              <w:t>the</w:t>
            </w:r>
            <w:r>
              <w:rPr>
                <w:spacing w:val="-8"/>
                <w:sz w:val="20"/>
              </w:rPr>
              <w:t> </w:t>
            </w:r>
            <w:r>
              <w:rPr>
                <w:sz w:val="20"/>
              </w:rPr>
              <w:t>Bank</w:t>
            </w:r>
            <w:r>
              <w:rPr>
                <w:spacing w:val="-8"/>
                <w:sz w:val="20"/>
              </w:rPr>
              <w:t> </w:t>
            </w:r>
            <w:r>
              <w:rPr>
                <w:sz w:val="20"/>
              </w:rPr>
              <w:t>of</w:t>
            </w:r>
            <w:r>
              <w:rPr>
                <w:spacing w:val="-9"/>
                <w:sz w:val="20"/>
              </w:rPr>
              <w:t> </w:t>
            </w:r>
            <w:r>
              <w:rPr>
                <w:sz w:val="20"/>
              </w:rPr>
              <w:t>England’s</w:t>
            </w:r>
            <w:r>
              <w:rPr>
                <w:spacing w:val="-8"/>
                <w:sz w:val="20"/>
              </w:rPr>
              <w:t> </w:t>
            </w:r>
            <w:r>
              <w:rPr>
                <w:sz w:val="20"/>
              </w:rPr>
              <w:t>Cross-Market</w:t>
            </w:r>
            <w:r>
              <w:rPr>
                <w:spacing w:val="-11"/>
                <w:sz w:val="20"/>
              </w:rPr>
              <w:t> </w:t>
            </w:r>
            <w:r>
              <w:rPr>
                <w:sz w:val="20"/>
              </w:rPr>
              <w:t>Operational</w:t>
            </w:r>
            <w:r>
              <w:rPr>
                <w:spacing w:val="-12"/>
                <w:sz w:val="20"/>
              </w:rPr>
              <w:t> </w:t>
            </w:r>
            <w:r>
              <w:rPr>
                <w:sz w:val="20"/>
              </w:rPr>
              <w:t>Resiliency</w:t>
            </w:r>
            <w:r>
              <w:rPr>
                <w:spacing w:val="-14"/>
                <w:sz w:val="20"/>
              </w:rPr>
              <w:t> </w:t>
            </w:r>
            <w:r>
              <w:rPr>
                <w:sz w:val="20"/>
              </w:rPr>
              <w:t>Group (CMORG)</w:t>
            </w:r>
            <w:r>
              <w:rPr>
                <w:spacing w:val="-4"/>
                <w:sz w:val="20"/>
              </w:rPr>
              <w:t> </w:t>
            </w:r>
            <w:r>
              <w:rPr>
                <w:sz w:val="20"/>
              </w:rPr>
              <w:t>in</w:t>
            </w:r>
            <w:r>
              <w:rPr>
                <w:spacing w:val="-5"/>
                <w:sz w:val="20"/>
              </w:rPr>
              <w:t> </w:t>
            </w:r>
            <w:r>
              <w:rPr>
                <w:sz w:val="20"/>
              </w:rPr>
              <w:t>Q3</w:t>
            </w:r>
            <w:r>
              <w:rPr>
                <w:spacing w:val="-5"/>
                <w:sz w:val="20"/>
              </w:rPr>
              <w:t> </w:t>
            </w:r>
            <w:r>
              <w:rPr>
                <w:sz w:val="20"/>
              </w:rPr>
              <w:t>2018. Members</w:t>
            </w:r>
            <w:r>
              <w:rPr>
                <w:spacing w:val="-3"/>
                <w:sz w:val="20"/>
              </w:rPr>
              <w:t> </w:t>
            </w:r>
            <w:r>
              <w:rPr>
                <w:sz w:val="20"/>
              </w:rPr>
              <w:t>identified</w:t>
            </w:r>
            <w:r>
              <w:rPr>
                <w:spacing w:val="-3"/>
                <w:sz w:val="20"/>
              </w:rPr>
              <w:t> </w:t>
            </w:r>
            <w:r>
              <w:rPr>
                <w:sz w:val="20"/>
              </w:rPr>
              <w:t>some</w:t>
            </w:r>
            <w:r>
              <w:rPr>
                <w:spacing w:val="-5"/>
                <w:sz w:val="20"/>
              </w:rPr>
              <w:t> </w:t>
            </w:r>
            <w:r>
              <w:rPr>
                <w:sz w:val="20"/>
              </w:rPr>
              <w:t>possible</w:t>
            </w:r>
            <w:r>
              <w:rPr>
                <w:spacing w:val="-5"/>
                <w:sz w:val="20"/>
              </w:rPr>
              <w:t> </w:t>
            </w:r>
            <w:r>
              <w:rPr>
                <w:sz w:val="20"/>
              </w:rPr>
              <w:t>areas</w:t>
            </w:r>
            <w:r>
              <w:rPr>
                <w:spacing w:val="-4"/>
                <w:sz w:val="20"/>
              </w:rPr>
              <w:t> </w:t>
            </w:r>
            <w:r>
              <w:rPr>
                <w:sz w:val="20"/>
              </w:rPr>
              <w:t>of</w:t>
            </w:r>
            <w:r>
              <w:rPr>
                <w:spacing w:val="-3"/>
                <w:sz w:val="20"/>
              </w:rPr>
              <w:t> </w:t>
            </w:r>
            <w:r>
              <w:rPr>
                <w:sz w:val="20"/>
              </w:rPr>
              <w:t>focus</w:t>
            </w:r>
            <w:r>
              <w:rPr>
                <w:spacing w:val="-4"/>
                <w:sz w:val="20"/>
              </w:rPr>
              <w:t> </w:t>
            </w:r>
            <w:r>
              <w:rPr>
                <w:sz w:val="20"/>
              </w:rPr>
              <w:t>for</w:t>
            </w:r>
            <w:r>
              <w:rPr>
                <w:spacing w:val="-4"/>
                <w:sz w:val="20"/>
              </w:rPr>
              <w:t> </w:t>
            </w:r>
            <w:r>
              <w:rPr>
                <w:sz w:val="20"/>
              </w:rPr>
              <w:t>the next review of the Playbook, currently expected towards the end of 2019. Mr Goddard also noted that there were plans to put the Playbook on an extranet</w:t>
            </w:r>
            <w:r>
              <w:rPr>
                <w:spacing w:val="-34"/>
                <w:sz w:val="20"/>
              </w:rPr>
              <w:t> </w:t>
            </w:r>
            <w:r>
              <w:rPr>
                <w:sz w:val="20"/>
              </w:rPr>
              <w:t>in due course to make it more widely accessible to</w:t>
            </w:r>
            <w:r>
              <w:rPr>
                <w:spacing w:val="-16"/>
                <w:sz w:val="20"/>
              </w:rPr>
              <w:t> </w:t>
            </w:r>
            <w:r>
              <w:rPr>
                <w:sz w:val="20"/>
              </w:rPr>
              <w:t>members.</w:t>
            </w:r>
          </w:p>
        </w:tc>
      </w:tr>
      <w:tr>
        <w:trPr>
          <w:trHeight w:val="1185" w:hRule="atLeast"/>
        </w:trPr>
        <w:tc>
          <w:tcPr>
            <w:tcW w:w="781" w:type="dxa"/>
          </w:tcPr>
          <w:p>
            <w:pPr>
              <w:pStyle w:val="TableParagraph"/>
              <w:spacing w:before="113"/>
              <w:ind w:left="200"/>
              <w:rPr>
                <w:sz w:val="20"/>
              </w:rPr>
            </w:pPr>
            <w:r>
              <w:rPr>
                <w:sz w:val="20"/>
              </w:rPr>
              <w:t>13.</w:t>
            </w:r>
          </w:p>
        </w:tc>
        <w:tc>
          <w:tcPr>
            <w:tcW w:w="7486" w:type="dxa"/>
          </w:tcPr>
          <w:p>
            <w:pPr>
              <w:pStyle w:val="TableParagraph"/>
              <w:spacing w:before="110"/>
              <w:ind w:left="304"/>
              <w:jc w:val="both"/>
              <w:rPr>
                <w:b/>
                <w:sz w:val="20"/>
              </w:rPr>
            </w:pPr>
            <w:r>
              <w:rPr>
                <w:b/>
                <w:sz w:val="20"/>
              </w:rPr>
              <w:t>Sub-committee priorities for 2019</w:t>
            </w:r>
          </w:p>
          <w:p>
            <w:pPr>
              <w:pStyle w:val="TableParagraph"/>
              <w:spacing w:before="37"/>
              <w:ind w:left="304" w:right="204"/>
              <w:jc w:val="both"/>
              <w:rPr>
                <w:sz w:val="20"/>
              </w:rPr>
            </w:pPr>
            <w:r>
              <w:rPr>
                <w:sz w:val="20"/>
              </w:rPr>
              <w:t>The</w:t>
            </w:r>
            <w:r>
              <w:rPr>
                <w:spacing w:val="-12"/>
                <w:sz w:val="20"/>
              </w:rPr>
              <w:t> </w:t>
            </w:r>
            <w:r>
              <w:rPr>
                <w:sz w:val="20"/>
              </w:rPr>
              <w:t>Chair</w:t>
            </w:r>
            <w:r>
              <w:rPr>
                <w:spacing w:val="-11"/>
                <w:sz w:val="20"/>
              </w:rPr>
              <w:t> </w:t>
            </w:r>
            <w:r>
              <w:rPr>
                <w:sz w:val="20"/>
              </w:rPr>
              <w:t>briefly</w:t>
            </w:r>
            <w:r>
              <w:rPr>
                <w:spacing w:val="-13"/>
                <w:sz w:val="20"/>
              </w:rPr>
              <w:t> </w:t>
            </w:r>
            <w:r>
              <w:rPr>
                <w:sz w:val="20"/>
              </w:rPr>
              <w:t>outlined</w:t>
            </w:r>
            <w:r>
              <w:rPr>
                <w:spacing w:val="-11"/>
                <w:sz w:val="20"/>
              </w:rPr>
              <w:t> </w:t>
            </w:r>
            <w:r>
              <w:rPr>
                <w:sz w:val="20"/>
              </w:rPr>
              <w:t>some</w:t>
            </w:r>
            <w:r>
              <w:rPr>
                <w:spacing w:val="-11"/>
                <w:sz w:val="20"/>
              </w:rPr>
              <w:t> </w:t>
            </w:r>
            <w:r>
              <w:rPr>
                <w:sz w:val="20"/>
              </w:rPr>
              <w:t>of</w:t>
            </w:r>
            <w:r>
              <w:rPr>
                <w:spacing w:val="-10"/>
                <w:sz w:val="20"/>
              </w:rPr>
              <w:t> </w:t>
            </w:r>
            <w:r>
              <w:rPr>
                <w:sz w:val="20"/>
              </w:rPr>
              <w:t>the</w:t>
            </w:r>
            <w:r>
              <w:rPr>
                <w:spacing w:val="-9"/>
                <w:sz w:val="20"/>
              </w:rPr>
              <w:t> </w:t>
            </w:r>
            <w:r>
              <w:rPr>
                <w:sz w:val="20"/>
              </w:rPr>
              <w:t>suggested</w:t>
            </w:r>
            <w:r>
              <w:rPr>
                <w:spacing w:val="-12"/>
                <w:sz w:val="20"/>
              </w:rPr>
              <w:t> </w:t>
            </w:r>
            <w:r>
              <w:rPr>
                <w:sz w:val="20"/>
              </w:rPr>
              <w:t>topics</w:t>
            </w:r>
            <w:r>
              <w:rPr>
                <w:spacing w:val="-10"/>
                <w:sz w:val="20"/>
              </w:rPr>
              <w:t> </w:t>
            </w:r>
            <w:r>
              <w:rPr>
                <w:sz w:val="20"/>
              </w:rPr>
              <w:t>of</w:t>
            </w:r>
            <w:r>
              <w:rPr>
                <w:spacing w:val="-10"/>
                <w:sz w:val="20"/>
              </w:rPr>
              <w:t> </w:t>
            </w:r>
            <w:r>
              <w:rPr>
                <w:sz w:val="20"/>
              </w:rPr>
              <w:t>interest</w:t>
            </w:r>
            <w:r>
              <w:rPr>
                <w:spacing w:val="-12"/>
                <w:sz w:val="20"/>
              </w:rPr>
              <w:t> </w:t>
            </w:r>
            <w:r>
              <w:rPr>
                <w:sz w:val="20"/>
              </w:rPr>
              <w:t>that</w:t>
            </w:r>
            <w:r>
              <w:rPr>
                <w:spacing w:val="-12"/>
                <w:sz w:val="20"/>
              </w:rPr>
              <w:t> </w:t>
            </w:r>
            <w:r>
              <w:rPr>
                <w:sz w:val="20"/>
              </w:rPr>
              <w:t>members had sent ahead of the meeting, which would be used to form the agenda for Sub-committee meetings in</w:t>
            </w:r>
            <w:r>
              <w:rPr>
                <w:spacing w:val="-1"/>
                <w:sz w:val="20"/>
              </w:rPr>
              <w:t> </w:t>
            </w:r>
            <w:r>
              <w:rPr>
                <w:sz w:val="20"/>
              </w:rPr>
              <w:t>2019.</w:t>
            </w:r>
          </w:p>
        </w:tc>
      </w:tr>
      <w:tr>
        <w:trPr>
          <w:trHeight w:val="1816" w:hRule="atLeast"/>
        </w:trPr>
        <w:tc>
          <w:tcPr>
            <w:tcW w:w="781" w:type="dxa"/>
          </w:tcPr>
          <w:p>
            <w:pPr>
              <w:pStyle w:val="TableParagraph"/>
              <w:spacing w:before="112"/>
              <w:ind w:left="200"/>
              <w:rPr>
                <w:sz w:val="20"/>
              </w:rPr>
            </w:pPr>
            <w:r>
              <w:rPr>
                <w:sz w:val="20"/>
              </w:rPr>
              <w:t>14.</w:t>
            </w:r>
          </w:p>
        </w:tc>
        <w:tc>
          <w:tcPr>
            <w:tcW w:w="7486" w:type="dxa"/>
          </w:tcPr>
          <w:p>
            <w:pPr>
              <w:pStyle w:val="TableParagraph"/>
              <w:spacing w:before="109"/>
              <w:ind w:left="304"/>
              <w:rPr>
                <w:b/>
                <w:sz w:val="20"/>
              </w:rPr>
            </w:pPr>
            <w:r>
              <w:rPr>
                <w:b/>
                <w:sz w:val="20"/>
              </w:rPr>
              <w:t>Any other business</w:t>
            </w:r>
          </w:p>
          <w:p>
            <w:pPr>
              <w:pStyle w:val="TableParagraph"/>
              <w:spacing w:line="276" w:lineRule="auto" w:before="39"/>
              <w:ind w:left="304"/>
              <w:rPr>
                <w:sz w:val="20"/>
              </w:rPr>
            </w:pPr>
            <w:r>
              <w:rPr>
                <w:sz w:val="20"/>
              </w:rPr>
              <w:t>Mr Manchester noted that the annual FXJSC contingency call test would be taking place at some point before the next meeting.</w:t>
            </w:r>
          </w:p>
          <w:p>
            <w:pPr>
              <w:pStyle w:val="TableParagraph"/>
              <w:spacing w:before="10"/>
              <w:rPr>
                <w:sz w:val="22"/>
              </w:rPr>
            </w:pPr>
          </w:p>
          <w:p>
            <w:pPr>
              <w:pStyle w:val="TableParagraph"/>
              <w:spacing w:line="276" w:lineRule="auto"/>
              <w:ind w:left="304"/>
              <w:rPr>
                <w:sz w:val="20"/>
              </w:rPr>
            </w:pPr>
            <w:r>
              <w:rPr>
                <w:sz w:val="20"/>
              </w:rPr>
              <w:t>Mr Manchester also highlighted that the Semi-Annual FXJSC Turnover Survey Results for October 2018 had recently been published</w:t>
            </w:r>
            <w:r>
              <w:rPr>
                <w:position w:val="6"/>
                <w:sz w:val="13"/>
              </w:rPr>
              <w:t>8</w:t>
            </w:r>
            <w:r>
              <w:rPr>
                <w:sz w:val="20"/>
              </w:rPr>
              <w:t>.</w:t>
            </w:r>
          </w:p>
        </w:tc>
      </w:tr>
      <w:tr>
        <w:trPr>
          <w:trHeight w:val="603" w:hRule="atLeast"/>
        </w:trPr>
        <w:tc>
          <w:tcPr>
            <w:tcW w:w="781" w:type="dxa"/>
          </w:tcPr>
          <w:p>
            <w:pPr>
              <w:pStyle w:val="TableParagraph"/>
              <w:rPr>
                <w:rFonts w:ascii="Times New Roman"/>
                <w:sz w:val="18"/>
              </w:rPr>
            </w:pPr>
          </w:p>
        </w:tc>
        <w:tc>
          <w:tcPr>
            <w:tcW w:w="7486" w:type="dxa"/>
          </w:tcPr>
          <w:p>
            <w:pPr>
              <w:pStyle w:val="TableParagraph"/>
              <w:spacing w:line="228" w:lineRule="exact" w:before="150"/>
              <w:ind w:left="285"/>
              <w:rPr>
                <w:b/>
                <w:sz w:val="20"/>
              </w:rPr>
            </w:pPr>
            <w:r>
              <w:rPr>
                <w:b/>
                <w:sz w:val="20"/>
              </w:rPr>
              <w:t>The next meeting of the FXJSC Operations Sub-committee was scheduled for 2 May 2019.</w:t>
            </w:r>
          </w:p>
        </w:tc>
      </w:tr>
    </w:tbl>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rPr>
          <w:u w:val="none"/>
        </w:rPr>
      </w:pPr>
    </w:p>
    <w:p>
      <w:pPr>
        <w:pStyle w:val="BodyText"/>
        <w:spacing w:before="1"/>
        <w:rPr>
          <w:sz w:val="11"/>
          <w:u w:val="none"/>
        </w:rPr>
      </w:pPr>
      <w:r>
        <w:rPr/>
        <w:pict>
          <v:shape style="position:absolute;margin-left:92.183998pt;margin-top:8.667207pt;width:144.050pt;height:.1pt;mso-position-horizontal-relative:page;mso-position-vertical-relative:paragraph;z-index:-251653120;mso-wrap-distance-left:0;mso-wrap-distance-right:0" coordorigin="1844,173" coordsize="2881,0" path="m1844,173l4724,173e" filled="false" stroked="true" strokeweight=".60004pt" strokecolor="#000000">
            <v:path arrowok="t"/>
            <v:stroke dashstyle="solid"/>
            <w10:wrap type="topAndBottom"/>
          </v:shape>
        </w:pict>
      </w:r>
    </w:p>
    <w:p>
      <w:pPr>
        <w:pStyle w:val="BodyText"/>
        <w:spacing w:before="78"/>
        <w:ind w:left="1043" w:right="1806"/>
        <w:rPr>
          <w:u w:val="none"/>
        </w:rPr>
      </w:pPr>
      <w:r>
        <w:rPr>
          <w:position w:val="6"/>
          <w:sz w:val="13"/>
          <w:u w:val="none"/>
        </w:rPr>
        <w:t>8 </w:t>
      </w:r>
      <w:r>
        <w:rPr>
          <w:u w:val="none"/>
        </w:rPr>
        <w:t>The October 2018 FXJSC Turnover Survey results could be found at: </w:t>
      </w:r>
      <w:hyperlink r:id="rId12">
        <w:r>
          <w:rPr>
            <w:color w:val="0000FF"/>
            <w:w w:val="95"/>
            <w:u w:val="single" w:color="0000FF"/>
          </w:rPr>
          <w:t>https://www.bankofengland.co.uk/markets/london-foreign-exchange-joint-standing-</w:t>
        </w:r>
      </w:hyperlink>
      <w:r>
        <w:rPr>
          <w:color w:val="0000FF"/>
          <w:w w:val="95"/>
          <w:u w:val="none"/>
        </w:rPr>
        <w:t> </w:t>
      </w:r>
      <w:hyperlink r:id="rId12">
        <w:r>
          <w:rPr>
            <w:color w:val="0000FF"/>
            <w:u w:val="single" w:color="0000FF"/>
          </w:rPr>
          <w:t>committee/results-of-the-semi-annual-fx-turnover-survey-october-2018</w:t>
        </w:r>
      </w:hyperlink>
    </w:p>
    <w:sectPr>
      <w:pgSz w:w="11910" w:h="16840"/>
      <w:pgMar w:top="1420" w:bottom="280" w:left="80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720"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402" w:hanging="360"/>
      </w:pPr>
      <w:rPr>
        <w:rFonts w:hint="default"/>
        <w:lang w:val="en-gb" w:eastAsia="en-gb" w:bidi="en-gb"/>
      </w:rPr>
    </w:lvl>
    <w:lvl w:ilvl="2">
      <w:start w:val="0"/>
      <w:numFmt w:val="bullet"/>
      <w:lvlText w:val="•"/>
      <w:lvlJc w:val="left"/>
      <w:pPr>
        <w:ind w:left="2084" w:hanging="360"/>
      </w:pPr>
      <w:rPr>
        <w:rFonts w:hint="default"/>
        <w:lang w:val="en-gb" w:eastAsia="en-gb" w:bidi="en-gb"/>
      </w:rPr>
    </w:lvl>
    <w:lvl w:ilvl="3">
      <w:start w:val="0"/>
      <w:numFmt w:val="bullet"/>
      <w:lvlText w:val="•"/>
      <w:lvlJc w:val="left"/>
      <w:pPr>
        <w:ind w:left="2766" w:hanging="360"/>
      </w:pPr>
      <w:rPr>
        <w:rFonts w:hint="default"/>
        <w:lang w:val="en-gb" w:eastAsia="en-gb" w:bidi="en-gb"/>
      </w:rPr>
    </w:lvl>
    <w:lvl w:ilvl="4">
      <w:start w:val="0"/>
      <w:numFmt w:val="bullet"/>
      <w:lvlText w:val="•"/>
      <w:lvlJc w:val="left"/>
      <w:pPr>
        <w:ind w:left="3448" w:hanging="360"/>
      </w:pPr>
      <w:rPr>
        <w:rFonts w:hint="default"/>
        <w:lang w:val="en-gb" w:eastAsia="en-gb" w:bidi="en-gb"/>
      </w:rPr>
    </w:lvl>
    <w:lvl w:ilvl="5">
      <w:start w:val="0"/>
      <w:numFmt w:val="bullet"/>
      <w:lvlText w:val="•"/>
      <w:lvlJc w:val="left"/>
      <w:pPr>
        <w:ind w:left="4130" w:hanging="360"/>
      </w:pPr>
      <w:rPr>
        <w:rFonts w:hint="default"/>
        <w:lang w:val="en-gb" w:eastAsia="en-gb" w:bidi="en-gb"/>
      </w:rPr>
    </w:lvl>
    <w:lvl w:ilvl="6">
      <w:start w:val="0"/>
      <w:numFmt w:val="bullet"/>
      <w:lvlText w:val="•"/>
      <w:lvlJc w:val="left"/>
      <w:pPr>
        <w:ind w:left="4812" w:hanging="360"/>
      </w:pPr>
      <w:rPr>
        <w:rFonts w:hint="default"/>
        <w:lang w:val="en-gb" w:eastAsia="en-gb" w:bidi="en-gb"/>
      </w:rPr>
    </w:lvl>
    <w:lvl w:ilvl="7">
      <w:start w:val="0"/>
      <w:numFmt w:val="bullet"/>
      <w:lvlText w:val="•"/>
      <w:lvlJc w:val="left"/>
      <w:pPr>
        <w:ind w:left="5494" w:hanging="360"/>
      </w:pPr>
      <w:rPr>
        <w:rFonts w:hint="default"/>
        <w:lang w:val="en-gb" w:eastAsia="en-gb" w:bidi="en-gb"/>
      </w:rPr>
    </w:lvl>
    <w:lvl w:ilvl="8">
      <w:start w:val="0"/>
      <w:numFmt w:val="bullet"/>
      <w:lvlText w:val="•"/>
      <w:lvlJc w:val="left"/>
      <w:pPr>
        <w:ind w:left="6176"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bankofengland.co.uk/-/media/boe/files/markets/foreign-exchange-joint-standing-committee/fxjsc-competition-guidelines-2018.pdf" TargetMode="External"/><Relationship Id="rId6" Type="http://schemas.openxmlformats.org/officeDocument/2006/relationships/hyperlink" Target="https://www.globalfxc.org/agendas.htm" TargetMode="External"/><Relationship Id="rId7" Type="http://schemas.openxmlformats.org/officeDocument/2006/relationships/hyperlink" Target="https://www.globalfxc.org/press/p190214.htm" TargetMode="External"/><Relationship Id="rId8" Type="http://schemas.openxmlformats.org/officeDocument/2006/relationships/hyperlink" Target="http://www.fxcomtky.com/announce/index_e.html#public_doc05" TargetMode="External"/><Relationship Id="rId9" Type="http://schemas.openxmlformats.org/officeDocument/2006/relationships/hyperlink" Target="https://www.bankofengland.co.uk/report/2018/publication-of-the-hmt-fca-boe-cryptoasset-taskforce-report" TargetMode="External"/><Relationship Id="rId10" Type="http://schemas.openxmlformats.org/officeDocument/2006/relationships/hyperlink" Target="https://www.fca.org.uk/publication/consultation/cp19-03.pdf" TargetMode="External"/><Relationship Id="rId11" Type="http://schemas.openxmlformats.org/officeDocument/2006/relationships/hyperlink" Target="https://www.bankofengland.co.uk/paper/2017/a-blueprint-for-a-new-rtgs-service-for-the-uk" TargetMode="External"/><Relationship Id="rId12" Type="http://schemas.openxmlformats.org/officeDocument/2006/relationships/hyperlink" Target="https://www.bankofengland.co.uk/markets/london-foreign-exchange-joint-standing-committee/results-of-the-semi-annual-fx-turnover-survey-october-2018"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FXJSC Operations sub-committee - 8 February 2019</dc:title>
  <dcterms:created xsi:type="dcterms:W3CDTF">2020-06-01T02:01:30Z</dcterms:created>
  <dcterms:modified xsi:type="dcterms:W3CDTF">2020-06-01T02:01:30Z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2019-05-10T00:00:00Z</vt:filetime>
  </property>
  <property fmtid="{D5CDD505-2E9C-101B-9397-08002B2CF9AE}" pid="3" name="LastSaved">
    <vt:filetime>2020-06-01T00:00:00Z</vt:filetime>
  </property>
</Properties>
</file>