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2"/>
        <w:rPr>
          <w:rFonts w:ascii="Times New Roman"/>
          <w:sz w:val="17"/>
        </w:rPr>
      </w:pPr>
    </w:p>
    <w:p>
      <w:pPr>
        <w:spacing w:before="87"/>
        <w:ind w:left="131" w:right="0" w:firstLine="0"/>
        <w:jc w:val="left"/>
        <w:rPr>
          <w:sz w:val="44"/>
        </w:rPr>
      </w:pPr>
      <w:r>
        <w:rPr>
          <w:sz w:val="44"/>
        </w:rPr>
        <w:t>Minutes</w:t>
      </w:r>
    </w:p>
    <w:p>
      <w:pPr>
        <w:spacing w:before="339"/>
        <w:ind w:left="131" w:right="0" w:firstLine="0"/>
        <w:jc w:val="left"/>
        <w:rPr>
          <w:b/>
          <w:sz w:val="24"/>
        </w:rPr>
      </w:pPr>
      <w:r>
        <w:rPr>
          <w:b/>
          <w:sz w:val="24"/>
        </w:rPr>
        <w:t>Foreign Exchange Joint Standing Committee</w:t>
      </w:r>
    </w:p>
    <w:p>
      <w:pPr>
        <w:spacing w:before="41"/>
        <w:ind w:left="131" w:right="0" w:firstLine="0"/>
        <w:jc w:val="left"/>
        <w:rPr>
          <w:sz w:val="24"/>
        </w:rPr>
      </w:pPr>
      <w:r>
        <w:rPr>
          <w:sz w:val="24"/>
        </w:rPr>
        <w:t>10 November 2017</w:t>
      </w:r>
    </w:p>
    <w:p>
      <w:pPr>
        <w:pStyle w:val="BodyText"/>
        <w:spacing w:before="2"/>
      </w:pPr>
      <w:r>
        <w:rPr/>
        <w:pict>
          <v:shape style="position:absolute;margin-left:56.580002pt;margin-top:13.838236pt;width:482.1pt;height:.1pt;mso-position-horizontal-relative:page;mso-position-vertical-relative:paragraph;z-index:-251658240;mso-wrap-distance-left:0;mso-wrap-distance-right:0" coordorigin="1132,277" coordsize="9642,0" path="m1132,277l10774,277e" filled="false" stroked="true" strokeweight=".47998pt" strokecolor="#000000">
            <v:path arrowok="t"/>
            <v:stroke dashstyle="solid"/>
            <w10:wrap type="topAndBottom"/>
          </v:shape>
        </w:pict>
      </w:r>
    </w:p>
    <w:p>
      <w:pPr>
        <w:pStyle w:val="BodyText"/>
        <w:spacing w:before="10"/>
        <w:rPr>
          <w:sz w:val="7"/>
        </w:rPr>
      </w:pPr>
    </w:p>
    <w:p>
      <w:pPr>
        <w:pStyle w:val="BodyText"/>
        <w:spacing w:before="94"/>
        <w:ind w:left="131"/>
      </w:pPr>
      <w:r>
        <w:rPr/>
        <w:t>Location: Bank of England, Threadneedle Street, London, EC2R 8AH</w:t>
      </w:r>
    </w:p>
    <w:p>
      <w:pPr>
        <w:pStyle w:val="BodyText"/>
        <w:rPr>
          <w:sz w:val="23"/>
        </w:rPr>
      </w:pPr>
    </w:p>
    <w:p>
      <w:pPr>
        <w:spacing w:before="0"/>
        <w:ind w:left="176" w:right="0" w:firstLine="0"/>
        <w:jc w:val="left"/>
        <w:rPr>
          <w:sz w:val="20"/>
        </w:rPr>
      </w:pPr>
      <w:r>
        <w:rPr>
          <w:sz w:val="20"/>
        </w:rPr>
        <w:t>Attendees:</w:t>
      </w:r>
      <w:r>
        <w:rPr>
          <w:b/>
          <w:sz w:val="20"/>
        </w:rPr>
        <w:t>Association of Corporate Treasurers: </w:t>
      </w:r>
      <w:r>
        <w:rPr>
          <w:sz w:val="20"/>
        </w:rPr>
        <w:t>Sarah Boyce</w:t>
      </w:r>
    </w:p>
    <w:p>
      <w:pPr>
        <w:spacing w:line="230" w:lineRule="exact" w:before="1"/>
        <w:ind w:left="1132" w:right="0" w:firstLine="0"/>
        <w:jc w:val="left"/>
        <w:rPr>
          <w:sz w:val="20"/>
        </w:rPr>
      </w:pPr>
      <w:r>
        <w:rPr>
          <w:b/>
          <w:sz w:val="20"/>
        </w:rPr>
        <w:t>Bank of China: </w:t>
      </w:r>
      <w:r>
        <w:rPr>
          <w:sz w:val="20"/>
        </w:rPr>
        <w:t>Wang Yan</w:t>
      </w:r>
    </w:p>
    <w:p>
      <w:pPr>
        <w:spacing w:line="230" w:lineRule="exact" w:before="0"/>
        <w:ind w:left="1132" w:right="0" w:firstLine="0"/>
        <w:jc w:val="left"/>
        <w:rPr>
          <w:sz w:val="20"/>
        </w:rPr>
      </w:pPr>
      <w:r>
        <w:rPr>
          <w:b/>
          <w:sz w:val="20"/>
        </w:rPr>
        <w:t>Bank of Tokyo-Mitsubishi UFJ: </w:t>
      </w:r>
      <w:r>
        <w:rPr>
          <w:sz w:val="20"/>
        </w:rPr>
        <w:t>Tetsuro Kono</w:t>
      </w:r>
    </w:p>
    <w:p>
      <w:pPr>
        <w:spacing w:before="0"/>
        <w:ind w:left="1132" w:right="0" w:firstLine="0"/>
        <w:jc w:val="left"/>
        <w:rPr>
          <w:sz w:val="20"/>
        </w:rPr>
      </w:pPr>
      <w:r>
        <w:rPr>
          <w:b/>
          <w:sz w:val="20"/>
        </w:rPr>
        <w:t>Barclays: </w:t>
      </w:r>
      <w:r>
        <w:rPr>
          <w:sz w:val="20"/>
        </w:rPr>
        <w:t>James Hassett</w:t>
      </w:r>
    </w:p>
    <w:p>
      <w:pPr>
        <w:spacing w:line="230" w:lineRule="exact" w:before="1"/>
        <w:ind w:left="1132" w:right="0" w:firstLine="0"/>
        <w:jc w:val="left"/>
        <w:rPr>
          <w:sz w:val="20"/>
        </w:rPr>
      </w:pPr>
      <w:r>
        <w:rPr>
          <w:b/>
          <w:sz w:val="20"/>
        </w:rPr>
        <w:t>BNP Paribas: </w:t>
      </w:r>
      <w:r>
        <w:rPr>
          <w:sz w:val="20"/>
        </w:rPr>
        <w:t>Adrian Boehler</w:t>
      </w:r>
    </w:p>
    <w:p>
      <w:pPr>
        <w:spacing w:before="0"/>
        <w:ind w:left="1132" w:right="4503" w:firstLine="0"/>
        <w:jc w:val="left"/>
        <w:rPr>
          <w:sz w:val="20"/>
        </w:rPr>
      </w:pPr>
      <w:r>
        <w:rPr>
          <w:b/>
          <w:sz w:val="20"/>
        </w:rPr>
        <w:t>FICC Markets Standards Board: </w:t>
      </w:r>
      <w:r>
        <w:rPr>
          <w:sz w:val="20"/>
        </w:rPr>
        <w:t>James Kemp </w:t>
      </w:r>
      <w:r>
        <w:rPr>
          <w:b/>
          <w:sz w:val="20"/>
        </w:rPr>
        <w:t>Financial Conduct Authority: </w:t>
      </w:r>
      <w:r>
        <w:rPr>
          <w:sz w:val="20"/>
        </w:rPr>
        <w:t>Alan Barnes </w:t>
      </w:r>
      <w:r>
        <w:rPr>
          <w:b/>
          <w:sz w:val="20"/>
        </w:rPr>
        <w:t>HSBC: </w:t>
      </w:r>
      <w:r>
        <w:rPr>
          <w:sz w:val="20"/>
        </w:rPr>
        <w:t>Frederic Boillereau</w:t>
      </w:r>
    </w:p>
    <w:p>
      <w:pPr>
        <w:spacing w:before="0"/>
        <w:ind w:left="1132" w:right="0" w:firstLine="0"/>
        <w:jc w:val="left"/>
        <w:rPr>
          <w:sz w:val="20"/>
        </w:rPr>
      </w:pPr>
      <w:r>
        <w:rPr>
          <w:b/>
          <w:sz w:val="20"/>
        </w:rPr>
        <w:t>Insight Investment: </w:t>
      </w:r>
      <w:r>
        <w:rPr>
          <w:sz w:val="20"/>
        </w:rPr>
        <w:t>Richard Purssell</w:t>
      </w:r>
    </w:p>
    <w:p>
      <w:pPr>
        <w:spacing w:line="230" w:lineRule="exact" w:before="0"/>
        <w:ind w:left="1132" w:right="0" w:firstLine="0"/>
        <w:jc w:val="left"/>
        <w:rPr>
          <w:sz w:val="20"/>
        </w:rPr>
      </w:pPr>
      <w:r>
        <w:rPr>
          <w:b/>
          <w:sz w:val="20"/>
        </w:rPr>
        <w:t>Millennium Global Investments: </w:t>
      </w:r>
      <w:r>
        <w:rPr>
          <w:sz w:val="20"/>
        </w:rPr>
        <w:t>Lisa Scott-Smith</w:t>
      </w:r>
    </w:p>
    <w:p>
      <w:pPr>
        <w:spacing w:line="230" w:lineRule="exact" w:before="0"/>
        <w:ind w:left="1132" w:right="0" w:firstLine="0"/>
        <w:jc w:val="left"/>
        <w:rPr>
          <w:sz w:val="20"/>
        </w:rPr>
      </w:pPr>
      <w:r>
        <w:rPr>
          <w:b/>
          <w:sz w:val="20"/>
        </w:rPr>
        <w:t>Saxo Bank: </w:t>
      </w:r>
      <w:r>
        <w:rPr>
          <w:sz w:val="20"/>
        </w:rPr>
        <w:t>Kurt Vom Scheidt</w:t>
      </w:r>
    </w:p>
    <w:p>
      <w:pPr>
        <w:spacing w:before="0"/>
        <w:ind w:left="1132" w:right="0" w:firstLine="0"/>
        <w:jc w:val="left"/>
        <w:rPr>
          <w:sz w:val="20"/>
        </w:rPr>
      </w:pPr>
      <w:r>
        <w:rPr>
          <w:b/>
          <w:sz w:val="20"/>
        </w:rPr>
        <w:t>Shell: </w:t>
      </w:r>
      <w:r>
        <w:rPr>
          <w:sz w:val="20"/>
        </w:rPr>
        <w:t>Frances Hinden</w:t>
      </w:r>
    </w:p>
    <w:p>
      <w:pPr>
        <w:spacing w:line="230" w:lineRule="exact" w:before="1"/>
        <w:ind w:left="1132" w:right="0" w:firstLine="0"/>
        <w:jc w:val="left"/>
        <w:rPr>
          <w:sz w:val="20"/>
        </w:rPr>
      </w:pPr>
      <w:r>
        <w:rPr>
          <w:b/>
          <w:sz w:val="20"/>
        </w:rPr>
        <w:t>The Investment Association: </w:t>
      </w:r>
      <w:r>
        <w:rPr>
          <w:sz w:val="20"/>
        </w:rPr>
        <w:t>Galina Dimitrova</w:t>
      </w:r>
    </w:p>
    <w:p>
      <w:pPr>
        <w:spacing w:before="0"/>
        <w:ind w:left="1132" w:right="5792" w:firstLine="0"/>
        <w:jc w:val="left"/>
        <w:rPr>
          <w:sz w:val="20"/>
        </w:rPr>
      </w:pPr>
      <w:r>
        <w:rPr>
          <w:b/>
          <w:sz w:val="20"/>
        </w:rPr>
        <w:t>Thomson Reuters: </w:t>
      </w:r>
      <w:r>
        <w:rPr>
          <w:sz w:val="20"/>
        </w:rPr>
        <w:t>Neill Penney </w:t>
      </w:r>
      <w:r>
        <w:rPr>
          <w:b/>
          <w:sz w:val="20"/>
        </w:rPr>
        <w:t>UBS: </w:t>
      </w:r>
      <w:r>
        <w:rPr>
          <w:sz w:val="20"/>
        </w:rPr>
        <w:t>Chris Purves (Alternate) </w:t>
      </w:r>
      <w:r>
        <w:rPr>
          <w:b/>
          <w:sz w:val="20"/>
        </w:rPr>
        <w:t>UK Finance: </w:t>
      </w:r>
      <w:r>
        <w:rPr>
          <w:sz w:val="20"/>
        </w:rPr>
        <w:t>Ronald</w:t>
      </w:r>
      <w:r>
        <w:rPr>
          <w:spacing w:val="-5"/>
          <w:sz w:val="20"/>
        </w:rPr>
        <w:t> </w:t>
      </w:r>
      <w:r>
        <w:rPr>
          <w:sz w:val="20"/>
        </w:rPr>
        <w:t>Kent</w:t>
      </w:r>
    </w:p>
    <w:p>
      <w:pPr>
        <w:spacing w:before="34"/>
        <w:ind w:left="1132" w:right="0" w:firstLine="0"/>
        <w:jc w:val="left"/>
        <w:rPr>
          <w:sz w:val="20"/>
        </w:rPr>
      </w:pPr>
      <w:r>
        <w:rPr>
          <w:b/>
          <w:sz w:val="20"/>
        </w:rPr>
        <w:t>XTX Markets: </w:t>
      </w:r>
      <w:r>
        <w:rPr>
          <w:sz w:val="20"/>
        </w:rPr>
        <w:t>Zar</w:t>
      </w:r>
      <w:r>
        <w:rPr>
          <w:spacing w:val="-15"/>
          <w:sz w:val="20"/>
        </w:rPr>
        <w:t> </w:t>
      </w:r>
      <w:r>
        <w:rPr>
          <w:sz w:val="20"/>
        </w:rPr>
        <w:t>Amrolia</w:t>
      </w:r>
    </w:p>
    <w:p>
      <w:pPr>
        <w:spacing w:line="230" w:lineRule="exact" w:before="0"/>
        <w:ind w:left="1132" w:right="0" w:firstLine="0"/>
        <w:jc w:val="left"/>
        <w:rPr>
          <w:sz w:val="20"/>
        </w:rPr>
      </w:pPr>
      <w:r>
        <w:rPr>
          <w:b/>
          <w:sz w:val="20"/>
        </w:rPr>
        <w:t>Goldman</w:t>
      </w:r>
      <w:r>
        <w:rPr>
          <w:b/>
          <w:spacing w:val="-8"/>
          <w:sz w:val="20"/>
        </w:rPr>
        <w:t> </w:t>
      </w:r>
      <w:r>
        <w:rPr>
          <w:b/>
          <w:sz w:val="20"/>
        </w:rPr>
        <w:t>Sachs:</w:t>
      </w:r>
      <w:r>
        <w:rPr>
          <w:b/>
          <w:spacing w:val="-8"/>
          <w:sz w:val="20"/>
        </w:rPr>
        <w:t> </w:t>
      </w:r>
      <w:r>
        <w:rPr>
          <w:sz w:val="20"/>
        </w:rPr>
        <w:t>Dan</w:t>
      </w:r>
      <w:r>
        <w:rPr>
          <w:spacing w:val="-7"/>
          <w:sz w:val="20"/>
        </w:rPr>
        <w:t> </w:t>
      </w:r>
      <w:r>
        <w:rPr>
          <w:sz w:val="20"/>
        </w:rPr>
        <w:t>Parker</w:t>
      </w:r>
      <w:r>
        <w:rPr>
          <w:spacing w:val="-8"/>
          <w:sz w:val="20"/>
        </w:rPr>
        <w:t> </w:t>
      </w:r>
      <w:r>
        <w:rPr>
          <w:sz w:val="20"/>
        </w:rPr>
        <w:t>(Chair,</w:t>
      </w:r>
      <w:r>
        <w:rPr>
          <w:spacing w:val="-7"/>
          <w:sz w:val="20"/>
        </w:rPr>
        <w:t> </w:t>
      </w:r>
      <w:r>
        <w:rPr>
          <w:sz w:val="20"/>
        </w:rPr>
        <w:t>Legal</w:t>
      </w:r>
      <w:r>
        <w:rPr>
          <w:spacing w:val="-7"/>
          <w:sz w:val="20"/>
        </w:rPr>
        <w:t> </w:t>
      </w:r>
      <w:r>
        <w:rPr>
          <w:sz w:val="20"/>
        </w:rPr>
        <w:t>Sub-committee)</w:t>
      </w:r>
    </w:p>
    <w:p>
      <w:pPr>
        <w:pStyle w:val="BodyText"/>
        <w:ind w:left="1132"/>
      </w:pPr>
      <w:r>
        <w:rPr>
          <w:b/>
        </w:rPr>
        <w:t>Bank of England: </w:t>
      </w:r>
      <w:r>
        <w:rPr/>
        <w:t>Chris Salmon (Chair), Leone Razali (Secretariat),Tom Lynch (Secretariat), Jonathan Grant, David Edmunds, James O’Connor, Ed</w:t>
      </w:r>
      <w:r>
        <w:rPr>
          <w:spacing w:val="-11"/>
        </w:rPr>
        <w:t> </w:t>
      </w:r>
      <w:r>
        <w:rPr/>
        <w:t>Kent</w:t>
      </w:r>
    </w:p>
    <w:p>
      <w:pPr>
        <w:pStyle w:val="BodyText"/>
      </w:pPr>
    </w:p>
    <w:p>
      <w:pPr>
        <w:pStyle w:val="BodyText"/>
        <w:ind w:left="176"/>
      </w:pPr>
      <w:r>
        <w:rPr/>
        <w:t>Apologies: </w:t>
      </w:r>
      <w:r>
        <w:rPr>
          <w:b/>
        </w:rPr>
        <w:t>CLS: </w:t>
      </w:r>
      <w:r>
        <w:rPr/>
        <w:t>David Puth</w:t>
      </w:r>
    </w:p>
    <w:p>
      <w:pPr>
        <w:spacing w:before="1"/>
        <w:ind w:left="1132" w:right="5770" w:firstLine="0"/>
        <w:jc w:val="left"/>
        <w:rPr>
          <w:sz w:val="20"/>
        </w:rPr>
      </w:pPr>
      <w:r>
        <w:rPr>
          <w:b/>
          <w:sz w:val="20"/>
        </w:rPr>
        <w:t>Deutsche Bank: </w:t>
      </w:r>
      <w:r>
        <w:rPr>
          <w:sz w:val="20"/>
        </w:rPr>
        <w:t>Russell Lascala </w:t>
      </w:r>
      <w:r>
        <w:rPr>
          <w:b/>
          <w:sz w:val="20"/>
        </w:rPr>
        <w:t>Goldman Sachs: </w:t>
      </w:r>
      <w:r>
        <w:rPr>
          <w:sz w:val="20"/>
        </w:rPr>
        <w:t>Kayhan Mirza </w:t>
      </w:r>
      <w:r>
        <w:rPr>
          <w:b/>
          <w:sz w:val="20"/>
        </w:rPr>
        <w:t>Tullett Prebon: </w:t>
      </w:r>
      <w:r>
        <w:rPr>
          <w:sz w:val="20"/>
        </w:rPr>
        <w:t>James Potter </w:t>
      </w:r>
      <w:r>
        <w:rPr>
          <w:b/>
          <w:sz w:val="20"/>
        </w:rPr>
        <w:t>UBS: </w:t>
      </w:r>
      <w:r>
        <w:rPr>
          <w:sz w:val="20"/>
        </w:rPr>
        <w:t>George Athanasopoulos</w:t>
      </w:r>
    </w:p>
    <w:p>
      <w:pPr>
        <w:spacing w:line="230" w:lineRule="exact" w:before="0"/>
        <w:ind w:left="1132" w:right="0" w:firstLine="0"/>
        <w:jc w:val="left"/>
        <w:rPr>
          <w:sz w:val="20"/>
        </w:rPr>
      </w:pPr>
      <w:r>
        <w:rPr>
          <w:b/>
          <w:sz w:val="20"/>
        </w:rPr>
        <w:t>Wholesale Markets Brokers’ Association: </w:t>
      </w:r>
      <w:r>
        <w:rPr>
          <w:sz w:val="20"/>
        </w:rPr>
        <w:t>David Clark</w:t>
      </w:r>
    </w:p>
    <w:p>
      <w:pPr>
        <w:pStyle w:val="BodyText"/>
        <w:spacing w:line="230" w:lineRule="exact"/>
        <w:ind w:left="1132"/>
      </w:pPr>
      <w:r>
        <w:rPr>
          <w:b/>
        </w:rPr>
        <w:t>RBC: </w:t>
      </w:r>
      <w:r>
        <w:rPr/>
        <w:t>Isabelle Dennigan (Chair, Operations Sub-committee)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7"/>
        </w:rPr>
      </w:pPr>
      <w:r>
        <w:rPr/>
        <w:pict>
          <v:shape style="position:absolute;margin-left:55.860001pt;margin-top:17.974422pt;width:482.85pt;height:.1pt;mso-position-horizontal-relative:page;mso-position-vertical-relative:paragraph;z-index:-251657216;mso-wrap-distance-left:0;mso-wrap-distance-right:0" coordorigin="1117,359" coordsize="9657,0" path="m1117,359l10774,359e" filled="false" stroked="true" strokeweight=".24002pt" strokecolor="#000000">
            <v:path arrowok="t"/>
            <v:stroke dashstyle="solid"/>
            <w10:wrap type="topAndBottom"/>
          </v:shape>
        </w:pict>
      </w:r>
    </w:p>
    <w:p>
      <w:pPr>
        <w:spacing w:after="0"/>
        <w:rPr>
          <w:sz w:val="27"/>
        </w:rPr>
        <w:sectPr>
          <w:headerReference w:type="default" r:id="rId5"/>
          <w:type w:val="continuous"/>
          <w:pgSz w:w="11910" w:h="16840"/>
          <w:pgMar w:header="1117" w:top="1340" w:bottom="280" w:left="1000" w:right="1020"/>
        </w:sectPr>
      </w:pPr>
    </w:p>
    <w:p>
      <w:pPr>
        <w:pStyle w:val="BodyText"/>
        <w:spacing w:before="5"/>
        <w:rPr>
          <w:sz w:val="29"/>
        </w:rPr>
      </w:pPr>
    </w:p>
    <w:p>
      <w:pPr>
        <w:pStyle w:val="BodyText"/>
        <w:spacing w:line="20" w:lineRule="exact"/>
        <w:ind w:left="128"/>
        <w:rPr>
          <w:sz w:val="2"/>
        </w:rPr>
      </w:pPr>
      <w:r>
        <w:rPr>
          <w:sz w:val="2"/>
        </w:rPr>
        <w:pict>
          <v:group style="width:482.1pt;height:.25pt;mso-position-horizontal-relative:char;mso-position-vertical-relative:line" coordorigin="0,0" coordsize="9642,5">
            <v:line style="position:absolute" from="0,2" to="9642,2" stroked="true" strokeweight=".23999pt" strokecolor="#000000">
              <v:stroke dashstyle="solid"/>
            </v:line>
          </v:group>
        </w:pict>
      </w:r>
      <w:r>
        <w:rPr>
          <w:sz w:val="2"/>
        </w:rPr>
      </w:r>
    </w:p>
    <w:p>
      <w:pPr>
        <w:pStyle w:val="BodyText"/>
        <w:spacing w:before="5"/>
        <w:rPr>
          <w:sz w:val="10"/>
        </w:rPr>
      </w:pPr>
    </w:p>
    <w:p>
      <w:pPr>
        <w:pStyle w:val="Heading1"/>
        <w:tabs>
          <w:tab w:pos="8083" w:val="left" w:leader="none"/>
        </w:tabs>
        <w:spacing w:before="94"/>
        <w:ind w:left="0" w:right="400" w:firstLine="0"/>
        <w:jc w:val="right"/>
      </w:pPr>
      <w:r>
        <w:rPr/>
        <w:t>Minute</w:t>
      </w:r>
      <w:r>
        <w:rPr>
          <w:spacing w:val="-1"/>
        </w:rPr>
        <w:t> </w:t>
      </w:r>
      <w:r>
        <w:rPr/>
        <w:t>no.Minute</w:t>
        <w:tab/>
        <w:t>Action</w:t>
      </w:r>
      <w:r>
        <w:rPr>
          <w:spacing w:val="-4"/>
        </w:rPr>
        <w:t> </w:t>
      </w:r>
      <w:r>
        <w:rPr/>
        <w:t>owner</w:t>
      </w:r>
    </w:p>
    <w:p>
      <w:pPr>
        <w:spacing w:line="230" w:lineRule="exact" w:before="0"/>
        <w:ind w:left="0" w:right="434" w:firstLine="0"/>
        <w:jc w:val="right"/>
        <w:rPr>
          <w:b/>
          <w:sz w:val="20"/>
        </w:rPr>
      </w:pPr>
      <w:r>
        <w:rPr>
          <w:b/>
          <w:sz w:val="20"/>
        </w:rPr>
        <w:t>and due</w:t>
      </w:r>
      <w:r>
        <w:rPr>
          <w:b/>
          <w:spacing w:val="-9"/>
          <w:sz w:val="20"/>
        </w:rPr>
        <w:t> </w:t>
      </w:r>
      <w:r>
        <w:rPr>
          <w:b/>
          <w:sz w:val="20"/>
        </w:rPr>
        <w:t>date</w:t>
      </w:r>
    </w:p>
    <w:p>
      <w:pPr>
        <w:pStyle w:val="ListParagraph"/>
        <w:numPr>
          <w:ilvl w:val="0"/>
          <w:numId w:val="1"/>
        </w:numPr>
        <w:tabs>
          <w:tab w:pos="1132" w:val="left" w:leader="none"/>
          <w:tab w:pos="1133" w:val="left" w:leader="none"/>
        </w:tabs>
        <w:spacing w:line="230" w:lineRule="exact" w:before="24" w:after="0"/>
        <w:ind w:left="1132" w:right="0" w:hanging="1002"/>
        <w:jc w:val="both"/>
        <w:rPr>
          <w:b/>
          <w:sz w:val="20"/>
        </w:rPr>
      </w:pPr>
      <w:r>
        <w:rPr>
          <w:b/>
          <w:sz w:val="20"/>
        </w:rPr>
        <w:t>Welcome and</w:t>
      </w:r>
      <w:r>
        <w:rPr>
          <w:b/>
          <w:spacing w:val="-3"/>
          <w:sz w:val="20"/>
        </w:rPr>
        <w:t> </w:t>
      </w:r>
      <w:r>
        <w:rPr>
          <w:b/>
          <w:sz w:val="20"/>
        </w:rPr>
        <w:t>apologies</w:t>
      </w:r>
    </w:p>
    <w:p>
      <w:pPr>
        <w:pStyle w:val="BodyText"/>
        <w:ind w:left="1132" w:right="1666"/>
        <w:jc w:val="both"/>
      </w:pPr>
      <w:r>
        <w:rPr/>
        <w:t>The Chair welcomed attendees and noted that this was an additional Foreign Exchange Joint Standing Committee (FXJSC) meeting convened to discuss the upcoming Global Foreign Exchange Committee (GFXC) meeting. For this reason nominated alternates had been allowed to attend where the main Committee member was unable to do so.</w:t>
      </w:r>
    </w:p>
    <w:p>
      <w:pPr>
        <w:pStyle w:val="BodyText"/>
      </w:pPr>
    </w:p>
    <w:p>
      <w:pPr>
        <w:pStyle w:val="BodyText"/>
        <w:ind w:left="1132" w:right="1667"/>
        <w:jc w:val="both"/>
      </w:pPr>
      <w:r>
        <w:rPr/>
        <w:t>The Chair explained that the minutes of the most recent FXJSC meeting, held on 20 September, would be signed off at the FXJSC meeting on 22 November and published on the Bank of England website shortly thereafter.</w:t>
      </w:r>
    </w:p>
    <w:p>
      <w:pPr>
        <w:pStyle w:val="BodyText"/>
        <w:spacing w:before="11"/>
        <w:rPr>
          <w:sz w:val="19"/>
        </w:rPr>
      </w:pPr>
    </w:p>
    <w:p>
      <w:pPr>
        <w:pStyle w:val="BodyText"/>
        <w:ind w:left="1132" w:right="1666"/>
        <w:jc w:val="both"/>
      </w:pPr>
      <w:r>
        <w:rPr/>
        <w:t>Apologies were received from David Puth, Russell Lascala, Kayhan Mirza, James Potter, George Athanasopoulos, David Clark and Isabelle Dennigan. The Chair welcomed two new members: Alan Barnes and Leone Razali, who is also joining as the new lead Secretariat. The Chair also welcomed alternate attendee Chris</w:t>
      </w:r>
      <w:r>
        <w:rPr>
          <w:spacing w:val="-3"/>
        </w:rPr>
        <w:t> </w:t>
      </w:r>
      <w:r>
        <w:rPr/>
        <w:t>Purves.</w:t>
      </w:r>
    </w:p>
    <w:p>
      <w:pPr>
        <w:pStyle w:val="BodyText"/>
      </w:pPr>
    </w:p>
    <w:p>
      <w:pPr>
        <w:pStyle w:val="BodyText"/>
        <w:ind w:left="1132" w:right="1667"/>
        <w:jc w:val="both"/>
      </w:pPr>
      <w:r>
        <w:rPr/>
        <w:t>The Chair informed attendees that James Harvey (Rolls Royce) has stepped down from the committee, and thanked him for his contributions.</w:t>
      </w:r>
    </w:p>
    <w:p>
      <w:pPr>
        <w:pStyle w:val="BodyText"/>
        <w:rPr>
          <w:sz w:val="21"/>
        </w:rPr>
      </w:pPr>
    </w:p>
    <w:p>
      <w:pPr>
        <w:pStyle w:val="Heading1"/>
        <w:numPr>
          <w:ilvl w:val="0"/>
          <w:numId w:val="1"/>
        </w:numPr>
        <w:tabs>
          <w:tab w:pos="1132" w:val="left" w:leader="none"/>
          <w:tab w:pos="1133" w:val="left" w:leader="none"/>
        </w:tabs>
        <w:spacing w:line="229" w:lineRule="exact" w:before="1" w:after="0"/>
        <w:ind w:left="1132" w:right="0" w:hanging="1002"/>
        <w:jc w:val="both"/>
      </w:pPr>
      <w:r>
        <w:rPr/>
        <w:t>GFXC Last Look</w:t>
      </w:r>
      <w:r>
        <w:rPr>
          <w:spacing w:val="-4"/>
        </w:rPr>
        <w:t> </w:t>
      </w:r>
      <w:r>
        <w:rPr/>
        <w:t>proposal</w:t>
      </w:r>
    </w:p>
    <w:p>
      <w:pPr>
        <w:pStyle w:val="BodyText"/>
        <w:ind w:left="1132" w:right="1666"/>
        <w:jc w:val="both"/>
      </w:pPr>
      <w:r>
        <w:rPr/>
        <w:t>Leone Razali (Bank of England) gave an overview of the GFXC’s draft response to their Request for Feedback on Last Look practices in the Foreign Exchange Market. </w:t>
      </w:r>
      <w:r>
        <w:rPr>
          <w:vertAlign w:val="superscript"/>
        </w:rPr>
        <w:t>1</w:t>
      </w:r>
      <w:r>
        <w:rPr>
          <w:vertAlign w:val="baseline"/>
        </w:rPr>
        <w:t> Members considered the draft response accurately reflected the feedback received. </w:t>
      </w:r>
      <w:r>
        <w:rPr>
          <w:vertAlign w:val="superscript"/>
        </w:rPr>
        <w:t>2</w:t>
      </w:r>
      <w:r>
        <w:rPr>
          <w:vertAlign w:val="baseline"/>
        </w:rPr>
        <w:t> A range of perspectives were expressed regarding the newly proposed language in the draft response. Members agreed that the draft response effectively represented the views of the FXJSC and were supportive of strengthening Principle 17 to note that Market Participants should not undertake such trading activity during the Last Look</w:t>
      </w:r>
      <w:r>
        <w:rPr>
          <w:spacing w:val="-10"/>
          <w:vertAlign w:val="baseline"/>
        </w:rPr>
        <w:t> </w:t>
      </w:r>
      <w:r>
        <w:rPr>
          <w:vertAlign w:val="baseline"/>
        </w:rPr>
        <w:t>window.</w:t>
      </w:r>
    </w:p>
    <w:p>
      <w:pPr>
        <w:pStyle w:val="BodyText"/>
        <w:spacing w:before="4"/>
        <w:rPr>
          <w:sz w:val="23"/>
        </w:rPr>
      </w:pPr>
    </w:p>
    <w:p>
      <w:pPr>
        <w:pStyle w:val="Heading1"/>
        <w:numPr>
          <w:ilvl w:val="0"/>
          <w:numId w:val="1"/>
        </w:numPr>
        <w:tabs>
          <w:tab w:pos="1132" w:val="left" w:leader="none"/>
          <w:tab w:pos="1133" w:val="left" w:leader="none"/>
        </w:tabs>
        <w:spacing w:line="230" w:lineRule="exact" w:before="0" w:after="0"/>
        <w:ind w:left="1132" w:right="0" w:hanging="1002"/>
        <w:jc w:val="both"/>
      </w:pPr>
      <w:r>
        <w:rPr/>
        <w:t>GFXC governance</w:t>
      </w:r>
      <w:r>
        <w:rPr>
          <w:spacing w:val="-3"/>
        </w:rPr>
        <w:t> </w:t>
      </w:r>
      <w:r>
        <w:rPr/>
        <w:t>proposal</w:t>
      </w:r>
    </w:p>
    <w:p>
      <w:pPr>
        <w:pStyle w:val="BodyText"/>
        <w:ind w:left="1132" w:right="1666"/>
        <w:jc w:val="both"/>
      </w:pPr>
      <w:r>
        <w:rPr/>
        <w:t>The Chair summarised the proposals made in the GFXC’s draft governance paper. Members had no objection to the changes outlined in the proposal.</w:t>
      </w:r>
    </w:p>
    <w:p>
      <w:pPr>
        <w:pStyle w:val="BodyText"/>
        <w:spacing w:before="10"/>
      </w:pPr>
    </w:p>
    <w:p>
      <w:pPr>
        <w:pStyle w:val="Heading1"/>
        <w:numPr>
          <w:ilvl w:val="0"/>
          <w:numId w:val="1"/>
        </w:numPr>
        <w:tabs>
          <w:tab w:pos="1132" w:val="left" w:leader="none"/>
          <w:tab w:pos="1133" w:val="left" w:leader="none"/>
        </w:tabs>
        <w:spacing w:line="230" w:lineRule="exact" w:before="0" w:after="0"/>
        <w:ind w:left="1132" w:right="0" w:hanging="1002"/>
        <w:jc w:val="both"/>
      </w:pPr>
      <w:r>
        <w:rPr/>
        <w:t>Members’ FX Global Code adherence</w:t>
      </w:r>
      <w:r>
        <w:rPr>
          <w:spacing w:val="-6"/>
        </w:rPr>
        <w:t> </w:t>
      </w:r>
      <w:r>
        <w:rPr/>
        <w:t>views</w:t>
      </w:r>
    </w:p>
    <w:p>
      <w:pPr>
        <w:pStyle w:val="BodyText"/>
        <w:ind w:left="1132" w:right="1666"/>
        <w:jc w:val="both"/>
      </w:pPr>
      <w:r>
        <w:rPr/>
        <w:t>Members discussed how adherence to the Code is progressing within their organisations. The institutional complexity of some larger organisations has raised challenges in signing the Statement of Commitment (SoC) and deciding which legal entity within the group signs the SoC was noted as a key challenge.</w:t>
      </w:r>
    </w:p>
    <w:p>
      <w:pPr>
        <w:pStyle w:val="BodyText"/>
        <w:spacing w:before="9"/>
      </w:pPr>
    </w:p>
    <w:p>
      <w:pPr>
        <w:pStyle w:val="BodyText"/>
        <w:ind w:left="1132" w:right="1665"/>
        <w:jc w:val="both"/>
      </w:pPr>
      <w:r>
        <w:rPr/>
        <w:t>It was noted that some Foreign Exchange Committees (FXCs) had set different expectations for when members should complete the SoC. Some members suggested that it would be preferable for these different expectations to be aligned as some organisations are represented on more than one FXC.</w:t>
      </w:r>
    </w:p>
    <w:p>
      <w:pPr>
        <w:pStyle w:val="BodyText"/>
        <w:spacing w:before="9"/>
        <w:rPr>
          <w:sz w:val="12"/>
        </w:rPr>
      </w:pPr>
    </w:p>
    <w:p>
      <w:pPr>
        <w:spacing w:after="0"/>
        <w:rPr>
          <w:sz w:val="12"/>
        </w:rPr>
        <w:sectPr>
          <w:headerReference w:type="default" r:id="rId6"/>
          <w:pgSz w:w="11910" w:h="16840"/>
          <w:pgMar w:header="571" w:footer="0" w:top="780" w:bottom="280" w:left="1000" w:right="1020"/>
        </w:sectPr>
      </w:pPr>
    </w:p>
    <w:p>
      <w:pPr>
        <w:pStyle w:val="Heading1"/>
        <w:numPr>
          <w:ilvl w:val="0"/>
          <w:numId w:val="1"/>
        </w:numPr>
        <w:tabs>
          <w:tab w:pos="1132" w:val="left" w:leader="none"/>
          <w:tab w:pos="1133" w:val="left" w:leader="none"/>
        </w:tabs>
        <w:spacing w:line="230" w:lineRule="exact" w:before="95" w:after="0"/>
        <w:ind w:left="1132" w:right="0" w:hanging="1002"/>
        <w:jc w:val="both"/>
      </w:pPr>
      <w:r>
        <w:rPr/>
        <w:t>Any other</w:t>
      </w:r>
      <w:r>
        <w:rPr>
          <w:spacing w:val="-5"/>
        </w:rPr>
        <w:t> </w:t>
      </w:r>
      <w:r>
        <w:rPr/>
        <w:t>business</w:t>
      </w:r>
    </w:p>
    <w:p>
      <w:pPr>
        <w:pStyle w:val="BodyText"/>
        <w:ind w:left="1132" w:right="38"/>
        <w:jc w:val="both"/>
      </w:pPr>
      <w:r>
        <w:rPr/>
        <w:t>Alan Barnes (Financial Conduct Authority) informed members that the Financial Conduct Authority has published a ‘Consultation Paper on Industry Codes of Conduct and Discussion Paper on FCA Principle 5’. </w:t>
      </w:r>
      <w:r>
        <w:rPr>
          <w:vertAlign w:val="superscript"/>
        </w:rPr>
        <w:t>3</w:t>
      </w:r>
      <w:r>
        <w:rPr>
          <w:vertAlign w:val="baseline"/>
        </w:rPr>
        <w:t> The deadline for responses is 5 February 2018. The FXJSC Secretariat agreed to circulate the link to the consultation paper after this meeting.</w:t>
      </w:r>
    </w:p>
    <w:p>
      <w:pPr>
        <w:pStyle w:val="BodyText"/>
        <w:spacing w:before="10"/>
      </w:pPr>
    </w:p>
    <w:p>
      <w:pPr>
        <w:pStyle w:val="Heading1"/>
        <w:spacing w:line="240" w:lineRule="auto"/>
        <w:ind w:right="38" w:firstLine="0"/>
      </w:pPr>
      <w:r>
        <w:rPr/>
        <w:t>The next meeting of the FXJSC will be held on Wednesday 22 November 2017.</w:t>
      </w:r>
    </w:p>
    <w:p>
      <w:pPr>
        <w:pStyle w:val="BodyText"/>
        <w:spacing w:before="3"/>
        <w:rPr>
          <w:b/>
          <w:sz w:val="28"/>
        </w:rPr>
      </w:pPr>
      <w:r>
        <w:rPr/>
        <w:br w:type="column"/>
      </w:r>
      <w:r>
        <w:rPr>
          <w:b/>
          <w:sz w:val="28"/>
        </w:rPr>
      </w:r>
    </w:p>
    <w:p>
      <w:pPr>
        <w:spacing w:line="230" w:lineRule="exact" w:before="0"/>
        <w:ind w:left="131" w:right="370" w:firstLine="0"/>
        <w:jc w:val="center"/>
        <w:rPr>
          <w:b/>
          <w:sz w:val="20"/>
        </w:rPr>
      </w:pPr>
      <w:r>
        <w:rPr>
          <w:b/>
          <w:sz w:val="20"/>
        </w:rPr>
        <w:t>FXJSC</w:t>
      </w:r>
    </w:p>
    <w:p>
      <w:pPr>
        <w:spacing w:before="0"/>
        <w:ind w:left="131" w:right="372" w:firstLine="0"/>
        <w:jc w:val="center"/>
        <w:rPr>
          <w:b/>
          <w:sz w:val="20"/>
        </w:rPr>
      </w:pPr>
      <w:r>
        <w:rPr>
          <w:b/>
          <w:sz w:val="20"/>
        </w:rPr>
        <w:t>Secretariat 13.11.2017</w:t>
      </w:r>
    </w:p>
    <w:p>
      <w:pPr>
        <w:spacing w:after="0"/>
        <w:jc w:val="center"/>
        <w:rPr>
          <w:sz w:val="20"/>
        </w:rPr>
        <w:sectPr>
          <w:type w:val="continuous"/>
          <w:pgSz w:w="11910" w:h="16840"/>
          <w:pgMar w:top="1340" w:bottom="280" w:left="1000" w:right="1020"/>
          <w:cols w:num="2" w:equalWidth="0">
            <w:col w:w="8256" w:space="89"/>
            <w:col w:w="1545"/>
          </w:cols>
        </w:sectPr>
      </w:pPr>
    </w:p>
    <w:p>
      <w:pPr>
        <w:pStyle w:val="BodyText"/>
        <w:rPr>
          <w:b/>
        </w:rPr>
      </w:pPr>
    </w:p>
    <w:p>
      <w:pPr>
        <w:pStyle w:val="BodyText"/>
        <w:rPr>
          <w:b/>
        </w:rPr>
      </w:pPr>
    </w:p>
    <w:p>
      <w:pPr>
        <w:pStyle w:val="BodyText"/>
        <w:spacing w:before="8"/>
        <w:rPr>
          <w:b/>
          <w:sz w:val="12"/>
        </w:rPr>
      </w:pPr>
    </w:p>
    <w:p>
      <w:pPr>
        <w:pStyle w:val="BodyText"/>
        <w:spacing w:line="20" w:lineRule="exact"/>
        <w:ind w:left="129"/>
        <w:rPr>
          <w:sz w:val="2"/>
        </w:rPr>
      </w:pPr>
      <w:r>
        <w:rPr>
          <w:sz w:val="2"/>
        </w:rPr>
        <w:pict>
          <v:group style="width:144pt;height:.5pt;mso-position-horizontal-relative:char;mso-position-vertical-relative:line" coordorigin="0,0" coordsize="2880,10">
            <v:line style="position:absolute" from="0,5" to="2880,5" stroked="true" strokeweight=".47998pt" strokecolor="#000000">
              <v:stroke dashstyle="solid"/>
            </v:line>
          </v:group>
        </w:pict>
      </w:r>
      <w:r>
        <w:rPr>
          <w:sz w:val="2"/>
        </w:rPr>
      </w:r>
    </w:p>
    <w:p>
      <w:pPr>
        <w:pStyle w:val="BodyText"/>
        <w:spacing w:line="247" w:lineRule="exact" w:before="40"/>
        <w:ind w:left="134"/>
      </w:pPr>
      <w:r>
        <w:rPr>
          <w:position w:val="10"/>
          <w:sz w:val="13"/>
        </w:rPr>
        <w:t>1 </w:t>
      </w:r>
      <w:hyperlink r:id="rId7">
        <w:r>
          <w:rPr>
            <w:color w:val="0000FF"/>
            <w:u w:val="single" w:color="0000FF"/>
          </w:rPr>
          <w:t>https://www.globalfxc.o</w:t>
        </w:r>
      </w:hyperlink>
      <w:r>
        <w:rPr>
          <w:color w:val="0000FF"/>
          <w:u w:val="single" w:color="0000FF"/>
        </w:rPr>
        <w:t>rg/doc</w:t>
      </w:r>
      <w:hyperlink r:id="rId7">
        <w:r>
          <w:rPr>
            <w:color w:val="0000FF"/>
            <w:u w:val="single" w:color="0000FF"/>
          </w:rPr>
          <w:t>s/con</w:t>
        </w:r>
      </w:hyperlink>
      <w:r>
        <w:rPr>
          <w:color w:val="0000FF"/>
          <w:u w:val="single" w:color="0000FF"/>
        </w:rPr>
        <w:t>s</w:t>
      </w:r>
      <w:hyperlink r:id="rId7">
        <w:r>
          <w:rPr>
            <w:color w:val="0000FF"/>
            <w:u w:val="single" w:color="0000FF"/>
          </w:rPr>
          <w:t>ultation_process.pdf</w:t>
        </w:r>
      </w:hyperlink>
    </w:p>
    <w:p>
      <w:pPr>
        <w:pStyle w:val="BodyText"/>
        <w:spacing w:line="230" w:lineRule="exact"/>
        <w:ind w:left="134"/>
      </w:pPr>
      <w:r>
        <w:rPr>
          <w:position w:val="10"/>
          <w:sz w:val="13"/>
        </w:rPr>
        <w:t>2 </w:t>
      </w:r>
      <w:hyperlink r:id="rId8">
        <w:r>
          <w:rPr>
            <w:color w:val="0000FF"/>
            <w:u w:val="single" w:color="0000FF"/>
          </w:rPr>
          <w:t>https://www.globalfxc.o</w:t>
        </w:r>
      </w:hyperlink>
      <w:r>
        <w:rPr>
          <w:color w:val="0000FF"/>
          <w:u w:val="single" w:color="0000FF"/>
        </w:rPr>
        <w:t>rg/</w:t>
      </w:r>
      <w:hyperlink r:id="rId8">
        <w:r>
          <w:rPr>
            <w:color w:val="0000FF"/>
            <w:u w:val="single" w:color="0000FF"/>
          </w:rPr>
          <w:t>docs/gfxc_last_look_re</w:t>
        </w:r>
      </w:hyperlink>
      <w:r>
        <w:rPr>
          <w:color w:val="0000FF"/>
          <w:u w:val="single" w:color="0000FF"/>
        </w:rPr>
        <w:t>que</w:t>
      </w:r>
      <w:hyperlink r:id="rId8">
        <w:r>
          <w:rPr>
            <w:color w:val="0000FF"/>
            <w:u w:val="single" w:color="0000FF"/>
          </w:rPr>
          <w:t>st_for_feedb</w:t>
        </w:r>
      </w:hyperlink>
      <w:r>
        <w:rPr>
          <w:color w:val="0000FF"/>
          <w:u w:val="single" w:color="0000FF"/>
        </w:rPr>
        <w:t>a</w:t>
      </w:r>
      <w:hyperlink r:id="rId8">
        <w:r>
          <w:rPr>
            <w:color w:val="0000FF"/>
            <w:u w:val="single" w:color="0000FF"/>
          </w:rPr>
          <w:t>ck.p</w:t>
        </w:r>
      </w:hyperlink>
      <w:r>
        <w:rPr>
          <w:color w:val="0000FF"/>
          <w:u w:val="single" w:color="0000FF"/>
        </w:rPr>
        <w:t>d</w:t>
      </w:r>
      <w:hyperlink r:id="rId8">
        <w:r>
          <w:rPr>
            <w:color w:val="0000FF"/>
            <w:u w:val="single" w:color="0000FF"/>
          </w:rPr>
          <w:t>f</w:t>
        </w:r>
      </w:hyperlink>
    </w:p>
    <w:p>
      <w:pPr>
        <w:pStyle w:val="BodyText"/>
        <w:spacing w:line="247" w:lineRule="exact"/>
        <w:ind w:left="134"/>
      </w:pPr>
      <w:r>
        <w:rPr>
          <w:position w:val="10"/>
          <w:sz w:val="13"/>
        </w:rPr>
        <w:t>3 </w:t>
      </w:r>
      <w:hyperlink r:id="rId9">
        <w:r>
          <w:rPr>
            <w:color w:val="0000FF"/>
            <w:u w:val="single" w:color="0000FF"/>
          </w:rPr>
          <w:t>https://www.f</w:t>
        </w:r>
      </w:hyperlink>
      <w:r>
        <w:rPr>
          <w:color w:val="0000FF"/>
          <w:u w:val="single" w:color="0000FF"/>
        </w:rPr>
        <w:t>ca.or</w:t>
      </w:r>
      <w:hyperlink r:id="rId9">
        <w:r>
          <w:rPr>
            <w:color w:val="0000FF"/>
            <w:u w:val="single" w:color="0000FF"/>
          </w:rPr>
          <w:t>g.uk/p</w:t>
        </w:r>
      </w:hyperlink>
      <w:r>
        <w:rPr>
          <w:color w:val="0000FF"/>
          <w:u w:val="single" w:color="0000FF"/>
        </w:rPr>
        <w:t>ub</w:t>
      </w:r>
      <w:hyperlink r:id="rId9">
        <w:r>
          <w:rPr>
            <w:color w:val="0000FF"/>
            <w:u w:val="single" w:color="0000FF"/>
          </w:rPr>
          <w:t>lication/con</w:t>
        </w:r>
      </w:hyperlink>
      <w:r>
        <w:rPr>
          <w:color w:val="0000FF"/>
          <w:u w:val="single" w:color="0000FF"/>
        </w:rPr>
        <w:t>s</w:t>
      </w:r>
      <w:hyperlink r:id="rId9">
        <w:r>
          <w:rPr>
            <w:color w:val="0000FF"/>
            <w:u w:val="single" w:color="0000FF"/>
          </w:rPr>
          <w:t>ultation/cp17-37.pdf</w:t>
        </w:r>
      </w:hyperlink>
    </w:p>
    <w:sectPr>
      <w:type w:val="continuous"/>
      <w:pgSz w:w="11910" w:h="16840"/>
      <w:pgMar w:top="1340" w:bottom="280" w:left="10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87.58017pt;margin-top:54.848854pt;width:52.1pt;height:13.2pt;mso-position-horizontal-relative:page;mso-position-vertical-relative:page;z-index:-251804672" type="#_x0000_t202" filled="false" stroked="false">
          <v:textbox inset="0,0,0,0">
            <w:txbxContent>
              <w:p>
                <w:pPr>
                  <w:pStyle w:val="BodyText"/>
                  <w:spacing w:before="14"/>
                  <w:ind w:left="20"/>
                </w:pPr>
                <w:r>
                  <w:rPr/>
                  <w:t>10.11.2017</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0.700134pt;margin-top:27.54874pt;width:7.6pt;height:13.2pt;mso-position-horizontal-relative:page;mso-position-vertical-relative:page;z-index:-251803648" type="#_x0000_t202" filled="false" stroked="false">
          <v:textbox inset="0,0,0,0">
            <w:txbxContent>
              <w:p>
                <w:pPr>
                  <w:pStyle w:val="BodyText"/>
                  <w:spacing w:before="14"/>
                  <w:ind w:left="20"/>
                </w:pPr>
                <w:r>
                  <w:rPr>
                    <w:w w:val="100"/>
                  </w:rPr>
                  <w:t>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32" w:hanging="1001"/>
        <w:jc w:val="left"/>
      </w:pPr>
      <w:rPr>
        <w:rFonts w:hint="default" w:ascii="Arial" w:hAnsi="Arial" w:eastAsia="Arial" w:cs="Arial"/>
        <w:spacing w:val="-1"/>
        <w:w w:val="100"/>
        <w:sz w:val="20"/>
        <w:szCs w:val="20"/>
      </w:rPr>
    </w:lvl>
    <w:lvl w:ilvl="1">
      <w:start w:val="0"/>
      <w:numFmt w:val="bullet"/>
      <w:lvlText w:val="•"/>
      <w:lvlJc w:val="left"/>
      <w:pPr>
        <w:ind w:left="2014" w:hanging="1001"/>
      </w:pPr>
      <w:rPr>
        <w:rFonts w:hint="default"/>
      </w:rPr>
    </w:lvl>
    <w:lvl w:ilvl="2">
      <w:start w:val="0"/>
      <w:numFmt w:val="bullet"/>
      <w:lvlText w:val="•"/>
      <w:lvlJc w:val="left"/>
      <w:pPr>
        <w:ind w:left="2888" w:hanging="1001"/>
      </w:pPr>
      <w:rPr>
        <w:rFonts w:hint="default"/>
      </w:rPr>
    </w:lvl>
    <w:lvl w:ilvl="3">
      <w:start w:val="0"/>
      <w:numFmt w:val="bullet"/>
      <w:lvlText w:val="•"/>
      <w:lvlJc w:val="left"/>
      <w:pPr>
        <w:ind w:left="3763" w:hanging="1001"/>
      </w:pPr>
      <w:rPr>
        <w:rFonts w:hint="default"/>
      </w:rPr>
    </w:lvl>
    <w:lvl w:ilvl="4">
      <w:start w:val="0"/>
      <w:numFmt w:val="bullet"/>
      <w:lvlText w:val="•"/>
      <w:lvlJc w:val="left"/>
      <w:pPr>
        <w:ind w:left="4637" w:hanging="1001"/>
      </w:pPr>
      <w:rPr>
        <w:rFonts w:hint="default"/>
      </w:rPr>
    </w:lvl>
    <w:lvl w:ilvl="5">
      <w:start w:val="0"/>
      <w:numFmt w:val="bullet"/>
      <w:lvlText w:val="•"/>
      <w:lvlJc w:val="left"/>
      <w:pPr>
        <w:ind w:left="5512" w:hanging="1001"/>
      </w:pPr>
      <w:rPr>
        <w:rFonts w:hint="default"/>
      </w:rPr>
    </w:lvl>
    <w:lvl w:ilvl="6">
      <w:start w:val="0"/>
      <w:numFmt w:val="bullet"/>
      <w:lvlText w:val="•"/>
      <w:lvlJc w:val="left"/>
      <w:pPr>
        <w:ind w:left="6386" w:hanging="1001"/>
      </w:pPr>
      <w:rPr>
        <w:rFonts w:hint="default"/>
      </w:rPr>
    </w:lvl>
    <w:lvl w:ilvl="7">
      <w:start w:val="0"/>
      <w:numFmt w:val="bullet"/>
      <w:lvlText w:val="•"/>
      <w:lvlJc w:val="left"/>
      <w:pPr>
        <w:ind w:left="7261" w:hanging="1001"/>
      </w:pPr>
      <w:rPr>
        <w:rFonts w:hint="default"/>
      </w:rPr>
    </w:lvl>
    <w:lvl w:ilvl="8">
      <w:start w:val="0"/>
      <w:numFmt w:val="bullet"/>
      <w:lvlText w:val="•"/>
      <w:lvlJc w:val="left"/>
      <w:pPr>
        <w:ind w:left="8135" w:hanging="100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line="230" w:lineRule="exact"/>
      <w:ind w:left="1132" w:hanging="1002"/>
      <w:jc w:val="both"/>
      <w:outlineLvl w:val="1"/>
    </w:pPr>
    <w:rPr>
      <w:rFonts w:ascii="Arial" w:hAnsi="Arial" w:eastAsia="Arial" w:cs="Arial"/>
      <w:b/>
      <w:bCs/>
      <w:sz w:val="20"/>
      <w:szCs w:val="20"/>
    </w:rPr>
  </w:style>
  <w:style w:styleId="ListParagraph" w:type="paragraph">
    <w:name w:val="List Paragraph"/>
    <w:basedOn w:val="Normal"/>
    <w:uiPriority w:val="1"/>
    <w:qFormat/>
    <w:pPr>
      <w:spacing w:line="230" w:lineRule="exact"/>
      <w:ind w:left="1132" w:hanging="1002"/>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yperlink" Target="http://www.globalfxc.org/docs/consultation_process.pdf" TargetMode="External"/><Relationship Id="rId8" Type="http://schemas.openxmlformats.org/officeDocument/2006/relationships/hyperlink" Target="http://www.globalfxc.org/docs/gfxc_last_look_request_for_feedback.pdf" TargetMode="External"/><Relationship Id="rId9" Type="http://schemas.openxmlformats.org/officeDocument/2006/relationships/hyperlink" Target="http://www.fca.org.uk/publication/consultation/cp17-37.pdf"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London FXJSC meeting - November 2017</dc:subject>
  <dc:title>Minutes of the London FXJSC meeting - November 2017</dc:title>
  <dcterms:created xsi:type="dcterms:W3CDTF">2020-06-01T02:00:48Z</dcterms:created>
  <dcterms:modified xsi:type="dcterms:W3CDTF">2020-06-01T02:00:48Z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2018-02-07T00:00:00Z</vt:filetime>
  </property>
  <property fmtid="{D5CDD505-2E9C-101B-9397-08002B2CF9AE}" pid="3" name="Creator">
    <vt:lpwstr>PScript5.dll Version 5.2.2</vt:lpwstr>
  </property>
  <property fmtid="{D5CDD505-2E9C-101B-9397-08002B2CF9AE}" pid="4" name="LastSaved">
    <vt:filetime>2020-06-01T00:00:00Z</vt:filetime>
  </property>
</Properties>
</file>