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22"/>
        <w:ind w:left="131" w:right="0" w:firstLine="0"/>
        <w:jc w:val="left"/>
        <w:rPr>
          <w:sz w:val="44"/>
        </w:rPr>
      </w:pPr>
      <w:r>
        <w:rPr>
          <w:sz w:val="44"/>
        </w:rPr>
        <w:t>Minutes</w:t>
      </w:r>
    </w:p>
    <w:p>
      <w:pPr>
        <w:spacing w:before="339"/>
        <w:ind w:left="131" w:right="0" w:firstLine="0"/>
        <w:jc w:val="left"/>
        <w:rPr>
          <w:b/>
          <w:sz w:val="24"/>
        </w:rPr>
      </w:pPr>
      <w:r>
        <w:rPr>
          <w:b/>
          <w:sz w:val="24"/>
        </w:rPr>
        <w:t>FOREIGN EXCHANGE JOINT STANDING COMMITTEE</w:t>
      </w:r>
    </w:p>
    <w:p>
      <w:pPr>
        <w:spacing w:before="41"/>
        <w:ind w:left="131" w:right="0" w:firstLine="0"/>
        <w:jc w:val="left"/>
        <w:rPr>
          <w:sz w:val="24"/>
        </w:rPr>
      </w:pPr>
      <w:r>
        <w:rPr>
          <w:sz w:val="24"/>
        </w:rPr>
        <w:t>10 February 2017</w:t>
      </w:r>
    </w:p>
    <w:p>
      <w:pPr>
        <w:pStyle w:val="BodyText"/>
        <w:spacing w:before="4"/>
      </w:pPr>
      <w:r>
        <w:rPr/>
        <w:pict>
          <v:shape style="position:absolute;margin-left:56.580002pt;margin-top:13.904472pt;width:482.1pt;height:.1pt;mso-position-horizontal-relative:page;mso-position-vertical-relative:paragraph;z-index:-251658240;mso-wrap-distance-left:0;mso-wrap-distance-right:0" coordorigin="1132,278" coordsize="9642,0" path="m1132,278l10774,278e" filled="false" stroked="true" strokeweight=".48004pt" strokecolor="#000000">
            <v:path arrowok="t"/>
            <v:stroke dashstyle="solid"/>
            <w10:wrap type="topAndBottom"/>
          </v:shape>
        </w:pict>
      </w:r>
    </w:p>
    <w:p>
      <w:pPr>
        <w:pStyle w:val="BodyText"/>
        <w:spacing w:before="10"/>
        <w:rPr>
          <w:sz w:val="7"/>
        </w:rPr>
      </w:pPr>
    </w:p>
    <w:p>
      <w:pPr>
        <w:pStyle w:val="BodyText"/>
        <w:spacing w:before="94"/>
        <w:ind w:left="131"/>
      </w:pPr>
      <w:r>
        <w:rPr/>
        <w:t>Location: Prudential Regulation Authority, 20 Moorgate, London, EC2R 6DA</w:t>
      </w:r>
    </w:p>
    <w:p>
      <w:pPr>
        <w:pStyle w:val="BodyText"/>
        <w:rPr>
          <w:sz w:val="23"/>
        </w:rPr>
      </w:pPr>
    </w:p>
    <w:p>
      <w:pPr>
        <w:spacing w:before="0"/>
        <w:ind w:left="131" w:right="0" w:firstLine="0"/>
        <w:jc w:val="left"/>
        <w:rPr>
          <w:sz w:val="20"/>
        </w:rPr>
      </w:pPr>
      <w:r>
        <w:rPr>
          <w:sz w:val="20"/>
        </w:rPr>
        <w:t>Attendees: </w:t>
      </w:r>
      <w:r>
        <w:rPr>
          <w:b/>
          <w:sz w:val="20"/>
        </w:rPr>
        <w:t>Association of Corporate Treasurers</w:t>
      </w:r>
      <w:r>
        <w:rPr>
          <w:sz w:val="20"/>
        </w:rPr>
        <w:t>: Sarah Boyce</w:t>
      </w:r>
    </w:p>
    <w:p>
      <w:pPr>
        <w:spacing w:before="34"/>
        <w:ind w:left="1126" w:right="0" w:firstLine="0"/>
        <w:jc w:val="left"/>
        <w:rPr>
          <w:sz w:val="20"/>
        </w:rPr>
      </w:pPr>
      <w:r>
        <w:rPr>
          <w:b/>
          <w:sz w:val="20"/>
        </w:rPr>
        <w:t>Bank of China</w:t>
      </w:r>
      <w:r>
        <w:rPr>
          <w:sz w:val="20"/>
        </w:rPr>
        <w:t>: Wang Yan</w:t>
      </w:r>
    </w:p>
    <w:p>
      <w:pPr>
        <w:spacing w:before="36"/>
        <w:ind w:left="1126" w:right="0" w:firstLine="0"/>
        <w:jc w:val="left"/>
        <w:rPr>
          <w:sz w:val="20"/>
        </w:rPr>
      </w:pPr>
      <w:r>
        <w:rPr>
          <w:b/>
          <w:sz w:val="20"/>
        </w:rPr>
        <w:t>Bank of Tokyo-Mitsubishi UFJ: </w:t>
      </w:r>
      <w:r>
        <w:rPr>
          <w:sz w:val="20"/>
        </w:rPr>
        <w:t>Shingo Sato (Alternate)</w:t>
      </w:r>
    </w:p>
    <w:p>
      <w:pPr>
        <w:spacing w:before="34"/>
        <w:ind w:left="1126" w:right="0" w:firstLine="0"/>
        <w:jc w:val="left"/>
        <w:rPr>
          <w:sz w:val="20"/>
        </w:rPr>
      </w:pPr>
      <w:r>
        <w:rPr>
          <w:b/>
          <w:sz w:val="20"/>
        </w:rPr>
        <w:t>Barclays: </w:t>
      </w:r>
      <w:r>
        <w:rPr>
          <w:sz w:val="20"/>
        </w:rPr>
        <w:t>James Hassett</w:t>
      </w:r>
    </w:p>
    <w:p>
      <w:pPr>
        <w:spacing w:before="34"/>
        <w:ind w:left="1126" w:right="0" w:firstLine="0"/>
        <w:jc w:val="left"/>
        <w:rPr>
          <w:sz w:val="20"/>
        </w:rPr>
      </w:pPr>
      <w:r>
        <w:rPr>
          <w:b/>
          <w:sz w:val="20"/>
        </w:rPr>
        <w:t>BNP Paribas: </w:t>
      </w:r>
      <w:r>
        <w:rPr>
          <w:sz w:val="20"/>
        </w:rPr>
        <w:t>Adrian Boehler</w:t>
      </w:r>
    </w:p>
    <w:p>
      <w:pPr>
        <w:spacing w:before="35"/>
        <w:ind w:left="1126" w:right="0" w:firstLine="0"/>
        <w:jc w:val="left"/>
        <w:rPr>
          <w:sz w:val="20"/>
        </w:rPr>
      </w:pPr>
      <w:r>
        <w:rPr>
          <w:b/>
          <w:sz w:val="20"/>
        </w:rPr>
        <w:t>British Bankers’ Association: </w:t>
      </w:r>
      <w:r>
        <w:rPr>
          <w:sz w:val="20"/>
        </w:rPr>
        <w:t>Ronald Kent</w:t>
      </w:r>
    </w:p>
    <w:p>
      <w:pPr>
        <w:spacing w:before="34"/>
        <w:ind w:left="1126" w:right="0" w:firstLine="0"/>
        <w:jc w:val="left"/>
        <w:rPr>
          <w:sz w:val="20"/>
        </w:rPr>
      </w:pPr>
      <w:r>
        <w:rPr>
          <w:b/>
          <w:sz w:val="20"/>
        </w:rPr>
        <w:t>Citigroup: </w:t>
      </w:r>
      <w:r>
        <w:rPr>
          <w:sz w:val="20"/>
        </w:rPr>
        <w:t>James Bindler</w:t>
      </w:r>
    </w:p>
    <w:p>
      <w:pPr>
        <w:spacing w:line="276" w:lineRule="auto" w:before="35"/>
        <w:ind w:left="1126" w:right="4509" w:firstLine="0"/>
        <w:jc w:val="left"/>
        <w:rPr>
          <w:sz w:val="20"/>
        </w:rPr>
      </w:pPr>
      <w:r>
        <w:rPr>
          <w:b/>
          <w:sz w:val="20"/>
        </w:rPr>
        <w:t>CLS: </w:t>
      </w:r>
      <w:r>
        <w:rPr>
          <w:sz w:val="20"/>
        </w:rPr>
        <w:t>Gaynor Wood (Guest Representative) </w:t>
      </w:r>
      <w:r>
        <w:rPr>
          <w:b/>
          <w:sz w:val="20"/>
        </w:rPr>
        <w:t>Deutsche Bank: </w:t>
      </w:r>
      <w:r>
        <w:rPr>
          <w:sz w:val="20"/>
        </w:rPr>
        <w:t>Cameron McKay (Alternate) </w:t>
      </w:r>
      <w:r>
        <w:rPr>
          <w:b/>
          <w:sz w:val="20"/>
        </w:rPr>
        <w:t>FICC Markets Standards Board: </w:t>
      </w:r>
      <w:r>
        <w:rPr>
          <w:sz w:val="20"/>
        </w:rPr>
        <w:t>James Kemp </w:t>
      </w:r>
      <w:r>
        <w:rPr>
          <w:b/>
          <w:sz w:val="20"/>
        </w:rPr>
        <w:t>Financial Conduct Authority: </w:t>
      </w:r>
      <w:r>
        <w:rPr>
          <w:sz w:val="20"/>
        </w:rPr>
        <w:t>Jamie Black</w:t>
      </w:r>
    </w:p>
    <w:p>
      <w:pPr>
        <w:spacing w:line="229" w:lineRule="exact" w:before="0"/>
        <w:ind w:left="1126" w:right="0" w:firstLine="0"/>
        <w:jc w:val="left"/>
        <w:rPr>
          <w:sz w:val="20"/>
        </w:rPr>
      </w:pPr>
      <w:r>
        <w:rPr>
          <w:b/>
          <w:sz w:val="20"/>
        </w:rPr>
        <w:t>Goldman Sachs: </w:t>
      </w:r>
      <w:r>
        <w:rPr>
          <w:sz w:val="20"/>
        </w:rPr>
        <w:t>Dan Parker, Michael Weiss (Guest Representative)</w:t>
      </w:r>
    </w:p>
    <w:p>
      <w:pPr>
        <w:spacing w:before="35"/>
        <w:ind w:left="1126" w:right="0" w:firstLine="0"/>
        <w:jc w:val="left"/>
        <w:rPr>
          <w:sz w:val="20"/>
        </w:rPr>
      </w:pPr>
      <w:r>
        <w:rPr>
          <w:b/>
          <w:sz w:val="20"/>
        </w:rPr>
        <w:t>HSBC: </w:t>
      </w:r>
      <w:r>
        <w:rPr>
          <w:sz w:val="20"/>
        </w:rPr>
        <w:t>Frederic Boillereau</w:t>
      </w:r>
    </w:p>
    <w:p>
      <w:pPr>
        <w:spacing w:before="34"/>
        <w:ind w:left="1126" w:right="0" w:firstLine="0"/>
        <w:jc w:val="left"/>
        <w:rPr>
          <w:sz w:val="20"/>
        </w:rPr>
      </w:pPr>
      <w:r>
        <w:rPr>
          <w:b/>
          <w:sz w:val="20"/>
        </w:rPr>
        <w:t>Insight Investment: </w:t>
      </w:r>
      <w:r>
        <w:rPr>
          <w:sz w:val="20"/>
        </w:rPr>
        <w:t>Richard Purssell</w:t>
      </w:r>
    </w:p>
    <w:p>
      <w:pPr>
        <w:spacing w:before="34"/>
        <w:ind w:left="1126" w:right="0" w:firstLine="0"/>
        <w:jc w:val="left"/>
        <w:rPr>
          <w:sz w:val="20"/>
        </w:rPr>
      </w:pPr>
      <w:r>
        <w:rPr>
          <w:b/>
          <w:sz w:val="20"/>
        </w:rPr>
        <w:t>Legal &amp; General Investment Management: </w:t>
      </w:r>
      <w:r>
        <w:rPr>
          <w:sz w:val="20"/>
        </w:rPr>
        <w:t>Stephen Grady</w:t>
      </w:r>
    </w:p>
    <w:p>
      <w:pPr>
        <w:spacing w:before="36"/>
        <w:ind w:left="1126" w:right="0" w:firstLine="0"/>
        <w:jc w:val="left"/>
        <w:rPr>
          <w:sz w:val="20"/>
        </w:rPr>
      </w:pPr>
      <w:r>
        <w:rPr>
          <w:b/>
          <w:sz w:val="20"/>
        </w:rPr>
        <w:t>Millennium Global Investments: </w:t>
      </w:r>
      <w:r>
        <w:rPr>
          <w:sz w:val="20"/>
        </w:rPr>
        <w:t>Lisa Scott-Smith</w:t>
      </w:r>
    </w:p>
    <w:p>
      <w:pPr>
        <w:spacing w:line="276" w:lineRule="auto" w:before="34"/>
        <w:ind w:left="1126" w:right="5809" w:firstLine="0"/>
        <w:jc w:val="left"/>
        <w:rPr>
          <w:sz w:val="20"/>
        </w:rPr>
      </w:pPr>
      <w:r>
        <w:rPr>
          <w:b/>
          <w:sz w:val="20"/>
        </w:rPr>
        <w:t>Saxo Bank: </w:t>
      </w:r>
      <w:r>
        <w:rPr>
          <w:sz w:val="20"/>
        </w:rPr>
        <w:t>Kurt Vom Scheidt </w:t>
      </w:r>
      <w:r>
        <w:rPr>
          <w:b/>
          <w:sz w:val="20"/>
        </w:rPr>
        <w:t>Shell: </w:t>
      </w:r>
      <w:r>
        <w:rPr>
          <w:sz w:val="20"/>
        </w:rPr>
        <w:t>Frances Hinden </w:t>
      </w:r>
      <w:r>
        <w:rPr>
          <w:b/>
          <w:sz w:val="20"/>
        </w:rPr>
        <w:t>Thomson Reuters: </w:t>
      </w:r>
      <w:r>
        <w:rPr>
          <w:sz w:val="20"/>
        </w:rPr>
        <w:t>Neill Penney </w:t>
      </w:r>
      <w:r>
        <w:rPr>
          <w:b/>
          <w:sz w:val="20"/>
        </w:rPr>
        <w:t>Tullett Prebon: </w:t>
      </w:r>
      <w:r>
        <w:rPr>
          <w:sz w:val="20"/>
        </w:rPr>
        <w:t>James</w:t>
      </w:r>
      <w:r>
        <w:rPr>
          <w:spacing w:val="-7"/>
          <w:sz w:val="20"/>
        </w:rPr>
        <w:t> </w:t>
      </w:r>
      <w:r>
        <w:rPr>
          <w:sz w:val="20"/>
        </w:rPr>
        <w:t>Potter</w:t>
      </w:r>
    </w:p>
    <w:p>
      <w:pPr>
        <w:pStyle w:val="BodyText"/>
        <w:ind w:left="1126"/>
      </w:pPr>
      <w:r>
        <w:rPr>
          <w:b/>
        </w:rPr>
        <w:t>UBS: </w:t>
      </w:r>
      <w:r>
        <w:rPr/>
        <w:t>John Newman (Guest Representative), Chris Purves (Alternate)</w:t>
      </w:r>
    </w:p>
    <w:p>
      <w:pPr>
        <w:spacing w:before="34"/>
        <w:ind w:left="1126" w:right="0" w:firstLine="0"/>
        <w:jc w:val="left"/>
        <w:rPr>
          <w:sz w:val="20"/>
        </w:rPr>
      </w:pPr>
      <w:r>
        <w:rPr>
          <w:b/>
          <w:sz w:val="20"/>
        </w:rPr>
        <w:t>Wholesale Markets Brokers’ Association</w:t>
      </w:r>
      <w:r>
        <w:rPr>
          <w:sz w:val="20"/>
        </w:rPr>
        <w:t>: David Clark</w:t>
      </w:r>
    </w:p>
    <w:p>
      <w:pPr>
        <w:spacing w:before="35"/>
        <w:ind w:left="1126" w:right="0" w:firstLine="0"/>
        <w:jc w:val="left"/>
        <w:rPr>
          <w:sz w:val="20"/>
        </w:rPr>
      </w:pPr>
      <w:r>
        <w:rPr>
          <w:b/>
          <w:sz w:val="20"/>
        </w:rPr>
        <w:t>XTX Markets: </w:t>
      </w:r>
      <w:r>
        <w:rPr>
          <w:sz w:val="20"/>
        </w:rPr>
        <w:t>Zar Amrolia</w:t>
      </w:r>
    </w:p>
    <w:p>
      <w:pPr>
        <w:pStyle w:val="BodyText"/>
        <w:spacing w:line="276" w:lineRule="auto" w:before="34"/>
        <w:ind w:left="1126" w:right="107"/>
        <w:jc w:val="both"/>
      </w:pPr>
      <w:r>
        <w:rPr>
          <w:b/>
        </w:rPr>
        <w:t>Bank of England: </w:t>
      </w:r>
      <w:r>
        <w:rPr/>
        <w:t>Rebecca Jackson (Chair), Chris Salmon (first half of the meeting), Grigoria Christodoulou (Secretariat), Tom Lynch (Secretariat), Jan Lasik (Legal), Chris Cox, David Edmunds, James Manchester, James O’Connor</w:t>
      </w:r>
    </w:p>
    <w:p>
      <w:pPr>
        <w:pStyle w:val="BodyText"/>
        <w:rPr>
          <w:sz w:val="22"/>
        </w:rPr>
      </w:pPr>
    </w:p>
    <w:p>
      <w:pPr>
        <w:pStyle w:val="BodyText"/>
        <w:rPr>
          <w:sz w:val="21"/>
        </w:rPr>
      </w:pPr>
    </w:p>
    <w:p>
      <w:pPr>
        <w:spacing w:before="0"/>
        <w:ind w:left="131" w:right="0" w:firstLine="0"/>
        <w:jc w:val="left"/>
        <w:rPr>
          <w:sz w:val="20"/>
        </w:rPr>
      </w:pPr>
      <w:r>
        <w:rPr>
          <w:sz w:val="20"/>
        </w:rPr>
        <w:t>Apologies: </w:t>
      </w:r>
      <w:r>
        <w:rPr>
          <w:b/>
          <w:sz w:val="20"/>
        </w:rPr>
        <w:t>AXA Investment Managers: </w:t>
      </w:r>
      <w:r>
        <w:rPr>
          <w:sz w:val="20"/>
        </w:rPr>
        <w:t>Lee Sanders</w:t>
      </w:r>
    </w:p>
    <w:p>
      <w:pPr>
        <w:spacing w:before="35"/>
        <w:ind w:left="1126" w:right="0" w:firstLine="0"/>
        <w:jc w:val="left"/>
        <w:rPr>
          <w:sz w:val="20"/>
        </w:rPr>
      </w:pPr>
      <w:r>
        <w:rPr>
          <w:b/>
          <w:sz w:val="20"/>
        </w:rPr>
        <w:t>Bank of New York Mellon: </w:t>
      </w:r>
      <w:r>
        <w:rPr>
          <w:sz w:val="20"/>
        </w:rPr>
        <w:t>Richard Gill</w:t>
      </w:r>
    </w:p>
    <w:p>
      <w:pPr>
        <w:spacing w:before="34"/>
        <w:ind w:left="1126" w:right="0" w:firstLine="0"/>
        <w:jc w:val="left"/>
        <w:rPr>
          <w:sz w:val="20"/>
        </w:rPr>
      </w:pPr>
      <w:r>
        <w:rPr>
          <w:b/>
          <w:sz w:val="20"/>
        </w:rPr>
        <w:t>Bank of Tokyo-Mitsubishi UFJ: </w:t>
      </w:r>
      <w:r>
        <w:rPr>
          <w:sz w:val="20"/>
        </w:rPr>
        <w:t>Tetsuro Kono</w:t>
      </w:r>
    </w:p>
    <w:p>
      <w:pPr>
        <w:spacing w:before="34"/>
        <w:ind w:left="1126" w:right="0" w:firstLine="0"/>
        <w:jc w:val="both"/>
        <w:rPr>
          <w:sz w:val="20"/>
        </w:rPr>
      </w:pPr>
      <w:r>
        <w:rPr>
          <w:b/>
          <w:sz w:val="20"/>
        </w:rPr>
        <w:t>CLS: </w:t>
      </w:r>
      <w:r>
        <w:rPr>
          <w:sz w:val="20"/>
        </w:rPr>
        <w:t>David Puth</w:t>
      </w:r>
    </w:p>
    <w:p>
      <w:pPr>
        <w:spacing w:line="276" w:lineRule="auto" w:before="36"/>
        <w:ind w:left="1126" w:right="5788" w:firstLine="0"/>
        <w:jc w:val="left"/>
        <w:rPr>
          <w:sz w:val="20"/>
        </w:rPr>
      </w:pPr>
      <w:r>
        <w:rPr>
          <w:b/>
          <w:sz w:val="20"/>
        </w:rPr>
        <w:t>Deutsche Bank: </w:t>
      </w:r>
      <w:r>
        <w:rPr>
          <w:sz w:val="20"/>
        </w:rPr>
        <w:t>Russell Lascala </w:t>
      </w:r>
      <w:r>
        <w:rPr>
          <w:b/>
          <w:sz w:val="20"/>
        </w:rPr>
        <w:t>Goldman Sachs: </w:t>
      </w:r>
      <w:r>
        <w:rPr>
          <w:sz w:val="20"/>
        </w:rPr>
        <w:t>Kayhan Mirza </w:t>
      </w:r>
      <w:r>
        <w:rPr>
          <w:b/>
          <w:sz w:val="20"/>
        </w:rPr>
        <w:t>Rolls-Royce: </w:t>
      </w:r>
      <w:r>
        <w:rPr>
          <w:sz w:val="20"/>
        </w:rPr>
        <w:t>James Harvey</w:t>
      </w:r>
    </w:p>
    <w:p>
      <w:pPr>
        <w:spacing w:line="230" w:lineRule="exact" w:before="0"/>
        <w:ind w:left="1126" w:right="0" w:firstLine="0"/>
        <w:jc w:val="left"/>
        <w:rPr>
          <w:sz w:val="20"/>
        </w:rPr>
      </w:pPr>
      <w:r>
        <w:rPr>
          <w:b/>
          <w:sz w:val="20"/>
        </w:rPr>
        <w:t>Royal Bank of Canada: </w:t>
      </w:r>
      <w:r>
        <w:rPr>
          <w:sz w:val="20"/>
        </w:rPr>
        <w:t>Isabelle Dennigan (Chair Operations Sub-Committee)</w:t>
      </w:r>
    </w:p>
    <w:p>
      <w:pPr>
        <w:spacing w:before="34"/>
        <w:ind w:left="1126" w:right="0" w:firstLine="0"/>
        <w:jc w:val="left"/>
        <w:rPr>
          <w:sz w:val="20"/>
        </w:rPr>
      </w:pPr>
      <w:r>
        <w:rPr>
          <w:b/>
          <w:sz w:val="20"/>
        </w:rPr>
        <w:t>The Investment Association: </w:t>
      </w:r>
      <w:r>
        <w:rPr>
          <w:sz w:val="20"/>
        </w:rPr>
        <w:t>Galina Dimitrova</w:t>
      </w:r>
    </w:p>
    <w:p>
      <w:pPr>
        <w:pStyle w:val="BodyText"/>
        <w:spacing w:before="35"/>
        <w:ind w:left="1126"/>
      </w:pPr>
      <w:r>
        <w:rPr>
          <w:b/>
        </w:rPr>
        <w:t>UBS: </w:t>
      </w:r>
      <w:r>
        <w:rPr/>
        <w:t>George Athanasopoulos</w:t>
      </w:r>
    </w:p>
    <w:p>
      <w:pPr>
        <w:spacing w:before="34"/>
        <w:ind w:left="1126" w:right="0" w:firstLine="0"/>
        <w:jc w:val="left"/>
        <w:rPr>
          <w:sz w:val="20"/>
        </w:rPr>
      </w:pPr>
      <w:r>
        <w:rPr>
          <w:b/>
          <w:sz w:val="20"/>
        </w:rPr>
        <w:t>Bank of England: </w:t>
      </w:r>
      <w:r>
        <w:rPr>
          <w:sz w:val="20"/>
        </w:rPr>
        <w:t>Jonathan Grant (Legal)</w:t>
      </w:r>
    </w:p>
    <w:p>
      <w:pPr>
        <w:pStyle w:val="BodyText"/>
      </w:pPr>
    </w:p>
    <w:p>
      <w:pPr>
        <w:pStyle w:val="BodyText"/>
      </w:pPr>
    </w:p>
    <w:p>
      <w:pPr>
        <w:pStyle w:val="BodyText"/>
        <w:spacing w:before="7"/>
        <w:rPr>
          <w:sz w:val="25"/>
        </w:rPr>
      </w:pPr>
      <w:r>
        <w:rPr/>
        <w:pict>
          <v:shape style="position:absolute;margin-left:55.860001pt;margin-top:16.824121pt;width:482.85pt;height:.1pt;mso-position-horizontal-relative:page;mso-position-vertical-relative:paragraph;z-index:-251657216;mso-wrap-distance-left:0;mso-wrap-distance-right:0" coordorigin="1117,336" coordsize="9657,0" path="m1117,336l10774,336e" filled="false" stroked="true" strokeweight=".23999pt" strokecolor="#000000">
            <v:path arrowok="t"/>
            <v:stroke dashstyle="solid"/>
            <w10:wrap type="topAndBottom"/>
          </v:shape>
        </w:pict>
      </w:r>
    </w:p>
    <w:p>
      <w:pPr>
        <w:spacing w:after="0"/>
        <w:rPr>
          <w:sz w:val="25"/>
        </w:rPr>
        <w:sectPr>
          <w:type w:val="continuous"/>
          <w:pgSz w:w="11910" w:h="16840"/>
          <w:pgMar w:top="1600" w:bottom="280" w:left="1000" w:right="1020"/>
        </w:sectPr>
      </w:pPr>
    </w:p>
    <w:p>
      <w:pPr>
        <w:pStyle w:val="BodyText"/>
        <w:spacing w:line="20" w:lineRule="exact"/>
        <w:ind w:left="128"/>
        <w:rPr>
          <w:sz w:val="2"/>
        </w:rPr>
      </w:pPr>
      <w:r>
        <w:rPr>
          <w:sz w:val="2"/>
        </w:rPr>
        <w:pict>
          <v:group style="width:482.1pt;height:.25pt;mso-position-horizontal-relative:char;mso-position-vertical-relative:line" coordorigin="0,0" coordsize="9642,5">
            <v:line style="position:absolute" from="0,2" to="9642,2" stroked="true" strokeweight=".23999pt" strokecolor="#000000">
              <v:stroke dashstyle="solid"/>
            </v:line>
          </v:group>
        </w:pict>
      </w:r>
      <w:r>
        <w:rPr>
          <w:sz w:val="2"/>
        </w:rPr>
      </w:r>
    </w:p>
    <w:p>
      <w:pPr>
        <w:pStyle w:val="BodyText"/>
        <w:spacing w:before="10"/>
        <w:rPr>
          <w:sz w:val="9"/>
        </w:rPr>
      </w:pPr>
    </w:p>
    <w:p>
      <w:pPr>
        <w:spacing w:after="0"/>
        <w:rPr>
          <w:sz w:val="9"/>
        </w:rPr>
        <w:sectPr>
          <w:pgSz w:w="11910" w:h="16840"/>
          <w:pgMar w:top="1140" w:bottom="280" w:left="1000" w:right="1020"/>
        </w:sectPr>
      </w:pPr>
    </w:p>
    <w:p>
      <w:pPr>
        <w:pStyle w:val="Heading1"/>
        <w:spacing w:line="240" w:lineRule="auto" w:before="94"/>
        <w:ind w:left="239" w:right="22"/>
      </w:pPr>
      <w:r>
        <w:rPr/>
        <w:t>Minute no.</w:t>
      </w:r>
    </w:p>
    <w:p>
      <w:pPr>
        <w:tabs>
          <w:tab w:pos="7085" w:val="left" w:leader="none"/>
        </w:tabs>
        <w:spacing w:line="230" w:lineRule="exact" w:before="94"/>
        <w:ind w:left="0" w:right="295" w:firstLine="0"/>
        <w:jc w:val="right"/>
        <w:rPr>
          <w:b/>
          <w:sz w:val="20"/>
        </w:rPr>
      </w:pPr>
      <w:r>
        <w:rPr/>
        <w:br w:type="column"/>
      </w:r>
      <w:r>
        <w:rPr>
          <w:b/>
          <w:sz w:val="20"/>
        </w:rPr>
        <w:t>Minute</w:t>
        <w:tab/>
        <w:t>Action</w:t>
      </w:r>
      <w:r>
        <w:rPr>
          <w:b/>
          <w:spacing w:val="-8"/>
          <w:sz w:val="20"/>
        </w:rPr>
        <w:t> </w:t>
      </w:r>
      <w:r>
        <w:rPr>
          <w:b/>
          <w:sz w:val="20"/>
        </w:rPr>
        <w:t>owner</w:t>
      </w:r>
    </w:p>
    <w:p>
      <w:pPr>
        <w:spacing w:line="230" w:lineRule="exact" w:before="0"/>
        <w:ind w:left="0" w:right="328" w:firstLine="0"/>
        <w:jc w:val="right"/>
        <w:rPr>
          <w:b/>
          <w:sz w:val="20"/>
        </w:rPr>
      </w:pPr>
      <w:r>
        <w:rPr>
          <w:b/>
          <w:sz w:val="20"/>
        </w:rPr>
        <w:t>and due</w:t>
      </w:r>
      <w:r>
        <w:rPr>
          <w:b/>
          <w:spacing w:val="-9"/>
          <w:sz w:val="20"/>
        </w:rPr>
        <w:t> </w:t>
      </w:r>
      <w:r>
        <w:rPr>
          <w:b/>
          <w:sz w:val="20"/>
        </w:rPr>
        <w:t>date</w:t>
      </w:r>
    </w:p>
    <w:p>
      <w:pPr>
        <w:spacing w:after="0" w:line="230" w:lineRule="exact"/>
        <w:jc w:val="right"/>
        <w:rPr>
          <w:sz w:val="20"/>
        </w:rPr>
        <w:sectPr>
          <w:type w:val="continuous"/>
          <w:pgSz w:w="11910" w:h="16840"/>
          <w:pgMar w:top="1600" w:bottom="280" w:left="1000" w:right="1020"/>
          <w:cols w:num="2" w:equalWidth="0">
            <w:col w:w="926" w:space="69"/>
            <w:col w:w="8895"/>
          </w:cols>
        </w:sectPr>
      </w:pPr>
    </w:p>
    <w:p>
      <w:pPr>
        <w:pStyle w:val="BodyText"/>
        <w:spacing w:before="6"/>
        <w:rPr>
          <w:b/>
          <w:sz w:val="12"/>
        </w:rPr>
      </w:pPr>
    </w:p>
    <w:p>
      <w:pPr>
        <w:pStyle w:val="ListParagraph"/>
        <w:numPr>
          <w:ilvl w:val="0"/>
          <w:numId w:val="1"/>
        </w:numPr>
        <w:tabs>
          <w:tab w:pos="1234" w:val="left" w:leader="none"/>
          <w:tab w:pos="1235" w:val="left" w:leader="none"/>
        </w:tabs>
        <w:spacing w:line="230" w:lineRule="exact" w:before="95" w:after="0"/>
        <w:ind w:left="1234" w:right="0" w:hanging="996"/>
        <w:jc w:val="both"/>
        <w:rPr>
          <w:b/>
          <w:sz w:val="20"/>
        </w:rPr>
      </w:pPr>
      <w:r>
        <w:rPr>
          <w:b/>
          <w:sz w:val="20"/>
        </w:rPr>
        <w:t>Welcome</w:t>
      </w:r>
    </w:p>
    <w:p>
      <w:pPr>
        <w:pStyle w:val="BodyText"/>
        <w:ind w:left="1234" w:right="1775"/>
        <w:jc w:val="both"/>
      </w:pPr>
      <w:r>
        <w:rPr/>
        <w:t>The Chair welcomed all attendees and thanked them for their ongoing commitment and contribution to the development of the FX Global Code (the ‘Code’). The Chair noted that this was an additional FXJSC meeting convened to focus solely on the</w:t>
      </w:r>
      <w:r>
        <w:rPr>
          <w:spacing w:val="-8"/>
        </w:rPr>
        <w:t> </w:t>
      </w:r>
      <w:r>
        <w:rPr/>
        <w:t>FXJSC</w:t>
      </w:r>
    </w:p>
    <w:p>
      <w:pPr>
        <w:pStyle w:val="BodyText"/>
        <w:spacing w:before="9"/>
      </w:pPr>
    </w:p>
    <w:p>
      <w:pPr>
        <w:pStyle w:val="BodyText"/>
        <w:ind w:left="1234" w:right="1777"/>
        <w:jc w:val="both"/>
      </w:pPr>
      <w:r>
        <w:rPr/>
        <w:t>fatal flaw comments on the draft Code, and as such nominated alternates  and guest representatives had been allowed to attend where the main Committee member was unable to do</w:t>
      </w:r>
      <w:r>
        <w:rPr>
          <w:spacing w:val="-7"/>
        </w:rPr>
        <w:t> </w:t>
      </w:r>
      <w:r>
        <w:rPr/>
        <w:t>so.</w:t>
      </w:r>
    </w:p>
    <w:p>
      <w:pPr>
        <w:pStyle w:val="BodyText"/>
        <w:spacing w:before="10"/>
      </w:pPr>
    </w:p>
    <w:p>
      <w:pPr>
        <w:pStyle w:val="BodyText"/>
        <w:ind w:left="1234" w:right="1776"/>
        <w:jc w:val="both"/>
      </w:pPr>
      <w:r>
        <w:rPr/>
        <w:t>The Chair explained that the minutes of the most recent full FXJSC meeting held on 19th December would be signed off at the next FXJSC meeting on 13th March and published on the Bank of England website shortly thereafter.</w:t>
      </w:r>
    </w:p>
    <w:p>
      <w:pPr>
        <w:pStyle w:val="BodyText"/>
        <w:spacing w:before="10"/>
      </w:pPr>
    </w:p>
    <w:p>
      <w:pPr>
        <w:pStyle w:val="BodyText"/>
        <w:spacing w:before="1"/>
        <w:ind w:left="1234" w:right="1776"/>
        <w:jc w:val="both"/>
      </w:pPr>
      <w:r>
        <w:rPr/>
        <w:t>The Chair informed attendees that Chris Allen (Barclays) had stepped down from the Legal Sub-Committee and welcomed Dan Parker (Goldman Sachs) as the new chair of the Legal Sub-Committee. The Chair also welcomed the guest representatives and those attending their first meeting.</w:t>
      </w:r>
    </w:p>
    <w:p>
      <w:pPr>
        <w:pStyle w:val="BodyText"/>
        <w:spacing w:before="11"/>
      </w:pPr>
    </w:p>
    <w:p>
      <w:pPr>
        <w:pStyle w:val="Heading1"/>
        <w:numPr>
          <w:ilvl w:val="0"/>
          <w:numId w:val="1"/>
        </w:numPr>
        <w:tabs>
          <w:tab w:pos="1234" w:val="left" w:leader="none"/>
          <w:tab w:pos="1235" w:val="left" w:leader="none"/>
        </w:tabs>
        <w:spacing w:line="230" w:lineRule="exact" w:before="0" w:after="0"/>
        <w:ind w:left="1234" w:right="0" w:hanging="996"/>
        <w:jc w:val="both"/>
      </w:pPr>
      <w:r>
        <w:rPr/>
        <w:t>FX Global</w:t>
      </w:r>
      <w:r>
        <w:rPr>
          <w:spacing w:val="-3"/>
        </w:rPr>
        <w:t> </w:t>
      </w:r>
      <w:r>
        <w:rPr/>
        <w:t>Code</w:t>
      </w:r>
    </w:p>
    <w:p>
      <w:pPr>
        <w:pStyle w:val="BodyText"/>
        <w:ind w:left="1234" w:right="1776"/>
        <w:jc w:val="both"/>
      </w:pPr>
      <w:r>
        <w:rPr/>
        <w:t>The Chair reminded attendees that the aim of the meeting was to approve  the feedback the FXJSC would submit to the BIS FX Working Group (FXWG) on the draft Code text that was circulated in early</w:t>
      </w:r>
      <w:r>
        <w:rPr>
          <w:spacing w:val="-15"/>
        </w:rPr>
        <w:t> </w:t>
      </w:r>
      <w:r>
        <w:rPr/>
        <w:t>February.</w:t>
      </w:r>
    </w:p>
    <w:p>
      <w:pPr>
        <w:pStyle w:val="BodyText"/>
        <w:spacing w:before="8"/>
      </w:pPr>
    </w:p>
    <w:p>
      <w:pPr>
        <w:pStyle w:val="BodyText"/>
        <w:spacing w:before="1"/>
        <w:ind w:left="1234" w:right="1776"/>
        <w:jc w:val="both"/>
      </w:pPr>
      <w:r>
        <w:rPr/>
        <w:t>The Chair invited representatives from each of the four working groups to provide</w:t>
      </w:r>
    </w:p>
    <w:p>
      <w:pPr>
        <w:pStyle w:val="BodyText"/>
        <w:spacing w:before="10"/>
      </w:pPr>
    </w:p>
    <w:p>
      <w:pPr>
        <w:pStyle w:val="BodyText"/>
        <w:spacing w:before="1"/>
        <w:ind w:left="1234" w:right="1775"/>
        <w:jc w:val="both"/>
      </w:pPr>
      <w:r>
        <w:rPr/>
        <w:t>their group’s fatal flaw comments and points for discussion. The working groups covered: Execution (James Hassett, Barclays and Zar Amrolia, XTX Markets); a Whole Code review (Dan Parker, Goldman Sachs); Governance (Frances Hinden, Shell) and; Risk Management and Compliance (Sarah Boyce, Association of Corporate Treasurers). Attendees discussed and agreed fatal flaw comments for the FXJSC response, which the Bank would submit to the FXWG on their behalf.</w:t>
      </w:r>
    </w:p>
    <w:p>
      <w:pPr>
        <w:pStyle w:val="BodyText"/>
        <w:spacing w:before="9"/>
      </w:pPr>
    </w:p>
    <w:p>
      <w:pPr>
        <w:pStyle w:val="BodyText"/>
        <w:ind w:left="1234" w:right="1777"/>
        <w:jc w:val="both"/>
      </w:pPr>
      <w:r>
        <w:rPr/>
        <w:t>The Chair updated attendees on the upcoming milestones noting the fatal flaw window would close on 14 February. The next FXWG meeting was scheduled to take place on 23</w:t>
      </w:r>
      <w:r>
        <w:rPr>
          <w:spacing w:val="-8"/>
        </w:rPr>
        <w:t> </w:t>
      </w:r>
      <w:r>
        <w:rPr/>
        <w:t>February.</w:t>
      </w:r>
    </w:p>
    <w:p>
      <w:pPr>
        <w:pStyle w:val="BodyText"/>
        <w:spacing w:before="11"/>
      </w:pPr>
    </w:p>
    <w:p>
      <w:pPr>
        <w:pStyle w:val="Heading1"/>
        <w:numPr>
          <w:ilvl w:val="0"/>
          <w:numId w:val="1"/>
        </w:numPr>
        <w:tabs>
          <w:tab w:pos="1234" w:val="left" w:leader="none"/>
          <w:tab w:pos="1235" w:val="left" w:leader="none"/>
        </w:tabs>
        <w:spacing w:line="240" w:lineRule="auto" w:before="0" w:after="0"/>
        <w:ind w:left="1234" w:right="2259" w:hanging="995"/>
        <w:jc w:val="left"/>
      </w:pPr>
      <w:r>
        <w:rPr/>
        <w:t>The next meeting of the FXJSC will be held on 13 March 2017 at the Bank of</w:t>
      </w:r>
      <w:r>
        <w:rPr>
          <w:spacing w:val="-2"/>
        </w:rPr>
        <w:t> </w:t>
      </w:r>
      <w:r>
        <w:rPr/>
        <w:t>England.</w:t>
      </w:r>
    </w:p>
    <w:sectPr>
      <w:type w:val="continuous"/>
      <w:pgSz w:w="11910" w:h="16840"/>
      <w:pgMar w:top="1600" w:bottom="28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34" w:hanging="995"/>
        <w:jc w:val="left"/>
      </w:pPr>
      <w:rPr>
        <w:rFonts w:hint="default" w:ascii="Arial" w:hAnsi="Arial" w:eastAsia="Arial" w:cs="Arial"/>
        <w:spacing w:val="-1"/>
        <w:w w:val="100"/>
        <w:sz w:val="20"/>
        <w:szCs w:val="20"/>
      </w:rPr>
    </w:lvl>
    <w:lvl w:ilvl="1">
      <w:start w:val="0"/>
      <w:numFmt w:val="bullet"/>
      <w:lvlText w:val="•"/>
      <w:lvlJc w:val="left"/>
      <w:pPr>
        <w:ind w:left="2104" w:hanging="995"/>
      </w:pPr>
      <w:rPr>
        <w:rFonts w:hint="default"/>
      </w:rPr>
    </w:lvl>
    <w:lvl w:ilvl="2">
      <w:start w:val="0"/>
      <w:numFmt w:val="bullet"/>
      <w:lvlText w:val="•"/>
      <w:lvlJc w:val="left"/>
      <w:pPr>
        <w:ind w:left="2968" w:hanging="995"/>
      </w:pPr>
      <w:rPr>
        <w:rFonts w:hint="default"/>
      </w:rPr>
    </w:lvl>
    <w:lvl w:ilvl="3">
      <w:start w:val="0"/>
      <w:numFmt w:val="bullet"/>
      <w:lvlText w:val="•"/>
      <w:lvlJc w:val="left"/>
      <w:pPr>
        <w:ind w:left="3833" w:hanging="995"/>
      </w:pPr>
      <w:rPr>
        <w:rFonts w:hint="default"/>
      </w:rPr>
    </w:lvl>
    <w:lvl w:ilvl="4">
      <w:start w:val="0"/>
      <w:numFmt w:val="bullet"/>
      <w:lvlText w:val="•"/>
      <w:lvlJc w:val="left"/>
      <w:pPr>
        <w:ind w:left="4697" w:hanging="995"/>
      </w:pPr>
      <w:rPr>
        <w:rFonts w:hint="default"/>
      </w:rPr>
    </w:lvl>
    <w:lvl w:ilvl="5">
      <w:start w:val="0"/>
      <w:numFmt w:val="bullet"/>
      <w:lvlText w:val="•"/>
      <w:lvlJc w:val="left"/>
      <w:pPr>
        <w:ind w:left="5562" w:hanging="995"/>
      </w:pPr>
      <w:rPr>
        <w:rFonts w:hint="default"/>
      </w:rPr>
    </w:lvl>
    <w:lvl w:ilvl="6">
      <w:start w:val="0"/>
      <w:numFmt w:val="bullet"/>
      <w:lvlText w:val="•"/>
      <w:lvlJc w:val="left"/>
      <w:pPr>
        <w:ind w:left="6426" w:hanging="995"/>
      </w:pPr>
      <w:rPr>
        <w:rFonts w:hint="default"/>
      </w:rPr>
    </w:lvl>
    <w:lvl w:ilvl="7">
      <w:start w:val="0"/>
      <w:numFmt w:val="bullet"/>
      <w:lvlText w:val="•"/>
      <w:lvlJc w:val="left"/>
      <w:pPr>
        <w:ind w:left="7291" w:hanging="995"/>
      </w:pPr>
      <w:rPr>
        <w:rFonts w:hint="default"/>
      </w:rPr>
    </w:lvl>
    <w:lvl w:ilvl="8">
      <w:start w:val="0"/>
      <w:numFmt w:val="bullet"/>
      <w:lvlText w:val="•"/>
      <w:lvlJc w:val="left"/>
      <w:pPr>
        <w:ind w:left="8155" w:hanging="99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30" w:lineRule="exact"/>
      <w:ind w:left="1234"/>
      <w:outlineLvl w:val="1"/>
    </w:pPr>
    <w:rPr>
      <w:rFonts w:ascii="Arial" w:hAnsi="Arial" w:eastAsia="Arial" w:cs="Arial"/>
      <w:b/>
      <w:bCs/>
      <w:sz w:val="20"/>
      <w:szCs w:val="20"/>
    </w:rPr>
  </w:style>
  <w:style w:styleId="ListParagraph" w:type="paragraph">
    <w:name w:val="List Paragraph"/>
    <w:basedOn w:val="Normal"/>
    <w:uiPriority w:val="1"/>
    <w:qFormat/>
    <w:pPr>
      <w:spacing w:line="230" w:lineRule="exact"/>
      <w:ind w:left="1234" w:hanging="996"/>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London FXJSC meeting minutes - February 2017</dc:subject>
  <dc:title>London FXJSC meeting minutes - February 2017</dc:title>
  <dcterms:created xsi:type="dcterms:W3CDTF">2020-06-01T02:01:01Z</dcterms:created>
  <dcterms:modified xsi:type="dcterms:W3CDTF">2020-06-01T02:01:01Z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2017-03-13T00:00:00Z</vt:filetime>
  </property>
  <property fmtid="{D5CDD505-2E9C-101B-9397-08002B2CF9AE}" pid="3" name="Creator">
    <vt:lpwstr>PScript5.dll Version 5.2.2</vt:lpwstr>
  </property>
  <property fmtid="{D5CDD505-2E9C-101B-9397-08002B2CF9AE}" pid="4" name="LastSaved">
    <vt:filetime>2020-06-01T00:00:00Z</vt:filetime>
  </property>
</Properties>
</file>