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right="1351"/>
        <w:jc w:val="center"/>
      </w:pPr>
      <w:r>
        <w:rPr>
          <w:w w:val="105"/>
        </w:rPr>
        <w:t>FOREIGN EXCHANGE JOINT STANDING COMMITTEE</w:t>
      </w:r>
    </w:p>
    <w:p>
      <w:pPr>
        <w:pStyle w:val="BodyText"/>
        <w:spacing w:before="2"/>
        <w:rPr>
          <w:b/>
          <w:sz w:val="23"/>
        </w:rPr>
      </w:pPr>
    </w:p>
    <w:p>
      <w:pPr>
        <w:spacing w:before="0"/>
        <w:ind w:left="1351" w:right="1351" w:firstLine="0"/>
        <w:jc w:val="center"/>
        <w:rPr>
          <w:b/>
          <w:sz w:val="22"/>
        </w:rPr>
      </w:pPr>
      <w:r>
        <w:rPr>
          <w:b/>
          <w:w w:val="105"/>
          <w:sz w:val="22"/>
        </w:rPr>
        <w:t>Tuesday 27 January 2015</w:t>
      </w:r>
    </w:p>
    <w:p>
      <w:pPr>
        <w:pStyle w:val="BodyText"/>
        <w:spacing w:before="1"/>
        <w:rPr>
          <w:b/>
          <w:sz w:val="23"/>
        </w:rPr>
      </w:pPr>
    </w:p>
    <w:p>
      <w:pPr>
        <w:pStyle w:val="BodyText"/>
        <w:ind w:left="1351" w:right="1350"/>
        <w:jc w:val="center"/>
      </w:pPr>
      <w:r>
        <w:rPr>
          <w:w w:val="105"/>
        </w:rPr>
        <w:t>HSBC, 8 Canada Square, Canary Wharf, London, E14 5HQ</w:t>
      </w:r>
    </w:p>
    <w:p>
      <w:pPr>
        <w:pStyle w:val="BodyText"/>
        <w:spacing w:before="2"/>
        <w:rPr>
          <w:sz w:val="23"/>
        </w:rPr>
      </w:pPr>
    </w:p>
    <w:p>
      <w:pPr>
        <w:spacing w:before="0"/>
        <w:ind w:left="1351" w:right="1351" w:firstLine="0"/>
        <w:jc w:val="center"/>
        <w:rPr>
          <w:b/>
          <w:sz w:val="22"/>
        </w:rPr>
      </w:pPr>
      <w:r>
        <w:rPr>
          <w:b/>
          <w:w w:val="105"/>
          <w:sz w:val="22"/>
          <w:u w:val="thick"/>
        </w:rPr>
        <w:t>MINUTES</w:t>
      </w:r>
    </w:p>
    <w:p>
      <w:pPr>
        <w:pStyle w:val="BodyText"/>
        <w:rPr>
          <w:b/>
          <w:sz w:val="20"/>
        </w:rPr>
      </w:pPr>
    </w:p>
    <w:p>
      <w:pPr>
        <w:pStyle w:val="BodyText"/>
        <w:spacing w:before="5"/>
        <w:rPr>
          <w:b/>
          <w:sz w:val="17"/>
        </w:rPr>
      </w:pPr>
    </w:p>
    <w:p>
      <w:pPr>
        <w:spacing w:before="98"/>
        <w:ind w:left="492" w:right="0" w:firstLine="0"/>
        <w:jc w:val="left"/>
        <w:rPr>
          <w:b/>
          <w:sz w:val="20"/>
        </w:rPr>
      </w:pPr>
      <w:r>
        <w:rPr>
          <w:b/>
          <w:w w:val="105"/>
          <w:sz w:val="20"/>
        </w:rPr>
        <w:t>In Attendance</w:t>
      </w:r>
    </w:p>
    <w:p>
      <w:pPr>
        <w:pStyle w:val="BodyText"/>
        <w:rPr>
          <w:b/>
          <w:sz w:val="21"/>
        </w:rPr>
      </w:pPr>
    </w:p>
    <w:tbl>
      <w:tblPr>
        <w:tblW w:w="0" w:type="auto"/>
        <w:jc w:val="left"/>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0"/>
        <w:gridCol w:w="4535"/>
      </w:tblGrid>
      <w:tr>
        <w:trPr>
          <w:trHeight w:val="311" w:hRule="atLeast"/>
        </w:trPr>
        <w:tc>
          <w:tcPr>
            <w:tcW w:w="2770" w:type="dxa"/>
          </w:tcPr>
          <w:p>
            <w:pPr>
              <w:pStyle w:val="TableParagraph"/>
              <w:spacing w:before="44"/>
              <w:rPr>
                <w:b/>
                <w:i/>
                <w:sz w:val="20"/>
              </w:rPr>
            </w:pPr>
            <w:r>
              <w:rPr>
                <w:b/>
                <w:i/>
                <w:w w:val="105"/>
                <w:sz w:val="20"/>
              </w:rPr>
              <w:t>Michael Cross</w:t>
            </w:r>
          </w:p>
        </w:tc>
        <w:tc>
          <w:tcPr>
            <w:tcW w:w="4535" w:type="dxa"/>
          </w:tcPr>
          <w:p>
            <w:pPr>
              <w:pStyle w:val="TableParagraph"/>
              <w:spacing w:before="44"/>
              <w:ind w:left="98"/>
              <w:rPr>
                <w:b/>
                <w:i/>
                <w:sz w:val="20"/>
              </w:rPr>
            </w:pPr>
            <w:r>
              <w:rPr>
                <w:b/>
                <w:i/>
                <w:w w:val="105"/>
                <w:sz w:val="20"/>
              </w:rPr>
              <w:t>Bank of England</w:t>
            </w:r>
          </w:p>
        </w:tc>
      </w:tr>
      <w:tr>
        <w:trPr>
          <w:trHeight w:val="312" w:hRule="atLeast"/>
        </w:trPr>
        <w:tc>
          <w:tcPr>
            <w:tcW w:w="2770" w:type="dxa"/>
          </w:tcPr>
          <w:p>
            <w:pPr>
              <w:pStyle w:val="TableParagraph"/>
              <w:spacing w:before="45"/>
              <w:rPr>
                <w:b/>
                <w:i/>
                <w:sz w:val="20"/>
              </w:rPr>
            </w:pPr>
            <w:r>
              <w:rPr>
                <w:b/>
                <w:i/>
                <w:w w:val="105"/>
                <w:sz w:val="20"/>
              </w:rPr>
              <w:t>Robert Spillett</w:t>
            </w:r>
          </w:p>
        </w:tc>
        <w:tc>
          <w:tcPr>
            <w:tcW w:w="4535" w:type="dxa"/>
          </w:tcPr>
          <w:p>
            <w:pPr>
              <w:pStyle w:val="TableParagraph"/>
              <w:spacing w:before="45"/>
              <w:ind w:left="98"/>
              <w:rPr>
                <w:b/>
                <w:i/>
                <w:sz w:val="20"/>
              </w:rPr>
            </w:pPr>
            <w:r>
              <w:rPr>
                <w:b/>
                <w:i/>
                <w:w w:val="105"/>
                <w:sz w:val="20"/>
              </w:rPr>
              <w:t>Bank of England</w:t>
            </w:r>
          </w:p>
        </w:tc>
      </w:tr>
      <w:tr>
        <w:trPr>
          <w:trHeight w:val="312" w:hRule="atLeast"/>
        </w:trPr>
        <w:tc>
          <w:tcPr>
            <w:tcW w:w="2770" w:type="dxa"/>
          </w:tcPr>
          <w:p>
            <w:pPr>
              <w:pStyle w:val="TableParagraph"/>
              <w:spacing w:before="44"/>
              <w:rPr>
                <w:b/>
                <w:i/>
                <w:sz w:val="20"/>
              </w:rPr>
            </w:pPr>
            <w:r>
              <w:rPr>
                <w:b/>
                <w:i/>
                <w:w w:val="105"/>
                <w:sz w:val="20"/>
              </w:rPr>
              <w:t>Jo West</w:t>
            </w:r>
          </w:p>
        </w:tc>
        <w:tc>
          <w:tcPr>
            <w:tcW w:w="4535" w:type="dxa"/>
          </w:tcPr>
          <w:p>
            <w:pPr>
              <w:pStyle w:val="TableParagraph"/>
              <w:spacing w:before="44"/>
              <w:ind w:left="98"/>
              <w:rPr>
                <w:b/>
                <w:i/>
                <w:sz w:val="20"/>
              </w:rPr>
            </w:pPr>
            <w:r>
              <w:rPr>
                <w:b/>
                <w:i/>
                <w:w w:val="105"/>
                <w:sz w:val="20"/>
              </w:rPr>
              <w:t>Bank of England</w:t>
            </w:r>
          </w:p>
        </w:tc>
      </w:tr>
      <w:tr>
        <w:trPr>
          <w:trHeight w:val="312" w:hRule="atLeast"/>
        </w:trPr>
        <w:tc>
          <w:tcPr>
            <w:tcW w:w="2770" w:type="dxa"/>
          </w:tcPr>
          <w:p>
            <w:pPr>
              <w:pStyle w:val="TableParagraph"/>
              <w:spacing w:before="44"/>
              <w:rPr>
                <w:b/>
                <w:i/>
                <w:sz w:val="20"/>
              </w:rPr>
            </w:pPr>
            <w:r>
              <w:rPr>
                <w:b/>
                <w:i/>
                <w:w w:val="105"/>
                <w:sz w:val="20"/>
              </w:rPr>
              <w:t>Jacqueline Joyston-Bechal</w:t>
            </w:r>
          </w:p>
        </w:tc>
        <w:tc>
          <w:tcPr>
            <w:tcW w:w="4535" w:type="dxa"/>
          </w:tcPr>
          <w:p>
            <w:pPr>
              <w:pStyle w:val="TableParagraph"/>
              <w:spacing w:before="44"/>
              <w:ind w:left="98"/>
              <w:rPr>
                <w:b/>
                <w:i/>
                <w:sz w:val="20"/>
              </w:rPr>
            </w:pPr>
            <w:r>
              <w:rPr>
                <w:b/>
                <w:i/>
                <w:w w:val="105"/>
                <w:sz w:val="20"/>
              </w:rPr>
              <w:t>Bank of England</w:t>
            </w:r>
          </w:p>
        </w:tc>
      </w:tr>
      <w:tr>
        <w:trPr>
          <w:trHeight w:val="313" w:hRule="atLeast"/>
        </w:trPr>
        <w:tc>
          <w:tcPr>
            <w:tcW w:w="2770" w:type="dxa"/>
          </w:tcPr>
          <w:p>
            <w:pPr>
              <w:pStyle w:val="TableParagraph"/>
              <w:rPr>
                <w:sz w:val="20"/>
              </w:rPr>
            </w:pPr>
            <w:r>
              <w:rPr>
                <w:w w:val="105"/>
                <w:sz w:val="20"/>
              </w:rPr>
              <w:t>Frederic Boillereau</w:t>
            </w:r>
          </w:p>
        </w:tc>
        <w:tc>
          <w:tcPr>
            <w:tcW w:w="4535" w:type="dxa"/>
          </w:tcPr>
          <w:p>
            <w:pPr>
              <w:pStyle w:val="TableParagraph"/>
              <w:ind w:left="97"/>
              <w:rPr>
                <w:sz w:val="20"/>
              </w:rPr>
            </w:pPr>
            <w:r>
              <w:rPr>
                <w:w w:val="105"/>
                <w:sz w:val="20"/>
              </w:rPr>
              <w:t>HSBC Group (Host)</w:t>
            </w:r>
          </w:p>
        </w:tc>
      </w:tr>
      <w:tr>
        <w:trPr>
          <w:trHeight w:val="311" w:hRule="atLeast"/>
        </w:trPr>
        <w:tc>
          <w:tcPr>
            <w:tcW w:w="2770" w:type="dxa"/>
          </w:tcPr>
          <w:p>
            <w:pPr>
              <w:pStyle w:val="TableParagraph"/>
              <w:spacing w:before="42"/>
              <w:rPr>
                <w:sz w:val="20"/>
              </w:rPr>
            </w:pPr>
            <w:r>
              <w:rPr>
                <w:w w:val="105"/>
                <w:sz w:val="20"/>
              </w:rPr>
              <w:t>Brian Welch</w:t>
            </w:r>
          </w:p>
        </w:tc>
        <w:tc>
          <w:tcPr>
            <w:tcW w:w="4535" w:type="dxa"/>
          </w:tcPr>
          <w:p>
            <w:pPr>
              <w:pStyle w:val="TableParagraph"/>
              <w:spacing w:before="42"/>
              <w:ind w:left="99"/>
              <w:rPr>
                <w:sz w:val="20"/>
              </w:rPr>
            </w:pPr>
            <w:r>
              <w:rPr>
                <w:w w:val="105"/>
                <w:sz w:val="20"/>
              </w:rPr>
              <w:t>Association of Corp Treasurers</w:t>
            </w:r>
          </w:p>
        </w:tc>
      </w:tr>
      <w:tr>
        <w:trPr>
          <w:trHeight w:val="312" w:hRule="atLeast"/>
        </w:trPr>
        <w:tc>
          <w:tcPr>
            <w:tcW w:w="2770" w:type="dxa"/>
          </w:tcPr>
          <w:p>
            <w:pPr>
              <w:pStyle w:val="TableParagraph"/>
              <w:spacing w:before="44"/>
              <w:rPr>
                <w:sz w:val="20"/>
              </w:rPr>
            </w:pPr>
            <w:r>
              <w:rPr>
                <w:w w:val="105"/>
                <w:sz w:val="20"/>
              </w:rPr>
              <w:t>Christopher Bae</w:t>
            </w:r>
          </w:p>
        </w:tc>
        <w:tc>
          <w:tcPr>
            <w:tcW w:w="4535" w:type="dxa"/>
          </w:tcPr>
          <w:p>
            <w:pPr>
              <w:pStyle w:val="TableParagraph"/>
              <w:spacing w:before="44"/>
              <w:rPr>
                <w:sz w:val="20"/>
              </w:rPr>
            </w:pPr>
            <w:r>
              <w:rPr>
                <w:w w:val="105"/>
                <w:sz w:val="20"/>
              </w:rPr>
              <w:t>BAML</w:t>
            </w:r>
          </w:p>
        </w:tc>
      </w:tr>
      <w:tr>
        <w:trPr>
          <w:trHeight w:val="312" w:hRule="atLeast"/>
        </w:trPr>
        <w:tc>
          <w:tcPr>
            <w:tcW w:w="2770" w:type="dxa"/>
          </w:tcPr>
          <w:p>
            <w:pPr>
              <w:pStyle w:val="TableParagraph"/>
              <w:spacing w:before="44"/>
              <w:rPr>
                <w:sz w:val="20"/>
              </w:rPr>
            </w:pPr>
            <w:r>
              <w:rPr>
                <w:w w:val="105"/>
                <w:sz w:val="20"/>
              </w:rPr>
              <w:t>Rob Loewy</w:t>
            </w:r>
          </w:p>
        </w:tc>
        <w:tc>
          <w:tcPr>
            <w:tcW w:w="4535" w:type="dxa"/>
          </w:tcPr>
          <w:p>
            <w:pPr>
              <w:pStyle w:val="TableParagraph"/>
              <w:spacing w:before="44"/>
              <w:ind w:left="99"/>
              <w:rPr>
                <w:sz w:val="20"/>
              </w:rPr>
            </w:pPr>
            <w:r>
              <w:rPr>
                <w:w w:val="105"/>
                <w:sz w:val="20"/>
              </w:rPr>
              <w:t>Bank of China</w:t>
            </w:r>
          </w:p>
        </w:tc>
      </w:tr>
      <w:tr>
        <w:trPr>
          <w:trHeight w:val="312" w:hRule="atLeast"/>
        </w:trPr>
        <w:tc>
          <w:tcPr>
            <w:tcW w:w="2770" w:type="dxa"/>
          </w:tcPr>
          <w:p>
            <w:pPr>
              <w:pStyle w:val="TableParagraph"/>
              <w:rPr>
                <w:sz w:val="20"/>
              </w:rPr>
            </w:pPr>
            <w:r>
              <w:rPr>
                <w:w w:val="105"/>
                <w:sz w:val="20"/>
              </w:rPr>
              <w:t>Richard Gill</w:t>
            </w:r>
          </w:p>
        </w:tc>
        <w:tc>
          <w:tcPr>
            <w:tcW w:w="4535" w:type="dxa"/>
          </w:tcPr>
          <w:p>
            <w:pPr>
              <w:pStyle w:val="TableParagraph"/>
              <w:ind w:left="99"/>
              <w:rPr>
                <w:sz w:val="20"/>
              </w:rPr>
            </w:pPr>
            <w:r>
              <w:rPr>
                <w:w w:val="105"/>
                <w:sz w:val="20"/>
              </w:rPr>
              <w:t>Bank of New York Mellon</w:t>
            </w:r>
          </w:p>
        </w:tc>
      </w:tr>
      <w:tr>
        <w:trPr>
          <w:trHeight w:val="312" w:hRule="atLeast"/>
        </w:trPr>
        <w:tc>
          <w:tcPr>
            <w:tcW w:w="2770" w:type="dxa"/>
          </w:tcPr>
          <w:p>
            <w:pPr>
              <w:pStyle w:val="TableParagraph"/>
              <w:spacing w:before="24"/>
              <w:rPr>
                <w:sz w:val="20"/>
              </w:rPr>
            </w:pPr>
            <w:r>
              <w:rPr>
                <w:w w:val="105"/>
                <w:sz w:val="20"/>
              </w:rPr>
              <w:t>Fujio Nishio</w:t>
            </w:r>
          </w:p>
        </w:tc>
        <w:tc>
          <w:tcPr>
            <w:tcW w:w="4535" w:type="dxa"/>
          </w:tcPr>
          <w:p>
            <w:pPr>
              <w:pStyle w:val="TableParagraph"/>
              <w:ind w:left="98"/>
              <w:rPr>
                <w:sz w:val="20"/>
              </w:rPr>
            </w:pPr>
            <w:r>
              <w:rPr>
                <w:w w:val="105"/>
                <w:sz w:val="20"/>
              </w:rPr>
              <w:t>Bank of Tokyo-Mitsubishi</w:t>
            </w:r>
          </w:p>
        </w:tc>
      </w:tr>
      <w:tr>
        <w:trPr>
          <w:trHeight w:val="312" w:hRule="atLeast"/>
        </w:trPr>
        <w:tc>
          <w:tcPr>
            <w:tcW w:w="2770" w:type="dxa"/>
          </w:tcPr>
          <w:p>
            <w:pPr>
              <w:pStyle w:val="TableParagraph"/>
              <w:rPr>
                <w:sz w:val="20"/>
              </w:rPr>
            </w:pPr>
            <w:r>
              <w:rPr>
                <w:w w:val="105"/>
                <w:sz w:val="20"/>
              </w:rPr>
              <w:t>Adrian McGowan’s</w:t>
            </w:r>
          </w:p>
        </w:tc>
        <w:tc>
          <w:tcPr>
            <w:tcW w:w="4535" w:type="dxa"/>
          </w:tcPr>
          <w:p>
            <w:pPr>
              <w:pStyle w:val="TableParagraph"/>
              <w:ind w:left="99"/>
              <w:rPr>
                <w:sz w:val="20"/>
              </w:rPr>
            </w:pPr>
            <w:r>
              <w:rPr>
                <w:w w:val="105"/>
                <w:sz w:val="20"/>
              </w:rPr>
              <w:t>Barclays</w:t>
            </w:r>
          </w:p>
        </w:tc>
      </w:tr>
      <w:tr>
        <w:trPr>
          <w:trHeight w:val="312" w:hRule="atLeast"/>
        </w:trPr>
        <w:tc>
          <w:tcPr>
            <w:tcW w:w="2770" w:type="dxa"/>
          </w:tcPr>
          <w:p>
            <w:pPr>
              <w:pStyle w:val="TableParagraph"/>
              <w:spacing w:before="44"/>
              <w:rPr>
                <w:sz w:val="20"/>
              </w:rPr>
            </w:pPr>
            <w:r>
              <w:rPr>
                <w:w w:val="105"/>
                <w:sz w:val="20"/>
              </w:rPr>
              <w:t>Andrew Rogan</w:t>
            </w:r>
          </w:p>
        </w:tc>
        <w:tc>
          <w:tcPr>
            <w:tcW w:w="4535" w:type="dxa"/>
          </w:tcPr>
          <w:p>
            <w:pPr>
              <w:pStyle w:val="TableParagraph"/>
              <w:spacing w:before="44"/>
              <w:ind w:left="99"/>
              <w:rPr>
                <w:sz w:val="20"/>
              </w:rPr>
            </w:pPr>
            <w:r>
              <w:rPr>
                <w:w w:val="105"/>
                <w:sz w:val="20"/>
              </w:rPr>
              <w:t>BBA</w:t>
            </w:r>
          </w:p>
        </w:tc>
      </w:tr>
      <w:tr>
        <w:trPr>
          <w:trHeight w:val="312" w:hRule="atLeast"/>
        </w:trPr>
        <w:tc>
          <w:tcPr>
            <w:tcW w:w="2770" w:type="dxa"/>
          </w:tcPr>
          <w:p>
            <w:pPr>
              <w:pStyle w:val="TableParagraph"/>
              <w:spacing w:before="44"/>
              <w:rPr>
                <w:sz w:val="20"/>
              </w:rPr>
            </w:pPr>
            <w:r>
              <w:rPr>
                <w:w w:val="105"/>
                <w:sz w:val="20"/>
              </w:rPr>
              <w:t>James Bindler</w:t>
            </w:r>
          </w:p>
        </w:tc>
        <w:tc>
          <w:tcPr>
            <w:tcW w:w="4535" w:type="dxa"/>
          </w:tcPr>
          <w:p>
            <w:pPr>
              <w:pStyle w:val="TableParagraph"/>
              <w:spacing w:before="44"/>
              <w:ind w:left="98"/>
              <w:rPr>
                <w:sz w:val="20"/>
              </w:rPr>
            </w:pPr>
            <w:r>
              <w:rPr>
                <w:w w:val="105"/>
                <w:sz w:val="20"/>
              </w:rPr>
              <w:t>Citi</w:t>
            </w:r>
          </w:p>
        </w:tc>
      </w:tr>
      <w:tr>
        <w:trPr>
          <w:trHeight w:val="312" w:hRule="atLeast"/>
        </w:trPr>
        <w:tc>
          <w:tcPr>
            <w:tcW w:w="2770" w:type="dxa"/>
          </w:tcPr>
          <w:p>
            <w:pPr>
              <w:pStyle w:val="TableParagraph"/>
              <w:rPr>
                <w:sz w:val="20"/>
              </w:rPr>
            </w:pPr>
            <w:r>
              <w:rPr>
                <w:w w:val="105"/>
                <w:sz w:val="20"/>
              </w:rPr>
              <w:t>Heather Pilley</w:t>
            </w:r>
          </w:p>
        </w:tc>
        <w:tc>
          <w:tcPr>
            <w:tcW w:w="4535" w:type="dxa"/>
          </w:tcPr>
          <w:p>
            <w:pPr>
              <w:pStyle w:val="TableParagraph"/>
              <w:ind w:left="99"/>
              <w:rPr>
                <w:sz w:val="20"/>
              </w:rPr>
            </w:pPr>
            <w:r>
              <w:rPr>
                <w:w w:val="105"/>
                <w:sz w:val="20"/>
              </w:rPr>
              <w:t>FCA</w:t>
            </w:r>
          </w:p>
        </w:tc>
      </w:tr>
      <w:tr>
        <w:trPr>
          <w:trHeight w:val="312" w:hRule="atLeast"/>
        </w:trPr>
        <w:tc>
          <w:tcPr>
            <w:tcW w:w="2770" w:type="dxa"/>
          </w:tcPr>
          <w:p>
            <w:pPr>
              <w:pStyle w:val="TableParagraph"/>
              <w:rPr>
                <w:sz w:val="20"/>
              </w:rPr>
            </w:pPr>
            <w:r>
              <w:rPr>
                <w:w w:val="105"/>
                <w:sz w:val="20"/>
              </w:rPr>
              <w:t>Phil Weisberg</w:t>
            </w:r>
          </w:p>
        </w:tc>
        <w:tc>
          <w:tcPr>
            <w:tcW w:w="4535" w:type="dxa"/>
          </w:tcPr>
          <w:p>
            <w:pPr>
              <w:pStyle w:val="TableParagraph"/>
              <w:ind w:left="99"/>
              <w:rPr>
                <w:sz w:val="20"/>
              </w:rPr>
            </w:pPr>
            <w:r>
              <w:rPr>
                <w:w w:val="105"/>
                <w:sz w:val="20"/>
              </w:rPr>
              <w:t>Thomson Reuters</w:t>
            </w:r>
          </w:p>
        </w:tc>
      </w:tr>
      <w:tr>
        <w:trPr>
          <w:trHeight w:val="312" w:hRule="atLeast"/>
        </w:trPr>
        <w:tc>
          <w:tcPr>
            <w:tcW w:w="2770" w:type="dxa"/>
          </w:tcPr>
          <w:p>
            <w:pPr>
              <w:pStyle w:val="TableParagraph"/>
              <w:rPr>
                <w:sz w:val="20"/>
              </w:rPr>
            </w:pPr>
            <w:r>
              <w:rPr>
                <w:w w:val="105"/>
                <w:sz w:val="20"/>
              </w:rPr>
              <w:t>Richard Metcalfe</w:t>
            </w:r>
          </w:p>
        </w:tc>
        <w:tc>
          <w:tcPr>
            <w:tcW w:w="4535" w:type="dxa"/>
          </w:tcPr>
          <w:p>
            <w:pPr>
              <w:pStyle w:val="TableParagraph"/>
              <w:ind w:left="99"/>
              <w:rPr>
                <w:sz w:val="20"/>
              </w:rPr>
            </w:pPr>
            <w:r>
              <w:rPr>
                <w:w w:val="105"/>
                <w:sz w:val="20"/>
              </w:rPr>
              <w:t>Investment UK</w:t>
            </w:r>
          </w:p>
        </w:tc>
      </w:tr>
      <w:tr>
        <w:trPr>
          <w:trHeight w:val="312" w:hRule="atLeast"/>
        </w:trPr>
        <w:tc>
          <w:tcPr>
            <w:tcW w:w="2770" w:type="dxa"/>
          </w:tcPr>
          <w:p>
            <w:pPr>
              <w:pStyle w:val="TableParagraph"/>
              <w:rPr>
                <w:sz w:val="20"/>
              </w:rPr>
            </w:pPr>
            <w:r>
              <w:rPr>
                <w:w w:val="105"/>
                <w:sz w:val="20"/>
              </w:rPr>
              <w:t>Lisa Scott-Smith</w:t>
            </w:r>
          </w:p>
        </w:tc>
        <w:tc>
          <w:tcPr>
            <w:tcW w:w="4535" w:type="dxa"/>
          </w:tcPr>
          <w:p>
            <w:pPr>
              <w:pStyle w:val="TableParagraph"/>
              <w:rPr>
                <w:sz w:val="20"/>
              </w:rPr>
            </w:pPr>
            <w:r>
              <w:rPr>
                <w:w w:val="105"/>
                <w:sz w:val="20"/>
              </w:rPr>
              <w:t>Millennium Global</w:t>
            </w:r>
          </w:p>
        </w:tc>
      </w:tr>
      <w:tr>
        <w:trPr>
          <w:trHeight w:val="263" w:hRule="atLeast"/>
        </w:trPr>
        <w:tc>
          <w:tcPr>
            <w:tcW w:w="2770" w:type="dxa"/>
          </w:tcPr>
          <w:p>
            <w:pPr>
              <w:pStyle w:val="TableParagraph"/>
              <w:spacing w:line="218" w:lineRule="exact" w:before="25"/>
              <w:rPr>
                <w:sz w:val="20"/>
              </w:rPr>
            </w:pPr>
            <w:r>
              <w:rPr>
                <w:w w:val="105"/>
                <w:sz w:val="20"/>
              </w:rPr>
              <w:t>Isabelle Dennigan</w:t>
            </w:r>
          </w:p>
        </w:tc>
        <w:tc>
          <w:tcPr>
            <w:tcW w:w="4535" w:type="dxa"/>
          </w:tcPr>
          <w:p>
            <w:pPr>
              <w:pStyle w:val="TableParagraph"/>
              <w:spacing w:line="218" w:lineRule="exact" w:before="25"/>
              <w:ind w:left="98"/>
              <w:rPr>
                <w:sz w:val="20"/>
              </w:rPr>
            </w:pPr>
            <w:r>
              <w:rPr>
                <w:w w:val="105"/>
                <w:sz w:val="20"/>
              </w:rPr>
              <w:t>RBC</w:t>
            </w:r>
          </w:p>
        </w:tc>
      </w:tr>
      <w:tr>
        <w:trPr>
          <w:trHeight w:val="312" w:hRule="atLeast"/>
        </w:trPr>
        <w:tc>
          <w:tcPr>
            <w:tcW w:w="2770" w:type="dxa"/>
          </w:tcPr>
          <w:p>
            <w:pPr>
              <w:pStyle w:val="TableParagraph"/>
              <w:rPr>
                <w:sz w:val="20"/>
              </w:rPr>
            </w:pPr>
            <w:r>
              <w:rPr>
                <w:w w:val="105"/>
                <w:sz w:val="20"/>
              </w:rPr>
              <w:t>Tim Carrington</w:t>
            </w:r>
          </w:p>
        </w:tc>
        <w:tc>
          <w:tcPr>
            <w:tcW w:w="4535" w:type="dxa"/>
          </w:tcPr>
          <w:p>
            <w:pPr>
              <w:pStyle w:val="TableParagraph"/>
              <w:rPr>
                <w:sz w:val="20"/>
              </w:rPr>
            </w:pPr>
            <w:r>
              <w:rPr>
                <w:w w:val="105"/>
                <w:sz w:val="20"/>
              </w:rPr>
              <w:t>RBS</w:t>
            </w:r>
          </w:p>
        </w:tc>
      </w:tr>
      <w:tr>
        <w:trPr>
          <w:trHeight w:val="312" w:hRule="atLeast"/>
        </w:trPr>
        <w:tc>
          <w:tcPr>
            <w:tcW w:w="2770" w:type="dxa"/>
          </w:tcPr>
          <w:p>
            <w:pPr>
              <w:pStyle w:val="TableParagraph"/>
              <w:rPr>
                <w:sz w:val="20"/>
              </w:rPr>
            </w:pPr>
            <w:r>
              <w:rPr>
                <w:w w:val="105"/>
                <w:sz w:val="20"/>
              </w:rPr>
              <w:t>James Potter</w:t>
            </w:r>
          </w:p>
        </w:tc>
        <w:tc>
          <w:tcPr>
            <w:tcW w:w="4535" w:type="dxa"/>
          </w:tcPr>
          <w:p>
            <w:pPr>
              <w:pStyle w:val="TableParagraph"/>
              <w:ind w:left="99"/>
              <w:rPr>
                <w:sz w:val="20"/>
              </w:rPr>
            </w:pPr>
            <w:r>
              <w:rPr>
                <w:w w:val="105"/>
                <w:sz w:val="20"/>
              </w:rPr>
              <w:t>Tullett Prebon</w:t>
            </w:r>
          </w:p>
        </w:tc>
      </w:tr>
      <w:tr>
        <w:trPr>
          <w:trHeight w:val="313" w:hRule="atLeast"/>
        </w:trPr>
        <w:tc>
          <w:tcPr>
            <w:tcW w:w="2770" w:type="dxa"/>
          </w:tcPr>
          <w:p>
            <w:pPr>
              <w:pStyle w:val="TableParagraph"/>
              <w:rPr>
                <w:sz w:val="20"/>
              </w:rPr>
            </w:pPr>
            <w:r>
              <w:rPr>
                <w:w w:val="105"/>
                <w:sz w:val="20"/>
              </w:rPr>
              <w:t>Christian Kopf</w:t>
            </w:r>
          </w:p>
        </w:tc>
        <w:tc>
          <w:tcPr>
            <w:tcW w:w="4535" w:type="dxa"/>
          </w:tcPr>
          <w:p>
            <w:pPr>
              <w:pStyle w:val="TableParagraph"/>
              <w:ind w:left="99"/>
              <w:rPr>
                <w:sz w:val="20"/>
              </w:rPr>
            </w:pPr>
            <w:r>
              <w:rPr>
                <w:w w:val="105"/>
                <w:sz w:val="20"/>
              </w:rPr>
              <w:t>Spinnaker (Guest Speaker)</w:t>
            </w:r>
          </w:p>
        </w:tc>
      </w:tr>
    </w:tbl>
    <w:p>
      <w:pPr>
        <w:pStyle w:val="BodyText"/>
        <w:spacing w:before="5"/>
        <w:rPr>
          <w:b/>
          <w:sz w:val="24"/>
        </w:rPr>
      </w:pPr>
    </w:p>
    <w:p>
      <w:pPr>
        <w:spacing w:before="0"/>
        <w:ind w:left="492" w:right="0" w:firstLine="0"/>
        <w:jc w:val="left"/>
        <w:rPr>
          <w:b/>
          <w:sz w:val="20"/>
        </w:rPr>
      </w:pPr>
      <w:r>
        <w:rPr>
          <w:b/>
          <w:w w:val="105"/>
          <w:sz w:val="20"/>
        </w:rPr>
        <w:t>Apologies</w:t>
      </w:r>
    </w:p>
    <w:p>
      <w:pPr>
        <w:pStyle w:val="BodyText"/>
        <w:spacing w:before="10"/>
        <w:rPr>
          <w:b/>
          <w:sz w:val="20"/>
        </w:rPr>
      </w:pPr>
    </w:p>
    <w:tbl>
      <w:tblPr>
        <w:tblW w:w="0" w:type="auto"/>
        <w:jc w:val="left"/>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1"/>
        <w:gridCol w:w="4534"/>
      </w:tblGrid>
      <w:tr>
        <w:trPr>
          <w:trHeight w:val="311" w:hRule="atLeast"/>
        </w:trPr>
        <w:tc>
          <w:tcPr>
            <w:tcW w:w="2801" w:type="dxa"/>
          </w:tcPr>
          <w:p>
            <w:pPr>
              <w:pStyle w:val="TableParagraph"/>
              <w:ind w:left="101"/>
              <w:rPr>
                <w:sz w:val="20"/>
              </w:rPr>
            </w:pPr>
            <w:r>
              <w:rPr>
                <w:w w:val="105"/>
                <w:sz w:val="20"/>
              </w:rPr>
              <w:t>Chris Allen</w:t>
            </w:r>
          </w:p>
        </w:tc>
        <w:tc>
          <w:tcPr>
            <w:tcW w:w="4534" w:type="dxa"/>
          </w:tcPr>
          <w:p>
            <w:pPr>
              <w:pStyle w:val="TableParagraph"/>
              <w:ind w:left="99"/>
              <w:rPr>
                <w:sz w:val="20"/>
              </w:rPr>
            </w:pPr>
            <w:r>
              <w:rPr>
                <w:w w:val="105"/>
                <w:sz w:val="20"/>
              </w:rPr>
              <w:t>Barclays</w:t>
            </w:r>
          </w:p>
        </w:tc>
      </w:tr>
      <w:tr>
        <w:trPr>
          <w:trHeight w:val="312" w:hRule="atLeast"/>
        </w:trPr>
        <w:tc>
          <w:tcPr>
            <w:tcW w:w="2801" w:type="dxa"/>
          </w:tcPr>
          <w:p>
            <w:pPr>
              <w:pStyle w:val="TableParagraph"/>
              <w:spacing w:before="44"/>
              <w:ind w:left="101"/>
              <w:rPr>
                <w:sz w:val="20"/>
              </w:rPr>
            </w:pPr>
            <w:r>
              <w:rPr>
                <w:w w:val="105"/>
                <w:sz w:val="20"/>
              </w:rPr>
              <w:t>Graeme Munro</w:t>
            </w:r>
          </w:p>
        </w:tc>
        <w:tc>
          <w:tcPr>
            <w:tcW w:w="4534" w:type="dxa"/>
          </w:tcPr>
          <w:p>
            <w:pPr>
              <w:pStyle w:val="TableParagraph"/>
              <w:spacing w:before="44"/>
              <w:ind w:left="101"/>
              <w:rPr>
                <w:sz w:val="20"/>
              </w:rPr>
            </w:pPr>
            <w:r>
              <w:rPr>
                <w:w w:val="105"/>
                <w:sz w:val="20"/>
              </w:rPr>
              <w:t>JP Morgan</w:t>
            </w:r>
          </w:p>
        </w:tc>
      </w:tr>
      <w:tr>
        <w:trPr>
          <w:trHeight w:val="312" w:hRule="atLeast"/>
        </w:trPr>
        <w:tc>
          <w:tcPr>
            <w:tcW w:w="2801" w:type="dxa"/>
          </w:tcPr>
          <w:p>
            <w:pPr>
              <w:pStyle w:val="TableParagraph"/>
              <w:spacing w:before="44"/>
              <w:ind w:left="101"/>
              <w:rPr>
                <w:sz w:val="20"/>
              </w:rPr>
            </w:pPr>
            <w:r>
              <w:rPr>
                <w:w w:val="105"/>
                <w:sz w:val="20"/>
              </w:rPr>
              <w:t>David Puth</w:t>
            </w:r>
          </w:p>
        </w:tc>
        <w:tc>
          <w:tcPr>
            <w:tcW w:w="4534" w:type="dxa"/>
          </w:tcPr>
          <w:p>
            <w:pPr>
              <w:pStyle w:val="TableParagraph"/>
              <w:spacing w:before="44"/>
              <w:ind w:left="101"/>
              <w:rPr>
                <w:sz w:val="20"/>
              </w:rPr>
            </w:pPr>
            <w:r>
              <w:rPr>
                <w:w w:val="105"/>
                <w:sz w:val="20"/>
              </w:rPr>
              <w:t>CLS</w:t>
            </w:r>
          </w:p>
        </w:tc>
      </w:tr>
      <w:tr>
        <w:trPr>
          <w:trHeight w:val="313" w:hRule="atLeast"/>
        </w:trPr>
        <w:tc>
          <w:tcPr>
            <w:tcW w:w="2801" w:type="dxa"/>
          </w:tcPr>
          <w:p>
            <w:pPr>
              <w:pStyle w:val="TableParagraph"/>
              <w:ind w:left="101"/>
              <w:rPr>
                <w:sz w:val="20"/>
              </w:rPr>
            </w:pPr>
            <w:r>
              <w:rPr>
                <w:w w:val="105"/>
                <w:sz w:val="20"/>
              </w:rPr>
              <w:t>George Athanasopoulos</w:t>
            </w:r>
          </w:p>
        </w:tc>
        <w:tc>
          <w:tcPr>
            <w:tcW w:w="4534" w:type="dxa"/>
          </w:tcPr>
          <w:p>
            <w:pPr>
              <w:pStyle w:val="TableParagraph"/>
              <w:ind w:left="99"/>
              <w:rPr>
                <w:sz w:val="20"/>
              </w:rPr>
            </w:pPr>
            <w:r>
              <w:rPr>
                <w:w w:val="105"/>
                <w:sz w:val="20"/>
              </w:rPr>
              <w:t>UBS</w:t>
            </w:r>
          </w:p>
        </w:tc>
      </w:tr>
      <w:tr>
        <w:trPr>
          <w:trHeight w:val="312" w:hRule="atLeast"/>
        </w:trPr>
        <w:tc>
          <w:tcPr>
            <w:tcW w:w="2801" w:type="dxa"/>
          </w:tcPr>
          <w:p>
            <w:pPr>
              <w:pStyle w:val="TableParagraph"/>
              <w:ind w:left="101"/>
              <w:rPr>
                <w:sz w:val="20"/>
              </w:rPr>
            </w:pPr>
            <w:r>
              <w:rPr>
                <w:w w:val="105"/>
                <w:sz w:val="20"/>
              </w:rPr>
              <w:t>Troy Rohrbaugh</w:t>
            </w:r>
          </w:p>
        </w:tc>
        <w:tc>
          <w:tcPr>
            <w:tcW w:w="4534" w:type="dxa"/>
          </w:tcPr>
          <w:p>
            <w:pPr>
              <w:pStyle w:val="TableParagraph"/>
              <w:rPr>
                <w:sz w:val="20"/>
              </w:rPr>
            </w:pPr>
            <w:r>
              <w:rPr>
                <w:w w:val="105"/>
                <w:sz w:val="20"/>
              </w:rPr>
              <w:t>JP Morgan</w:t>
            </w:r>
          </w:p>
        </w:tc>
      </w:tr>
      <w:tr>
        <w:trPr>
          <w:trHeight w:val="311" w:hRule="atLeast"/>
        </w:trPr>
        <w:tc>
          <w:tcPr>
            <w:tcW w:w="2801" w:type="dxa"/>
          </w:tcPr>
          <w:p>
            <w:pPr>
              <w:pStyle w:val="TableParagraph"/>
              <w:ind w:left="101"/>
              <w:rPr>
                <w:sz w:val="20"/>
              </w:rPr>
            </w:pPr>
            <w:r>
              <w:rPr>
                <w:w w:val="105"/>
                <w:sz w:val="20"/>
              </w:rPr>
              <w:t>Gil Mandelzis</w:t>
            </w:r>
          </w:p>
        </w:tc>
        <w:tc>
          <w:tcPr>
            <w:tcW w:w="4534" w:type="dxa"/>
          </w:tcPr>
          <w:p>
            <w:pPr>
              <w:pStyle w:val="TableParagraph"/>
              <w:ind w:left="102"/>
              <w:rPr>
                <w:sz w:val="20"/>
              </w:rPr>
            </w:pPr>
            <w:r>
              <w:rPr>
                <w:w w:val="105"/>
                <w:sz w:val="20"/>
              </w:rPr>
              <w:t>ICAP</w:t>
            </w:r>
          </w:p>
        </w:tc>
      </w:tr>
      <w:tr>
        <w:trPr>
          <w:trHeight w:val="312" w:hRule="atLeast"/>
        </w:trPr>
        <w:tc>
          <w:tcPr>
            <w:tcW w:w="2801" w:type="dxa"/>
          </w:tcPr>
          <w:p>
            <w:pPr>
              <w:pStyle w:val="TableParagraph"/>
              <w:spacing w:before="44"/>
              <w:ind w:left="101"/>
              <w:rPr>
                <w:sz w:val="20"/>
              </w:rPr>
            </w:pPr>
            <w:r>
              <w:rPr>
                <w:w w:val="105"/>
                <w:sz w:val="20"/>
              </w:rPr>
              <w:t>Tom Springbett</w:t>
            </w:r>
          </w:p>
        </w:tc>
        <w:tc>
          <w:tcPr>
            <w:tcW w:w="4534" w:type="dxa"/>
          </w:tcPr>
          <w:p>
            <w:pPr>
              <w:pStyle w:val="TableParagraph"/>
              <w:spacing w:before="44"/>
              <w:rPr>
                <w:sz w:val="20"/>
              </w:rPr>
            </w:pPr>
            <w:r>
              <w:rPr>
                <w:w w:val="105"/>
                <w:sz w:val="20"/>
              </w:rPr>
              <w:t>FCA</w:t>
            </w:r>
          </w:p>
        </w:tc>
      </w:tr>
      <w:tr>
        <w:trPr>
          <w:trHeight w:val="312" w:hRule="atLeast"/>
        </w:trPr>
        <w:tc>
          <w:tcPr>
            <w:tcW w:w="2801" w:type="dxa"/>
          </w:tcPr>
          <w:p>
            <w:pPr>
              <w:pStyle w:val="TableParagraph"/>
              <w:spacing w:before="44"/>
              <w:ind w:left="101"/>
              <w:rPr>
                <w:sz w:val="20"/>
              </w:rPr>
            </w:pPr>
            <w:r>
              <w:rPr>
                <w:w w:val="105"/>
                <w:sz w:val="20"/>
              </w:rPr>
              <w:t>Alex McDonald</w:t>
            </w:r>
          </w:p>
        </w:tc>
        <w:tc>
          <w:tcPr>
            <w:tcW w:w="4534" w:type="dxa"/>
          </w:tcPr>
          <w:p>
            <w:pPr>
              <w:pStyle w:val="TableParagraph"/>
              <w:spacing w:before="44"/>
              <w:rPr>
                <w:sz w:val="20"/>
              </w:rPr>
            </w:pPr>
            <w:r>
              <w:rPr>
                <w:w w:val="105"/>
                <w:sz w:val="20"/>
              </w:rPr>
              <w:t>WMBA</w:t>
            </w:r>
          </w:p>
        </w:tc>
      </w:tr>
    </w:tbl>
    <w:p>
      <w:pPr>
        <w:spacing w:after="0"/>
        <w:rPr>
          <w:sz w:val="20"/>
        </w:rPr>
        <w:sectPr>
          <w:type w:val="continuous"/>
          <w:pgSz w:w="12240" w:h="15840"/>
          <w:pgMar w:top="1280" w:bottom="280" w:left="1720" w:right="1720"/>
        </w:sectPr>
      </w:pPr>
    </w:p>
    <w:p>
      <w:pPr>
        <w:pStyle w:val="Heading1"/>
        <w:numPr>
          <w:ilvl w:val="0"/>
          <w:numId w:val="1"/>
        </w:numPr>
        <w:tabs>
          <w:tab w:pos="606" w:val="left" w:leader="none"/>
        </w:tabs>
        <w:spacing w:line="240" w:lineRule="auto" w:before="79" w:after="0"/>
        <w:ind w:left="605" w:right="0" w:hanging="283"/>
        <w:jc w:val="left"/>
      </w:pPr>
      <w:r>
        <w:rPr>
          <w:w w:val="105"/>
        </w:rPr>
        <w:t>Apologies for</w:t>
      </w:r>
      <w:r>
        <w:rPr>
          <w:spacing w:val="-5"/>
          <w:w w:val="105"/>
        </w:rPr>
        <w:t> </w:t>
      </w:r>
      <w:r>
        <w:rPr>
          <w:w w:val="105"/>
        </w:rPr>
        <w:t>absence</w:t>
      </w:r>
    </w:p>
    <w:p>
      <w:pPr>
        <w:pStyle w:val="BodyText"/>
        <w:spacing w:before="1"/>
        <w:rPr>
          <w:b/>
          <w:sz w:val="23"/>
        </w:rPr>
      </w:pPr>
    </w:p>
    <w:p>
      <w:pPr>
        <w:pStyle w:val="BodyText"/>
        <w:spacing w:line="491" w:lineRule="auto"/>
        <w:ind w:left="492" w:right="865"/>
      </w:pPr>
      <w:r>
        <w:rPr>
          <w:w w:val="105"/>
        </w:rPr>
        <w:t>Apologies</w:t>
      </w:r>
      <w:r>
        <w:rPr>
          <w:spacing w:val="-20"/>
          <w:w w:val="105"/>
        </w:rPr>
        <w:t> </w:t>
      </w:r>
      <w:r>
        <w:rPr>
          <w:w w:val="105"/>
        </w:rPr>
        <w:t>were</w:t>
      </w:r>
      <w:r>
        <w:rPr>
          <w:spacing w:val="-20"/>
          <w:w w:val="105"/>
        </w:rPr>
        <w:t> </w:t>
      </w:r>
      <w:r>
        <w:rPr>
          <w:w w:val="105"/>
        </w:rPr>
        <w:t>received</w:t>
      </w:r>
      <w:r>
        <w:rPr>
          <w:spacing w:val="-20"/>
          <w:w w:val="105"/>
        </w:rPr>
        <w:t> </w:t>
      </w:r>
      <w:r>
        <w:rPr>
          <w:w w:val="105"/>
        </w:rPr>
        <w:t>from</w:t>
      </w:r>
      <w:r>
        <w:rPr>
          <w:spacing w:val="-22"/>
          <w:w w:val="105"/>
        </w:rPr>
        <w:t> </w:t>
      </w:r>
      <w:r>
        <w:rPr>
          <w:w w:val="105"/>
        </w:rPr>
        <w:t>Chris</w:t>
      </w:r>
      <w:r>
        <w:rPr>
          <w:spacing w:val="-19"/>
          <w:w w:val="105"/>
        </w:rPr>
        <w:t> </w:t>
      </w:r>
      <w:r>
        <w:rPr>
          <w:w w:val="105"/>
        </w:rPr>
        <w:t>Allen,</w:t>
      </w:r>
      <w:r>
        <w:rPr>
          <w:spacing w:val="-20"/>
          <w:w w:val="105"/>
        </w:rPr>
        <w:t> </w:t>
      </w:r>
      <w:r>
        <w:rPr>
          <w:w w:val="105"/>
        </w:rPr>
        <w:t>,</w:t>
      </w:r>
      <w:r>
        <w:rPr>
          <w:spacing w:val="-20"/>
          <w:w w:val="105"/>
        </w:rPr>
        <w:t> </w:t>
      </w:r>
      <w:r>
        <w:rPr>
          <w:w w:val="105"/>
        </w:rPr>
        <w:t>David</w:t>
      </w:r>
      <w:r>
        <w:rPr>
          <w:spacing w:val="-21"/>
          <w:w w:val="105"/>
        </w:rPr>
        <w:t> </w:t>
      </w:r>
      <w:r>
        <w:rPr>
          <w:w w:val="105"/>
        </w:rPr>
        <w:t>Puth,</w:t>
      </w:r>
      <w:r>
        <w:rPr>
          <w:spacing w:val="-19"/>
          <w:w w:val="105"/>
        </w:rPr>
        <w:t> </w:t>
      </w:r>
      <w:r>
        <w:rPr>
          <w:w w:val="105"/>
        </w:rPr>
        <w:t>George</w:t>
      </w:r>
      <w:r>
        <w:rPr>
          <w:spacing w:val="-20"/>
          <w:w w:val="105"/>
        </w:rPr>
        <w:t> </w:t>
      </w:r>
      <w:r>
        <w:rPr>
          <w:w w:val="105"/>
        </w:rPr>
        <w:t>Athanasopoulos, Troy Rohrbaugh, Gil Mandelzis, Alex McDonald and Graeme Munro. Mr Cross welcomed</w:t>
      </w:r>
      <w:r>
        <w:rPr>
          <w:spacing w:val="-14"/>
          <w:w w:val="105"/>
        </w:rPr>
        <w:t> </w:t>
      </w:r>
      <w:r>
        <w:rPr>
          <w:w w:val="105"/>
        </w:rPr>
        <w:t>the</w:t>
      </w:r>
      <w:r>
        <w:rPr>
          <w:spacing w:val="-15"/>
          <w:w w:val="105"/>
        </w:rPr>
        <w:t> </w:t>
      </w:r>
      <w:r>
        <w:rPr>
          <w:w w:val="105"/>
        </w:rPr>
        <w:t>Deputy</w:t>
      </w:r>
      <w:r>
        <w:rPr>
          <w:spacing w:val="-12"/>
          <w:w w:val="105"/>
        </w:rPr>
        <w:t> </w:t>
      </w:r>
      <w:r>
        <w:rPr>
          <w:w w:val="105"/>
        </w:rPr>
        <w:t>Chair</w:t>
      </w:r>
      <w:r>
        <w:rPr>
          <w:spacing w:val="-14"/>
          <w:w w:val="105"/>
        </w:rPr>
        <w:t> </w:t>
      </w:r>
      <w:r>
        <w:rPr>
          <w:w w:val="105"/>
        </w:rPr>
        <w:t>of</w:t>
      </w:r>
      <w:r>
        <w:rPr>
          <w:spacing w:val="-14"/>
          <w:w w:val="105"/>
        </w:rPr>
        <w:t> </w:t>
      </w:r>
      <w:r>
        <w:rPr>
          <w:w w:val="105"/>
        </w:rPr>
        <w:t>the</w:t>
      </w:r>
      <w:r>
        <w:rPr>
          <w:spacing w:val="-13"/>
          <w:w w:val="105"/>
        </w:rPr>
        <w:t> </w:t>
      </w:r>
      <w:r>
        <w:rPr>
          <w:w w:val="105"/>
        </w:rPr>
        <w:t>FX</w:t>
      </w:r>
      <w:r>
        <w:rPr>
          <w:spacing w:val="-13"/>
          <w:w w:val="105"/>
        </w:rPr>
        <w:t> </w:t>
      </w:r>
      <w:r>
        <w:rPr>
          <w:w w:val="105"/>
        </w:rPr>
        <w:t>Operations</w:t>
      </w:r>
      <w:r>
        <w:rPr>
          <w:spacing w:val="-14"/>
          <w:w w:val="105"/>
        </w:rPr>
        <w:t> </w:t>
      </w:r>
      <w:r>
        <w:rPr>
          <w:w w:val="105"/>
        </w:rPr>
        <w:t>subgroup</w:t>
      </w:r>
      <w:r>
        <w:rPr>
          <w:spacing w:val="-14"/>
          <w:w w:val="105"/>
        </w:rPr>
        <w:t> </w:t>
      </w:r>
      <w:r>
        <w:rPr>
          <w:w w:val="105"/>
        </w:rPr>
        <w:t>Isabelle</w:t>
      </w:r>
      <w:r>
        <w:rPr>
          <w:spacing w:val="-15"/>
          <w:w w:val="105"/>
        </w:rPr>
        <w:t> </w:t>
      </w:r>
      <w:r>
        <w:rPr>
          <w:w w:val="105"/>
        </w:rPr>
        <w:t>Dennigan.</w:t>
      </w:r>
    </w:p>
    <w:p>
      <w:pPr>
        <w:pStyle w:val="BodyText"/>
        <w:rPr>
          <w:sz w:val="24"/>
        </w:rPr>
      </w:pPr>
    </w:p>
    <w:p>
      <w:pPr>
        <w:pStyle w:val="BodyText"/>
        <w:spacing w:before="5"/>
        <w:rPr>
          <w:sz w:val="21"/>
        </w:rPr>
      </w:pPr>
    </w:p>
    <w:p>
      <w:pPr>
        <w:pStyle w:val="Heading1"/>
        <w:numPr>
          <w:ilvl w:val="0"/>
          <w:numId w:val="1"/>
        </w:numPr>
        <w:tabs>
          <w:tab w:pos="550" w:val="left" w:leader="none"/>
        </w:tabs>
        <w:spacing w:line="240" w:lineRule="auto" w:before="0" w:after="0"/>
        <w:ind w:left="549" w:right="0" w:hanging="227"/>
        <w:jc w:val="left"/>
      </w:pPr>
      <w:r>
        <w:rPr>
          <w:w w:val="105"/>
        </w:rPr>
        <w:t>Minutes of 18 November meeting and matters</w:t>
      </w:r>
      <w:r>
        <w:rPr>
          <w:spacing w:val="-26"/>
          <w:w w:val="105"/>
        </w:rPr>
        <w:t> </w:t>
      </w:r>
      <w:r>
        <w:rPr>
          <w:w w:val="105"/>
        </w:rPr>
        <w:t>arising</w:t>
      </w:r>
    </w:p>
    <w:p>
      <w:pPr>
        <w:pStyle w:val="BodyText"/>
        <w:spacing w:before="1"/>
        <w:rPr>
          <w:b/>
          <w:sz w:val="23"/>
        </w:rPr>
      </w:pPr>
    </w:p>
    <w:p>
      <w:pPr>
        <w:pStyle w:val="BodyText"/>
        <w:ind w:left="492"/>
      </w:pPr>
      <w:r>
        <w:rPr>
          <w:w w:val="105"/>
        </w:rPr>
        <w:t>The minutes of the September meeting were agreed. There were no matters arising.</w:t>
      </w:r>
    </w:p>
    <w:p>
      <w:pPr>
        <w:pStyle w:val="BodyText"/>
        <w:rPr>
          <w:sz w:val="24"/>
        </w:rPr>
      </w:pPr>
    </w:p>
    <w:p>
      <w:pPr>
        <w:pStyle w:val="BodyText"/>
        <w:rPr>
          <w:sz w:val="24"/>
        </w:rPr>
      </w:pPr>
    </w:p>
    <w:p>
      <w:pPr>
        <w:pStyle w:val="BodyText"/>
        <w:spacing w:before="4"/>
        <w:rPr>
          <w:sz w:val="20"/>
        </w:rPr>
      </w:pPr>
    </w:p>
    <w:p>
      <w:pPr>
        <w:pStyle w:val="ListParagraph"/>
        <w:numPr>
          <w:ilvl w:val="0"/>
          <w:numId w:val="1"/>
        </w:numPr>
        <w:tabs>
          <w:tab w:pos="549" w:val="left" w:leader="none"/>
        </w:tabs>
        <w:spacing w:line="240" w:lineRule="auto" w:before="0" w:after="0"/>
        <w:ind w:left="548" w:right="0" w:hanging="226"/>
        <w:jc w:val="left"/>
        <w:rPr>
          <w:b/>
          <w:i/>
          <w:sz w:val="22"/>
        </w:rPr>
      </w:pPr>
      <w:r>
        <w:rPr>
          <w:b/>
          <w:w w:val="105"/>
          <w:sz w:val="22"/>
        </w:rPr>
        <w:t>Market Conditions in EME’s </w:t>
      </w:r>
      <w:r>
        <w:rPr>
          <w:b/>
          <w:i/>
          <w:w w:val="105"/>
          <w:sz w:val="22"/>
        </w:rPr>
        <w:t>(Christian Kopf,</w:t>
      </w:r>
      <w:r>
        <w:rPr>
          <w:b/>
          <w:i/>
          <w:spacing w:val="-23"/>
          <w:w w:val="105"/>
          <w:sz w:val="22"/>
        </w:rPr>
        <w:t> </w:t>
      </w:r>
      <w:r>
        <w:rPr>
          <w:b/>
          <w:i/>
          <w:w w:val="105"/>
          <w:sz w:val="22"/>
        </w:rPr>
        <w:t>Spinnaker)</w:t>
      </w:r>
    </w:p>
    <w:p>
      <w:pPr>
        <w:pStyle w:val="BodyText"/>
        <w:spacing w:before="1"/>
        <w:rPr>
          <w:b/>
          <w:i/>
          <w:sz w:val="23"/>
        </w:rPr>
      </w:pPr>
    </w:p>
    <w:p>
      <w:pPr>
        <w:pStyle w:val="BodyText"/>
        <w:spacing w:line="491" w:lineRule="auto"/>
        <w:ind w:left="492" w:right="486"/>
        <w:jc w:val="both"/>
      </w:pPr>
      <w:r>
        <w:rPr>
          <w:w w:val="105"/>
        </w:rPr>
        <w:t>Christian Kopf (Money Manager at Spinnaker Capital) presented on themes in Emerging</w:t>
      </w:r>
      <w:r>
        <w:rPr>
          <w:spacing w:val="-8"/>
          <w:w w:val="105"/>
        </w:rPr>
        <w:t> </w:t>
      </w:r>
      <w:r>
        <w:rPr>
          <w:w w:val="105"/>
        </w:rPr>
        <w:t>Market</w:t>
      </w:r>
      <w:r>
        <w:rPr>
          <w:spacing w:val="-9"/>
          <w:w w:val="105"/>
        </w:rPr>
        <w:t> </w:t>
      </w:r>
      <w:r>
        <w:rPr>
          <w:w w:val="105"/>
        </w:rPr>
        <w:t>(EME)</w:t>
      </w:r>
      <w:r>
        <w:rPr>
          <w:spacing w:val="-7"/>
          <w:w w:val="105"/>
        </w:rPr>
        <w:t> </w:t>
      </w:r>
      <w:r>
        <w:rPr>
          <w:w w:val="105"/>
        </w:rPr>
        <w:t>FX.</w:t>
      </w:r>
      <w:r>
        <w:rPr>
          <w:spacing w:val="41"/>
          <w:w w:val="105"/>
        </w:rPr>
        <w:t> </w:t>
      </w:r>
      <w:r>
        <w:rPr>
          <w:w w:val="105"/>
        </w:rPr>
        <w:t>The</w:t>
      </w:r>
      <w:r>
        <w:rPr>
          <w:spacing w:val="-7"/>
          <w:w w:val="105"/>
        </w:rPr>
        <w:t> </w:t>
      </w:r>
      <w:r>
        <w:rPr>
          <w:w w:val="105"/>
        </w:rPr>
        <w:t>weakness</w:t>
      </w:r>
      <w:r>
        <w:rPr>
          <w:spacing w:val="-7"/>
          <w:w w:val="105"/>
        </w:rPr>
        <w:t> </w:t>
      </w:r>
      <w:r>
        <w:rPr>
          <w:w w:val="105"/>
        </w:rPr>
        <w:t>of</w:t>
      </w:r>
      <w:r>
        <w:rPr>
          <w:spacing w:val="-7"/>
          <w:w w:val="105"/>
        </w:rPr>
        <w:t> </w:t>
      </w:r>
      <w:r>
        <w:rPr>
          <w:w w:val="105"/>
        </w:rPr>
        <w:t>EME</w:t>
      </w:r>
      <w:r>
        <w:rPr>
          <w:spacing w:val="-7"/>
          <w:w w:val="105"/>
        </w:rPr>
        <w:t> </w:t>
      </w:r>
      <w:r>
        <w:rPr>
          <w:w w:val="105"/>
        </w:rPr>
        <w:t>FX</w:t>
      </w:r>
      <w:r>
        <w:rPr>
          <w:spacing w:val="-8"/>
          <w:w w:val="105"/>
        </w:rPr>
        <w:t> </w:t>
      </w:r>
      <w:r>
        <w:rPr>
          <w:w w:val="105"/>
        </w:rPr>
        <w:t>over</w:t>
      </w:r>
      <w:r>
        <w:rPr>
          <w:spacing w:val="-8"/>
          <w:w w:val="105"/>
        </w:rPr>
        <w:t> </w:t>
      </w:r>
      <w:r>
        <w:rPr>
          <w:w w:val="105"/>
        </w:rPr>
        <w:t>the</w:t>
      </w:r>
      <w:r>
        <w:rPr>
          <w:spacing w:val="-8"/>
          <w:w w:val="105"/>
        </w:rPr>
        <w:t> </w:t>
      </w:r>
      <w:r>
        <w:rPr>
          <w:w w:val="105"/>
        </w:rPr>
        <w:t>past</w:t>
      </w:r>
      <w:r>
        <w:rPr>
          <w:spacing w:val="-7"/>
          <w:w w:val="105"/>
        </w:rPr>
        <w:t> </w:t>
      </w:r>
      <w:r>
        <w:rPr>
          <w:w w:val="105"/>
        </w:rPr>
        <w:t>three</w:t>
      </w:r>
      <w:r>
        <w:rPr>
          <w:spacing w:val="-9"/>
          <w:w w:val="105"/>
        </w:rPr>
        <w:t> </w:t>
      </w:r>
      <w:r>
        <w:rPr>
          <w:w w:val="105"/>
        </w:rPr>
        <w:t>years,</w:t>
      </w:r>
      <w:r>
        <w:rPr>
          <w:spacing w:val="-8"/>
          <w:w w:val="105"/>
        </w:rPr>
        <w:t> </w:t>
      </w:r>
      <w:r>
        <w:rPr>
          <w:w w:val="105"/>
        </w:rPr>
        <w:t>in particular 2014 was noted. The concept that current account deficits run by major EME countries was responsible for FX underperformance was challenged by the presenter.</w:t>
      </w:r>
      <w:r>
        <w:rPr>
          <w:spacing w:val="-11"/>
          <w:w w:val="105"/>
        </w:rPr>
        <w:t> </w:t>
      </w:r>
      <w:r>
        <w:rPr>
          <w:w w:val="105"/>
        </w:rPr>
        <w:t>It</w:t>
      </w:r>
      <w:r>
        <w:rPr>
          <w:spacing w:val="-11"/>
          <w:w w:val="105"/>
        </w:rPr>
        <w:t> </w:t>
      </w:r>
      <w:r>
        <w:rPr>
          <w:w w:val="105"/>
        </w:rPr>
        <w:t>was</w:t>
      </w:r>
      <w:r>
        <w:rPr>
          <w:spacing w:val="-10"/>
          <w:w w:val="105"/>
        </w:rPr>
        <w:t> </w:t>
      </w:r>
      <w:r>
        <w:rPr>
          <w:w w:val="105"/>
        </w:rPr>
        <w:t>suggested</w:t>
      </w:r>
      <w:r>
        <w:rPr>
          <w:spacing w:val="-10"/>
          <w:w w:val="105"/>
        </w:rPr>
        <w:t> </w:t>
      </w:r>
      <w:r>
        <w:rPr>
          <w:w w:val="105"/>
        </w:rPr>
        <w:t>that</w:t>
      </w:r>
      <w:r>
        <w:rPr>
          <w:spacing w:val="-10"/>
          <w:w w:val="105"/>
        </w:rPr>
        <w:t> </w:t>
      </w:r>
      <w:r>
        <w:rPr>
          <w:w w:val="105"/>
        </w:rPr>
        <w:t>some</w:t>
      </w:r>
      <w:r>
        <w:rPr>
          <w:spacing w:val="-10"/>
          <w:w w:val="105"/>
        </w:rPr>
        <w:t> </w:t>
      </w:r>
      <w:r>
        <w:rPr>
          <w:w w:val="105"/>
        </w:rPr>
        <w:t>EME</w:t>
      </w:r>
      <w:r>
        <w:rPr>
          <w:spacing w:val="-11"/>
          <w:w w:val="105"/>
        </w:rPr>
        <w:t> </w:t>
      </w:r>
      <w:r>
        <w:rPr>
          <w:w w:val="105"/>
        </w:rPr>
        <w:t>central</w:t>
      </w:r>
      <w:r>
        <w:rPr>
          <w:spacing w:val="-11"/>
          <w:w w:val="105"/>
        </w:rPr>
        <w:t> </w:t>
      </w:r>
      <w:r>
        <w:rPr>
          <w:w w:val="105"/>
        </w:rPr>
        <w:t>banks</w:t>
      </w:r>
      <w:r>
        <w:rPr>
          <w:spacing w:val="-11"/>
          <w:w w:val="105"/>
        </w:rPr>
        <w:t> </w:t>
      </w:r>
      <w:r>
        <w:rPr>
          <w:w w:val="105"/>
        </w:rPr>
        <w:t>had</w:t>
      </w:r>
      <w:r>
        <w:rPr>
          <w:spacing w:val="-9"/>
          <w:w w:val="105"/>
        </w:rPr>
        <w:t> </w:t>
      </w:r>
      <w:r>
        <w:rPr>
          <w:w w:val="105"/>
        </w:rPr>
        <w:t>become</w:t>
      </w:r>
      <w:r>
        <w:rPr>
          <w:spacing w:val="-10"/>
          <w:w w:val="105"/>
        </w:rPr>
        <w:t> </w:t>
      </w:r>
      <w:r>
        <w:rPr>
          <w:w w:val="105"/>
        </w:rPr>
        <w:t>more</w:t>
      </w:r>
      <w:r>
        <w:rPr>
          <w:spacing w:val="-11"/>
          <w:w w:val="105"/>
        </w:rPr>
        <w:t> </w:t>
      </w:r>
      <w:r>
        <w:rPr>
          <w:w w:val="105"/>
        </w:rPr>
        <w:t>willing</w:t>
      </w:r>
      <w:r>
        <w:rPr>
          <w:spacing w:val="-11"/>
          <w:w w:val="105"/>
        </w:rPr>
        <w:t> </w:t>
      </w:r>
      <w:r>
        <w:rPr>
          <w:w w:val="105"/>
        </w:rPr>
        <w:t>to use currency depreciation as a monetary policy tool. EME liquidity was also discussed. While liquidity remains sufficient in the EME FX market, regulatory pressures were thought to have contributed to a deterioration in liquidity in the EME corporate bond</w:t>
      </w:r>
      <w:r>
        <w:rPr>
          <w:spacing w:val="-3"/>
          <w:w w:val="105"/>
        </w:rPr>
        <w:t> </w:t>
      </w:r>
      <w:r>
        <w:rPr>
          <w:w w:val="105"/>
        </w:rPr>
        <w:t>market.</w:t>
      </w:r>
    </w:p>
    <w:p>
      <w:pPr>
        <w:pStyle w:val="BodyText"/>
        <w:rPr>
          <w:sz w:val="24"/>
        </w:rPr>
      </w:pPr>
    </w:p>
    <w:p>
      <w:pPr>
        <w:pStyle w:val="BodyText"/>
        <w:spacing w:before="9"/>
        <w:rPr>
          <w:sz w:val="21"/>
        </w:rPr>
      </w:pPr>
    </w:p>
    <w:p>
      <w:pPr>
        <w:pStyle w:val="Heading1"/>
        <w:numPr>
          <w:ilvl w:val="0"/>
          <w:numId w:val="1"/>
        </w:numPr>
        <w:tabs>
          <w:tab w:pos="606" w:val="left" w:leader="none"/>
        </w:tabs>
        <w:spacing w:line="240" w:lineRule="auto" w:before="0" w:after="0"/>
        <w:ind w:left="605" w:right="0" w:hanging="283"/>
        <w:jc w:val="left"/>
        <w:rPr>
          <w:i/>
        </w:rPr>
      </w:pPr>
      <w:r>
        <w:rPr>
          <w:w w:val="105"/>
        </w:rPr>
        <w:t>Recent Volatility in the Swiss Franc</w:t>
      </w:r>
      <w:r>
        <w:rPr>
          <w:spacing w:val="-17"/>
          <w:w w:val="105"/>
        </w:rPr>
        <w:t> </w:t>
      </w:r>
      <w:r>
        <w:rPr>
          <w:i/>
          <w:w w:val="105"/>
        </w:rPr>
        <w:t>(All)</w:t>
      </w:r>
    </w:p>
    <w:p>
      <w:pPr>
        <w:pStyle w:val="BodyText"/>
        <w:spacing w:before="1"/>
        <w:rPr>
          <w:b/>
          <w:i/>
          <w:sz w:val="23"/>
        </w:rPr>
      </w:pPr>
    </w:p>
    <w:p>
      <w:pPr>
        <w:pStyle w:val="BodyText"/>
        <w:spacing w:line="491" w:lineRule="auto"/>
        <w:ind w:left="492" w:right="489"/>
        <w:jc w:val="both"/>
      </w:pPr>
      <w:r>
        <w:rPr>
          <w:w w:val="105"/>
        </w:rPr>
        <w:t>Tim Carrington introduced a discussion on the functioning of the FX markets following the volatility in the Swiss franc on 15 January 2015. The Committee discussed the events and the impact on FX pricing, liquidity and market making capacity.</w:t>
      </w:r>
      <w:r>
        <w:rPr>
          <w:spacing w:val="-7"/>
          <w:w w:val="105"/>
        </w:rPr>
        <w:t> </w:t>
      </w:r>
      <w:r>
        <w:rPr>
          <w:w w:val="105"/>
        </w:rPr>
        <w:t>The</w:t>
      </w:r>
      <w:r>
        <w:rPr>
          <w:spacing w:val="-5"/>
          <w:w w:val="105"/>
        </w:rPr>
        <w:t> </w:t>
      </w:r>
      <w:r>
        <w:rPr>
          <w:w w:val="105"/>
        </w:rPr>
        <w:t>circumstances</w:t>
      </w:r>
      <w:r>
        <w:rPr>
          <w:spacing w:val="-5"/>
          <w:w w:val="105"/>
        </w:rPr>
        <w:t> </w:t>
      </w:r>
      <w:r>
        <w:rPr>
          <w:w w:val="105"/>
        </w:rPr>
        <w:t>surrounding</w:t>
      </w:r>
      <w:r>
        <w:rPr>
          <w:spacing w:val="-6"/>
          <w:w w:val="105"/>
        </w:rPr>
        <w:t> </w:t>
      </w:r>
      <w:r>
        <w:rPr>
          <w:w w:val="105"/>
        </w:rPr>
        <w:t>the</w:t>
      </w:r>
      <w:r>
        <w:rPr>
          <w:spacing w:val="-4"/>
          <w:w w:val="105"/>
        </w:rPr>
        <w:t> </w:t>
      </w:r>
      <w:r>
        <w:rPr>
          <w:w w:val="105"/>
        </w:rPr>
        <w:t>moves</w:t>
      </w:r>
      <w:r>
        <w:rPr>
          <w:spacing w:val="-6"/>
          <w:w w:val="105"/>
        </w:rPr>
        <w:t> </w:t>
      </w:r>
      <w:r>
        <w:rPr>
          <w:w w:val="105"/>
        </w:rPr>
        <w:t>in</w:t>
      </w:r>
      <w:r>
        <w:rPr>
          <w:spacing w:val="-6"/>
          <w:w w:val="105"/>
        </w:rPr>
        <w:t> </w:t>
      </w:r>
      <w:r>
        <w:rPr>
          <w:w w:val="105"/>
        </w:rPr>
        <w:t>EUR/CHF</w:t>
      </w:r>
      <w:r>
        <w:rPr>
          <w:spacing w:val="-6"/>
          <w:w w:val="105"/>
        </w:rPr>
        <w:t> </w:t>
      </w:r>
      <w:r>
        <w:rPr>
          <w:w w:val="105"/>
        </w:rPr>
        <w:t>were</w:t>
      </w:r>
      <w:r>
        <w:rPr>
          <w:spacing w:val="-5"/>
          <w:w w:val="105"/>
        </w:rPr>
        <w:t> </w:t>
      </w:r>
      <w:r>
        <w:rPr>
          <w:w w:val="105"/>
        </w:rPr>
        <w:t>thought</w:t>
      </w:r>
      <w:r>
        <w:rPr>
          <w:spacing w:val="-5"/>
          <w:w w:val="105"/>
        </w:rPr>
        <w:t> </w:t>
      </w:r>
      <w:r>
        <w:rPr>
          <w:w w:val="105"/>
        </w:rPr>
        <w:t>to</w:t>
      </w:r>
      <w:r>
        <w:rPr>
          <w:spacing w:val="-6"/>
          <w:w w:val="105"/>
        </w:rPr>
        <w:t> </w:t>
      </w:r>
      <w:r>
        <w:rPr>
          <w:w w:val="105"/>
        </w:rPr>
        <w:t>be unique</w:t>
      </w:r>
      <w:r>
        <w:rPr>
          <w:spacing w:val="18"/>
          <w:w w:val="105"/>
        </w:rPr>
        <w:t> </w:t>
      </w:r>
      <w:r>
        <w:rPr>
          <w:w w:val="105"/>
        </w:rPr>
        <w:t>and</w:t>
      </w:r>
      <w:r>
        <w:rPr>
          <w:spacing w:val="18"/>
          <w:w w:val="105"/>
        </w:rPr>
        <w:t> </w:t>
      </w:r>
      <w:r>
        <w:rPr>
          <w:w w:val="105"/>
        </w:rPr>
        <w:t>it</w:t>
      </w:r>
      <w:r>
        <w:rPr>
          <w:spacing w:val="18"/>
          <w:w w:val="105"/>
        </w:rPr>
        <w:t> </w:t>
      </w:r>
      <w:r>
        <w:rPr>
          <w:w w:val="105"/>
        </w:rPr>
        <w:t>was</w:t>
      </w:r>
      <w:r>
        <w:rPr>
          <w:spacing w:val="18"/>
          <w:w w:val="105"/>
        </w:rPr>
        <w:t> </w:t>
      </w:r>
      <w:r>
        <w:rPr>
          <w:w w:val="105"/>
        </w:rPr>
        <w:t>difficult</w:t>
      </w:r>
      <w:r>
        <w:rPr>
          <w:spacing w:val="17"/>
          <w:w w:val="105"/>
        </w:rPr>
        <w:t> </w:t>
      </w:r>
      <w:r>
        <w:rPr>
          <w:w w:val="105"/>
        </w:rPr>
        <w:t>to</w:t>
      </w:r>
      <w:r>
        <w:rPr>
          <w:spacing w:val="18"/>
          <w:w w:val="105"/>
        </w:rPr>
        <w:t> </w:t>
      </w:r>
      <w:r>
        <w:rPr>
          <w:w w:val="105"/>
        </w:rPr>
        <w:t>draw</w:t>
      </w:r>
      <w:r>
        <w:rPr>
          <w:spacing w:val="18"/>
          <w:w w:val="105"/>
        </w:rPr>
        <w:t> </w:t>
      </w:r>
      <w:r>
        <w:rPr>
          <w:w w:val="105"/>
        </w:rPr>
        <w:t>historical</w:t>
      </w:r>
      <w:r>
        <w:rPr>
          <w:spacing w:val="19"/>
          <w:w w:val="105"/>
        </w:rPr>
        <w:t> </w:t>
      </w:r>
      <w:r>
        <w:rPr>
          <w:w w:val="105"/>
        </w:rPr>
        <w:t>comparisons</w:t>
      </w:r>
      <w:r>
        <w:rPr>
          <w:spacing w:val="18"/>
          <w:w w:val="105"/>
        </w:rPr>
        <w:t> </w:t>
      </w:r>
      <w:r>
        <w:rPr>
          <w:w w:val="105"/>
        </w:rPr>
        <w:t>with</w:t>
      </w:r>
      <w:r>
        <w:rPr>
          <w:spacing w:val="18"/>
          <w:w w:val="105"/>
        </w:rPr>
        <w:t> </w:t>
      </w:r>
      <w:r>
        <w:rPr>
          <w:w w:val="105"/>
        </w:rPr>
        <w:t>other</w:t>
      </w:r>
      <w:r>
        <w:rPr>
          <w:spacing w:val="17"/>
          <w:w w:val="105"/>
        </w:rPr>
        <w:t> </w:t>
      </w:r>
      <w:r>
        <w:rPr>
          <w:w w:val="105"/>
        </w:rPr>
        <w:t>idiosyncratic</w:t>
      </w:r>
    </w:p>
    <w:p>
      <w:pPr>
        <w:spacing w:after="0" w:line="491" w:lineRule="auto"/>
        <w:jc w:val="both"/>
        <w:sectPr>
          <w:pgSz w:w="12240" w:h="15840"/>
          <w:pgMar w:top="1280" w:bottom="280" w:left="1720" w:right="1720"/>
        </w:sectPr>
      </w:pPr>
    </w:p>
    <w:p>
      <w:pPr>
        <w:pStyle w:val="BodyText"/>
        <w:spacing w:line="491" w:lineRule="auto" w:before="78"/>
        <w:ind w:left="492" w:right="488"/>
        <w:jc w:val="both"/>
      </w:pPr>
      <w:r>
        <w:rPr>
          <w:w w:val="105"/>
        </w:rPr>
        <w:t>moves in FX markets. Despite huge volatility and unprecedented volumes, FX markets had continued to function with client orders being filled. Traditional voice trading</w:t>
      </w:r>
      <w:r>
        <w:rPr>
          <w:spacing w:val="-14"/>
          <w:w w:val="105"/>
        </w:rPr>
        <w:t> </w:t>
      </w:r>
      <w:r>
        <w:rPr>
          <w:w w:val="105"/>
        </w:rPr>
        <w:t>had</w:t>
      </w:r>
      <w:r>
        <w:rPr>
          <w:spacing w:val="-14"/>
          <w:w w:val="105"/>
        </w:rPr>
        <w:t> </w:t>
      </w:r>
      <w:r>
        <w:rPr>
          <w:w w:val="105"/>
        </w:rPr>
        <w:t>largely</w:t>
      </w:r>
      <w:r>
        <w:rPr>
          <w:spacing w:val="-13"/>
          <w:w w:val="105"/>
        </w:rPr>
        <w:t> </w:t>
      </w:r>
      <w:r>
        <w:rPr>
          <w:w w:val="105"/>
        </w:rPr>
        <w:t>been</w:t>
      </w:r>
      <w:r>
        <w:rPr>
          <w:spacing w:val="-13"/>
          <w:w w:val="105"/>
        </w:rPr>
        <w:t> </w:t>
      </w:r>
      <w:r>
        <w:rPr>
          <w:w w:val="105"/>
        </w:rPr>
        <w:t>used</w:t>
      </w:r>
      <w:r>
        <w:rPr>
          <w:spacing w:val="-14"/>
          <w:w w:val="105"/>
        </w:rPr>
        <w:t> </w:t>
      </w:r>
      <w:r>
        <w:rPr>
          <w:w w:val="105"/>
        </w:rPr>
        <w:t>to</w:t>
      </w:r>
      <w:r>
        <w:rPr>
          <w:spacing w:val="-14"/>
          <w:w w:val="105"/>
        </w:rPr>
        <w:t> </w:t>
      </w:r>
      <w:r>
        <w:rPr>
          <w:w w:val="105"/>
        </w:rPr>
        <w:t>satisfy</w:t>
      </w:r>
      <w:r>
        <w:rPr>
          <w:spacing w:val="-13"/>
          <w:w w:val="105"/>
        </w:rPr>
        <w:t> </w:t>
      </w:r>
      <w:r>
        <w:rPr>
          <w:w w:val="105"/>
        </w:rPr>
        <w:t>demand.</w:t>
      </w:r>
      <w:r>
        <w:rPr>
          <w:spacing w:val="32"/>
          <w:w w:val="105"/>
        </w:rPr>
        <w:t> </w:t>
      </w:r>
      <w:r>
        <w:rPr>
          <w:w w:val="105"/>
        </w:rPr>
        <w:t>The</w:t>
      </w:r>
      <w:r>
        <w:rPr>
          <w:spacing w:val="-14"/>
          <w:w w:val="105"/>
        </w:rPr>
        <w:t> </w:t>
      </w:r>
      <w:r>
        <w:rPr>
          <w:w w:val="105"/>
        </w:rPr>
        <w:t>depth</w:t>
      </w:r>
      <w:r>
        <w:rPr>
          <w:spacing w:val="-14"/>
          <w:w w:val="105"/>
        </w:rPr>
        <w:t> </w:t>
      </w:r>
      <w:r>
        <w:rPr>
          <w:w w:val="105"/>
        </w:rPr>
        <w:t>of</w:t>
      </w:r>
      <w:r>
        <w:rPr>
          <w:spacing w:val="-13"/>
          <w:w w:val="105"/>
        </w:rPr>
        <w:t> </w:t>
      </w:r>
      <w:r>
        <w:rPr>
          <w:w w:val="105"/>
        </w:rPr>
        <w:t>liquidity</w:t>
      </w:r>
      <w:r>
        <w:rPr>
          <w:spacing w:val="-13"/>
          <w:w w:val="105"/>
        </w:rPr>
        <w:t> </w:t>
      </w:r>
      <w:r>
        <w:rPr>
          <w:w w:val="105"/>
        </w:rPr>
        <w:t>in</w:t>
      </w:r>
      <w:r>
        <w:rPr>
          <w:spacing w:val="-14"/>
          <w:w w:val="105"/>
        </w:rPr>
        <w:t> </w:t>
      </w:r>
      <w:r>
        <w:rPr>
          <w:w w:val="105"/>
        </w:rPr>
        <w:t>FX</w:t>
      </w:r>
      <w:r>
        <w:rPr>
          <w:spacing w:val="-14"/>
          <w:w w:val="105"/>
        </w:rPr>
        <w:t> </w:t>
      </w:r>
      <w:r>
        <w:rPr>
          <w:w w:val="105"/>
        </w:rPr>
        <w:t>markets and the impact of electronic trading were also discussed. The speed of the move was thought to have been exacerbated by electronic trading platforms being disengaged owing</w:t>
      </w:r>
      <w:r>
        <w:rPr>
          <w:spacing w:val="-5"/>
          <w:w w:val="105"/>
        </w:rPr>
        <w:t> </w:t>
      </w:r>
      <w:r>
        <w:rPr>
          <w:w w:val="105"/>
        </w:rPr>
        <w:t>to</w:t>
      </w:r>
      <w:r>
        <w:rPr>
          <w:spacing w:val="-4"/>
          <w:w w:val="105"/>
        </w:rPr>
        <w:t> </w:t>
      </w:r>
      <w:r>
        <w:rPr>
          <w:w w:val="105"/>
        </w:rPr>
        <w:t>the</w:t>
      </w:r>
      <w:r>
        <w:rPr>
          <w:spacing w:val="-4"/>
          <w:w w:val="105"/>
        </w:rPr>
        <w:t> </w:t>
      </w:r>
      <w:r>
        <w:rPr>
          <w:w w:val="105"/>
        </w:rPr>
        <w:t>one-sided</w:t>
      </w:r>
      <w:r>
        <w:rPr>
          <w:spacing w:val="-5"/>
          <w:w w:val="105"/>
        </w:rPr>
        <w:t> </w:t>
      </w:r>
      <w:r>
        <w:rPr>
          <w:w w:val="105"/>
        </w:rPr>
        <w:t>nature</w:t>
      </w:r>
      <w:r>
        <w:rPr>
          <w:spacing w:val="-5"/>
          <w:w w:val="105"/>
        </w:rPr>
        <w:t> </w:t>
      </w:r>
      <w:r>
        <w:rPr>
          <w:w w:val="105"/>
        </w:rPr>
        <w:t>of</w:t>
      </w:r>
      <w:r>
        <w:rPr>
          <w:spacing w:val="-5"/>
          <w:w w:val="105"/>
        </w:rPr>
        <w:t> </w:t>
      </w:r>
      <w:r>
        <w:rPr>
          <w:w w:val="105"/>
        </w:rPr>
        <w:t>the</w:t>
      </w:r>
      <w:r>
        <w:rPr>
          <w:spacing w:val="-6"/>
          <w:w w:val="105"/>
        </w:rPr>
        <w:t> </w:t>
      </w:r>
      <w:r>
        <w:rPr>
          <w:w w:val="105"/>
        </w:rPr>
        <w:t>move</w:t>
      </w:r>
      <w:r>
        <w:rPr>
          <w:spacing w:val="-3"/>
          <w:w w:val="105"/>
        </w:rPr>
        <w:t> </w:t>
      </w:r>
      <w:r>
        <w:rPr>
          <w:w w:val="105"/>
        </w:rPr>
        <w:t>lower</w:t>
      </w:r>
      <w:r>
        <w:rPr>
          <w:spacing w:val="-4"/>
          <w:w w:val="105"/>
        </w:rPr>
        <w:t> </w:t>
      </w:r>
      <w:r>
        <w:rPr>
          <w:w w:val="105"/>
        </w:rPr>
        <w:t>in</w:t>
      </w:r>
      <w:r>
        <w:rPr>
          <w:spacing w:val="-5"/>
          <w:w w:val="105"/>
        </w:rPr>
        <w:t> </w:t>
      </w:r>
      <w:r>
        <w:rPr>
          <w:w w:val="105"/>
        </w:rPr>
        <w:t>EUR/CHF.</w:t>
      </w:r>
    </w:p>
    <w:p>
      <w:pPr>
        <w:pStyle w:val="BodyText"/>
        <w:rPr>
          <w:sz w:val="24"/>
        </w:rPr>
      </w:pPr>
    </w:p>
    <w:p>
      <w:pPr>
        <w:pStyle w:val="BodyText"/>
        <w:spacing w:before="8"/>
        <w:rPr>
          <w:sz w:val="21"/>
        </w:rPr>
      </w:pPr>
    </w:p>
    <w:p>
      <w:pPr>
        <w:pStyle w:val="ListParagraph"/>
        <w:numPr>
          <w:ilvl w:val="0"/>
          <w:numId w:val="1"/>
        </w:numPr>
        <w:tabs>
          <w:tab w:pos="550" w:val="left" w:leader="none"/>
        </w:tabs>
        <w:spacing w:line="240" w:lineRule="auto" w:before="0" w:after="0"/>
        <w:ind w:left="549" w:right="0" w:hanging="227"/>
        <w:jc w:val="left"/>
        <w:rPr>
          <w:b/>
          <w:i/>
          <w:sz w:val="22"/>
        </w:rPr>
      </w:pPr>
      <w:r>
        <w:rPr>
          <w:b/>
          <w:w w:val="105"/>
          <w:sz w:val="22"/>
        </w:rPr>
        <w:t>Regulatory update </w:t>
      </w:r>
      <w:r>
        <w:rPr>
          <w:b/>
          <w:i/>
          <w:w w:val="105"/>
          <w:sz w:val="22"/>
        </w:rPr>
        <w:t>(Heather</w:t>
      </w:r>
      <w:r>
        <w:rPr>
          <w:b/>
          <w:i/>
          <w:spacing w:val="-9"/>
          <w:w w:val="105"/>
          <w:sz w:val="22"/>
        </w:rPr>
        <w:t> </w:t>
      </w:r>
      <w:r>
        <w:rPr>
          <w:b/>
          <w:i/>
          <w:w w:val="105"/>
          <w:sz w:val="22"/>
        </w:rPr>
        <w:t>Pilley)</w:t>
      </w:r>
    </w:p>
    <w:p>
      <w:pPr>
        <w:pStyle w:val="BodyText"/>
        <w:rPr>
          <w:b/>
          <w:i/>
          <w:sz w:val="23"/>
        </w:rPr>
      </w:pPr>
    </w:p>
    <w:p>
      <w:pPr>
        <w:pStyle w:val="BodyText"/>
        <w:spacing w:line="491" w:lineRule="auto"/>
        <w:ind w:left="492" w:right="488"/>
        <w:jc w:val="both"/>
      </w:pPr>
      <w:r>
        <w:rPr>
          <w:w w:val="105"/>
        </w:rPr>
        <w:t>Heather</w:t>
      </w:r>
      <w:r>
        <w:rPr>
          <w:spacing w:val="-9"/>
          <w:w w:val="105"/>
        </w:rPr>
        <w:t> </w:t>
      </w:r>
      <w:r>
        <w:rPr>
          <w:w w:val="105"/>
        </w:rPr>
        <w:t>Pilley</w:t>
      </w:r>
      <w:r>
        <w:rPr>
          <w:spacing w:val="-6"/>
          <w:w w:val="105"/>
        </w:rPr>
        <w:t> </w:t>
      </w:r>
      <w:r>
        <w:rPr>
          <w:w w:val="105"/>
        </w:rPr>
        <w:t>presented</w:t>
      </w:r>
      <w:r>
        <w:rPr>
          <w:spacing w:val="-8"/>
          <w:w w:val="105"/>
        </w:rPr>
        <w:t> </w:t>
      </w:r>
      <w:r>
        <w:rPr>
          <w:w w:val="105"/>
        </w:rPr>
        <w:t>on</w:t>
      </w:r>
      <w:r>
        <w:rPr>
          <w:spacing w:val="-7"/>
          <w:w w:val="105"/>
        </w:rPr>
        <w:t> </w:t>
      </w:r>
      <w:r>
        <w:rPr>
          <w:w w:val="105"/>
        </w:rPr>
        <w:t>regulatory</w:t>
      </w:r>
      <w:r>
        <w:rPr>
          <w:spacing w:val="-6"/>
          <w:w w:val="105"/>
        </w:rPr>
        <w:t> </w:t>
      </w:r>
      <w:r>
        <w:rPr>
          <w:w w:val="105"/>
        </w:rPr>
        <w:t>matters,</w:t>
      </w:r>
      <w:r>
        <w:rPr>
          <w:spacing w:val="-8"/>
          <w:w w:val="105"/>
        </w:rPr>
        <w:t> </w:t>
      </w:r>
      <w:r>
        <w:rPr>
          <w:w w:val="105"/>
        </w:rPr>
        <w:t>noting</w:t>
      </w:r>
      <w:r>
        <w:rPr>
          <w:spacing w:val="-7"/>
          <w:w w:val="105"/>
        </w:rPr>
        <w:t> </w:t>
      </w:r>
      <w:r>
        <w:rPr>
          <w:w w:val="105"/>
        </w:rPr>
        <w:t>that</w:t>
      </w:r>
      <w:r>
        <w:rPr>
          <w:spacing w:val="-8"/>
          <w:w w:val="105"/>
        </w:rPr>
        <w:t> </w:t>
      </w:r>
      <w:r>
        <w:rPr>
          <w:w w:val="105"/>
        </w:rPr>
        <w:t>a</w:t>
      </w:r>
      <w:r>
        <w:rPr>
          <w:spacing w:val="-8"/>
          <w:w w:val="105"/>
        </w:rPr>
        <w:t> </w:t>
      </w:r>
      <w:r>
        <w:rPr>
          <w:w w:val="105"/>
        </w:rPr>
        <w:t>further</w:t>
      </w:r>
      <w:r>
        <w:rPr>
          <w:spacing w:val="-8"/>
          <w:w w:val="105"/>
        </w:rPr>
        <w:t> </w:t>
      </w:r>
      <w:r>
        <w:rPr>
          <w:w w:val="105"/>
        </w:rPr>
        <w:t>MiFID</w:t>
      </w:r>
      <w:r>
        <w:rPr>
          <w:spacing w:val="-7"/>
          <w:w w:val="105"/>
        </w:rPr>
        <w:t> </w:t>
      </w:r>
      <w:r>
        <w:rPr>
          <w:w w:val="105"/>
        </w:rPr>
        <w:t>II/MiFIR consultation</w:t>
      </w:r>
      <w:r>
        <w:rPr>
          <w:spacing w:val="-9"/>
          <w:w w:val="105"/>
        </w:rPr>
        <w:t> </w:t>
      </w:r>
      <w:r>
        <w:rPr>
          <w:w w:val="105"/>
        </w:rPr>
        <w:t>was</w:t>
      </w:r>
      <w:r>
        <w:rPr>
          <w:spacing w:val="-10"/>
          <w:w w:val="105"/>
        </w:rPr>
        <w:t> </w:t>
      </w:r>
      <w:r>
        <w:rPr>
          <w:w w:val="105"/>
        </w:rPr>
        <w:t>published</w:t>
      </w:r>
      <w:r>
        <w:rPr>
          <w:spacing w:val="-9"/>
          <w:w w:val="105"/>
        </w:rPr>
        <w:t> </w:t>
      </w:r>
      <w:r>
        <w:rPr>
          <w:w w:val="105"/>
        </w:rPr>
        <w:t>on</w:t>
      </w:r>
      <w:r>
        <w:rPr>
          <w:spacing w:val="-8"/>
          <w:w w:val="105"/>
        </w:rPr>
        <w:t> </w:t>
      </w:r>
      <w:r>
        <w:rPr>
          <w:w w:val="105"/>
        </w:rPr>
        <w:t>19</w:t>
      </w:r>
      <w:r>
        <w:rPr>
          <w:spacing w:val="-9"/>
          <w:w w:val="105"/>
        </w:rPr>
        <w:t> </w:t>
      </w:r>
      <w:r>
        <w:rPr>
          <w:w w:val="105"/>
        </w:rPr>
        <w:t>December</w:t>
      </w:r>
      <w:r>
        <w:rPr>
          <w:spacing w:val="-10"/>
          <w:w w:val="105"/>
        </w:rPr>
        <w:t> </w:t>
      </w:r>
      <w:r>
        <w:rPr>
          <w:w w:val="105"/>
        </w:rPr>
        <w:t>2014.</w:t>
      </w:r>
      <w:r>
        <w:rPr>
          <w:spacing w:val="40"/>
          <w:w w:val="105"/>
        </w:rPr>
        <w:t> </w:t>
      </w:r>
      <w:r>
        <w:rPr>
          <w:w w:val="105"/>
        </w:rPr>
        <w:t>A</w:t>
      </w:r>
      <w:r>
        <w:rPr>
          <w:spacing w:val="-10"/>
          <w:w w:val="105"/>
        </w:rPr>
        <w:t> </w:t>
      </w:r>
      <w:r>
        <w:rPr>
          <w:w w:val="105"/>
        </w:rPr>
        <w:t>further</w:t>
      </w:r>
      <w:r>
        <w:rPr>
          <w:spacing w:val="-9"/>
          <w:w w:val="105"/>
        </w:rPr>
        <w:t> </w:t>
      </w:r>
      <w:r>
        <w:rPr>
          <w:w w:val="105"/>
        </w:rPr>
        <w:t>document</w:t>
      </w:r>
      <w:r>
        <w:rPr>
          <w:spacing w:val="-9"/>
          <w:w w:val="105"/>
        </w:rPr>
        <w:t> </w:t>
      </w:r>
      <w:r>
        <w:rPr>
          <w:w w:val="105"/>
        </w:rPr>
        <w:t>consulting</w:t>
      </w:r>
      <w:r>
        <w:rPr>
          <w:spacing w:val="-10"/>
          <w:w w:val="105"/>
        </w:rPr>
        <w:t> </w:t>
      </w:r>
      <w:r>
        <w:rPr>
          <w:w w:val="105"/>
        </w:rPr>
        <w:t>on FX pre and post-trade transparency was expected to be published by ESMA in February.</w:t>
      </w:r>
    </w:p>
    <w:p>
      <w:pPr>
        <w:pStyle w:val="BodyText"/>
        <w:rPr>
          <w:sz w:val="24"/>
        </w:rPr>
      </w:pPr>
    </w:p>
    <w:p>
      <w:pPr>
        <w:pStyle w:val="BodyText"/>
        <w:spacing w:before="5"/>
        <w:rPr>
          <w:sz w:val="21"/>
        </w:rPr>
      </w:pPr>
    </w:p>
    <w:p>
      <w:pPr>
        <w:pStyle w:val="ListParagraph"/>
        <w:numPr>
          <w:ilvl w:val="0"/>
          <w:numId w:val="1"/>
        </w:numPr>
        <w:tabs>
          <w:tab w:pos="550" w:val="left" w:leader="none"/>
        </w:tabs>
        <w:spacing w:line="240" w:lineRule="auto" w:before="0" w:after="0"/>
        <w:ind w:left="549" w:right="0" w:hanging="227"/>
        <w:jc w:val="left"/>
        <w:rPr>
          <w:b/>
          <w:i/>
          <w:sz w:val="22"/>
        </w:rPr>
      </w:pPr>
      <w:r>
        <w:rPr>
          <w:b/>
          <w:w w:val="105"/>
          <w:sz w:val="22"/>
        </w:rPr>
        <w:t>Update on the Global Preamble </w:t>
      </w:r>
      <w:r>
        <w:rPr>
          <w:b/>
          <w:i/>
          <w:w w:val="105"/>
          <w:sz w:val="22"/>
        </w:rPr>
        <w:t>(Michael</w:t>
      </w:r>
      <w:r>
        <w:rPr>
          <w:b/>
          <w:i/>
          <w:spacing w:val="-25"/>
          <w:w w:val="105"/>
          <w:sz w:val="22"/>
        </w:rPr>
        <w:t> </w:t>
      </w:r>
      <w:r>
        <w:rPr>
          <w:b/>
          <w:i/>
          <w:w w:val="105"/>
          <w:sz w:val="22"/>
        </w:rPr>
        <w:t>Cross)</w:t>
      </w:r>
    </w:p>
    <w:p>
      <w:pPr>
        <w:pStyle w:val="BodyText"/>
        <w:rPr>
          <w:b/>
          <w:i/>
          <w:sz w:val="23"/>
        </w:rPr>
      </w:pPr>
    </w:p>
    <w:p>
      <w:pPr>
        <w:pStyle w:val="BodyText"/>
        <w:spacing w:line="491" w:lineRule="auto" w:before="1"/>
        <w:ind w:left="492" w:right="303"/>
      </w:pPr>
      <w:r>
        <w:rPr>
          <w:w w:val="105"/>
        </w:rPr>
        <w:t>Michael</w:t>
      </w:r>
      <w:r>
        <w:rPr>
          <w:spacing w:val="-14"/>
          <w:w w:val="105"/>
        </w:rPr>
        <w:t> </w:t>
      </w:r>
      <w:r>
        <w:rPr>
          <w:w w:val="105"/>
        </w:rPr>
        <w:t>Cross</w:t>
      </w:r>
      <w:r>
        <w:rPr>
          <w:spacing w:val="-14"/>
          <w:w w:val="105"/>
        </w:rPr>
        <w:t> </w:t>
      </w:r>
      <w:r>
        <w:rPr>
          <w:w w:val="105"/>
        </w:rPr>
        <w:t>provided</w:t>
      </w:r>
      <w:r>
        <w:rPr>
          <w:spacing w:val="-14"/>
          <w:w w:val="105"/>
        </w:rPr>
        <w:t> </w:t>
      </w:r>
      <w:r>
        <w:rPr>
          <w:w w:val="105"/>
        </w:rPr>
        <w:t>an</w:t>
      </w:r>
      <w:r>
        <w:rPr>
          <w:spacing w:val="-13"/>
          <w:w w:val="105"/>
        </w:rPr>
        <w:t> </w:t>
      </w:r>
      <w:r>
        <w:rPr>
          <w:w w:val="105"/>
        </w:rPr>
        <w:t>update</w:t>
      </w:r>
      <w:r>
        <w:rPr>
          <w:spacing w:val="-14"/>
          <w:w w:val="105"/>
        </w:rPr>
        <w:t> </w:t>
      </w:r>
      <w:r>
        <w:rPr>
          <w:w w:val="105"/>
        </w:rPr>
        <w:t>on</w:t>
      </w:r>
      <w:r>
        <w:rPr>
          <w:spacing w:val="-14"/>
          <w:w w:val="105"/>
        </w:rPr>
        <w:t> </w:t>
      </w:r>
      <w:r>
        <w:rPr>
          <w:w w:val="105"/>
        </w:rPr>
        <w:t>the</w:t>
      </w:r>
      <w:r>
        <w:rPr>
          <w:spacing w:val="-14"/>
          <w:w w:val="105"/>
        </w:rPr>
        <w:t> </w:t>
      </w:r>
      <w:r>
        <w:rPr>
          <w:w w:val="105"/>
        </w:rPr>
        <w:t>‘Codes</w:t>
      </w:r>
      <w:r>
        <w:rPr>
          <w:spacing w:val="-13"/>
          <w:w w:val="105"/>
        </w:rPr>
        <w:t> </w:t>
      </w:r>
      <w:r>
        <w:rPr>
          <w:w w:val="105"/>
        </w:rPr>
        <w:t>of</w:t>
      </w:r>
      <w:r>
        <w:rPr>
          <w:spacing w:val="-14"/>
          <w:w w:val="105"/>
        </w:rPr>
        <w:t> </w:t>
      </w:r>
      <w:r>
        <w:rPr>
          <w:w w:val="105"/>
        </w:rPr>
        <w:t>Best</w:t>
      </w:r>
      <w:r>
        <w:rPr>
          <w:spacing w:val="-15"/>
          <w:w w:val="105"/>
        </w:rPr>
        <w:t> </w:t>
      </w:r>
      <w:r>
        <w:rPr>
          <w:w w:val="105"/>
        </w:rPr>
        <w:t>Market</w:t>
      </w:r>
      <w:r>
        <w:rPr>
          <w:spacing w:val="-14"/>
          <w:w w:val="105"/>
        </w:rPr>
        <w:t> </w:t>
      </w:r>
      <w:r>
        <w:rPr>
          <w:w w:val="105"/>
        </w:rPr>
        <w:t>Practice</w:t>
      </w:r>
      <w:r>
        <w:rPr>
          <w:spacing w:val="-15"/>
          <w:w w:val="105"/>
        </w:rPr>
        <w:t> </w:t>
      </w:r>
      <w:r>
        <w:rPr>
          <w:w w:val="105"/>
        </w:rPr>
        <w:t>and</w:t>
      </w:r>
      <w:r>
        <w:rPr>
          <w:spacing w:val="-14"/>
          <w:w w:val="105"/>
        </w:rPr>
        <w:t> </w:t>
      </w:r>
      <w:r>
        <w:rPr>
          <w:w w:val="105"/>
        </w:rPr>
        <w:t>Shared Global</w:t>
      </w:r>
      <w:r>
        <w:rPr>
          <w:spacing w:val="-18"/>
          <w:w w:val="105"/>
        </w:rPr>
        <w:t> </w:t>
      </w:r>
      <w:r>
        <w:rPr>
          <w:w w:val="105"/>
        </w:rPr>
        <w:t>Principles’</w:t>
      </w:r>
      <w:r>
        <w:rPr>
          <w:spacing w:val="-17"/>
          <w:w w:val="105"/>
        </w:rPr>
        <w:t> </w:t>
      </w:r>
      <w:r>
        <w:rPr>
          <w:w w:val="105"/>
        </w:rPr>
        <w:t>that</w:t>
      </w:r>
      <w:r>
        <w:rPr>
          <w:spacing w:val="-17"/>
          <w:w w:val="105"/>
        </w:rPr>
        <w:t> </w:t>
      </w:r>
      <w:r>
        <w:rPr>
          <w:w w:val="105"/>
        </w:rPr>
        <w:t>had</w:t>
      </w:r>
      <w:r>
        <w:rPr>
          <w:spacing w:val="-18"/>
          <w:w w:val="105"/>
        </w:rPr>
        <w:t> </w:t>
      </w:r>
      <w:r>
        <w:rPr>
          <w:w w:val="105"/>
        </w:rPr>
        <w:t>been</w:t>
      </w:r>
      <w:r>
        <w:rPr>
          <w:spacing w:val="-17"/>
          <w:w w:val="105"/>
        </w:rPr>
        <w:t> </w:t>
      </w:r>
      <w:r>
        <w:rPr>
          <w:w w:val="105"/>
        </w:rPr>
        <w:t>prepared</w:t>
      </w:r>
      <w:r>
        <w:rPr>
          <w:spacing w:val="-16"/>
          <w:w w:val="105"/>
        </w:rPr>
        <w:t> </w:t>
      </w:r>
      <w:r>
        <w:rPr>
          <w:w w:val="105"/>
        </w:rPr>
        <w:t>collaboratively</w:t>
      </w:r>
      <w:r>
        <w:rPr>
          <w:spacing w:val="-15"/>
          <w:w w:val="105"/>
        </w:rPr>
        <w:t> </w:t>
      </w:r>
      <w:r>
        <w:rPr>
          <w:w w:val="105"/>
        </w:rPr>
        <w:t>by</w:t>
      </w:r>
      <w:r>
        <w:rPr>
          <w:spacing w:val="-17"/>
          <w:w w:val="105"/>
        </w:rPr>
        <w:t> </w:t>
      </w:r>
      <w:r>
        <w:rPr>
          <w:w w:val="105"/>
        </w:rPr>
        <w:t>the</w:t>
      </w:r>
      <w:r>
        <w:rPr>
          <w:spacing w:val="-19"/>
          <w:w w:val="105"/>
        </w:rPr>
        <w:t> </w:t>
      </w:r>
      <w:r>
        <w:rPr>
          <w:w w:val="105"/>
        </w:rPr>
        <w:t>FX</w:t>
      </w:r>
      <w:r>
        <w:rPr>
          <w:spacing w:val="-17"/>
          <w:w w:val="105"/>
        </w:rPr>
        <w:t> </w:t>
      </w:r>
      <w:r>
        <w:rPr>
          <w:w w:val="105"/>
        </w:rPr>
        <w:t>committees</w:t>
      </w:r>
      <w:r>
        <w:rPr>
          <w:spacing w:val="-16"/>
          <w:w w:val="105"/>
        </w:rPr>
        <w:t> </w:t>
      </w:r>
      <w:r>
        <w:rPr>
          <w:w w:val="105"/>
        </w:rPr>
        <w:t>of</w:t>
      </w:r>
      <w:r>
        <w:rPr>
          <w:spacing w:val="-18"/>
          <w:w w:val="105"/>
        </w:rPr>
        <w:t> </w:t>
      </w:r>
      <w:r>
        <w:rPr>
          <w:w w:val="105"/>
        </w:rPr>
        <w:t>the eight major global foreign exchange centres. The purpose of the document was to bring together common principles from the respective local codes into a single document.</w:t>
      </w:r>
    </w:p>
    <w:p>
      <w:pPr>
        <w:pStyle w:val="BodyText"/>
        <w:spacing w:line="491" w:lineRule="auto" w:before="3"/>
        <w:ind w:left="492" w:right="487"/>
        <w:jc w:val="both"/>
      </w:pPr>
      <w:r>
        <w:rPr>
          <w:w w:val="105"/>
        </w:rPr>
        <w:t>The drafting process of the preamble was ongoing; Robert Spillett indicated there would be a short period for Committee members to a second round of comments in early</w:t>
      </w:r>
      <w:r>
        <w:rPr>
          <w:spacing w:val="-10"/>
          <w:w w:val="105"/>
        </w:rPr>
        <w:t> </w:t>
      </w:r>
      <w:r>
        <w:rPr>
          <w:w w:val="105"/>
        </w:rPr>
        <w:t>February.</w:t>
      </w:r>
      <w:r>
        <w:rPr>
          <w:spacing w:val="-9"/>
          <w:w w:val="105"/>
        </w:rPr>
        <w:t> </w:t>
      </w:r>
      <w:r>
        <w:rPr>
          <w:w w:val="105"/>
        </w:rPr>
        <w:t>The</w:t>
      </w:r>
      <w:r>
        <w:rPr>
          <w:spacing w:val="-10"/>
          <w:w w:val="105"/>
        </w:rPr>
        <w:t> </w:t>
      </w:r>
      <w:r>
        <w:rPr>
          <w:w w:val="105"/>
        </w:rPr>
        <w:t>aim</w:t>
      </w:r>
      <w:r>
        <w:rPr>
          <w:spacing w:val="-11"/>
          <w:w w:val="105"/>
        </w:rPr>
        <w:t> </w:t>
      </w:r>
      <w:r>
        <w:rPr>
          <w:w w:val="105"/>
        </w:rPr>
        <w:t>was</w:t>
      </w:r>
      <w:r>
        <w:rPr>
          <w:spacing w:val="-10"/>
          <w:w w:val="105"/>
        </w:rPr>
        <w:t> </w:t>
      </w:r>
      <w:r>
        <w:rPr>
          <w:w w:val="105"/>
        </w:rPr>
        <w:t>then</w:t>
      </w:r>
      <w:r>
        <w:rPr>
          <w:spacing w:val="-10"/>
          <w:w w:val="105"/>
        </w:rPr>
        <w:t> </w:t>
      </w:r>
      <w:r>
        <w:rPr>
          <w:w w:val="105"/>
        </w:rPr>
        <w:t>for</w:t>
      </w:r>
      <w:r>
        <w:rPr>
          <w:spacing w:val="-10"/>
          <w:w w:val="105"/>
        </w:rPr>
        <w:t> </w:t>
      </w:r>
      <w:r>
        <w:rPr>
          <w:w w:val="105"/>
        </w:rPr>
        <w:t>the</w:t>
      </w:r>
      <w:r>
        <w:rPr>
          <w:spacing w:val="-10"/>
          <w:w w:val="105"/>
        </w:rPr>
        <w:t> </w:t>
      </w:r>
      <w:r>
        <w:rPr>
          <w:w w:val="105"/>
        </w:rPr>
        <w:t>preamble</w:t>
      </w:r>
      <w:r>
        <w:rPr>
          <w:spacing w:val="-11"/>
          <w:w w:val="105"/>
        </w:rPr>
        <w:t> </w:t>
      </w:r>
      <w:r>
        <w:rPr>
          <w:w w:val="105"/>
        </w:rPr>
        <w:t>to</w:t>
      </w:r>
      <w:r>
        <w:rPr>
          <w:spacing w:val="-10"/>
          <w:w w:val="105"/>
        </w:rPr>
        <w:t> </w:t>
      </w:r>
      <w:r>
        <w:rPr>
          <w:w w:val="105"/>
        </w:rPr>
        <w:t>be</w:t>
      </w:r>
      <w:r>
        <w:rPr>
          <w:spacing w:val="-10"/>
          <w:w w:val="105"/>
        </w:rPr>
        <w:t> </w:t>
      </w:r>
      <w:r>
        <w:rPr>
          <w:w w:val="105"/>
        </w:rPr>
        <w:t>formally</w:t>
      </w:r>
      <w:r>
        <w:rPr>
          <w:spacing w:val="-9"/>
          <w:w w:val="105"/>
        </w:rPr>
        <w:t> </w:t>
      </w:r>
      <w:r>
        <w:rPr>
          <w:w w:val="105"/>
        </w:rPr>
        <w:t>agreed</w:t>
      </w:r>
      <w:r>
        <w:rPr>
          <w:spacing w:val="-10"/>
          <w:w w:val="105"/>
        </w:rPr>
        <w:t> </w:t>
      </w:r>
      <w:r>
        <w:rPr>
          <w:w w:val="105"/>
        </w:rPr>
        <w:t>at</w:t>
      </w:r>
      <w:r>
        <w:rPr>
          <w:spacing w:val="-8"/>
          <w:w w:val="105"/>
        </w:rPr>
        <w:t> </w:t>
      </w:r>
      <w:r>
        <w:rPr>
          <w:w w:val="105"/>
        </w:rPr>
        <w:t>the</w:t>
      </w:r>
      <w:r>
        <w:rPr>
          <w:spacing w:val="-10"/>
          <w:w w:val="105"/>
        </w:rPr>
        <w:t> </w:t>
      </w:r>
      <w:r>
        <w:rPr>
          <w:w w:val="105"/>
        </w:rPr>
        <w:t>global FX Committee meeting in March and published</w:t>
      </w:r>
      <w:r>
        <w:rPr>
          <w:spacing w:val="-23"/>
          <w:w w:val="105"/>
        </w:rPr>
        <w:t> </w:t>
      </w:r>
      <w:r>
        <w:rPr>
          <w:w w:val="105"/>
        </w:rPr>
        <w:t>thereafter.</w:t>
      </w:r>
    </w:p>
    <w:p>
      <w:pPr>
        <w:pStyle w:val="BodyText"/>
        <w:rPr>
          <w:sz w:val="24"/>
        </w:rPr>
      </w:pPr>
    </w:p>
    <w:p>
      <w:pPr>
        <w:pStyle w:val="BodyText"/>
        <w:spacing w:before="6"/>
        <w:rPr>
          <w:sz w:val="21"/>
        </w:rPr>
      </w:pPr>
    </w:p>
    <w:p>
      <w:pPr>
        <w:pStyle w:val="Heading1"/>
        <w:numPr>
          <w:ilvl w:val="0"/>
          <w:numId w:val="1"/>
        </w:numPr>
        <w:tabs>
          <w:tab w:pos="719" w:val="left" w:leader="none"/>
        </w:tabs>
        <w:spacing w:line="240" w:lineRule="auto" w:before="1" w:after="0"/>
        <w:ind w:left="718" w:right="0" w:hanging="227"/>
        <w:jc w:val="left"/>
      </w:pPr>
      <w:r>
        <w:rPr>
          <w:w w:val="105"/>
        </w:rPr>
        <w:t>Updates from the</w:t>
      </w:r>
      <w:r>
        <w:rPr>
          <w:spacing w:val="-10"/>
          <w:w w:val="105"/>
        </w:rPr>
        <w:t> </w:t>
      </w:r>
      <w:r>
        <w:rPr>
          <w:w w:val="105"/>
        </w:rPr>
        <w:t>subgroups</w:t>
      </w:r>
    </w:p>
    <w:p>
      <w:pPr>
        <w:spacing w:after="0" w:line="240" w:lineRule="auto"/>
        <w:jc w:val="left"/>
        <w:sectPr>
          <w:pgSz w:w="12240" w:h="15840"/>
          <w:pgMar w:top="1280" w:bottom="280" w:left="1720" w:right="1720"/>
        </w:sectPr>
      </w:pPr>
    </w:p>
    <w:p>
      <w:pPr>
        <w:spacing w:before="79"/>
        <w:ind w:left="492" w:right="0" w:firstLine="0"/>
        <w:jc w:val="left"/>
        <w:rPr>
          <w:b/>
          <w:i/>
          <w:sz w:val="22"/>
        </w:rPr>
      </w:pPr>
      <w:r>
        <w:rPr>
          <w:b/>
          <w:w w:val="105"/>
          <w:sz w:val="22"/>
        </w:rPr>
        <w:t>Legal </w:t>
      </w:r>
      <w:r>
        <w:rPr>
          <w:b/>
          <w:i/>
          <w:w w:val="105"/>
          <w:sz w:val="22"/>
        </w:rPr>
        <w:t>(Jacqueline Joyston-Bechal)</w:t>
      </w:r>
    </w:p>
    <w:p>
      <w:pPr>
        <w:pStyle w:val="BodyText"/>
        <w:spacing w:before="1"/>
        <w:rPr>
          <w:b/>
          <w:i/>
          <w:sz w:val="23"/>
        </w:rPr>
      </w:pPr>
    </w:p>
    <w:p>
      <w:pPr>
        <w:pStyle w:val="BodyText"/>
        <w:spacing w:line="491" w:lineRule="auto"/>
        <w:ind w:left="492" w:right="491"/>
        <w:jc w:val="both"/>
      </w:pPr>
      <w:r>
        <w:rPr>
          <w:w w:val="105"/>
        </w:rPr>
        <w:t>The Legal subgroup met on 20 November. The Fair and Effective Markets Review consultation document had been discussed.</w:t>
      </w:r>
    </w:p>
    <w:p>
      <w:pPr>
        <w:spacing w:before="2"/>
        <w:ind w:left="492" w:right="0" w:firstLine="0"/>
        <w:jc w:val="left"/>
        <w:rPr>
          <w:b/>
          <w:i/>
          <w:sz w:val="22"/>
        </w:rPr>
      </w:pPr>
      <w:r>
        <w:rPr>
          <w:b/>
          <w:w w:val="105"/>
          <w:sz w:val="22"/>
        </w:rPr>
        <w:t>Buy-side </w:t>
      </w:r>
      <w:r>
        <w:rPr>
          <w:b/>
          <w:i/>
          <w:w w:val="105"/>
          <w:sz w:val="22"/>
        </w:rPr>
        <w:t>(Lisa Scott Smith)</w:t>
      </w:r>
    </w:p>
    <w:p>
      <w:pPr>
        <w:pStyle w:val="BodyText"/>
        <w:spacing w:before="1"/>
        <w:rPr>
          <w:b/>
          <w:i/>
          <w:sz w:val="23"/>
        </w:rPr>
      </w:pPr>
    </w:p>
    <w:p>
      <w:pPr>
        <w:pStyle w:val="BodyText"/>
        <w:spacing w:line="491" w:lineRule="auto"/>
        <w:ind w:left="492" w:right="491"/>
        <w:jc w:val="both"/>
      </w:pPr>
      <w:r>
        <w:rPr>
          <w:w w:val="105"/>
        </w:rPr>
        <w:t>The Buy-side subgroup had not met since the previous Main Committee meeting. It was due to meet on 24</w:t>
      </w:r>
      <w:r>
        <w:rPr>
          <w:spacing w:val="-13"/>
          <w:w w:val="105"/>
        </w:rPr>
        <w:t> </w:t>
      </w:r>
      <w:r>
        <w:rPr>
          <w:w w:val="105"/>
        </w:rPr>
        <w:t>February.</w:t>
      </w:r>
    </w:p>
    <w:p>
      <w:pPr>
        <w:spacing w:before="3"/>
        <w:ind w:left="492" w:right="0" w:firstLine="0"/>
        <w:jc w:val="left"/>
        <w:rPr>
          <w:b/>
          <w:i/>
          <w:sz w:val="22"/>
        </w:rPr>
      </w:pPr>
      <w:r>
        <w:rPr>
          <w:b/>
          <w:sz w:val="22"/>
        </w:rPr>
        <w:t>Operations  </w:t>
      </w:r>
      <w:r>
        <w:rPr>
          <w:b/>
          <w:i/>
          <w:sz w:val="22"/>
        </w:rPr>
        <w:t>(Isabelle</w:t>
      </w:r>
      <w:r>
        <w:rPr>
          <w:b/>
          <w:i/>
          <w:spacing w:val="-1"/>
          <w:sz w:val="22"/>
        </w:rPr>
        <w:t> </w:t>
      </w:r>
      <w:r>
        <w:rPr>
          <w:b/>
          <w:i/>
          <w:sz w:val="22"/>
        </w:rPr>
        <w:t>Dennigan)</w:t>
      </w:r>
    </w:p>
    <w:p>
      <w:pPr>
        <w:pStyle w:val="BodyText"/>
        <w:spacing w:before="1"/>
        <w:rPr>
          <w:b/>
          <w:i/>
          <w:sz w:val="23"/>
        </w:rPr>
      </w:pPr>
    </w:p>
    <w:p>
      <w:pPr>
        <w:pStyle w:val="BodyText"/>
        <w:spacing w:line="491" w:lineRule="auto"/>
        <w:ind w:left="492" w:right="489"/>
        <w:jc w:val="both"/>
      </w:pPr>
      <w:r>
        <w:rPr>
          <w:w w:val="105"/>
        </w:rPr>
        <w:t>The Operations subgroup met on 13 January. The subgroup received presentations from SWIFT on cyber risk and discussed ‘Exercise Blackbox’, a sector-wide contingency</w:t>
      </w:r>
      <w:r>
        <w:rPr>
          <w:spacing w:val="-17"/>
          <w:w w:val="105"/>
        </w:rPr>
        <w:t> </w:t>
      </w:r>
      <w:r>
        <w:rPr>
          <w:w w:val="105"/>
        </w:rPr>
        <w:t>desktop</w:t>
      </w:r>
      <w:r>
        <w:rPr>
          <w:spacing w:val="-16"/>
          <w:w w:val="105"/>
        </w:rPr>
        <w:t> </w:t>
      </w:r>
      <w:r>
        <w:rPr>
          <w:w w:val="105"/>
        </w:rPr>
        <w:t>exercise</w:t>
      </w:r>
      <w:r>
        <w:rPr>
          <w:spacing w:val="-18"/>
          <w:w w:val="105"/>
        </w:rPr>
        <w:t> </w:t>
      </w:r>
      <w:r>
        <w:rPr>
          <w:w w:val="105"/>
        </w:rPr>
        <w:t>organised</w:t>
      </w:r>
      <w:r>
        <w:rPr>
          <w:spacing w:val="-17"/>
          <w:w w:val="105"/>
        </w:rPr>
        <w:t> </w:t>
      </w:r>
      <w:r>
        <w:rPr>
          <w:w w:val="105"/>
        </w:rPr>
        <w:t>by</w:t>
      </w:r>
      <w:r>
        <w:rPr>
          <w:spacing w:val="-16"/>
          <w:w w:val="105"/>
        </w:rPr>
        <w:t> </w:t>
      </w:r>
      <w:r>
        <w:rPr>
          <w:w w:val="105"/>
        </w:rPr>
        <w:t>the</w:t>
      </w:r>
      <w:r>
        <w:rPr>
          <w:spacing w:val="-19"/>
          <w:w w:val="105"/>
        </w:rPr>
        <w:t> </w:t>
      </w:r>
      <w:r>
        <w:rPr>
          <w:w w:val="105"/>
        </w:rPr>
        <w:t>Investment</w:t>
      </w:r>
      <w:r>
        <w:rPr>
          <w:spacing w:val="-16"/>
          <w:w w:val="105"/>
        </w:rPr>
        <w:t> </w:t>
      </w:r>
      <w:r>
        <w:rPr>
          <w:w w:val="105"/>
        </w:rPr>
        <w:t>Banks</w:t>
      </w:r>
      <w:r>
        <w:rPr>
          <w:spacing w:val="-16"/>
          <w:w w:val="105"/>
        </w:rPr>
        <w:t> </w:t>
      </w:r>
      <w:r>
        <w:rPr>
          <w:w w:val="105"/>
        </w:rPr>
        <w:t>Business</w:t>
      </w:r>
      <w:r>
        <w:rPr>
          <w:spacing w:val="-18"/>
          <w:w w:val="105"/>
        </w:rPr>
        <w:t> </w:t>
      </w:r>
      <w:r>
        <w:rPr>
          <w:w w:val="105"/>
        </w:rPr>
        <w:t>Continuity Group on 20th January 2015. The outcome of the exercise would be shared with the group later on this year and may highlight areas it needs to focus on. The group also discussed the client on-boarding process and there was interest in looking into this subject</w:t>
      </w:r>
      <w:r>
        <w:rPr>
          <w:spacing w:val="-1"/>
          <w:w w:val="105"/>
        </w:rPr>
        <w:t> </w:t>
      </w:r>
      <w:r>
        <w:rPr>
          <w:w w:val="105"/>
        </w:rPr>
        <w:t>more.</w:t>
      </w:r>
    </w:p>
    <w:p>
      <w:pPr>
        <w:pStyle w:val="BodyText"/>
        <w:spacing w:before="11"/>
      </w:pPr>
    </w:p>
    <w:p>
      <w:pPr>
        <w:pStyle w:val="Heading1"/>
        <w:numPr>
          <w:ilvl w:val="0"/>
          <w:numId w:val="1"/>
        </w:numPr>
        <w:tabs>
          <w:tab w:pos="550" w:val="left" w:leader="none"/>
        </w:tabs>
        <w:spacing w:line="240" w:lineRule="auto" w:before="0" w:after="0"/>
        <w:ind w:left="549" w:right="0" w:hanging="227"/>
        <w:jc w:val="left"/>
        <w:rPr>
          <w:i/>
        </w:rPr>
      </w:pPr>
      <w:r>
        <w:rPr>
          <w:w w:val="105"/>
        </w:rPr>
        <w:t>Any other business</w:t>
      </w:r>
      <w:r>
        <w:rPr>
          <w:spacing w:val="-8"/>
          <w:w w:val="105"/>
        </w:rPr>
        <w:t> </w:t>
      </w:r>
      <w:r>
        <w:rPr>
          <w:w w:val="105"/>
        </w:rPr>
        <w:t>(</w:t>
      </w:r>
      <w:r>
        <w:rPr>
          <w:i/>
          <w:w w:val="105"/>
        </w:rPr>
        <w:t>All)</w:t>
      </w:r>
    </w:p>
    <w:p>
      <w:pPr>
        <w:pStyle w:val="BodyText"/>
        <w:spacing w:before="1"/>
        <w:rPr>
          <w:b/>
          <w:i/>
          <w:sz w:val="23"/>
        </w:rPr>
      </w:pPr>
    </w:p>
    <w:p>
      <w:pPr>
        <w:pStyle w:val="BodyText"/>
        <w:spacing w:line="491" w:lineRule="auto"/>
        <w:ind w:left="492" w:right="490"/>
        <w:jc w:val="both"/>
      </w:pPr>
      <w:r>
        <w:rPr>
          <w:w w:val="105"/>
        </w:rPr>
        <w:t>Robert</w:t>
      </w:r>
      <w:r>
        <w:rPr>
          <w:spacing w:val="-7"/>
          <w:w w:val="105"/>
        </w:rPr>
        <w:t> </w:t>
      </w:r>
      <w:r>
        <w:rPr>
          <w:w w:val="105"/>
        </w:rPr>
        <w:t>Spillett</w:t>
      </w:r>
      <w:r>
        <w:rPr>
          <w:spacing w:val="-8"/>
          <w:w w:val="105"/>
        </w:rPr>
        <w:t> </w:t>
      </w:r>
      <w:r>
        <w:rPr>
          <w:w w:val="105"/>
        </w:rPr>
        <w:t>updated</w:t>
      </w:r>
      <w:r>
        <w:rPr>
          <w:spacing w:val="-6"/>
          <w:w w:val="105"/>
        </w:rPr>
        <w:t> </w:t>
      </w:r>
      <w:r>
        <w:rPr>
          <w:w w:val="105"/>
        </w:rPr>
        <w:t>to</w:t>
      </w:r>
      <w:r>
        <w:rPr>
          <w:spacing w:val="-7"/>
          <w:w w:val="105"/>
        </w:rPr>
        <w:t> </w:t>
      </w:r>
      <w:r>
        <w:rPr>
          <w:w w:val="105"/>
        </w:rPr>
        <w:t>the</w:t>
      </w:r>
      <w:r>
        <w:rPr>
          <w:spacing w:val="-8"/>
          <w:w w:val="105"/>
        </w:rPr>
        <w:t> </w:t>
      </w:r>
      <w:r>
        <w:rPr>
          <w:w w:val="105"/>
        </w:rPr>
        <w:t>Committee</w:t>
      </w:r>
      <w:r>
        <w:rPr>
          <w:spacing w:val="-8"/>
          <w:w w:val="105"/>
        </w:rPr>
        <w:t> </w:t>
      </w:r>
      <w:r>
        <w:rPr>
          <w:w w:val="105"/>
        </w:rPr>
        <w:t>that</w:t>
      </w:r>
      <w:r>
        <w:rPr>
          <w:spacing w:val="-7"/>
          <w:w w:val="105"/>
        </w:rPr>
        <w:t> </w:t>
      </w:r>
      <w:r>
        <w:rPr>
          <w:w w:val="105"/>
        </w:rPr>
        <w:t>the</w:t>
      </w:r>
      <w:r>
        <w:rPr>
          <w:spacing w:val="-6"/>
          <w:w w:val="105"/>
        </w:rPr>
        <w:t> </w:t>
      </w:r>
      <w:r>
        <w:rPr>
          <w:w w:val="105"/>
        </w:rPr>
        <w:t>October</w:t>
      </w:r>
      <w:r>
        <w:rPr>
          <w:spacing w:val="-8"/>
          <w:w w:val="105"/>
        </w:rPr>
        <w:t> </w:t>
      </w:r>
      <w:r>
        <w:rPr>
          <w:w w:val="105"/>
        </w:rPr>
        <w:t>2014</w:t>
      </w:r>
      <w:r>
        <w:rPr>
          <w:spacing w:val="-8"/>
          <w:w w:val="105"/>
        </w:rPr>
        <w:t> </w:t>
      </w:r>
      <w:r>
        <w:rPr>
          <w:w w:val="105"/>
        </w:rPr>
        <w:t>FXJSC</w:t>
      </w:r>
      <w:r>
        <w:rPr>
          <w:spacing w:val="-8"/>
          <w:w w:val="105"/>
        </w:rPr>
        <w:t> </w:t>
      </w:r>
      <w:r>
        <w:rPr>
          <w:w w:val="105"/>
        </w:rPr>
        <w:t>FX</w:t>
      </w:r>
      <w:r>
        <w:rPr>
          <w:spacing w:val="-6"/>
          <w:w w:val="105"/>
        </w:rPr>
        <w:t> </w:t>
      </w:r>
      <w:r>
        <w:rPr>
          <w:w w:val="105"/>
        </w:rPr>
        <w:t>Turnover Survey had been published earlier in the day. This would be discussed at a future meeting.</w:t>
      </w:r>
    </w:p>
    <w:p>
      <w:pPr>
        <w:pStyle w:val="BodyText"/>
        <w:rPr>
          <w:sz w:val="24"/>
        </w:rPr>
      </w:pPr>
    </w:p>
    <w:p>
      <w:pPr>
        <w:pStyle w:val="BodyText"/>
        <w:spacing w:before="5"/>
        <w:rPr>
          <w:sz w:val="21"/>
        </w:rPr>
      </w:pPr>
    </w:p>
    <w:p>
      <w:pPr>
        <w:pStyle w:val="Heading1"/>
        <w:ind w:left="492"/>
      </w:pPr>
      <w:r>
        <w:rPr>
          <w:w w:val="105"/>
        </w:rPr>
        <w:t>The next meeting of the FXJSC will be held on 31 March 2015 at Barclays</w:t>
      </w:r>
    </w:p>
    <w:sectPr>
      <w:pgSz w:w="12240" w:h="15840"/>
      <w:pgMar w:top="128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5" w:hanging="282"/>
        <w:jc w:val="right"/>
      </w:pPr>
      <w:rPr>
        <w:rFonts w:hint="default" w:ascii="Times New Roman" w:hAnsi="Times New Roman" w:eastAsia="Times New Roman" w:cs="Times New Roman"/>
        <w:b/>
        <w:bCs/>
        <w:spacing w:val="-1"/>
        <w:w w:val="102"/>
        <w:sz w:val="22"/>
        <w:szCs w:val="22"/>
      </w:rPr>
    </w:lvl>
    <w:lvl w:ilvl="1">
      <w:start w:val="0"/>
      <w:numFmt w:val="bullet"/>
      <w:lvlText w:val="•"/>
      <w:lvlJc w:val="left"/>
      <w:pPr>
        <w:ind w:left="1420" w:hanging="282"/>
      </w:pPr>
      <w:rPr>
        <w:rFonts w:hint="default"/>
      </w:rPr>
    </w:lvl>
    <w:lvl w:ilvl="2">
      <w:start w:val="0"/>
      <w:numFmt w:val="bullet"/>
      <w:lvlText w:val="•"/>
      <w:lvlJc w:val="left"/>
      <w:pPr>
        <w:ind w:left="2240" w:hanging="282"/>
      </w:pPr>
      <w:rPr>
        <w:rFonts w:hint="default"/>
      </w:rPr>
    </w:lvl>
    <w:lvl w:ilvl="3">
      <w:start w:val="0"/>
      <w:numFmt w:val="bullet"/>
      <w:lvlText w:val="•"/>
      <w:lvlJc w:val="left"/>
      <w:pPr>
        <w:ind w:left="3060" w:hanging="282"/>
      </w:pPr>
      <w:rPr>
        <w:rFonts w:hint="default"/>
      </w:rPr>
    </w:lvl>
    <w:lvl w:ilvl="4">
      <w:start w:val="0"/>
      <w:numFmt w:val="bullet"/>
      <w:lvlText w:val="•"/>
      <w:lvlJc w:val="left"/>
      <w:pPr>
        <w:ind w:left="3880" w:hanging="282"/>
      </w:pPr>
      <w:rPr>
        <w:rFonts w:hint="default"/>
      </w:rPr>
    </w:lvl>
    <w:lvl w:ilvl="5">
      <w:start w:val="0"/>
      <w:numFmt w:val="bullet"/>
      <w:lvlText w:val="•"/>
      <w:lvlJc w:val="left"/>
      <w:pPr>
        <w:ind w:left="4700" w:hanging="282"/>
      </w:pPr>
      <w:rPr>
        <w:rFonts w:hint="default"/>
      </w:rPr>
    </w:lvl>
    <w:lvl w:ilvl="6">
      <w:start w:val="0"/>
      <w:numFmt w:val="bullet"/>
      <w:lvlText w:val="•"/>
      <w:lvlJc w:val="left"/>
      <w:pPr>
        <w:ind w:left="5520" w:hanging="282"/>
      </w:pPr>
      <w:rPr>
        <w:rFonts w:hint="default"/>
      </w:rPr>
    </w:lvl>
    <w:lvl w:ilvl="7">
      <w:start w:val="0"/>
      <w:numFmt w:val="bullet"/>
      <w:lvlText w:val="•"/>
      <w:lvlJc w:val="left"/>
      <w:pPr>
        <w:ind w:left="6340" w:hanging="282"/>
      </w:pPr>
      <w:rPr>
        <w:rFonts w:hint="default"/>
      </w:rPr>
    </w:lvl>
    <w:lvl w:ilvl="8">
      <w:start w:val="0"/>
      <w:numFmt w:val="bullet"/>
      <w:lvlText w:val="•"/>
      <w:lvlJc w:val="left"/>
      <w:pPr>
        <w:ind w:left="7160" w:hanging="28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351"/>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549" w:hanging="227"/>
    </w:pPr>
    <w:rPr>
      <w:rFonts w:ascii="Times New Roman" w:hAnsi="Times New Roman" w:eastAsia="Times New Roman" w:cs="Times New Roman"/>
    </w:rPr>
  </w:style>
  <w:style w:styleId="TableParagraph" w:type="paragraph">
    <w:name w:val="Table Paragraph"/>
    <w:basedOn w:val="Normal"/>
    <w:uiPriority w:val="1"/>
    <w:qFormat/>
    <w:pPr>
      <w:spacing w:before="43"/>
      <w:ind w:left="1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Foreign Exchange Joint Standing Committee Meeting on 27 January 2015</dc:subject>
  <dc:title>Minutes of the Foreign Exchange Joint Standing Committee Meeting on 27 January 2015</dc:title>
  <dcterms:created xsi:type="dcterms:W3CDTF">2020-06-01T02:01:03Z</dcterms:created>
  <dcterms:modified xsi:type="dcterms:W3CDTF">2020-06-01T02:01:03Z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Creator">
    <vt:lpwstr>PScript5.dll Version 5.2.2</vt:lpwstr>
  </property>
  <property fmtid="{D5CDD505-2E9C-101B-9397-08002B2CF9AE}" pid="4" name="LastSaved">
    <vt:filetime>2020-06-01T00:00:00Z</vt:filetime>
  </property>
</Properties>
</file>