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8"/>
        <w:ind w:left="861" w:right="804"/>
        <w:jc w:val="center"/>
      </w:pPr>
      <w:r>
        <w:rPr/>
        <w:t>FOREIGN EXCHANGE JOINT STANDING COMMITTEE</w:t>
      </w:r>
    </w:p>
    <w:p>
      <w:pPr>
        <w:pStyle w:val="BodyText"/>
        <w:rPr>
          <w:b/>
        </w:rPr>
      </w:pPr>
    </w:p>
    <w:p>
      <w:pPr>
        <w:spacing w:line="274" w:lineRule="exact" w:before="0"/>
        <w:ind w:left="861" w:right="799" w:firstLine="0"/>
        <w:jc w:val="center"/>
        <w:rPr>
          <w:b/>
          <w:sz w:val="24"/>
        </w:rPr>
      </w:pPr>
      <w:r>
        <w:rPr>
          <w:b/>
          <w:sz w:val="24"/>
        </w:rPr>
        <w:t>Tuesday 19 May 2015</w:t>
      </w:r>
    </w:p>
    <w:p>
      <w:pPr>
        <w:pStyle w:val="BodyText"/>
        <w:spacing w:line="274" w:lineRule="exact"/>
        <w:ind w:left="861" w:right="804"/>
        <w:jc w:val="center"/>
      </w:pPr>
      <w:r>
        <w:rPr/>
        <w:t>Bank of New York Mellon, One Canada Square, Canary Wharf, E14 5AL</w:t>
      </w:r>
    </w:p>
    <w:p>
      <w:pPr>
        <w:pStyle w:val="BodyText"/>
        <w:spacing w:before="7"/>
        <w:rPr>
          <w:sz w:val="16"/>
        </w:rPr>
      </w:pPr>
    </w:p>
    <w:p>
      <w:pPr>
        <w:spacing w:before="90"/>
        <w:ind w:left="861" w:right="801" w:firstLine="0"/>
        <w:jc w:val="center"/>
        <w:rPr>
          <w:b/>
          <w:sz w:val="24"/>
        </w:rPr>
      </w:pPr>
      <w:r>
        <w:rPr>
          <w:b/>
          <w:sz w:val="24"/>
          <w:u w:val="thick"/>
        </w:rPr>
        <w:t>MINUTES</w:t>
      </w:r>
    </w:p>
    <w:p>
      <w:pPr>
        <w:spacing w:before="0"/>
        <w:ind w:left="280" w:right="0" w:firstLine="0"/>
        <w:jc w:val="left"/>
        <w:rPr>
          <w:b/>
          <w:sz w:val="24"/>
        </w:rPr>
      </w:pPr>
      <w:r>
        <w:rPr>
          <w:b/>
          <w:sz w:val="24"/>
        </w:rPr>
        <w:t>In Attendance</w:t>
      </w:r>
    </w:p>
    <w:p>
      <w:pPr>
        <w:pStyle w:val="BodyText"/>
        <w:spacing w:before="3" w:after="1"/>
        <w:rPr>
          <w:b/>
        </w:rPr>
      </w:pP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9"/>
        <w:gridCol w:w="4246"/>
      </w:tblGrid>
      <w:tr>
        <w:trPr>
          <w:trHeight w:val="309" w:hRule="atLeast"/>
        </w:trPr>
        <w:tc>
          <w:tcPr>
            <w:tcW w:w="4279" w:type="dxa"/>
            <w:tcBorders>
              <w:right w:val="single" w:sz="6" w:space="0" w:color="000000"/>
            </w:tcBorders>
          </w:tcPr>
          <w:p>
            <w:pPr>
              <w:pStyle w:val="TableParagraph"/>
              <w:spacing w:before="38"/>
              <w:rPr>
                <w:b/>
                <w:i/>
                <w:sz w:val="20"/>
              </w:rPr>
            </w:pPr>
            <w:r>
              <w:rPr>
                <w:b/>
                <w:i/>
                <w:sz w:val="20"/>
              </w:rPr>
              <w:t>Michael Cross</w:t>
            </w:r>
          </w:p>
        </w:tc>
        <w:tc>
          <w:tcPr>
            <w:tcW w:w="4246" w:type="dxa"/>
            <w:tcBorders>
              <w:left w:val="single" w:sz="6" w:space="0" w:color="000000"/>
            </w:tcBorders>
          </w:tcPr>
          <w:p>
            <w:pPr>
              <w:pStyle w:val="TableParagraph"/>
              <w:spacing w:before="38"/>
              <w:ind w:left="103"/>
              <w:rPr>
                <w:b/>
                <w:i/>
                <w:sz w:val="20"/>
              </w:rPr>
            </w:pPr>
            <w:r>
              <w:rPr>
                <w:b/>
                <w:i/>
                <w:sz w:val="20"/>
              </w:rPr>
              <w:t>Bank of England (Chair)</w:t>
            </w:r>
          </w:p>
        </w:tc>
      </w:tr>
      <w:tr>
        <w:trPr>
          <w:trHeight w:val="311" w:hRule="atLeast"/>
        </w:trPr>
        <w:tc>
          <w:tcPr>
            <w:tcW w:w="4279" w:type="dxa"/>
            <w:tcBorders>
              <w:right w:val="single" w:sz="6" w:space="0" w:color="000000"/>
            </w:tcBorders>
          </w:tcPr>
          <w:p>
            <w:pPr>
              <w:pStyle w:val="TableParagraph"/>
              <w:spacing w:before="38"/>
              <w:rPr>
                <w:b/>
                <w:i/>
                <w:sz w:val="20"/>
              </w:rPr>
            </w:pPr>
            <w:r>
              <w:rPr>
                <w:b/>
                <w:i/>
                <w:sz w:val="20"/>
              </w:rPr>
              <w:t>Robert Spillett</w:t>
            </w:r>
          </w:p>
        </w:tc>
        <w:tc>
          <w:tcPr>
            <w:tcW w:w="4246" w:type="dxa"/>
            <w:tcBorders>
              <w:left w:val="single" w:sz="6" w:space="0" w:color="000000"/>
            </w:tcBorders>
          </w:tcPr>
          <w:p>
            <w:pPr>
              <w:pStyle w:val="TableParagraph"/>
              <w:spacing w:before="38"/>
              <w:ind w:left="103"/>
              <w:rPr>
                <w:b/>
                <w:i/>
                <w:sz w:val="20"/>
              </w:rPr>
            </w:pPr>
            <w:r>
              <w:rPr>
                <w:b/>
                <w:i/>
                <w:sz w:val="20"/>
              </w:rPr>
              <w:t>Bank of England (Secretariat)</w:t>
            </w:r>
          </w:p>
        </w:tc>
      </w:tr>
      <w:tr>
        <w:trPr>
          <w:trHeight w:val="309" w:hRule="atLeast"/>
        </w:trPr>
        <w:tc>
          <w:tcPr>
            <w:tcW w:w="4279" w:type="dxa"/>
            <w:tcBorders>
              <w:right w:val="single" w:sz="6" w:space="0" w:color="000000"/>
            </w:tcBorders>
          </w:tcPr>
          <w:p>
            <w:pPr>
              <w:pStyle w:val="TableParagraph"/>
              <w:spacing w:before="38"/>
              <w:rPr>
                <w:b/>
                <w:i/>
                <w:sz w:val="20"/>
              </w:rPr>
            </w:pPr>
            <w:r>
              <w:rPr>
                <w:b/>
                <w:i/>
                <w:sz w:val="20"/>
              </w:rPr>
              <w:t>Jacqueline Joyston-Bechal</w:t>
            </w:r>
          </w:p>
        </w:tc>
        <w:tc>
          <w:tcPr>
            <w:tcW w:w="4246" w:type="dxa"/>
            <w:tcBorders>
              <w:left w:val="single" w:sz="6" w:space="0" w:color="000000"/>
            </w:tcBorders>
          </w:tcPr>
          <w:p>
            <w:pPr>
              <w:pStyle w:val="TableParagraph"/>
              <w:spacing w:before="38"/>
              <w:ind w:left="103"/>
              <w:rPr>
                <w:b/>
                <w:i/>
                <w:sz w:val="20"/>
              </w:rPr>
            </w:pPr>
            <w:r>
              <w:rPr>
                <w:b/>
                <w:i/>
                <w:sz w:val="20"/>
              </w:rPr>
              <w:t>Bank of England (Legal)</w:t>
            </w:r>
          </w:p>
        </w:tc>
      </w:tr>
      <w:tr>
        <w:trPr>
          <w:trHeight w:val="309" w:hRule="atLeast"/>
        </w:trPr>
        <w:tc>
          <w:tcPr>
            <w:tcW w:w="4279" w:type="dxa"/>
            <w:tcBorders>
              <w:right w:val="single" w:sz="6" w:space="0" w:color="000000"/>
            </w:tcBorders>
          </w:tcPr>
          <w:p>
            <w:pPr>
              <w:pStyle w:val="TableParagraph"/>
              <w:spacing w:before="38"/>
              <w:rPr>
                <w:b/>
                <w:i/>
                <w:sz w:val="20"/>
              </w:rPr>
            </w:pPr>
            <w:r>
              <w:rPr>
                <w:b/>
                <w:i/>
                <w:sz w:val="20"/>
              </w:rPr>
              <w:t>Jo West</w:t>
            </w:r>
          </w:p>
        </w:tc>
        <w:tc>
          <w:tcPr>
            <w:tcW w:w="4246" w:type="dxa"/>
            <w:tcBorders>
              <w:left w:val="single" w:sz="6" w:space="0" w:color="000000"/>
            </w:tcBorders>
          </w:tcPr>
          <w:p>
            <w:pPr>
              <w:pStyle w:val="TableParagraph"/>
              <w:spacing w:before="38"/>
              <w:ind w:left="103"/>
              <w:rPr>
                <w:b/>
                <w:i/>
                <w:sz w:val="20"/>
              </w:rPr>
            </w:pPr>
            <w:r>
              <w:rPr>
                <w:b/>
                <w:i/>
                <w:sz w:val="20"/>
              </w:rPr>
              <w:t>Bank of England (Secretariat)</w:t>
            </w:r>
          </w:p>
        </w:tc>
      </w:tr>
      <w:tr>
        <w:trPr>
          <w:trHeight w:val="311" w:hRule="atLeast"/>
        </w:trPr>
        <w:tc>
          <w:tcPr>
            <w:tcW w:w="4279" w:type="dxa"/>
            <w:tcBorders>
              <w:right w:val="single" w:sz="6" w:space="0" w:color="000000"/>
            </w:tcBorders>
          </w:tcPr>
          <w:p>
            <w:pPr>
              <w:pStyle w:val="TableParagraph"/>
              <w:rPr>
                <w:sz w:val="20"/>
              </w:rPr>
            </w:pPr>
            <w:r>
              <w:rPr>
                <w:sz w:val="20"/>
              </w:rPr>
              <w:t>Rob Loewy</w:t>
            </w:r>
          </w:p>
        </w:tc>
        <w:tc>
          <w:tcPr>
            <w:tcW w:w="4246" w:type="dxa"/>
            <w:tcBorders>
              <w:left w:val="single" w:sz="6" w:space="0" w:color="000000"/>
            </w:tcBorders>
          </w:tcPr>
          <w:p>
            <w:pPr>
              <w:pStyle w:val="TableParagraph"/>
              <w:ind w:left="103"/>
              <w:rPr>
                <w:sz w:val="20"/>
              </w:rPr>
            </w:pPr>
            <w:r>
              <w:rPr>
                <w:sz w:val="20"/>
              </w:rPr>
              <w:t>Bank of China</w:t>
            </w:r>
          </w:p>
        </w:tc>
      </w:tr>
      <w:tr>
        <w:trPr>
          <w:trHeight w:val="307" w:hRule="atLeast"/>
        </w:trPr>
        <w:tc>
          <w:tcPr>
            <w:tcW w:w="4279" w:type="dxa"/>
            <w:tcBorders>
              <w:bottom w:val="single" w:sz="6" w:space="0" w:color="000000"/>
              <w:right w:val="single" w:sz="6" w:space="0" w:color="000000"/>
            </w:tcBorders>
          </w:tcPr>
          <w:p>
            <w:pPr>
              <w:pStyle w:val="TableParagraph"/>
              <w:rPr>
                <w:sz w:val="20"/>
              </w:rPr>
            </w:pPr>
            <w:r>
              <w:rPr>
                <w:sz w:val="20"/>
              </w:rPr>
              <w:t>Fujio Nishio</w:t>
            </w:r>
          </w:p>
        </w:tc>
        <w:tc>
          <w:tcPr>
            <w:tcW w:w="4246" w:type="dxa"/>
            <w:tcBorders>
              <w:left w:val="single" w:sz="6" w:space="0" w:color="000000"/>
              <w:bottom w:val="single" w:sz="6" w:space="0" w:color="000000"/>
            </w:tcBorders>
          </w:tcPr>
          <w:p>
            <w:pPr>
              <w:pStyle w:val="TableParagraph"/>
              <w:ind w:left="103"/>
              <w:rPr>
                <w:sz w:val="20"/>
              </w:rPr>
            </w:pPr>
            <w:r>
              <w:rPr>
                <w:sz w:val="20"/>
              </w:rPr>
              <w:t>Bank of Tokyo-Mitsubishi</w:t>
            </w:r>
          </w:p>
        </w:tc>
      </w:tr>
      <w:tr>
        <w:trPr>
          <w:trHeight w:val="306" w:hRule="atLeast"/>
        </w:trPr>
        <w:tc>
          <w:tcPr>
            <w:tcW w:w="4279" w:type="dxa"/>
            <w:tcBorders>
              <w:top w:val="single" w:sz="6" w:space="0" w:color="000000"/>
              <w:right w:val="single" w:sz="6" w:space="0" w:color="000000"/>
            </w:tcBorders>
          </w:tcPr>
          <w:p>
            <w:pPr>
              <w:pStyle w:val="TableParagraph"/>
              <w:spacing w:before="31"/>
              <w:rPr>
                <w:sz w:val="20"/>
              </w:rPr>
            </w:pPr>
            <w:r>
              <w:rPr>
                <w:sz w:val="20"/>
              </w:rPr>
              <w:t>Adrian McGowan</w:t>
            </w:r>
          </w:p>
        </w:tc>
        <w:tc>
          <w:tcPr>
            <w:tcW w:w="4246" w:type="dxa"/>
            <w:tcBorders>
              <w:top w:val="single" w:sz="6" w:space="0" w:color="000000"/>
              <w:left w:val="single" w:sz="6" w:space="0" w:color="000000"/>
            </w:tcBorders>
          </w:tcPr>
          <w:p>
            <w:pPr>
              <w:pStyle w:val="TableParagraph"/>
              <w:spacing w:before="31"/>
              <w:ind w:left="103"/>
              <w:rPr>
                <w:sz w:val="20"/>
              </w:rPr>
            </w:pPr>
            <w:r>
              <w:rPr>
                <w:sz w:val="20"/>
              </w:rPr>
              <w:t>Barclays</w:t>
            </w:r>
          </w:p>
        </w:tc>
      </w:tr>
      <w:tr>
        <w:trPr>
          <w:trHeight w:val="311" w:hRule="atLeast"/>
        </w:trPr>
        <w:tc>
          <w:tcPr>
            <w:tcW w:w="4279" w:type="dxa"/>
            <w:tcBorders>
              <w:right w:val="single" w:sz="6" w:space="0" w:color="000000"/>
            </w:tcBorders>
          </w:tcPr>
          <w:p>
            <w:pPr>
              <w:pStyle w:val="TableParagraph"/>
              <w:rPr>
                <w:sz w:val="20"/>
              </w:rPr>
            </w:pPr>
            <w:r>
              <w:rPr>
                <w:sz w:val="20"/>
              </w:rPr>
              <w:t>Andrew Rogan</w:t>
            </w:r>
          </w:p>
        </w:tc>
        <w:tc>
          <w:tcPr>
            <w:tcW w:w="4246" w:type="dxa"/>
            <w:tcBorders>
              <w:left w:val="single" w:sz="6" w:space="0" w:color="000000"/>
            </w:tcBorders>
          </w:tcPr>
          <w:p>
            <w:pPr>
              <w:pStyle w:val="TableParagraph"/>
              <w:ind w:left="103"/>
              <w:rPr>
                <w:sz w:val="20"/>
              </w:rPr>
            </w:pPr>
            <w:r>
              <w:rPr>
                <w:sz w:val="20"/>
              </w:rPr>
              <w:t>British Bankers’ Association</w:t>
            </w:r>
          </w:p>
        </w:tc>
      </w:tr>
      <w:tr>
        <w:trPr>
          <w:trHeight w:val="309" w:hRule="atLeast"/>
        </w:trPr>
        <w:tc>
          <w:tcPr>
            <w:tcW w:w="4279" w:type="dxa"/>
            <w:tcBorders>
              <w:right w:val="single" w:sz="6" w:space="0" w:color="000000"/>
            </w:tcBorders>
          </w:tcPr>
          <w:p>
            <w:pPr>
              <w:pStyle w:val="TableParagraph"/>
              <w:rPr>
                <w:sz w:val="20"/>
              </w:rPr>
            </w:pPr>
            <w:r>
              <w:rPr>
                <w:sz w:val="20"/>
              </w:rPr>
              <w:t>James Bindler</w:t>
            </w:r>
          </w:p>
        </w:tc>
        <w:tc>
          <w:tcPr>
            <w:tcW w:w="4246" w:type="dxa"/>
            <w:tcBorders>
              <w:left w:val="single" w:sz="6" w:space="0" w:color="000000"/>
            </w:tcBorders>
          </w:tcPr>
          <w:p>
            <w:pPr>
              <w:pStyle w:val="TableParagraph"/>
              <w:ind w:left="103"/>
              <w:rPr>
                <w:sz w:val="20"/>
              </w:rPr>
            </w:pPr>
            <w:r>
              <w:rPr>
                <w:sz w:val="20"/>
              </w:rPr>
              <w:t>Citi</w:t>
            </w:r>
          </w:p>
        </w:tc>
      </w:tr>
      <w:tr>
        <w:trPr>
          <w:trHeight w:val="309" w:hRule="atLeast"/>
        </w:trPr>
        <w:tc>
          <w:tcPr>
            <w:tcW w:w="4279" w:type="dxa"/>
            <w:tcBorders>
              <w:right w:val="single" w:sz="6" w:space="0" w:color="000000"/>
            </w:tcBorders>
          </w:tcPr>
          <w:p>
            <w:pPr>
              <w:pStyle w:val="TableParagraph"/>
              <w:rPr>
                <w:sz w:val="20"/>
              </w:rPr>
            </w:pPr>
            <w:r>
              <w:rPr>
                <w:sz w:val="20"/>
              </w:rPr>
              <w:t>David Puth</w:t>
            </w:r>
          </w:p>
        </w:tc>
        <w:tc>
          <w:tcPr>
            <w:tcW w:w="4246" w:type="dxa"/>
            <w:tcBorders>
              <w:left w:val="single" w:sz="6" w:space="0" w:color="000000"/>
            </w:tcBorders>
          </w:tcPr>
          <w:p>
            <w:pPr>
              <w:pStyle w:val="TableParagraph"/>
              <w:ind w:left="103"/>
              <w:rPr>
                <w:sz w:val="20"/>
              </w:rPr>
            </w:pPr>
            <w:r>
              <w:rPr>
                <w:sz w:val="20"/>
              </w:rPr>
              <w:t>CLS Bank</w:t>
            </w:r>
          </w:p>
        </w:tc>
      </w:tr>
      <w:tr>
        <w:trPr>
          <w:trHeight w:val="309" w:hRule="atLeast"/>
        </w:trPr>
        <w:tc>
          <w:tcPr>
            <w:tcW w:w="4279" w:type="dxa"/>
            <w:tcBorders>
              <w:right w:val="single" w:sz="6" w:space="0" w:color="000000"/>
            </w:tcBorders>
          </w:tcPr>
          <w:p>
            <w:pPr>
              <w:pStyle w:val="TableParagraph"/>
              <w:rPr>
                <w:sz w:val="20"/>
              </w:rPr>
            </w:pPr>
            <w:r>
              <w:rPr>
                <w:sz w:val="20"/>
              </w:rPr>
              <w:t>Heather Pilley</w:t>
            </w:r>
          </w:p>
        </w:tc>
        <w:tc>
          <w:tcPr>
            <w:tcW w:w="4246" w:type="dxa"/>
            <w:tcBorders>
              <w:left w:val="single" w:sz="6" w:space="0" w:color="000000"/>
            </w:tcBorders>
          </w:tcPr>
          <w:p>
            <w:pPr>
              <w:pStyle w:val="TableParagraph"/>
              <w:ind w:left="103"/>
              <w:rPr>
                <w:sz w:val="20"/>
              </w:rPr>
            </w:pPr>
            <w:r>
              <w:rPr>
                <w:sz w:val="20"/>
              </w:rPr>
              <w:t>FCA</w:t>
            </w:r>
          </w:p>
        </w:tc>
      </w:tr>
      <w:tr>
        <w:trPr>
          <w:trHeight w:val="311" w:hRule="atLeast"/>
        </w:trPr>
        <w:tc>
          <w:tcPr>
            <w:tcW w:w="4279" w:type="dxa"/>
            <w:tcBorders>
              <w:right w:val="single" w:sz="6" w:space="0" w:color="000000"/>
            </w:tcBorders>
          </w:tcPr>
          <w:p>
            <w:pPr>
              <w:pStyle w:val="TableParagraph"/>
              <w:spacing w:before="36"/>
              <w:rPr>
                <w:sz w:val="20"/>
              </w:rPr>
            </w:pPr>
            <w:r>
              <w:rPr>
                <w:sz w:val="20"/>
              </w:rPr>
              <w:t>Gil Mandelzis</w:t>
            </w:r>
          </w:p>
        </w:tc>
        <w:tc>
          <w:tcPr>
            <w:tcW w:w="4246" w:type="dxa"/>
            <w:tcBorders>
              <w:left w:val="single" w:sz="6" w:space="0" w:color="000000"/>
            </w:tcBorders>
          </w:tcPr>
          <w:p>
            <w:pPr>
              <w:pStyle w:val="TableParagraph"/>
              <w:spacing w:before="36"/>
              <w:ind w:left="103"/>
              <w:rPr>
                <w:sz w:val="20"/>
              </w:rPr>
            </w:pPr>
            <w:r>
              <w:rPr>
                <w:sz w:val="20"/>
              </w:rPr>
              <w:t>EBS BrokerTec</w:t>
            </w:r>
          </w:p>
        </w:tc>
      </w:tr>
      <w:tr>
        <w:trPr>
          <w:trHeight w:val="309" w:hRule="atLeast"/>
        </w:trPr>
        <w:tc>
          <w:tcPr>
            <w:tcW w:w="4279" w:type="dxa"/>
            <w:tcBorders>
              <w:right w:val="single" w:sz="6" w:space="0" w:color="000000"/>
            </w:tcBorders>
          </w:tcPr>
          <w:p>
            <w:pPr>
              <w:pStyle w:val="TableParagraph"/>
              <w:rPr>
                <w:sz w:val="20"/>
              </w:rPr>
            </w:pPr>
            <w:r>
              <w:rPr>
                <w:sz w:val="20"/>
              </w:rPr>
              <w:t>Frederic Boillereau</w:t>
            </w:r>
          </w:p>
        </w:tc>
        <w:tc>
          <w:tcPr>
            <w:tcW w:w="4246" w:type="dxa"/>
            <w:tcBorders>
              <w:left w:val="single" w:sz="6" w:space="0" w:color="000000"/>
            </w:tcBorders>
          </w:tcPr>
          <w:p>
            <w:pPr>
              <w:pStyle w:val="TableParagraph"/>
              <w:ind w:left="103"/>
              <w:rPr>
                <w:sz w:val="20"/>
              </w:rPr>
            </w:pPr>
            <w:r>
              <w:rPr>
                <w:sz w:val="20"/>
              </w:rPr>
              <w:t>HSBC</w:t>
            </w:r>
          </w:p>
        </w:tc>
      </w:tr>
      <w:tr>
        <w:trPr>
          <w:trHeight w:val="309" w:hRule="atLeast"/>
        </w:trPr>
        <w:tc>
          <w:tcPr>
            <w:tcW w:w="4279" w:type="dxa"/>
            <w:tcBorders>
              <w:right w:val="single" w:sz="6" w:space="0" w:color="000000"/>
            </w:tcBorders>
          </w:tcPr>
          <w:p>
            <w:pPr>
              <w:pStyle w:val="TableParagraph"/>
              <w:rPr>
                <w:sz w:val="20"/>
              </w:rPr>
            </w:pPr>
            <w:r>
              <w:rPr>
                <w:sz w:val="20"/>
              </w:rPr>
              <w:t>Richard Metcalfe</w:t>
            </w:r>
          </w:p>
        </w:tc>
        <w:tc>
          <w:tcPr>
            <w:tcW w:w="4246" w:type="dxa"/>
            <w:tcBorders>
              <w:left w:val="single" w:sz="6" w:space="0" w:color="000000"/>
            </w:tcBorders>
          </w:tcPr>
          <w:p>
            <w:pPr>
              <w:pStyle w:val="TableParagraph"/>
              <w:ind w:left="103"/>
              <w:rPr>
                <w:sz w:val="20"/>
              </w:rPr>
            </w:pPr>
            <w:r>
              <w:rPr>
                <w:sz w:val="20"/>
              </w:rPr>
              <w:t>The Investment Association</w:t>
            </w:r>
          </w:p>
        </w:tc>
      </w:tr>
      <w:tr>
        <w:trPr>
          <w:trHeight w:val="311" w:hRule="atLeast"/>
        </w:trPr>
        <w:tc>
          <w:tcPr>
            <w:tcW w:w="4279" w:type="dxa"/>
            <w:tcBorders>
              <w:right w:val="single" w:sz="6" w:space="0" w:color="000000"/>
            </w:tcBorders>
          </w:tcPr>
          <w:p>
            <w:pPr>
              <w:pStyle w:val="TableParagraph"/>
              <w:spacing w:before="36"/>
              <w:rPr>
                <w:sz w:val="20"/>
              </w:rPr>
            </w:pPr>
            <w:r>
              <w:rPr>
                <w:sz w:val="20"/>
              </w:rPr>
              <w:t>Troy Rohrbaugh</w:t>
            </w:r>
          </w:p>
        </w:tc>
        <w:tc>
          <w:tcPr>
            <w:tcW w:w="4246" w:type="dxa"/>
            <w:tcBorders>
              <w:left w:val="single" w:sz="6" w:space="0" w:color="000000"/>
            </w:tcBorders>
          </w:tcPr>
          <w:p>
            <w:pPr>
              <w:pStyle w:val="TableParagraph"/>
              <w:spacing w:before="36"/>
              <w:ind w:left="103"/>
              <w:rPr>
                <w:sz w:val="20"/>
              </w:rPr>
            </w:pPr>
            <w:r>
              <w:rPr>
                <w:sz w:val="20"/>
              </w:rPr>
              <w:t>JP Morgan Chase</w:t>
            </w:r>
          </w:p>
        </w:tc>
      </w:tr>
      <w:tr>
        <w:trPr>
          <w:trHeight w:val="309" w:hRule="atLeast"/>
        </w:trPr>
        <w:tc>
          <w:tcPr>
            <w:tcW w:w="4279" w:type="dxa"/>
            <w:tcBorders>
              <w:right w:val="single" w:sz="6" w:space="0" w:color="000000"/>
            </w:tcBorders>
          </w:tcPr>
          <w:p>
            <w:pPr>
              <w:pStyle w:val="TableParagraph"/>
              <w:rPr>
                <w:sz w:val="20"/>
              </w:rPr>
            </w:pPr>
            <w:r>
              <w:rPr>
                <w:sz w:val="20"/>
              </w:rPr>
              <w:t>Lisa Scott-Smith</w:t>
            </w:r>
          </w:p>
        </w:tc>
        <w:tc>
          <w:tcPr>
            <w:tcW w:w="4246" w:type="dxa"/>
            <w:tcBorders>
              <w:left w:val="single" w:sz="6" w:space="0" w:color="000000"/>
            </w:tcBorders>
          </w:tcPr>
          <w:p>
            <w:pPr>
              <w:pStyle w:val="TableParagraph"/>
              <w:ind w:left="103"/>
              <w:rPr>
                <w:sz w:val="20"/>
              </w:rPr>
            </w:pPr>
            <w:r>
              <w:rPr>
                <w:sz w:val="20"/>
              </w:rPr>
              <w:t>Millennium Global</w:t>
            </w:r>
          </w:p>
        </w:tc>
      </w:tr>
      <w:tr>
        <w:trPr>
          <w:trHeight w:val="309" w:hRule="atLeast"/>
        </w:trPr>
        <w:tc>
          <w:tcPr>
            <w:tcW w:w="4279" w:type="dxa"/>
            <w:tcBorders>
              <w:right w:val="single" w:sz="6" w:space="0" w:color="000000"/>
            </w:tcBorders>
          </w:tcPr>
          <w:p>
            <w:pPr>
              <w:pStyle w:val="TableParagraph"/>
              <w:rPr>
                <w:sz w:val="20"/>
              </w:rPr>
            </w:pPr>
            <w:r>
              <w:rPr>
                <w:sz w:val="20"/>
              </w:rPr>
              <w:t>Isabelle Dennigan</w:t>
            </w:r>
          </w:p>
        </w:tc>
        <w:tc>
          <w:tcPr>
            <w:tcW w:w="4246" w:type="dxa"/>
            <w:tcBorders>
              <w:left w:val="single" w:sz="6" w:space="0" w:color="000000"/>
            </w:tcBorders>
          </w:tcPr>
          <w:p>
            <w:pPr>
              <w:pStyle w:val="TableParagraph"/>
              <w:ind w:left="103"/>
              <w:rPr>
                <w:sz w:val="20"/>
              </w:rPr>
            </w:pPr>
            <w:r>
              <w:rPr>
                <w:sz w:val="20"/>
              </w:rPr>
              <w:t>RBC (Operations Sub-committee Chair)</w:t>
            </w:r>
          </w:p>
        </w:tc>
      </w:tr>
      <w:tr>
        <w:trPr>
          <w:trHeight w:val="311" w:hRule="atLeast"/>
        </w:trPr>
        <w:tc>
          <w:tcPr>
            <w:tcW w:w="4279" w:type="dxa"/>
            <w:tcBorders>
              <w:right w:val="single" w:sz="6" w:space="0" w:color="000000"/>
            </w:tcBorders>
          </w:tcPr>
          <w:p>
            <w:pPr>
              <w:pStyle w:val="TableParagraph"/>
              <w:spacing w:before="36"/>
              <w:rPr>
                <w:sz w:val="20"/>
              </w:rPr>
            </w:pPr>
            <w:r>
              <w:rPr>
                <w:sz w:val="20"/>
              </w:rPr>
              <w:t>Phil Weisberg</w:t>
            </w:r>
          </w:p>
        </w:tc>
        <w:tc>
          <w:tcPr>
            <w:tcW w:w="4246" w:type="dxa"/>
            <w:tcBorders>
              <w:left w:val="single" w:sz="6" w:space="0" w:color="000000"/>
            </w:tcBorders>
          </w:tcPr>
          <w:p>
            <w:pPr>
              <w:pStyle w:val="TableParagraph"/>
              <w:spacing w:before="36"/>
              <w:ind w:left="103"/>
              <w:rPr>
                <w:sz w:val="20"/>
              </w:rPr>
            </w:pPr>
            <w:r>
              <w:rPr>
                <w:sz w:val="20"/>
              </w:rPr>
              <w:t>Thomson Reuters</w:t>
            </w:r>
          </w:p>
        </w:tc>
      </w:tr>
      <w:tr>
        <w:trPr>
          <w:trHeight w:val="309" w:hRule="atLeast"/>
        </w:trPr>
        <w:tc>
          <w:tcPr>
            <w:tcW w:w="4279" w:type="dxa"/>
            <w:tcBorders>
              <w:right w:val="single" w:sz="6" w:space="0" w:color="000000"/>
            </w:tcBorders>
          </w:tcPr>
          <w:p>
            <w:pPr>
              <w:pStyle w:val="TableParagraph"/>
              <w:rPr>
                <w:sz w:val="20"/>
              </w:rPr>
            </w:pPr>
            <w:r>
              <w:rPr>
                <w:sz w:val="20"/>
              </w:rPr>
              <w:t>James Potter</w:t>
            </w:r>
          </w:p>
        </w:tc>
        <w:tc>
          <w:tcPr>
            <w:tcW w:w="4246" w:type="dxa"/>
            <w:tcBorders>
              <w:left w:val="single" w:sz="6" w:space="0" w:color="000000"/>
            </w:tcBorders>
          </w:tcPr>
          <w:p>
            <w:pPr>
              <w:pStyle w:val="TableParagraph"/>
              <w:ind w:left="103"/>
              <w:rPr>
                <w:sz w:val="20"/>
              </w:rPr>
            </w:pPr>
            <w:r>
              <w:rPr>
                <w:sz w:val="20"/>
              </w:rPr>
              <w:t>Tullet Prebon</w:t>
            </w:r>
          </w:p>
        </w:tc>
      </w:tr>
      <w:tr>
        <w:trPr>
          <w:trHeight w:val="309" w:hRule="atLeast"/>
        </w:trPr>
        <w:tc>
          <w:tcPr>
            <w:tcW w:w="4279" w:type="dxa"/>
          </w:tcPr>
          <w:p>
            <w:pPr>
              <w:pStyle w:val="TableParagraph"/>
              <w:rPr>
                <w:sz w:val="20"/>
              </w:rPr>
            </w:pPr>
            <w:r>
              <w:rPr>
                <w:sz w:val="20"/>
              </w:rPr>
              <w:t>Richard Gill</w:t>
            </w:r>
          </w:p>
        </w:tc>
        <w:tc>
          <w:tcPr>
            <w:tcW w:w="4246" w:type="dxa"/>
          </w:tcPr>
          <w:p>
            <w:pPr>
              <w:pStyle w:val="TableParagraph"/>
              <w:ind w:left="98"/>
              <w:rPr>
                <w:sz w:val="20"/>
              </w:rPr>
            </w:pPr>
            <w:r>
              <w:rPr>
                <w:sz w:val="20"/>
              </w:rPr>
              <w:t>Bank of New York Mellon</w:t>
            </w:r>
          </w:p>
        </w:tc>
      </w:tr>
      <w:tr>
        <w:trPr>
          <w:trHeight w:val="311" w:hRule="atLeast"/>
        </w:trPr>
        <w:tc>
          <w:tcPr>
            <w:tcW w:w="4279" w:type="dxa"/>
          </w:tcPr>
          <w:p>
            <w:pPr>
              <w:pStyle w:val="TableParagraph"/>
              <w:spacing w:before="36"/>
              <w:rPr>
                <w:sz w:val="20"/>
              </w:rPr>
            </w:pPr>
            <w:r>
              <w:rPr>
                <w:sz w:val="20"/>
              </w:rPr>
              <w:t>George Athanasopoulos</w:t>
            </w:r>
          </w:p>
        </w:tc>
        <w:tc>
          <w:tcPr>
            <w:tcW w:w="4246" w:type="dxa"/>
          </w:tcPr>
          <w:p>
            <w:pPr>
              <w:pStyle w:val="TableParagraph"/>
              <w:spacing w:before="36"/>
              <w:ind w:left="98"/>
              <w:rPr>
                <w:sz w:val="20"/>
              </w:rPr>
            </w:pPr>
            <w:r>
              <w:rPr>
                <w:sz w:val="20"/>
              </w:rPr>
              <w:t>UBS</w:t>
            </w:r>
          </w:p>
        </w:tc>
      </w:tr>
      <w:tr>
        <w:trPr>
          <w:trHeight w:val="309" w:hRule="atLeast"/>
        </w:trPr>
        <w:tc>
          <w:tcPr>
            <w:tcW w:w="4279" w:type="dxa"/>
          </w:tcPr>
          <w:p>
            <w:pPr>
              <w:pStyle w:val="TableParagraph"/>
              <w:rPr>
                <w:sz w:val="20"/>
              </w:rPr>
            </w:pPr>
            <w:r>
              <w:rPr>
                <w:sz w:val="20"/>
              </w:rPr>
              <w:t>Alex McDonald</w:t>
            </w:r>
          </w:p>
        </w:tc>
        <w:tc>
          <w:tcPr>
            <w:tcW w:w="4246" w:type="dxa"/>
          </w:tcPr>
          <w:p>
            <w:pPr>
              <w:pStyle w:val="TableParagraph"/>
              <w:ind w:left="98"/>
              <w:rPr>
                <w:sz w:val="20"/>
              </w:rPr>
            </w:pPr>
            <w:r>
              <w:rPr>
                <w:sz w:val="20"/>
              </w:rPr>
              <w:t>WMBA</w:t>
            </w:r>
          </w:p>
        </w:tc>
      </w:tr>
      <w:tr>
        <w:trPr>
          <w:trHeight w:val="309" w:hRule="atLeast"/>
        </w:trPr>
        <w:tc>
          <w:tcPr>
            <w:tcW w:w="4279" w:type="dxa"/>
          </w:tcPr>
          <w:p>
            <w:pPr>
              <w:pStyle w:val="TableParagraph"/>
              <w:rPr>
                <w:i/>
                <w:sz w:val="20"/>
              </w:rPr>
            </w:pPr>
            <w:r>
              <w:rPr>
                <w:i/>
                <w:sz w:val="20"/>
              </w:rPr>
              <w:t>Damien Shanahan</w:t>
            </w:r>
          </w:p>
        </w:tc>
        <w:tc>
          <w:tcPr>
            <w:tcW w:w="4246" w:type="dxa"/>
          </w:tcPr>
          <w:p>
            <w:pPr>
              <w:pStyle w:val="TableParagraph"/>
              <w:ind w:left="98"/>
              <w:rPr>
                <w:i/>
                <w:sz w:val="20"/>
              </w:rPr>
            </w:pPr>
            <w:r>
              <w:rPr>
                <w:i/>
                <w:sz w:val="20"/>
              </w:rPr>
              <w:t>FCA (Guest speaker)</w:t>
            </w:r>
          </w:p>
        </w:tc>
      </w:tr>
      <w:tr>
        <w:trPr>
          <w:trHeight w:val="311" w:hRule="atLeast"/>
        </w:trPr>
        <w:tc>
          <w:tcPr>
            <w:tcW w:w="4279" w:type="dxa"/>
          </w:tcPr>
          <w:p>
            <w:pPr>
              <w:pStyle w:val="TableParagraph"/>
              <w:spacing w:before="36"/>
              <w:rPr>
                <w:i/>
                <w:sz w:val="20"/>
              </w:rPr>
            </w:pPr>
            <w:r>
              <w:rPr>
                <w:i/>
                <w:sz w:val="20"/>
              </w:rPr>
              <w:t>Caroline Michel</w:t>
            </w:r>
          </w:p>
        </w:tc>
        <w:tc>
          <w:tcPr>
            <w:tcW w:w="4246" w:type="dxa"/>
          </w:tcPr>
          <w:p>
            <w:pPr>
              <w:pStyle w:val="TableParagraph"/>
              <w:spacing w:before="36"/>
              <w:ind w:left="98"/>
              <w:rPr>
                <w:i/>
                <w:sz w:val="20"/>
              </w:rPr>
            </w:pPr>
            <w:r>
              <w:rPr>
                <w:i/>
                <w:sz w:val="20"/>
              </w:rPr>
              <w:t>FCA (Guest speaker)</w:t>
            </w:r>
          </w:p>
        </w:tc>
      </w:tr>
      <w:tr>
        <w:trPr>
          <w:trHeight w:val="309" w:hRule="atLeast"/>
        </w:trPr>
        <w:tc>
          <w:tcPr>
            <w:tcW w:w="4279" w:type="dxa"/>
          </w:tcPr>
          <w:p>
            <w:pPr>
              <w:pStyle w:val="TableParagraph"/>
              <w:rPr>
                <w:i/>
                <w:sz w:val="20"/>
              </w:rPr>
            </w:pPr>
            <w:r>
              <w:rPr>
                <w:i/>
                <w:sz w:val="20"/>
              </w:rPr>
              <w:t>Alastair Kellett</w:t>
            </w:r>
          </w:p>
        </w:tc>
        <w:tc>
          <w:tcPr>
            <w:tcW w:w="4246" w:type="dxa"/>
          </w:tcPr>
          <w:p>
            <w:pPr>
              <w:pStyle w:val="TableParagraph"/>
              <w:ind w:left="98"/>
              <w:rPr>
                <w:i/>
                <w:sz w:val="20"/>
              </w:rPr>
            </w:pPr>
            <w:r>
              <w:rPr>
                <w:i/>
                <w:sz w:val="20"/>
              </w:rPr>
              <w:t>FCA (Guest speaker)</w:t>
            </w:r>
          </w:p>
        </w:tc>
      </w:tr>
      <w:tr>
        <w:trPr>
          <w:trHeight w:val="309" w:hRule="atLeast"/>
        </w:trPr>
        <w:tc>
          <w:tcPr>
            <w:tcW w:w="4279" w:type="dxa"/>
          </w:tcPr>
          <w:p>
            <w:pPr>
              <w:pStyle w:val="TableParagraph"/>
              <w:rPr>
                <w:i/>
                <w:sz w:val="20"/>
              </w:rPr>
            </w:pPr>
            <w:r>
              <w:rPr>
                <w:i/>
                <w:sz w:val="20"/>
              </w:rPr>
              <w:t>Phil Scott</w:t>
            </w:r>
          </w:p>
        </w:tc>
        <w:tc>
          <w:tcPr>
            <w:tcW w:w="4246" w:type="dxa"/>
          </w:tcPr>
          <w:p>
            <w:pPr>
              <w:pStyle w:val="TableParagraph"/>
              <w:ind w:left="98"/>
              <w:rPr>
                <w:i/>
                <w:sz w:val="20"/>
              </w:rPr>
            </w:pPr>
            <w:r>
              <w:rPr>
                <w:i/>
                <w:sz w:val="20"/>
              </w:rPr>
              <w:t>Vodafone (Guest speaker)</w:t>
            </w:r>
          </w:p>
        </w:tc>
      </w:tr>
      <w:tr>
        <w:trPr>
          <w:trHeight w:val="311" w:hRule="atLeast"/>
        </w:trPr>
        <w:tc>
          <w:tcPr>
            <w:tcW w:w="4279" w:type="dxa"/>
          </w:tcPr>
          <w:p>
            <w:pPr>
              <w:pStyle w:val="TableParagraph"/>
              <w:spacing w:before="36"/>
              <w:rPr>
                <w:i/>
                <w:sz w:val="20"/>
              </w:rPr>
            </w:pPr>
            <w:r>
              <w:rPr>
                <w:i/>
                <w:sz w:val="20"/>
              </w:rPr>
              <w:t>Jamie Stead</w:t>
            </w:r>
          </w:p>
        </w:tc>
        <w:tc>
          <w:tcPr>
            <w:tcW w:w="4246" w:type="dxa"/>
          </w:tcPr>
          <w:p>
            <w:pPr>
              <w:pStyle w:val="TableParagraph"/>
              <w:spacing w:before="36"/>
              <w:ind w:left="98"/>
              <w:rPr>
                <w:i/>
                <w:sz w:val="20"/>
              </w:rPr>
            </w:pPr>
            <w:r>
              <w:rPr>
                <w:i/>
                <w:sz w:val="20"/>
              </w:rPr>
              <w:t>Vodafone (Guest speaker)</w:t>
            </w:r>
          </w:p>
        </w:tc>
      </w:tr>
    </w:tbl>
    <w:p>
      <w:pPr>
        <w:pStyle w:val="BodyText"/>
        <w:spacing w:before="10"/>
        <w:rPr>
          <w:b/>
          <w:sz w:val="15"/>
        </w:rPr>
      </w:pPr>
    </w:p>
    <w:p>
      <w:pPr>
        <w:spacing w:before="90"/>
        <w:ind w:left="280" w:right="0" w:firstLine="0"/>
        <w:jc w:val="left"/>
        <w:rPr>
          <w:b/>
          <w:sz w:val="24"/>
        </w:rPr>
      </w:pPr>
      <w:r>
        <w:rPr>
          <w:b/>
          <w:sz w:val="24"/>
        </w:rPr>
        <w:t>Apologies</w:t>
      </w:r>
    </w:p>
    <w:p>
      <w:pPr>
        <w:pStyle w:val="BodyText"/>
        <w:spacing w:before="4"/>
        <w:rPr>
          <w:b/>
        </w:rPr>
      </w:pPr>
    </w:p>
    <w:tbl>
      <w:tblPr>
        <w:tblW w:w="0" w:type="auto"/>
        <w:jc w:val="left"/>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5531"/>
      </w:tblGrid>
      <w:tr>
        <w:trPr>
          <w:trHeight w:val="309" w:hRule="atLeast"/>
        </w:trPr>
        <w:tc>
          <w:tcPr>
            <w:tcW w:w="2977" w:type="dxa"/>
          </w:tcPr>
          <w:p>
            <w:pPr>
              <w:pStyle w:val="TableParagraph"/>
              <w:rPr>
                <w:sz w:val="20"/>
              </w:rPr>
            </w:pPr>
            <w:r>
              <w:rPr>
                <w:sz w:val="20"/>
              </w:rPr>
              <w:t>Chris Allen</w:t>
            </w:r>
          </w:p>
        </w:tc>
        <w:tc>
          <w:tcPr>
            <w:tcW w:w="5531" w:type="dxa"/>
          </w:tcPr>
          <w:p>
            <w:pPr>
              <w:pStyle w:val="TableParagraph"/>
              <w:rPr>
                <w:sz w:val="20"/>
              </w:rPr>
            </w:pPr>
            <w:r>
              <w:rPr>
                <w:sz w:val="20"/>
              </w:rPr>
              <w:t>Barclays (Legal)</w:t>
            </w:r>
          </w:p>
        </w:tc>
      </w:tr>
      <w:tr>
        <w:trPr>
          <w:trHeight w:val="311" w:hRule="atLeast"/>
        </w:trPr>
        <w:tc>
          <w:tcPr>
            <w:tcW w:w="2977" w:type="dxa"/>
          </w:tcPr>
          <w:p>
            <w:pPr>
              <w:pStyle w:val="TableParagraph"/>
              <w:rPr>
                <w:sz w:val="20"/>
              </w:rPr>
            </w:pPr>
            <w:r>
              <w:rPr>
                <w:sz w:val="20"/>
              </w:rPr>
              <w:t>Brian Welch</w:t>
            </w:r>
          </w:p>
        </w:tc>
        <w:tc>
          <w:tcPr>
            <w:tcW w:w="5531" w:type="dxa"/>
          </w:tcPr>
          <w:p>
            <w:pPr>
              <w:pStyle w:val="TableParagraph"/>
              <w:rPr>
                <w:sz w:val="20"/>
              </w:rPr>
            </w:pPr>
            <w:r>
              <w:rPr>
                <w:sz w:val="20"/>
              </w:rPr>
              <w:t>Treasury Consultancy</w:t>
            </w:r>
          </w:p>
        </w:tc>
      </w:tr>
    </w:tbl>
    <w:p>
      <w:pPr>
        <w:pStyle w:val="BodyText"/>
        <w:rPr>
          <w:b/>
          <w:sz w:val="26"/>
        </w:rPr>
      </w:pPr>
    </w:p>
    <w:p>
      <w:pPr>
        <w:pStyle w:val="BodyText"/>
        <w:spacing w:before="8"/>
        <w:rPr>
          <w:b/>
          <w:sz w:val="21"/>
        </w:rPr>
      </w:pPr>
    </w:p>
    <w:p>
      <w:pPr>
        <w:pStyle w:val="ListParagraph"/>
        <w:numPr>
          <w:ilvl w:val="0"/>
          <w:numId w:val="1"/>
        </w:numPr>
        <w:tabs>
          <w:tab w:pos="341" w:val="left" w:leader="none"/>
        </w:tabs>
        <w:spacing w:line="240" w:lineRule="auto" w:before="0" w:after="0"/>
        <w:ind w:left="340" w:right="0" w:hanging="241"/>
        <w:jc w:val="left"/>
        <w:rPr>
          <w:b/>
          <w:sz w:val="24"/>
        </w:rPr>
      </w:pPr>
      <w:r>
        <w:rPr>
          <w:b/>
          <w:sz w:val="24"/>
        </w:rPr>
        <w:t>Apologies for</w:t>
      </w:r>
      <w:r>
        <w:rPr>
          <w:b/>
          <w:spacing w:val="-2"/>
          <w:sz w:val="24"/>
        </w:rPr>
        <w:t> </w:t>
      </w:r>
      <w:r>
        <w:rPr>
          <w:b/>
          <w:sz w:val="24"/>
        </w:rPr>
        <w:t>absence</w:t>
      </w:r>
    </w:p>
    <w:p>
      <w:pPr>
        <w:pStyle w:val="BodyText"/>
        <w:spacing w:before="6"/>
        <w:rPr>
          <w:b/>
          <w:sz w:val="23"/>
        </w:rPr>
      </w:pPr>
    </w:p>
    <w:p>
      <w:pPr>
        <w:pStyle w:val="BodyText"/>
        <w:spacing w:before="1"/>
        <w:ind w:left="280"/>
      </w:pPr>
      <w:r>
        <w:rPr/>
        <w:t>Apologies were received from Chris Allen, David Clark and Brian Welch.</w:t>
      </w:r>
    </w:p>
    <w:p>
      <w:pPr>
        <w:spacing w:after="0"/>
        <w:sectPr>
          <w:footerReference w:type="default" r:id="rId5"/>
          <w:type w:val="continuous"/>
          <w:pgSz w:w="11910" w:h="16840"/>
          <w:pgMar w:footer="690" w:top="1340" w:bottom="880" w:left="1520" w:right="1580"/>
        </w:sectPr>
      </w:pPr>
    </w:p>
    <w:p>
      <w:pPr>
        <w:pStyle w:val="BodyText"/>
        <w:spacing w:before="1"/>
        <w:rPr>
          <w:sz w:val="26"/>
        </w:rPr>
      </w:pPr>
    </w:p>
    <w:p>
      <w:pPr>
        <w:pStyle w:val="Heading1"/>
        <w:numPr>
          <w:ilvl w:val="0"/>
          <w:numId w:val="1"/>
        </w:numPr>
        <w:tabs>
          <w:tab w:pos="401" w:val="left" w:leader="none"/>
        </w:tabs>
        <w:spacing w:line="240" w:lineRule="auto" w:before="90" w:after="0"/>
        <w:ind w:left="400" w:right="0" w:hanging="301"/>
        <w:jc w:val="left"/>
      </w:pPr>
      <w:r>
        <w:rPr/>
        <w:t>Minutes of 31 March meeting and matters</w:t>
      </w:r>
      <w:r>
        <w:rPr>
          <w:spacing w:val="-1"/>
        </w:rPr>
        <w:t> </w:t>
      </w:r>
      <w:r>
        <w:rPr/>
        <w:t>arising</w:t>
      </w:r>
    </w:p>
    <w:p>
      <w:pPr>
        <w:pStyle w:val="BodyText"/>
        <w:spacing w:before="7"/>
        <w:rPr>
          <w:b/>
          <w:sz w:val="23"/>
        </w:rPr>
      </w:pPr>
    </w:p>
    <w:p>
      <w:pPr>
        <w:pStyle w:val="BodyText"/>
        <w:ind w:left="280"/>
        <w:jc w:val="both"/>
      </w:pPr>
      <w:r>
        <w:rPr/>
        <w:t>The minutes of the March meeting were agreed.</w:t>
      </w:r>
    </w:p>
    <w:p>
      <w:pPr>
        <w:pStyle w:val="BodyText"/>
        <w:rPr>
          <w:sz w:val="26"/>
        </w:rPr>
      </w:pPr>
    </w:p>
    <w:p>
      <w:pPr>
        <w:pStyle w:val="BodyText"/>
        <w:rPr>
          <w:sz w:val="26"/>
        </w:rPr>
      </w:pPr>
    </w:p>
    <w:p>
      <w:pPr>
        <w:pStyle w:val="ListParagraph"/>
        <w:numPr>
          <w:ilvl w:val="0"/>
          <w:numId w:val="1"/>
        </w:numPr>
        <w:tabs>
          <w:tab w:pos="341" w:val="left" w:leader="none"/>
        </w:tabs>
        <w:spacing w:line="240" w:lineRule="auto" w:before="230" w:after="0"/>
        <w:ind w:left="340" w:right="0" w:hanging="241"/>
        <w:jc w:val="left"/>
        <w:rPr>
          <w:i/>
          <w:sz w:val="24"/>
        </w:rPr>
      </w:pPr>
      <w:r>
        <w:rPr>
          <w:b/>
          <w:sz w:val="24"/>
        </w:rPr>
        <w:t>FX from a corporate perspective – Vodafone </w:t>
      </w:r>
      <w:r>
        <w:rPr>
          <w:i/>
          <w:sz w:val="24"/>
        </w:rPr>
        <w:t>(Phil Scott and Jamie</w:t>
      </w:r>
      <w:r>
        <w:rPr>
          <w:i/>
          <w:spacing w:val="-8"/>
          <w:sz w:val="24"/>
        </w:rPr>
        <w:t> </w:t>
      </w:r>
      <w:r>
        <w:rPr>
          <w:i/>
          <w:sz w:val="24"/>
        </w:rPr>
        <w:t>Stead)</w:t>
      </w:r>
    </w:p>
    <w:p>
      <w:pPr>
        <w:pStyle w:val="BodyText"/>
        <w:rPr>
          <w:i/>
        </w:rPr>
      </w:pPr>
    </w:p>
    <w:p>
      <w:pPr>
        <w:pStyle w:val="BodyText"/>
        <w:spacing w:line="480" w:lineRule="auto"/>
        <w:ind w:left="280" w:right="211"/>
        <w:jc w:val="both"/>
      </w:pPr>
      <w:r>
        <w:rPr/>
        <w:t>Phil Scott (Deputy Treasurer) and Jamie Stead (Head of FX) from Vodafone provided a view of FX markets from a corporate perspective. Phil Scott summarised Vodafone’s structure and gave some commentary on how the changing FX landscape was impacting their business. Items of discussion included both regulatory reforms and practical changes as a result of technological advances. On regulation, Vodafone noted the impact of compliance of EMIR trade reporting requirements on their operations and indicated they had not seen the benefits of this increased transparency to date. On trade execution, Vodafone indicated they had seen increased preference for market participants wishing to trade on electronic platforms, rather than by telephone. The committee discussed the use of voice trading vs platforms, noting possible implications on large order execution and costs. Vodafone also addressed increased complexities in trading due to advancements in algorithmic platforms and gave a view of their use of FX</w:t>
      </w:r>
      <w:r>
        <w:rPr>
          <w:spacing w:val="-6"/>
        </w:rPr>
        <w:t> </w:t>
      </w:r>
      <w:r>
        <w:rPr/>
        <w:t>fixes.</w:t>
      </w:r>
    </w:p>
    <w:p>
      <w:pPr>
        <w:pStyle w:val="BodyText"/>
        <w:rPr>
          <w:sz w:val="26"/>
        </w:rPr>
      </w:pPr>
    </w:p>
    <w:p>
      <w:pPr>
        <w:pStyle w:val="BodyText"/>
        <w:spacing w:before="2"/>
        <w:rPr>
          <w:sz w:val="22"/>
        </w:rPr>
      </w:pPr>
    </w:p>
    <w:p>
      <w:pPr>
        <w:pStyle w:val="ListParagraph"/>
        <w:numPr>
          <w:ilvl w:val="0"/>
          <w:numId w:val="1"/>
        </w:numPr>
        <w:tabs>
          <w:tab w:pos="521" w:val="left" w:leader="none"/>
        </w:tabs>
        <w:spacing w:line="240" w:lineRule="auto" w:before="0" w:after="0"/>
        <w:ind w:left="520" w:right="0" w:hanging="241"/>
        <w:jc w:val="left"/>
        <w:rPr>
          <w:sz w:val="24"/>
        </w:rPr>
      </w:pPr>
      <w:r>
        <w:rPr>
          <w:b/>
          <w:sz w:val="24"/>
        </w:rPr>
        <w:t>Best Execution – FCA </w:t>
      </w:r>
      <w:r>
        <w:rPr>
          <w:sz w:val="24"/>
        </w:rPr>
        <w:t>(Damien Shanahan, Caroline Michel, Alastair</w:t>
      </w:r>
      <w:r>
        <w:rPr>
          <w:spacing w:val="-5"/>
          <w:sz w:val="24"/>
        </w:rPr>
        <w:t> </w:t>
      </w:r>
      <w:r>
        <w:rPr>
          <w:sz w:val="24"/>
        </w:rPr>
        <w:t>Kellett)</w:t>
      </w:r>
    </w:p>
    <w:p>
      <w:pPr>
        <w:pStyle w:val="BodyText"/>
      </w:pPr>
    </w:p>
    <w:p>
      <w:pPr>
        <w:pStyle w:val="BodyText"/>
        <w:spacing w:line="480" w:lineRule="auto"/>
        <w:ind w:left="280" w:right="218"/>
        <w:jc w:val="both"/>
      </w:pPr>
      <w:r>
        <w:rPr/>
        <w:t>The FCA provided a summary of the best execution regime, detailed within the FCA handbook and underpinned by Art. 21 of the MIFID Level 1 Directive. Caroline Michel presented on definitions and details of the regime, which requires that firms executing orders for retail and professional clients take all reasonable steps to obtain the best possible results on a consistent basis. She also presented a summary of the</w:t>
      </w:r>
    </w:p>
    <w:p>
      <w:pPr>
        <w:spacing w:after="0" w:line="480" w:lineRule="auto"/>
        <w:jc w:val="both"/>
        <w:sectPr>
          <w:pgSz w:w="11910" w:h="16840"/>
          <w:pgMar w:header="0" w:footer="690" w:top="1580" w:bottom="880" w:left="1520" w:right="1580"/>
        </w:sectPr>
      </w:pPr>
    </w:p>
    <w:p>
      <w:pPr>
        <w:pStyle w:val="BodyText"/>
        <w:spacing w:line="480" w:lineRule="auto" w:before="73"/>
        <w:ind w:left="280" w:right="219"/>
        <w:jc w:val="both"/>
      </w:pPr>
      <w:r>
        <w:rPr/>
        <w:t>findings from the FCA’s supervisory thematic review TR14/13 conducted in 2014. The committee discussed various issues the industry faced in achieving best execution, particularly how it applies to the variety of transactions and business models in the FX markets, overall scope and interpretation. Amendments to the regime under MiFID II, due in January 2017 were also</w:t>
      </w:r>
      <w:r>
        <w:rPr>
          <w:spacing w:val="-4"/>
        </w:rPr>
        <w:t> </w:t>
      </w:r>
      <w:r>
        <w:rPr/>
        <w:t>outlined.</w:t>
      </w:r>
    </w:p>
    <w:p>
      <w:pPr>
        <w:pStyle w:val="BodyText"/>
        <w:rPr>
          <w:sz w:val="26"/>
        </w:rPr>
      </w:pPr>
    </w:p>
    <w:p>
      <w:pPr>
        <w:pStyle w:val="BodyText"/>
        <w:spacing w:before="1"/>
        <w:rPr>
          <w:sz w:val="22"/>
        </w:rPr>
      </w:pPr>
    </w:p>
    <w:p>
      <w:pPr>
        <w:pStyle w:val="ListParagraph"/>
        <w:numPr>
          <w:ilvl w:val="0"/>
          <w:numId w:val="1"/>
        </w:numPr>
        <w:tabs>
          <w:tab w:pos="401" w:val="left" w:leader="none"/>
        </w:tabs>
        <w:spacing w:line="240" w:lineRule="auto" w:before="0" w:after="0"/>
        <w:ind w:left="400" w:right="0" w:hanging="301"/>
        <w:jc w:val="left"/>
        <w:rPr>
          <w:i/>
          <w:sz w:val="24"/>
        </w:rPr>
      </w:pPr>
      <w:r>
        <w:rPr>
          <w:b/>
          <w:sz w:val="24"/>
        </w:rPr>
        <w:t>Operations Sub-committee workplan update </w:t>
      </w:r>
      <w:r>
        <w:rPr>
          <w:sz w:val="24"/>
        </w:rPr>
        <w:t>(</w:t>
      </w:r>
      <w:r>
        <w:rPr>
          <w:i/>
          <w:sz w:val="24"/>
        </w:rPr>
        <w:t>Isabelle</w:t>
      </w:r>
      <w:r>
        <w:rPr>
          <w:i/>
          <w:spacing w:val="-2"/>
          <w:sz w:val="24"/>
        </w:rPr>
        <w:t> </w:t>
      </w:r>
      <w:r>
        <w:rPr>
          <w:i/>
          <w:sz w:val="24"/>
        </w:rPr>
        <w:t>Dennigan)</w:t>
      </w:r>
    </w:p>
    <w:p>
      <w:pPr>
        <w:pStyle w:val="BodyText"/>
        <w:rPr>
          <w:i/>
        </w:rPr>
      </w:pPr>
    </w:p>
    <w:p>
      <w:pPr>
        <w:pStyle w:val="BodyText"/>
        <w:spacing w:line="480" w:lineRule="auto"/>
        <w:ind w:left="100" w:right="217"/>
        <w:jc w:val="both"/>
      </w:pPr>
      <w:r>
        <w:rPr/>
        <w:t>Isabelle Dennigan provided an update on progress of the FXJSC Operations sub- committee working groups for 2014, which was split into three separate workstreams:</w:t>
      </w:r>
    </w:p>
    <w:p>
      <w:pPr>
        <w:pStyle w:val="ListParagraph"/>
        <w:numPr>
          <w:ilvl w:val="1"/>
          <w:numId w:val="1"/>
        </w:numPr>
        <w:tabs>
          <w:tab w:pos="1001" w:val="left" w:leader="none"/>
        </w:tabs>
        <w:spacing w:line="480" w:lineRule="auto" w:before="1" w:after="0"/>
        <w:ind w:left="1000" w:right="216" w:hanging="360"/>
        <w:jc w:val="both"/>
        <w:rPr>
          <w:sz w:val="24"/>
        </w:rPr>
      </w:pPr>
      <w:r>
        <w:rPr>
          <w:i/>
          <w:sz w:val="24"/>
        </w:rPr>
        <w:t>EU Trade Reporting – Sarah Mullen (BoAML</w:t>
      </w:r>
      <w:r>
        <w:rPr>
          <w:sz w:val="24"/>
        </w:rPr>
        <w:t>): this workstream looked at  how to improve existing matching rates and general reporting in the trade repositories for FX activity. The working group had conducted a survey, collating detailed data on matching rates and data quality. It was agreed that the output of this exercise would be contributed to a number of industry FX working groups looking at similar issues under EMIR trade reporting. It was agreed that this working group could be</w:t>
      </w:r>
      <w:r>
        <w:rPr>
          <w:spacing w:val="-2"/>
          <w:sz w:val="24"/>
        </w:rPr>
        <w:t> </w:t>
      </w:r>
      <w:r>
        <w:rPr>
          <w:sz w:val="24"/>
        </w:rPr>
        <w:t>closed.</w:t>
      </w:r>
    </w:p>
    <w:p>
      <w:pPr>
        <w:pStyle w:val="ListParagraph"/>
        <w:numPr>
          <w:ilvl w:val="1"/>
          <w:numId w:val="1"/>
        </w:numPr>
        <w:tabs>
          <w:tab w:pos="1001" w:val="left" w:leader="none"/>
        </w:tabs>
        <w:spacing w:line="480" w:lineRule="auto" w:before="0" w:after="0"/>
        <w:ind w:left="1000" w:right="217" w:hanging="360"/>
        <w:jc w:val="both"/>
        <w:rPr>
          <w:sz w:val="24"/>
        </w:rPr>
      </w:pPr>
      <w:r>
        <w:rPr>
          <w:i/>
          <w:sz w:val="24"/>
        </w:rPr>
        <w:t>Post Trade Risk Management – Richard Norman (RBS): </w:t>
      </w:r>
      <w:r>
        <w:rPr>
          <w:sz w:val="24"/>
        </w:rPr>
        <w:t>this working group initially had a broad aim of exploring improvements in post trade flows and processes – such as portfolio reconciliation, collateral, trade reporting and confirmation. The group focused its efforts on Unique Trade Identifiers (UTIs), conducting a survey to investigate UTI utilisation and governance to obtain feedback to establish trends. The group made a number of best practice proposals and has agreed to contribute this work to similar FX industry working groups. It was agreed that this working group could be</w:t>
      </w:r>
      <w:r>
        <w:rPr>
          <w:spacing w:val="-3"/>
          <w:sz w:val="24"/>
        </w:rPr>
        <w:t> </w:t>
      </w:r>
      <w:r>
        <w:rPr>
          <w:sz w:val="24"/>
        </w:rPr>
        <w:t>closed.</w:t>
      </w:r>
    </w:p>
    <w:p>
      <w:pPr>
        <w:spacing w:after="0" w:line="480" w:lineRule="auto"/>
        <w:jc w:val="both"/>
        <w:rPr>
          <w:sz w:val="24"/>
        </w:rPr>
        <w:sectPr>
          <w:pgSz w:w="11910" w:h="16840"/>
          <w:pgMar w:header="0" w:footer="690" w:top="1340" w:bottom="880" w:left="1520" w:right="1580"/>
        </w:sectPr>
      </w:pPr>
    </w:p>
    <w:p>
      <w:pPr>
        <w:pStyle w:val="ListParagraph"/>
        <w:numPr>
          <w:ilvl w:val="1"/>
          <w:numId w:val="1"/>
        </w:numPr>
        <w:tabs>
          <w:tab w:pos="1001" w:val="left" w:leader="none"/>
        </w:tabs>
        <w:spacing w:line="480" w:lineRule="auto" w:before="73" w:after="0"/>
        <w:ind w:left="1000" w:right="215" w:hanging="360"/>
        <w:jc w:val="both"/>
        <w:rPr>
          <w:sz w:val="24"/>
        </w:rPr>
      </w:pPr>
      <w:r>
        <w:rPr>
          <w:i/>
          <w:sz w:val="24"/>
        </w:rPr>
        <w:t>FX turnover surveys – John Blythe (Goldman Sachs): </w:t>
      </w:r>
      <w:r>
        <w:rPr>
          <w:sz w:val="24"/>
        </w:rPr>
        <w:t>This working group will continue into 2015, with an aim of assessing similarities between a number of surveys, such as the semi-annual FXJSC turnover survey, the BIS triennial survey and other central bank surveys and continuing to look at whether regulatory trade reporting data could be used in the long term to either replace or complement the turnover</w:t>
      </w:r>
      <w:r>
        <w:rPr>
          <w:spacing w:val="-2"/>
          <w:sz w:val="24"/>
        </w:rPr>
        <w:t> </w:t>
      </w:r>
      <w:r>
        <w:rPr>
          <w:sz w:val="24"/>
        </w:rPr>
        <w:t>surveys.</w:t>
      </w:r>
    </w:p>
    <w:p>
      <w:pPr>
        <w:pStyle w:val="BodyText"/>
        <w:spacing w:line="480" w:lineRule="auto" w:before="1"/>
        <w:ind w:left="280" w:right="214"/>
        <w:jc w:val="both"/>
      </w:pPr>
      <w:r>
        <w:rPr/>
        <w:t>For the 2015 sub-committee working plan, Isabelle Dennigan outlined a proposal to setup a new working group focusing on the actions arising from a recent FX sector resilience exercise. “Exercise Blackbox” took place in February 2015, whereby London FX market participants contributed to a scenario simulating the failure of a settlement engine.</w:t>
      </w:r>
    </w:p>
    <w:p>
      <w:pPr>
        <w:pStyle w:val="BodyText"/>
        <w:spacing w:line="480" w:lineRule="auto" w:before="1"/>
        <w:ind w:left="280" w:right="215"/>
        <w:jc w:val="both"/>
      </w:pPr>
      <w:r>
        <w:rPr/>
        <w:t>This new FXJSC working group intend to focus on actions such as documenting FX contingency planning, infrastructure transparency and exploring bilateral netting arrangements.</w:t>
      </w:r>
    </w:p>
    <w:p>
      <w:pPr>
        <w:pStyle w:val="BodyText"/>
        <w:spacing w:line="480" w:lineRule="auto"/>
        <w:ind w:left="280" w:right="216"/>
        <w:jc w:val="both"/>
      </w:pPr>
      <w:r>
        <w:rPr/>
        <w:t>The Committee agreed that the first two 2014 working groups could be disbanded and work could continue on FX turnover surveys and Exercise Blackbox issues during 2015.</w:t>
      </w:r>
    </w:p>
    <w:p>
      <w:pPr>
        <w:pStyle w:val="BodyText"/>
        <w:rPr>
          <w:sz w:val="26"/>
        </w:rPr>
      </w:pPr>
    </w:p>
    <w:p>
      <w:pPr>
        <w:pStyle w:val="BodyText"/>
        <w:rPr>
          <w:sz w:val="22"/>
        </w:rPr>
      </w:pPr>
    </w:p>
    <w:p>
      <w:pPr>
        <w:pStyle w:val="ListParagraph"/>
        <w:numPr>
          <w:ilvl w:val="0"/>
          <w:numId w:val="1"/>
        </w:numPr>
        <w:tabs>
          <w:tab w:pos="401" w:val="left" w:leader="none"/>
        </w:tabs>
        <w:spacing w:line="240" w:lineRule="auto" w:before="0" w:after="0"/>
        <w:ind w:left="400" w:right="0" w:hanging="301"/>
        <w:jc w:val="left"/>
        <w:rPr>
          <w:i/>
          <w:sz w:val="24"/>
        </w:rPr>
      </w:pPr>
      <w:r>
        <w:rPr>
          <w:b/>
          <w:sz w:val="24"/>
        </w:rPr>
        <w:t>Regulatory Update </w:t>
      </w:r>
      <w:r>
        <w:rPr>
          <w:i/>
          <w:sz w:val="24"/>
        </w:rPr>
        <w:t>(Heather</w:t>
      </w:r>
      <w:r>
        <w:rPr>
          <w:i/>
          <w:spacing w:val="1"/>
          <w:sz w:val="24"/>
        </w:rPr>
        <w:t> </w:t>
      </w:r>
      <w:r>
        <w:rPr>
          <w:i/>
          <w:sz w:val="24"/>
        </w:rPr>
        <w:t>Pilley)</w:t>
      </w:r>
    </w:p>
    <w:p>
      <w:pPr>
        <w:pStyle w:val="BodyText"/>
        <w:rPr>
          <w:i/>
        </w:rPr>
      </w:pPr>
    </w:p>
    <w:p>
      <w:pPr>
        <w:pStyle w:val="BodyText"/>
        <w:spacing w:line="480" w:lineRule="auto" w:before="1"/>
        <w:ind w:left="280" w:right="216"/>
        <w:jc w:val="both"/>
      </w:pPr>
      <w:r>
        <w:rPr/>
        <w:t>Heather Pilley (FCA) gave an overview of recent FX regulatory progress to the committee. Items of discussion included: (i) progress in derivatives documentation of cross-border transactions in relation to resolution stays on early termination; (ii) a review at of EMIR (focusing on trade reporting, margining and clearing), (iii) indication of timelines on MiFID II, including the scope of the FX perimeter; (iv) noting the Fair and Effective Markets Review is expected to report in June 2015.</w:t>
      </w:r>
    </w:p>
    <w:p>
      <w:pPr>
        <w:spacing w:after="0" w:line="480" w:lineRule="auto"/>
        <w:jc w:val="both"/>
        <w:sectPr>
          <w:pgSz w:w="11910" w:h="16840"/>
          <w:pgMar w:header="0" w:footer="690" w:top="1340" w:bottom="880" w:left="1520" w:right="1580"/>
        </w:sectPr>
      </w:pPr>
    </w:p>
    <w:p>
      <w:pPr>
        <w:pStyle w:val="BodyText"/>
        <w:spacing w:before="1"/>
        <w:rPr>
          <w:sz w:val="26"/>
        </w:rPr>
      </w:pPr>
    </w:p>
    <w:p>
      <w:pPr>
        <w:pStyle w:val="Heading1"/>
        <w:numPr>
          <w:ilvl w:val="0"/>
          <w:numId w:val="1"/>
        </w:numPr>
        <w:tabs>
          <w:tab w:pos="461" w:val="left" w:leader="none"/>
        </w:tabs>
        <w:spacing w:line="240" w:lineRule="auto" w:before="90" w:after="0"/>
        <w:ind w:left="460" w:right="0" w:hanging="361"/>
        <w:jc w:val="both"/>
      </w:pPr>
      <w:r>
        <w:rPr/>
        <w:t>Sub-committee</w:t>
      </w:r>
      <w:r>
        <w:rPr>
          <w:spacing w:val="-2"/>
        </w:rPr>
        <w:t> </w:t>
      </w:r>
      <w:r>
        <w:rPr/>
        <w:t>updates</w:t>
      </w:r>
    </w:p>
    <w:p>
      <w:pPr>
        <w:pStyle w:val="BodyText"/>
        <w:spacing w:before="7"/>
        <w:rPr>
          <w:b/>
          <w:sz w:val="23"/>
        </w:rPr>
      </w:pPr>
    </w:p>
    <w:p>
      <w:pPr>
        <w:spacing w:before="0"/>
        <w:ind w:left="280" w:right="0" w:firstLine="0"/>
        <w:jc w:val="left"/>
        <w:rPr>
          <w:i/>
          <w:sz w:val="24"/>
        </w:rPr>
      </w:pPr>
      <w:r>
        <w:rPr>
          <w:i/>
          <w:sz w:val="24"/>
        </w:rPr>
        <w:t>Legal sub-committee</w:t>
      </w:r>
    </w:p>
    <w:p>
      <w:pPr>
        <w:pStyle w:val="BodyText"/>
        <w:rPr>
          <w:i/>
        </w:rPr>
      </w:pPr>
    </w:p>
    <w:p>
      <w:pPr>
        <w:pStyle w:val="BodyText"/>
        <w:ind w:left="280"/>
      </w:pPr>
      <w:r>
        <w:rPr/>
        <w:t>The legal sub-committee have not met since the last Main Committee meeting.</w:t>
      </w:r>
    </w:p>
    <w:p>
      <w:pPr>
        <w:pStyle w:val="BodyText"/>
      </w:pPr>
    </w:p>
    <w:p>
      <w:pPr>
        <w:spacing w:before="0"/>
        <w:ind w:left="280" w:right="0" w:firstLine="0"/>
        <w:jc w:val="left"/>
        <w:rPr>
          <w:i/>
          <w:sz w:val="24"/>
        </w:rPr>
      </w:pPr>
      <w:r>
        <w:rPr>
          <w:i/>
          <w:sz w:val="24"/>
        </w:rPr>
        <w:t>Buy-side sub-committee</w:t>
      </w:r>
    </w:p>
    <w:p>
      <w:pPr>
        <w:pStyle w:val="BodyText"/>
        <w:rPr>
          <w:i/>
        </w:rPr>
      </w:pPr>
    </w:p>
    <w:p>
      <w:pPr>
        <w:pStyle w:val="BodyText"/>
        <w:spacing w:line="480" w:lineRule="auto"/>
        <w:ind w:left="280" w:right="215"/>
        <w:jc w:val="both"/>
      </w:pPr>
      <w:r>
        <w:rPr/>
        <w:t>There has been no buy-side sub-committee since the last meeting and they are scheduled to meet in early June 2015.</w:t>
      </w:r>
    </w:p>
    <w:p>
      <w:pPr>
        <w:pStyle w:val="BodyText"/>
        <w:rPr>
          <w:sz w:val="26"/>
        </w:rPr>
      </w:pPr>
    </w:p>
    <w:p>
      <w:pPr>
        <w:pStyle w:val="BodyText"/>
        <w:spacing w:before="6"/>
        <w:rPr>
          <w:sz w:val="22"/>
        </w:rPr>
      </w:pPr>
    </w:p>
    <w:p>
      <w:pPr>
        <w:pStyle w:val="Heading1"/>
        <w:numPr>
          <w:ilvl w:val="0"/>
          <w:numId w:val="1"/>
        </w:numPr>
        <w:tabs>
          <w:tab w:pos="341" w:val="left" w:leader="none"/>
        </w:tabs>
        <w:spacing w:line="240" w:lineRule="auto" w:before="0" w:after="0"/>
        <w:ind w:left="340" w:right="0" w:hanging="241"/>
        <w:jc w:val="both"/>
      </w:pPr>
      <w:r>
        <w:rPr/>
        <w:t>Any other</w:t>
      </w:r>
      <w:r>
        <w:rPr>
          <w:spacing w:val="-2"/>
        </w:rPr>
        <w:t> </w:t>
      </w:r>
      <w:r>
        <w:rPr/>
        <w:t>business</w:t>
      </w:r>
    </w:p>
    <w:p>
      <w:pPr>
        <w:pStyle w:val="BodyText"/>
        <w:spacing w:before="6"/>
        <w:rPr>
          <w:b/>
          <w:sz w:val="23"/>
        </w:rPr>
      </w:pPr>
    </w:p>
    <w:p>
      <w:pPr>
        <w:pStyle w:val="BodyText"/>
        <w:spacing w:line="480" w:lineRule="auto" w:before="1"/>
        <w:ind w:left="280" w:right="216"/>
        <w:jc w:val="both"/>
      </w:pPr>
      <w:r>
        <w:rPr/>
        <w:t>Rob Spillett (FXJSC Secretariat) indicated that the FXJSC Annual Review article would be published in the Bank of England’s June 2015 </w:t>
      </w:r>
      <w:r>
        <w:rPr>
          <w:i/>
        </w:rPr>
        <w:t>Quarterly Bulletin </w:t>
      </w:r>
      <w:r>
        <w:rPr/>
        <w:t>and would be circulated to committee members.</w:t>
      </w:r>
    </w:p>
    <w:p>
      <w:pPr>
        <w:pStyle w:val="BodyText"/>
        <w:spacing w:line="480" w:lineRule="auto"/>
        <w:ind w:left="280" w:right="219"/>
        <w:jc w:val="both"/>
      </w:pPr>
      <w:r>
        <w:rPr/>
        <w:t>Mike Cross also noted on 11th May 2015, the Bank of International Settlement (BIS) announced the formation of a new working group, under the auspices of the BIS </w:t>
      </w:r>
      <w:hyperlink r:id="rId6">
        <w:r>
          <w:rPr/>
          <w:t>Markets Committee, </w:t>
        </w:r>
      </w:hyperlink>
      <w:r>
        <w:rPr/>
        <w:t>to establish standards and principles for a single FX global code of conduct, promoting greater adherence to these standards and principles and providing input into the wider official effort on market conduct coordinated by the FSB. The working group will be chaired by Guy Debelle (Reserve Bank of  Australia), Chairman of the Markets</w:t>
      </w:r>
      <w:r>
        <w:rPr>
          <w:spacing w:val="-4"/>
        </w:rPr>
        <w:t> </w:t>
      </w:r>
      <w:r>
        <w:rPr/>
        <w:t>Committee.</w:t>
      </w:r>
    </w:p>
    <w:p>
      <w:pPr>
        <w:pStyle w:val="BodyText"/>
        <w:rPr>
          <w:sz w:val="26"/>
        </w:rPr>
      </w:pPr>
    </w:p>
    <w:p>
      <w:pPr>
        <w:pStyle w:val="BodyText"/>
        <w:spacing w:before="5"/>
        <w:rPr>
          <w:sz w:val="22"/>
        </w:rPr>
      </w:pPr>
    </w:p>
    <w:p>
      <w:pPr>
        <w:pStyle w:val="Heading1"/>
      </w:pPr>
      <w:r>
        <w:rPr/>
        <w:t>The next meeting of the FXJSC will be held on 22 September at JP Morgan</w:t>
      </w:r>
    </w:p>
    <w:sectPr>
      <w:pgSz w:w="11910" w:h="16840"/>
      <w:pgMar w:header="0" w:footer="690" w:top="1580" w:bottom="880" w:left="152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24002pt;margin-top:796.417603pt;width:67.9pt;height:11pt;mso-position-horizontal-relative:page;mso-position-vertical-relative:page;z-index:-251952128" type="#_x0000_t202" filled="false" stroked="false">
          <v:textbox inset="0,0,0,0">
            <w:txbxContent>
              <w:p>
                <w:pPr>
                  <w:spacing w:before="15"/>
                  <w:ind w:left="20" w:right="0" w:firstLine="0"/>
                  <w:jc w:val="left"/>
                  <w:rPr>
                    <w:rFonts w:ascii="Arial"/>
                    <w:sz w:val="16"/>
                  </w:rPr>
                </w:pPr>
                <w:r>
                  <w:rPr>
                    <w:rFonts w:ascii="Arial"/>
                    <w:sz w:val="16"/>
                  </w:rPr>
                  <w:t>Markets 822496v1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40" w:hanging="240"/>
        <w:jc w:val="right"/>
      </w:pPr>
      <w:rPr>
        <w:rFonts w:hint="default" w:ascii="Times New Roman" w:hAnsi="Times New Roman" w:eastAsia="Times New Roman" w:cs="Times New Roman"/>
        <w:b/>
        <w:bCs/>
        <w:spacing w:val="-1"/>
        <w:w w:val="99"/>
        <w:sz w:val="24"/>
        <w:szCs w:val="24"/>
        <w:lang w:val="en-gb" w:eastAsia="en-gb" w:bidi="en-gb"/>
      </w:rPr>
    </w:lvl>
    <w:lvl w:ilvl="1">
      <w:start w:val="1"/>
      <w:numFmt w:val="lowerLetter"/>
      <w:lvlText w:val="(%2)"/>
      <w:lvlJc w:val="left"/>
      <w:pPr>
        <w:ind w:left="1000" w:hanging="360"/>
        <w:jc w:val="left"/>
      </w:pPr>
      <w:rPr>
        <w:rFonts w:hint="default" w:ascii="Times New Roman" w:hAnsi="Times New Roman" w:eastAsia="Times New Roman" w:cs="Times New Roman"/>
        <w:b/>
        <w:bCs/>
        <w:w w:val="99"/>
        <w:sz w:val="24"/>
        <w:szCs w:val="24"/>
        <w:lang w:val="en-gb" w:eastAsia="en-gb" w:bidi="en-gb"/>
      </w:rPr>
    </w:lvl>
    <w:lvl w:ilvl="2">
      <w:start w:val="0"/>
      <w:numFmt w:val="bullet"/>
      <w:lvlText w:val="•"/>
      <w:lvlJc w:val="left"/>
      <w:pPr>
        <w:ind w:left="1867" w:hanging="360"/>
      </w:pPr>
      <w:rPr>
        <w:rFonts w:hint="default"/>
        <w:lang w:val="en-gb" w:eastAsia="en-gb" w:bidi="en-gb"/>
      </w:rPr>
    </w:lvl>
    <w:lvl w:ilvl="3">
      <w:start w:val="0"/>
      <w:numFmt w:val="bullet"/>
      <w:lvlText w:val="•"/>
      <w:lvlJc w:val="left"/>
      <w:pPr>
        <w:ind w:left="2734" w:hanging="360"/>
      </w:pPr>
      <w:rPr>
        <w:rFonts w:hint="default"/>
        <w:lang w:val="en-gb" w:eastAsia="en-gb" w:bidi="en-gb"/>
      </w:rPr>
    </w:lvl>
    <w:lvl w:ilvl="4">
      <w:start w:val="0"/>
      <w:numFmt w:val="bullet"/>
      <w:lvlText w:val="•"/>
      <w:lvlJc w:val="left"/>
      <w:pPr>
        <w:ind w:left="3602" w:hanging="360"/>
      </w:pPr>
      <w:rPr>
        <w:rFonts w:hint="default"/>
        <w:lang w:val="en-gb" w:eastAsia="en-gb" w:bidi="en-gb"/>
      </w:rPr>
    </w:lvl>
    <w:lvl w:ilvl="5">
      <w:start w:val="0"/>
      <w:numFmt w:val="bullet"/>
      <w:lvlText w:val="•"/>
      <w:lvlJc w:val="left"/>
      <w:pPr>
        <w:ind w:left="4469" w:hanging="360"/>
      </w:pPr>
      <w:rPr>
        <w:rFonts w:hint="default"/>
        <w:lang w:val="en-gb" w:eastAsia="en-gb" w:bidi="en-gb"/>
      </w:rPr>
    </w:lvl>
    <w:lvl w:ilvl="6">
      <w:start w:val="0"/>
      <w:numFmt w:val="bullet"/>
      <w:lvlText w:val="•"/>
      <w:lvlJc w:val="left"/>
      <w:pPr>
        <w:ind w:left="5336" w:hanging="360"/>
      </w:pPr>
      <w:rPr>
        <w:rFonts w:hint="default"/>
        <w:lang w:val="en-gb" w:eastAsia="en-gb" w:bidi="en-gb"/>
      </w:rPr>
    </w:lvl>
    <w:lvl w:ilvl="7">
      <w:start w:val="0"/>
      <w:numFmt w:val="bullet"/>
      <w:lvlText w:val="•"/>
      <w:lvlJc w:val="left"/>
      <w:pPr>
        <w:ind w:left="6204" w:hanging="360"/>
      </w:pPr>
      <w:rPr>
        <w:rFonts w:hint="default"/>
        <w:lang w:val="en-gb" w:eastAsia="en-gb" w:bidi="en-gb"/>
      </w:rPr>
    </w:lvl>
    <w:lvl w:ilvl="8">
      <w:start w:val="0"/>
      <w:numFmt w:val="bullet"/>
      <w:lvlText w:val="•"/>
      <w:lvlJc w:val="left"/>
      <w:pPr>
        <w:ind w:left="707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80"/>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340" w:hanging="241"/>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spacing w:before="34"/>
      <w:ind w:left="107"/>
    </w:pPr>
    <w:rPr>
      <w:rFonts w:ascii="Times New Roman" w:hAnsi="Times New Roman" w:eastAsia="Times New Roman" w:cs="Times New Roman"/>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is.org/about/factmktc.ht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Foreign Exchange Joint Standing Committee from 19 May 2015</dc:subject>
  <dc:title>Minutes of the Foreign Exchange Joint Standing Committee from 19 May 2015</dc:title>
  <dcterms:created xsi:type="dcterms:W3CDTF">2020-06-01T02:01:10Z</dcterms:created>
  <dcterms:modified xsi:type="dcterms:W3CDTF">2020-06-01T02:01:10Z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2015-09-23T00:00:00Z</vt:filetime>
  </property>
  <property fmtid="{D5CDD505-2E9C-101B-9397-08002B2CF9AE}" pid="3" name="LastSaved">
    <vt:filetime>2020-06-01T00:00:00Z</vt:filetime>
  </property>
</Properties>
</file>