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1"/>
        <w:ind w:left="1151" w:right="1091"/>
        <w:jc w:val="center"/>
      </w:pPr>
      <w:r>
        <w:rPr>
          <w:w w:val="105"/>
        </w:rPr>
        <w:t>FOREIGN EXCHANGE JOINT STANDING COMMITTEE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152" w:right="1089" w:firstLine="0"/>
        <w:jc w:val="center"/>
        <w:rPr>
          <w:b/>
          <w:sz w:val="22"/>
        </w:rPr>
      </w:pPr>
      <w:r>
        <w:rPr>
          <w:b/>
          <w:w w:val="105"/>
          <w:sz w:val="22"/>
        </w:rPr>
        <w:t>Wednesday 11 May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ind w:left="1151" w:right="1091"/>
        <w:jc w:val="center"/>
      </w:pPr>
      <w:r>
        <w:rPr>
          <w:w w:val="105"/>
        </w:rPr>
        <w:t>Prudential Regulation Authority, 20 Moorgate, London, EC2R 6DA</w:t>
      </w:r>
    </w:p>
    <w:p>
      <w:pPr>
        <w:pStyle w:val="BodyText"/>
        <w:spacing w:before="10"/>
        <w:rPr>
          <w:sz w:val="14"/>
        </w:rPr>
      </w:pPr>
    </w:p>
    <w:p>
      <w:pPr>
        <w:spacing w:before="96"/>
        <w:ind w:left="1152" w:right="1090" w:firstLine="0"/>
        <w:jc w:val="center"/>
        <w:rPr>
          <w:b/>
          <w:sz w:val="22"/>
        </w:rPr>
      </w:pPr>
      <w:r>
        <w:rPr>
          <w:b/>
          <w:w w:val="105"/>
          <w:sz w:val="22"/>
          <w:u w:val="thick"/>
        </w:rPr>
        <w:t>MINUTES</w:t>
      </w:r>
    </w:p>
    <w:p>
      <w:pPr>
        <w:spacing w:before="7"/>
        <w:ind w:left="833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In Attendance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3"/>
        <w:gridCol w:w="3601"/>
      </w:tblGrid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Sarah Boyce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Association of Corporate Treasurers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Wang Yan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Bank of China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Richard Gill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Bank of New York Mellon</w:t>
            </w:r>
          </w:p>
        </w:tc>
      </w:tr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Tetsuro Kono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Bank of Tokyo-Mitsubishi UFJ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105"/>
                <w:sz w:val="20"/>
              </w:rPr>
              <w:t>James Hassett</w:t>
            </w:r>
          </w:p>
        </w:tc>
        <w:tc>
          <w:tcPr>
            <w:tcW w:w="3601" w:type="dxa"/>
          </w:tcPr>
          <w:p>
            <w:pPr>
              <w:pStyle w:val="TableParagraph"/>
              <w:spacing w:before="42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Barclays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Marcus Browning</w:t>
            </w:r>
          </w:p>
        </w:tc>
        <w:tc>
          <w:tcPr>
            <w:tcW w:w="360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BlueCrest Capital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Ronald Kent</w:t>
            </w:r>
          </w:p>
        </w:tc>
        <w:tc>
          <w:tcPr>
            <w:tcW w:w="3601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British Bankers’ Association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Bindler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Citigroup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Russell Lascala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Deutsche Bank</w:t>
            </w:r>
          </w:p>
        </w:tc>
      </w:tr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Kemp</w:t>
            </w:r>
          </w:p>
        </w:tc>
        <w:tc>
          <w:tcPr>
            <w:tcW w:w="360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FICC Markets Standards Board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Jamie Black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Financial Conduct Authority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Kayhan Mirza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Goldman Sachs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Frederic Boillereau</w:t>
            </w:r>
          </w:p>
        </w:tc>
        <w:tc>
          <w:tcPr>
            <w:tcW w:w="360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HSBC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Richard Purssell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Insight Investment</w:t>
            </w:r>
          </w:p>
        </w:tc>
      </w:tr>
      <w:tr>
        <w:trPr>
          <w:trHeight w:val="551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Stephen Grady</w:t>
            </w:r>
          </w:p>
        </w:tc>
        <w:tc>
          <w:tcPr>
            <w:tcW w:w="3601" w:type="dxa"/>
          </w:tcPr>
          <w:p>
            <w:pPr>
              <w:pStyle w:val="TableParagraph"/>
              <w:spacing w:line="249" w:lineRule="auto" w:before="44"/>
              <w:ind w:right="167" w:hanging="2"/>
              <w:rPr>
                <w:sz w:val="20"/>
              </w:rPr>
            </w:pPr>
            <w:r>
              <w:rPr>
                <w:w w:val="105"/>
                <w:sz w:val="20"/>
              </w:rPr>
              <w:t>Legal &amp; General Investment Management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Harvey</w:t>
            </w:r>
          </w:p>
        </w:tc>
        <w:tc>
          <w:tcPr>
            <w:tcW w:w="360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Rolls-Royce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Kurt Vom Scheidt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Saxo Bank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Frances Hinden</w:t>
            </w:r>
          </w:p>
        </w:tc>
        <w:tc>
          <w:tcPr>
            <w:tcW w:w="3601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Shell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Galina Dimitrova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The Investment Association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Phil Weisberg</w:t>
            </w:r>
          </w:p>
        </w:tc>
        <w:tc>
          <w:tcPr>
            <w:tcW w:w="3601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Thomson Reuters</w:t>
            </w:r>
          </w:p>
        </w:tc>
      </w:tr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George Athanasopoulos</w:t>
            </w:r>
          </w:p>
        </w:tc>
        <w:tc>
          <w:tcPr>
            <w:tcW w:w="3601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UBS</w:t>
            </w:r>
          </w:p>
        </w:tc>
      </w:tr>
      <w:tr>
        <w:trPr>
          <w:trHeight w:val="549" w:hRule="atLeast"/>
        </w:trPr>
        <w:tc>
          <w:tcPr>
            <w:tcW w:w="3703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105"/>
                <w:sz w:val="20"/>
              </w:rPr>
              <w:t>David Clark</w:t>
            </w:r>
          </w:p>
        </w:tc>
        <w:tc>
          <w:tcPr>
            <w:tcW w:w="3601" w:type="dxa"/>
          </w:tcPr>
          <w:p>
            <w:pPr>
              <w:pStyle w:val="TableParagraph"/>
              <w:spacing w:line="249" w:lineRule="auto" w:before="42"/>
              <w:ind w:right="167"/>
              <w:rPr>
                <w:sz w:val="20"/>
              </w:rPr>
            </w:pPr>
            <w:r>
              <w:rPr>
                <w:w w:val="105"/>
                <w:sz w:val="20"/>
              </w:rPr>
              <w:t>Wholesale Markets Brokers’ Association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Zar Amrolia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XTX Markets</w:t>
            </w:r>
          </w:p>
        </w:tc>
      </w:tr>
      <w:tr>
        <w:trPr>
          <w:trHeight w:val="588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Isabelle Dennigan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RBC</w:t>
            </w:r>
          </w:p>
          <w:p>
            <w:pPr>
              <w:pStyle w:val="TableParagraph"/>
              <w:spacing w:before="4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Chair Operations Sub Committee</w:t>
            </w:r>
          </w:p>
        </w:tc>
      </w:tr>
      <w:tr>
        <w:trPr>
          <w:trHeight w:val="588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Chris Allen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Barclays</w:t>
            </w:r>
          </w:p>
          <w:p>
            <w:pPr>
              <w:pStyle w:val="TableParagraph"/>
              <w:spacing w:before="4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Chair Legal Sub-Committee</w:t>
            </w:r>
          </w:p>
        </w:tc>
      </w:tr>
      <w:tr>
        <w:trPr>
          <w:trHeight w:val="550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Guy Debelle </w:t>
            </w:r>
            <w:r>
              <w:rPr>
                <w:i/>
                <w:w w:val="105"/>
                <w:sz w:val="20"/>
              </w:rPr>
              <w:t>(Guest attendee)</w:t>
            </w:r>
          </w:p>
        </w:tc>
        <w:tc>
          <w:tcPr>
            <w:tcW w:w="3601" w:type="dxa"/>
          </w:tcPr>
          <w:p>
            <w:pPr>
              <w:pStyle w:val="TableParagraph"/>
              <w:spacing w:line="249" w:lineRule="auto"/>
              <w:ind w:left="102" w:right="167"/>
              <w:rPr>
                <w:sz w:val="20"/>
              </w:rPr>
            </w:pPr>
            <w:r>
              <w:rPr>
                <w:w w:val="105"/>
                <w:sz w:val="20"/>
              </w:rPr>
              <w:t>BIS Foreign Exchange Working Group Chair</w:t>
            </w:r>
            <w:r>
              <w:rPr>
                <w:w w:val="105"/>
                <w:sz w:val="20"/>
                <w:vertAlign w:val="superscript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Chris Salmon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(Chair)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Grigoria Christodoulou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(Secretariat)</w:t>
            </w:r>
          </w:p>
        </w:tc>
      </w:tr>
      <w:tr>
        <w:trPr>
          <w:trHeight w:val="314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Lisa Gupta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(Secretariat)</w:t>
            </w:r>
          </w:p>
        </w:tc>
      </w:tr>
    </w:tbl>
    <w:p>
      <w:pPr>
        <w:pStyle w:val="BodyText"/>
        <w:spacing w:before="6"/>
        <w:rPr>
          <w:b/>
          <w:sz w:val="27"/>
        </w:rPr>
      </w:pPr>
      <w:r>
        <w:rPr/>
        <w:pict>
          <v:shape style="position:absolute;margin-left:110.519997pt;margin-top:18.089994pt;width:135.5pt;height:.1pt;mso-position-horizontal-relative:page;mso-position-vertical-relative:paragraph;z-index:-251658240;mso-wrap-distance-left:0;mso-wrap-distance-right:0" coordorigin="2210,362" coordsize="2710,0" path="m2210,362l4920,362e" filled="false" stroked="true" strokeweight=".54001pt" strokecolor="#000000">
            <v:path arrowok="t"/>
            <v:stroke dashstyle="solid"/>
            <w10:wrap type="topAndBottom"/>
          </v:shape>
        </w:pict>
      </w:r>
    </w:p>
    <w:p>
      <w:pPr>
        <w:spacing w:before="39"/>
        <w:ind w:left="550" w:right="1634" w:firstLine="0"/>
        <w:jc w:val="left"/>
        <w:rPr>
          <w:sz w:val="19"/>
        </w:rPr>
      </w:pPr>
      <w:r>
        <w:rPr>
          <w:position w:val="9"/>
          <w:sz w:val="12"/>
        </w:rPr>
        <w:t>1</w:t>
      </w:r>
      <w:r>
        <w:rPr>
          <w:sz w:val="19"/>
        </w:rPr>
        <w:t>More information about the BIS Foreign Exchange Working Group can be found here: </w:t>
      </w:r>
      <w:hyperlink r:id="rId6">
        <w:r>
          <w:rPr>
            <w:color w:val="0000FF"/>
            <w:sz w:val="19"/>
            <w:u w:val="single" w:color="0000FF"/>
          </w:rPr>
          <w:t>http://www.bis.org/about/factmktc/fxwg.htm</w:t>
        </w:r>
      </w:hyperlink>
    </w:p>
    <w:p>
      <w:pPr>
        <w:spacing w:after="0"/>
        <w:jc w:val="left"/>
        <w:rPr>
          <w:sz w:val="19"/>
        </w:rPr>
        <w:sectPr>
          <w:footerReference w:type="default" r:id="rId5"/>
          <w:type w:val="continuous"/>
          <w:pgSz w:w="12240" w:h="15840"/>
          <w:pgMar w:footer="627" w:top="1000" w:bottom="820" w:left="1660" w:right="1720"/>
        </w:sectPr>
      </w:pPr>
    </w:p>
    <w:tbl>
      <w:tblPr>
        <w:tblW w:w="0" w:type="auto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3"/>
        <w:gridCol w:w="3601"/>
      </w:tblGrid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Jonathan Grant</w:t>
            </w:r>
          </w:p>
        </w:tc>
        <w:tc>
          <w:tcPr>
            <w:tcW w:w="3601" w:type="dxa"/>
          </w:tcPr>
          <w:p>
            <w:pPr>
              <w:pStyle w:val="TableParagraph"/>
              <w:spacing w:before="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(Legal)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Elizabeth Darkens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David Edmunds</w:t>
            </w:r>
          </w:p>
        </w:tc>
        <w:tc>
          <w:tcPr>
            <w:tcW w:w="3601" w:type="dxa"/>
          </w:tcPr>
          <w:p>
            <w:pPr>
              <w:pStyle w:val="TableParagraph"/>
              <w:ind w:left="100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Chris Mills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ind w:left="10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James O’Connor</w:t>
            </w:r>
          </w:p>
        </w:tc>
        <w:tc>
          <w:tcPr>
            <w:tcW w:w="3601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pStyle w:val="Heading1"/>
        <w:spacing w:before="96"/>
        <w:ind w:left="777"/>
      </w:pPr>
      <w:r>
        <w:rPr>
          <w:w w:val="105"/>
        </w:rPr>
        <w:t>Apologies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7"/>
        <w:gridCol w:w="3868"/>
      </w:tblGrid>
      <w:tr>
        <w:trPr>
          <w:trHeight w:val="312" w:hRule="atLeast"/>
        </w:trPr>
        <w:tc>
          <w:tcPr>
            <w:tcW w:w="3437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David Puth</w:t>
            </w:r>
          </w:p>
        </w:tc>
        <w:tc>
          <w:tcPr>
            <w:tcW w:w="3868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CLS</w:t>
            </w:r>
          </w:p>
        </w:tc>
      </w:tr>
      <w:tr>
        <w:trPr>
          <w:trHeight w:val="312" w:hRule="atLeast"/>
        </w:trPr>
        <w:tc>
          <w:tcPr>
            <w:tcW w:w="34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Lisa Scott-Smith</w:t>
            </w:r>
          </w:p>
        </w:tc>
        <w:tc>
          <w:tcPr>
            <w:tcW w:w="38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Millennium Global Investments</w:t>
            </w:r>
          </w:p>
        </w:tc>
      </w:tr>
      <w:tr>
        <w:trPr>
          <w:trHeight w:val="313" w:hRule="atLeast"/>
        </w:trPr>
        <w:tc>
          <w:tcPr>
            <w:tcW w:w="3437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James Potter</w:t>
            </w:r>
          </w:p>
        </w:tc>
        <w:tc>
          <w:tcPr>
            <w:tcW w:w="3868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Tullett Prebon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27" w:top="1060" w:bottom="860" w:left="1660" w:right="1720"/>
        </w:sectPr>
      </w:pPr>
    </w:p>
    <w:p>
      <w:pPr>
        <w:pStyle w:val="ListParagraph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72" w:after="0"/>
        <w:ind w:left="550" w:right="0" w:hanging="438"/>
        <w:jc w:val="left"/>
        <w:rPr>
          <w:b/>
          <w:sz w:val="22"/>
        </w:rPr>
      </w:pPr>
      <w:r>
        <w:rPr>
          <w:b/>
          <w:w w:val="105"/>
          <w:sz w:val="22"/>
        </w:rPr>
        <w:t>Welcome and apologies for</w:t>
      </w:r>
      <w:r>
        <w:rPr>
          <w:b/>
          <w:spacing w:val="-9"/>
          <w:w w:val="105"/>
          <w:sz w:val="22"/>
        </w:rPr>
        <w:t> </w:t>
      </w:r>
      <w:r>
        <w:rPr>
          <w:b/>
          <w:w w:val="105"/>
          <w:sz w:val="22"/>
        </w:rPr>
        <w:t>absence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0" w:right="466"/>
      </w:pPr>
      <w:r>
        <w:rPr>
          <w:w w:val="105"/>
        </w:rPr>
        <w:t>Apologies</w:t>
      </w:r>
      <w:r>
        <w:rPr>
          <w:spacing w:val="-17"/>
          <w:w w:val="105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received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David</w:t>
      </w:r>
      <w:r>
        <w:rPr>
          <w:spacing w:val="-16"/>
          <w:w w:val="105"/>
        </w:rPr>
        <w:t> </w:t>
      </w:r>
      <w:r>
        <w:rPr>
          <w:w w:val="105"/>
        </w:rPr>
        <w:t>Puth,</w:t>
      </w:r>
      <w:r>
        <w:rPr>
          <w:spacing w:val="-17"/>
          <w:w w:val="105"/>
        </w:rPr>
        <w:t> </w:t>
      </w:r>
      <w:r>
        <w:rPr>
          <w:w w:val="105"/>
        </w:rPr>
        <w:t>Lisa</w:t>
      </w:r>
      <w:r>
        <w:rPr>
          <w:spacing w:val="-17"/>
          <w:w w:val="105"/>
        </w:rPr>
        <w:t> </w:t>
      </w:r>
      <w:r>
        <w:rPr>
          <w:w w:val="105"/>
        </w:rPr>
        <w:t>Scott-Smith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James</w:t>
      </w:r>
      <w:r>
        <w:rPr>
          <w:spacing w:val="-17"/>
          <w:w w:val="105"/>
        </w:rPr>
        <w:t> </w:t>
      </w:r>
      <w:r>
        <w:rPr>
          <w:w w:val="105"/>
        </w:rPr>
        <w:t>Potter.</w:t>
      </w:r>
      <w:r>
        <w:rPr>
          <w:spacing w:val="26"/>
          <w:w w:val="105"/>
        </w:rPr>
        <w:t> </w:t>
      </w:r>
      <w:r>
        <w:rPr>
          <w:w w:val="105"/>
        </w:rPr>
        <w:t>The Chair informed attendees that Gil Mandelzis (EBS BrokerTec) had stepped down from the</w:t>
      </w:r>
      <w:r>
        <w:rPr>
          <w:spacing w:val="-9"/>
          <w:w w:val="105"/>
        </w:rPr>
        <w:t> </w:t>
      </w:r>
      <w:r>
        <w:rPr>
          <w:w w:val="105"/>
        </w:rPr>
        <w:t>Committee.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489" w:lineRule="auto" w:before="1" w:after="0"/>
        <w:ind w:left="550" w:right="542" w:hanging="437"/>
        <w:jc w:val="left"/>
      </w:pPr>
      <w:r>
        <w:rPr>
          <w:w w:val="105"/>
        </w:rPr>
        <w:t>Minutes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28</w:t>
      </w:r>
      <w:r>
        <w:rPr>
          <w:spacing w:val="-17"/>
          <w:w w:val="105"/>
        </w:rPr>
        <w:t> </w:t>
      </w:r>
      <w:r>
        <w:rPr>
          <w:w w:val="105"/>
        </w:rPr>
        <w:t>January,</w:t>
      </w:r>
      <w:r>
        <w:rPr>
          <w:spacing w:val="-17"/>
          <w:w w:val="105"/>
        </w:rPr>
        <w:t> </w:t>
      </w:r>
      <w:r>
        <w:rPr>
          <w:w w:val="105"/>
        </w:rPr>
        <w:t>16</w:t>
      </w:r>
      <w:r>
        <w:rPr>
          <w:spacing w:val="-16"/>
          <w:w w:val="105"/>
        </w:rPr>
        <w:t> </w:t>
      </w:r>
      <w:r>
        <w:rPr>
          <w:w w:val="105"/>
        </w:rPr>
        <w:t>February,</w:t>
      </w:r>
      <w:r>
        <w:rPr>
          <w:spacing w:val="-17"/>
          <w:w w:val="105"/>
        </w:rPr>
        <w:t> </w:t>
      </w:r>
      <w:r>
        <w:rPr>
          <w:w w:val="105"/>
        </w:rPr>
        <w:t>23</w:t>
      </w:r>
      <w:r>
        <w:rPr>
          <w:spacing w:val="-17"/>
          <w:w w:val="105"/>
        </w:rPr>
        <w:t> </w:t>
      </w:r>
      <w:r>
        <w:rPr>
          <w:w w:val="105"/>
        </w:rPr>
        <w:t>March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22</w:t>
      </w:r>
      <w:r>
        <w:rPr>
          <w:spacing w:val="-17"/>
          <w:w w:val="105"/>
        </w:rPr>
        <w:t> </w:t>
      </w:r>
      <w:r>
        <w:rPr>
          <w:w w:val="105"/>
        </w:rPr>
        <w:t>April</w:t>
      </w:r>
      <w:r>
        <w:rPr>
          <w:spacing w:val="-17"/>
          <w:w w:val="105"/>
        </w:rPr>
        <w:t> </w:t>
      </w:r>
      <w:r>
        <w:rPr>
          <w:w w:val="105"/>
        </w:rPr>
        <w:t>meetings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matters arising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before="1"/>
        <w:ind w:left="550"/>
      </w:pPr>
      <w:r>
        <w:rPr>
          <w:w w:val="105"/>
        </w:rPr>
        <w:t>The minutes of the January, February, March and April meetings were agreed.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1" w:right="0" w:hanging="269"/>
        <w:jc w:val="left"/>
      </w:pPr>
      <w:r>
        <w:rPr>
          <w:w w:val="105"/>
        </w:rPr>
        <w:t>FX Global</w:t>
      </w:r>
      <w:r>
        <w:rPr>
          <w:spacing w:val="-7"/>
          <w:w w:val="105"/>
        </w:rPr>
        <w:t> </w:t>
      </w:r>
      <w:r>
        <w:rPr>
          <w:w w:val="105"/>
        </w:rPr>
        <w:t>Code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0" w:right="466"/>
      </w:pPr>
      <w:r>
        <w:rPr>
          <w:w w:val="105"/>
        </w:rPr>
        <w:t>Grigoria</w:t>
      </w:r>
      <w:r>
        <w:rPr>
          <w:spacing w:val="-19"/>
          <w:w w:val="105"/>
        </w:rPr>
        <w:t> </w:t>
      </w:r>
      <w:r>
        <w:rPr>
          <w:w w:val="105"/>
        </w:rPr>
        <w:t>Christodoulou</w:t>
      </w:r>
      <w:r>
        <w:rPr>
          <w:spacing w:val="-17"/>
          <w:w w:val="105"/>
        </w:rPr>
        <w:t> </w:t>
      </w:r>
      <w:r>
        <w:rPr>
          <w:i/>
          <w:w w:val="105"/>
        </w:rPr>
        <w:t>(Bank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England)</w:t>
      </w:r>
      <w:r>
        <w:rPr>
          <w:i/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overview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fatal</w:t>
      </w:r>
      <w:r>
        <w:rPr>
          <w:spacing w:val="-17"/>
          <w:w w:val="105"/>
        </w:rPr>
        <w:t> </w:t>
      </w:r>
      <w:r>
        <w:rPr>
          <w:w w:val="105"/>
        </w:rPr>
        <w:t>flaw comments the FXJSC had submitted in April had been reflected in the final Phase 1 draft of the FX Global Code (the</w:t>
      </w:r>
      <w:r>
        <w:rPr>
          <w:spacing w:val="-21"/>
          <w:w w:val="105"/>
        </w:rPr>
        <w:t> </w:t>
      </w:r>
      <w:r>
        <w:rPr>
          <w:w w:val="105"/>
        </w:rPr>
        <w:t>‘Code’).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2505" w:val="left" w:leader="none"/>
        </w:tabs>
        <w:spacing w:line="491" w:lineRule="auto"/>
        <w:ind w:left="550" w:right="570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Chair</w:t>
      </w:r>
      <w:r>
        <w:rPr>
          <w:spacing w:val="-18"/>
          <w:w w:val="105"/>
        </w:rPr>
        <w:t> </w:t>
      </w:r>
      <w:r>
        <w:rPr>
          <w:w w:val="105"/>
        </w:rPr>
        <w:t>reminded</w:t>
      </w:r>
      <w:r>
        <w:rPr>
          <w:spacing w:val="-17"/>
          <w:w w:val="105"/>
        </w:rPr>
        <w:t> </w:t>
      </w:r>
      <w:r>
        <w:rPr>
          <w:w w:val="105"/>
        </w:rPr>
        <w:t>attendees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upcoming</w:t>
      </w:r>
      <w:r>
        <w:rPr>
          <w:spacing w:val="-16"/>
          <w:w w:val="105"/>
        </w:rPr>
        <w:t> </w:t>
      </w:r>
      <w:r>
        <w:rPr>
          <w:w w:val="105"/>
        </w:rPr>
        <w:t>milestones</w:t>
      </w:r>
      <w:r>
        <w:rPr>
          <w:spacing w:val="-17"/>
          <w:w w:val="105"/>
        </w:rPr>
        <w:t> </w:t>
      </w:r>
      <w:r>
        <w:rPr>
          <w:w w:val="105"/>
        </w:rPr>
        <w:t>ahead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publication</w:t>
      </w:r>
      <w:r>
        <w:rPr>
          <w:spacing w:val="-18"/>
          <w:w w:val="105"/>
        </w:rPr>
        <w:t> </w:t>
      </w:r>
      <w:r>
        <w:rPr>
          <w:w w:val="105"/>
        </w:rPr>
        <w:t>in May 2016 of Phase 1 materials. In particular, the Chair noted that the Phase 1 materials would be signed off on 25 May at the annual Global Foreign Exchange Committees</w:t>
      </w:r>
      <w:r>
        <w:rPr>
          <w:spacing w:val="-13"/>
          <w:w w:val="105"/>
        </w:rPr>
        <w:t> </w:t>
      </w:r>
      <w:r>
        <w:rPr>
          <w:w w:val="105"/>
        </w:rPr>
        <w:t>(Global</w:t>
      </w:r>
      <w:r>
        <w:rPr>
          <w:spacing w:val="-14"/>
          <w:w w:val="105"/>
        </w:rPr>
        <w:t> </w:t>
      </w:r>
      <w:r>
        <w:rPr>
          <w:w w:val="105"/>
        </w:rPr>
        <w:t>FXCs)</w:t>
      </w:r>
      <w:r>
        <w:rPr>
          <w:spacing w:val="-13"/>
          <w:w w:val="105"/>
        </w:rPr>
        <w:t> </w:t>
      </w:r>
      <w:r>
        <w:rPr>
          <w:w w:val="105"/>
        </w:rPr>
        <w:t>meeting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York.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26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Phase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text would be published on the Bank for International Settlements (BIS) website, alongside an interim update on the adherence approach and a statement of support from the members of the BIS Economic Consultative Committee and Global Economy</w:t>
      </w:r>
      <w:r>
        <w:rPr>
          <w:spacing w:val="-17"/>
          <w:w w:val="105"/>
        </w:rPr>
        <w:t> </w:t>
      </w:r>
      <w:r>
        <w:rPr>
          <w:w w:val="105"/>
        </w:rPr>
        <w:t>Meeting.</w:t>
        <w:tab/>
        <w:t>Furthermore,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26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6"/>
          <w:w w:val="105"/>
        </w:rPr>
        <w:t> </w:t>
      </w:r>
      <w:r>
        <w:rPr>
          <w:w w:val="105"/>
        </w:rPr>
        <w:t>FXCs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publish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joint statement of support for the Phase 1 materials on each of their national FXCs websites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10.519997pt;margin-top:9.995859pt;width:135.5pt;height:.1pt;mso-position-horizontal-relative:page;mso-position-vertical-relative:paragraph;z-index:-251657216;mso-wrap-distance-left:0;mso-wrap-distance-right:0" coordorigin="2210,200" coordsize="2710,0" path="m2210,200l4920,200e" filled="false" stroked="true" strokeweight=".53998pt" strokecolor="#000000">
            <v:path arrowok="t"/>
            <v:stroke dashstyle="solid"/>
            <w10:wrap type="topAndBottom"/>
          </v:shape>
        </w:pict>
      </w:r>
    </w:p>
    <w:p>
      <w:pPr>
        <w:spacing w:line="237" w:lineRule="auto" w:before="41"/>
        <w:ind w:left="550" w:right="466" w:firstLine="0"/>
        <w:jc w:val="left"/>
        <w:rPr>
          <w:sz w:val="19"/>
        </w:rPr>
      </w:pPr>
      <w:r>
        <w:rPr>
          <w:position w:val="9"/>
          <w:sz w:val="12"/>
        </w:rPr>
        <w:t>2</w:t>
      </w:r>
      <w:r>
        <w:rPr>
          <w:spacing w:val="10"/>
          <w:position w:val="9"/>
          <w:sz w:val="12"/>
        </w:rPr>
        <w:t> </w:t>
      </w:r>
      <w:r>
        <w:rPr>
          <w:sz w:val="19"/>
        </w:rPr>
        <w:t>The</w:t>
      </w:r>
      <w:r>
        <w:rPr>
          <w:spacing w:val="-8"/>
          <w:sz w:val="19"/>
        </w:rPr>
        <w:t> </w:t>
      </w:r>
      <w:r>
        <w:rPr>
          <w:sz w:val="19"/>
        </w:rPr>
        <w:t>Global</w:t>
      </w:r>
      <w:r>
        <w:rPr>
          <w:spacing w:val="-7"/>
          <w:sz w:val="19"/>
        </w:rPr>
        <w:t> </w:t>
      </w:r>
      <w:r>
        <w:rPr>
          <w:sz w:val="19"/>
        </w:rPr>
        <w:t>FXCs</w:t>
      </w:r>
      <w:r>
        <w:rPr>
          <w:spacing w:val="-9"/>
          <w:sz w:val="19"/>
        </w:rPr>
        <w:t> </w:t>
      </w:r>
      <w:r>
        <w:rPr>
          <w:sz w:val="19"/>
        </w:rPr>
        <w:t>comprise</w:t>
      </w:r>
      <w:r>
        <w:rPr>
          <w:spacing w:val="-7"/>
          <w:sz w:val="19"/>
        </w:rPr>
        <w:t> </w:t>
      </w:r>
      <w:r>
        <w:rPr>
          <w:sz w:val="19"/>
        </w:rPr>
        <w:t>of</w:t>
      </w:r>
      <w:r>
        <w:rPr>
          <w:spacing w:val="-7"/>
          <w:sz w:val="19"/>
        </w:rPr>
        <w:t> </w:t>
      </w:r>
      <w:r>
        <w:rPr>
          <w:sz w:val="19"/>
        </w:rPr>
        <w:t>the:</w:t>
      </w:r>
      <w:r>
        <w:rPr>
          <w:spacing w:val="-8"/>
          <w:sz w:val="19"/>
        </w:rPr>
        <w:t> </w:t>
      </w:r>
      <w:r>
        <w:rPr>
          <w:sz w:val="19"/>
        </w:rPr>
        <w:t>Australian</w:t>
      </w:r>
      <w:r>
        <w:rPr>
          <w:spacing w:val="-7"/>
          <w:sz w:val="19"/>
        </w:rPr>
        <w:t> </w:t>
      </w:r>
      <w:r>
        <w:rPr>
          <w:sz w:val="19"/>
        </w:rPr>
        <w:t>Foreign</w:t>
      </w:r>
      <w:r>
        <w:rPr>
          <w:spacing w:val="-7"/>
          <w:sz w:val="19"/>
        </w:rPr>
        <w:t> </w:t>
      </w:r>
      <w:r>
        <w:rPr>
          <w:sz w:val="19"/>
        </w:rPr>
        <w:t>Exchange</w:t>
      </w:r>
      <w:r>
        <w:rPr>
          <w:spacing w:val="-8"/>
          <w:sz w:val="19"/>
        </w:rPr>
        <w:t> </w:t>
      </w:r>
      <w:r>
        <w:rPr>
          <w:sz w:val="19"/>
        </w:rPr>
        <w:t>Committee;</w:t>
      </w:r>
      <w:r>
        <w:rPr>
          <w:spacing w:val="-8"/>
          <w:sz w:val="19"/>
        </w:rPr>
        <w:t> </w:t>
      </w:r>
      <w:r>
        <w:rPr>
          <w:sz w:val="19"/>
        </w:rPr>
        <w:t>Canadian</w:t>
      </w:r>
      <w:r>
        <w:rPr>
          <w:spacing w:val="-8"/>
          <w:sz w:val="19"/>
        </w:rPr>
        <w:t> </w:t>
      </w:r>
      <w:r>
        <w:rPr>
          <w:sz w:val="19"/>
        </w:rPr>
        <w:t>Foreign Exchange Committee; ECB’s Foreign Exchange Contact Group; Hong Kong Treasury Markets Association;</w:t>
      </w:r>
      <w:r>
        <w:rPr>
          <w:spacing w:val="-10"/>
          <w:sz w:val="19"/>
        </w:rPr>
        <w:t> </w:t>
      </w:r>
      <w:r>
        <w:rPr>
          <w:sz w:val="19"/>
        </w:rPr>
        <w:t>London</w:t>
      </w:r>
      <w:r>
        <w:rPr>
          <w:spacing w:val="-9"/>
          <w:sz w:val="19"/>
        </w:rPr>
        <w:t> </w:t>
      </w:r>
      <w:r>
        <w:rPr>
          <w:sz w:val="19"/>
        </w:rPr>
        <w:t>Foreign</w:t>
      </w:r>
      <w:r>
        <w:rPr>
          <w:spacing w:val="-11"/>
          <w:sz w:val="19"/>
        </w:rPr>
        <w:t> </w:t>
      </w:r>
      <w:r>
        <w:rPr>
          <w:sz w:val="19"/>
        </w:rPr>
        <w:t>Exchange</w:t>
      </w:r>
      <w:r>
        <w:rPr>
          <w:spacing w:val="-10"/>
          <w:sz w:val="19"/>
        </w:rPr>
        <w:t> </w:t>
      </w:r>
      <w:r>
        <w:rPr>
          <w:sz w:val="19"/>
        </w:rPr>
        <w:t>Joint</w:t>
      </w:r>
      <w:r>
        <w:rPr>
          <w:spacing w:val="-11"/>
          <w:sz w:val="19"/>
        </w:rPr>
        <w:t> </w:t>
      </w:r>
      <w:r>
        <w:rPr>
          <w:sz w:val="19"/>
        </w:rPr>
        <w:t>Standing</w:t>
      </w:r>
      <w:r>
        <w:rPr>
          <w:spacing w:val="-9"/>
          <w:sz w:val="19"/>
        </w:rPr>
        <w:t> </w:t>
      </w:r>
      <w:r>
        <w:rPr>
          <w:sz w:val="19"/>
        </w:rPr>
        <w:t>Committee;</w:t>
      </w:r>
      <w:r>
        <w:rPr>
          <w:spacing w:val="-9"/>
          <w:sz w:val="19"/>
        </w:rPr>
        <w:t> </w:t>
      </w:r>
      <w:r>
        <w:rPr>
          <w:sz w:val="19"/>
        </w:rPr>
        <w:t>New</w:t>
      </w:r>
      <w:r>
        <w:rPr>
          <w:spacing w:val="-10"/>
          <w:sz w:val="19"/>
        </w:rPr>
        <w:t> </w:t>
      </w:r>
      <w:r>
        <w:rPr>
          <w:sz w:val="19"/>
        </w:rPr>
        <w:t>York</w:t>
      </w:r>
      <w:r>
        <w:rPr>
          <w:spacing w:val="-9"/>
          <w:sz w:val="19"/>
        </w:rPr>
        <w:t> </w:t>
      </w:r>
      <w:r>
        <w:rPr>
          <w:sz w:val="19"/>
        </w:rPr>
        <w:t>Foreign</w:t>
      </w:r>
      <w:r>
        <w:rPr>
          <w:spacing w:val="-9"/>
          <w:sz w:val="19"/>
        </w:rPr>
        <w:t> </w:t>
      </w:r>
      <w:r>
        <w:rPr>
          <w:sz w:val="19"/>
        </w:rPr>
        <w:t>Exchange Committee; Singapore Foreign Exchange Market Committee; Tokyo Foreign Exchange Market Committee.</w:t>
      </w:r>
    </w:p>
    <w:p>
      <w:pPr>
        <w:spacing w:after="0" w:line="237" w:lineRule="auto"/>
        <w:jc w:val="left"/>
        <w:rPr>
          <w:sz w:val="19"/>
        </w:rPr>
        <w:sectPr>
          <w:pgSz w:w="12240" w:h="15840"/>
          <w:pgMar w:header="0" w:footer="627" w:top="1000" w:bottom="820" w:left="1660" w:right="1720"/>
        </w:sectPr>
      </w:pPr>
    </w:p>
    <w:p>
      <w:pPr>
        <w:pStyle w:val="BodyText"/>
        <w:spacing w:line="491" w:lineRule="auto" w:before="71"/>
        <w:ind w:left="550" w:right="552"/>
      </w:pPr>
      <w:r>
        <w:rPr>
          <w:w w:val="105"/>
        </w:rPr>
        <w:t>The Chair asked attendees for their views on the proposed Global FXCs joint statement. It was suggested that one part of the statement should be strengthened to provide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firmer</w:t>
      </w:r>
      <w:r>
        <w:rPr>
          <w:spacing w:val="-13"/>
          <w:w w:val="105"/>
        </w:rPr>
        <w:t> </w:t>
      </w:r>
      <w:r>
        <w:rPr>
          <w:w w:val="105"/>
        </w:rPr>
        <w:t>signal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market’s</w:t>
      </w:r>
      <w:r>
        <w:rPr>
          <w:spacing w:val="-13"/>
          <w:w w:val="105"/>
        </w:rPr>
        <w:t> </w:t>
      </w:r>
      <w:r>
        <w:rPr>
          <w:w w:val="105"/>
        </w:rPr>
        <w:t>commitment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adhere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Code.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Chair agreed with this suggestion. Attendees confirmed that they were content: (i) to approve the Global FXCs joint statement, subject to incorporation of the proposed amendment</w:t>
      </w:r>
      <w:r>
        <w:rPr>
          <w:spacing w:val="24"/>
          <w:w w:val="105"/>
        </w:rPr>
        <w:t> </w:t>
      </w:r>
      <w:r>
        <w:rPr>
          <w:w w:val="105"/>
        </w:rPr>
        <w:t>and;</w:t>
      </w:r>
      <w:r>
        <w:rPr>
          <w:spacing w:val="-17"/>
          <w:w w:val="105"/>
        </w:rPr>
        <w:t> </w:t>
      </w:r>
      <w:r>
        <w:rPr>
          <w:w w:val="105"/>
        </w:rPr>
        <w:t>(ii)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Chair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Stephen</w:t>
      </w:r>
      <w:r>
        <w:rPr>
          <w:spacing w:val="-17"/>
          <w:w w:val="105"/>
        </w:rPr>
        <w:t> </w:t>
      </w:r>
      <w:r>
        <w:rPr>
          <w:w w:val="105"/>
        </w:rPr>
        <w:t>Grady</w:t>
      </w:r>
      <w:r>
        <w:rPr>
          <w:spacing w:val="-15"/>
          <w:w w:val="105"/>
        </w:rPr>
        <w:t> </w:t>
      </w:r>
      <w:r>
        <w:rPr>
          <w:i/>
          <w:w w:val="105"/>
        </w:rPr>
        <w:t>(Legal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General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Investment </w:t>
      </w:r>
      <w:r>
        <w:rPr>
          <w:i/>
          <w:w w:val="105"/>
        </w:rPr>
        <w:t>Management)</w:t>
      </w:r>
      <w:r>
        <w:rPr>
          <w:i/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sign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FXCs</w:t>
      </w:r>
      <w:r>
        <w:rPr>
          <w:spacing w:val="-13"/>
          <w:w w:val="105"/>
        </w:rPr>
        <w:t> </w:t>
      </w:r>
      <w:r>
        <w:rPr>
          <w:w w:val="105"/>
        </w:rPr>
        <w:t>joint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behalf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FXJSC at the Global FXCs meeting on 25</w:t>
      </w:r>
      <w:r>
        <w:rPr>
          <w:spacing w:val="-20"/>
          <w:w w:val="105"/>
        </w:rPr>
        <w:t> </w:t>
      </w:r>
      <w:r>
        <w:rPr>
          <w:w w:val="105"/>
        </w:rPr>
        <w:t>May.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91" w:lineRule="auto"/>
        <w:ind w:left="550" w:right="466" w:hanging="1"/>
      </w:pPr>
      <w:r>
        <w:rPr>
          <w:w w:val="105"/>
        </w:rPr>
        <w:t>Guy</w:t>
      </w:r>
      <w:r>
        <w:rPr>
          <w:spacing w:val="-16"/>
          <w:w w:val="105"/>
        </w:rPr>
        <w:t> </w:t>
      </w:r>
      <w:r>
        <w:rPr>
          <w:w w:val="105"/>
        </w:rPr>
        <w:t>Debelle</w:t>
      </w:r>
      <w:r>
        <w:rPr>
          <w:spacing w:val="-16"/>
          <w:w w:val="105"/>
        </w:rPr>
        <w:t> </w:t>
      </w:r>
      <w:r>
        <w:rPr>
          <w:i/>
          <w:w w:val="105"/>
        </w:rPr>
        <w:t>(Chair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–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Foreign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Exchange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Working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Group)</w:t>
      </w:r>
      <w:r>
        <w:rPr>
          <w:i/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overview of the next steps for Phase 2 of the Code ahead of full publication in May 2017, including the new topics to be addressed, and the approach and timeframes for engaging</w:t>
      </w:r>
      <w:r>
        <w:rPr>
          <w:spacing w:val="-19"/>
          <w:w w:val="105"/>
        </w:rPr>
        <w:t> </w:t>
      </w:r>
      <w:r>
        <w:rPr>
          <w:w w:val="105"/>
        </w:rPr>
        <w:t>market</w:t>
      </w:r>
      <w:r>
        <w:rPr>
          <w:spacing w:val="-20"/>
          <w:w w:val="105"/>
        </w:rPr>
        <w:t> </w:t>
      </w:r>
      <w:r>
        <w:rPr>
          <w:w w:val="105"/>
        </w:rPr>
        <w:t>participants.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Chair</w:t>
      </w:r>
      <w:r>
        <w:rPr>
          <w:spacing w:val="-18"/>
          <w:w w:val="105"/>
        </w:rPr>
        <w:t> </w:t>
      </w:r>
      <w:r>
        <w:rPr>
          <w:w w:val="105"/>
        </w:rPr>
        <w:t>noted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additional</w:t>
      </w:r>
      <w:r>
        <w:rPr>
          <w:spacing w:val="-21"/>
          <w:w w:val="105"/>
        </w:rPr>
        <w:t> </w:t>
      </w:r>
      <w:r>
        <w:rPr>
          <w:w w:val="105"/>
        </w:rPr>
        <w:t>FXJSC</w:t>
      </w:r>
      <w:r>
        <w:rPr>
          <w:spacing w:val="-18"/>
          <w:w w:val="105"/>
        </w:rPr>
        <w:t> </w:t>
      </w:r>
      <w:r>
        <w:rPr>
          <w:w w:val="105"/>
        </w:rPr>
        <w:t>meetings</w:t>
      </w:r>
      <w:r>
        <w:rPr>
          <w:spacing w:val="-19"/>
          <w:w w:val="105"/>
        </w:rPr>
        <w:t> </w:t>
      </w:r>
      <w:r>
        <w:rPr>
          <w:w w:val="105"/>
        </w:rPr>
        <w:t>would be scheduled to focus on the Code once the timeframe for Phase 2 has been confirmed, which was likely to be in July. The Chair also noted that during Phase 2 there would be greater engagement with market participants on potential adherence mechanisms to the</w:t>
      </w:r>
      <w:r>
        <w:rPr>
          <w:spacing w:val="-7"/>
          <w:w w:val="105"/>
        </w:rPr>
        <w:t> </w:t>
      </w:r>
      <w:r>
        <w:rPr>
          <w:w w:val="105"/>
        </w:rPr>
        <w:t>Code.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1" w:right="0" w:hanging="269"/>
        <w:jc w:val="left"/>
      </w:pPr>
      <w:r>
        <w:rPr>
          <w:w w:val="105"/>
        </w:rPr>
        <w:t>Discussion of recent market</w:t>
      </w:r>
      <w:r>
        <w:rPr>
          <w:spacing w:val="-14"/>
          <w:w w:val="105"/>
        </w:rPr>
        <w:t> </w:t>
      </w:r>
      <w:r>
        <w:rPr>
          <w:w w:val="105"/>
        </w:rPr>
        <w:t>developments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0" w:right="656"/>
      </w:pPr>
      <w:r>
        <w:rPr>
          <w:w w:val="105"/>
        </w:rPr>
        <w:t>James O’Connor </w:t>
      </w:r>
      <w:r>
        <w:rPr>
          <w:i/>
          <w:w w:val="105"/>
        </w:rPr>
        <w:t>(Bank of England) </w:t>
      </w:r>
      <w:r>
        <w:rPr>
          <w:w w:val="105"/>
        </w:rPr>
        <w:t>provided an overview of FX market developments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full</w:t>
      </w:r>
      <w:r>
        <w:rPr>
          <w:spacing w:val="-17"/>
          <w:w w:val="105"/>
        </w:rPr>
        <w:t> </w:t>
      </w:r>
      <w:r>
        <w:rPr>
          <w:w w:val="105"/>
        </w:rPr>
        <w:t>FXJSC</w:t>
      </w:r>
      <w:r>
        <w:rPr>
          <w:spacing w:val="-14"/>
          <w:w w:val="105"/>
        </w:rPr>
        <w:t> </w:t>
      </w:r>
      <w:r>
        <w:rPr>
          <w:w w:val="105"/>
        </w:rPr>
        <w:t>meeting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January,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market functioning including during more recent episodes of higher short term volatility. Attendees broadly agreed that the higher levels of volatility were being driven by reduced</w:t>
      </w:r>
      <w:r>
        <w:rPr>
          <w:spacing w:val="-24"/>
          <w:w w:val="105"/>
        </w:rPr>
        <w:t> </w:t>
      </w:r>
      <w:r>
        <w:rPr>
          <w:w w:val="105"/>
        </w:rPr>
        <w:t>warehousing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risk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increased</w:t>
      </w:r>
      <w:r>
        <w:rPr>
          <w:spacing w:val="-23"/>
          <w:w w:val="105"/>
        </w:rPr>
        <w:t> </w:t>
      </w:r>
      <w:r>
        <w:rPr>
          <w:w w:val="105"/>
        </w:rPr>
        <w:t>uncertainty</w:t>
      </w:r>
      <w:r>
        <w:rPr>
          <w:spacing w:val="-22"/>
          <w:w w:val="105"/>
        </w:rPr>
        <w:t> </w:t>
      </w:r>
      <w:r>
        <w:rPr>
          <w:w w:val="105"/>
        </w:rPr>
        <w:t>amongst</w:t>
      </w:r>
      <w:r>
        <w:rPr>
          <w:spacing w:val="-22"/>
          <w:w w:val="105"/>
        </w:rPr>
        <w:t> </w:t>
      </w:r>
      <w:r>
        <w:rPr>
          <w:w w:val="105"/>
        </w:rPr>
        <w:t>market</w:t>
      </w:r>
      <w:r>
        <w:rPr>
          <w:spacing w:val="-24"/>
          <w:w w:val="105"/>
        </w:rPr>
        <w:t> </w:t>
      </w:r>
      <w:r>
        <w:rPr>
          <w:w w:val="105"/>
        </w:rPr>
        <w:t>participants. In particular attendees cited idiosyncratic events such as unexpected central bank policy announcements and the outcome of the upcoming referendum on EU membership.</w:t>
      </w:r>
    </w:p>
    <w:p>
      <w:pPr>
        <w:spacing w:after="0" w:line="491" w:lineRule="auto"/>
        <w:sectPr>
          <w:pgSz w:w="12240" w:h="15840"/>
          <w:pgMar w:header="0" w:footer="627" w:top="1000" w:bottom="860" w:left="1660" w:right="1720"/>
        </w:sectPr>
      </w:pPr>
    </w:p>
    <w:p>
      <w:pPr>
        <w:pStyle w:val="BodyText"/>
        <w:spacing w:line="491" w:lineRule="auto" w:before="71"/>
        <w:ind w:left="550" w:right="524"/>
      </w:pPr>
      <w:r>
        <w:rPr>
          <w:w w:val="105"/>
        </w:rPr>
        <w:t>Attendees noted that activity levels in the FX market had continued to decline, as evidenced through reduced trade volumes and lower average trade sizes. Attendees discussed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potential</w:t>
      </w:r>
      <w:r>
        <w:rPr>
          <w:spacing w:val="-16"/>
          <w:w w:val="105"/>
        </w:rPr>
        <w:t> </w:t>
      </w:r>
      <w:r>
        <w:rPr>
          <w:w w:val="105"/>
        </w:rPr>
        <w:t>impact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factors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liquidity,</w:t>
      </w:r>
      <w:r>
        <w:rPr>
          <w:spacing w:val="-15"/>
          <w:w w:val="105"/>
        </w:rPr>
        <w:t> </w:t>
      </w:r>
      <w:r>
        <w:rPr>
          <w:w w:val="105"/>
        </w:rPr>
        <w:t>particularly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w w:val="105"/>
        </w:rPr>
        <w:t>to the market’s capacity to absorb unexpected shocks and when trading non-G10 currencies. </w:t>
      </w:r>
      <w:r>
        <w:rPr>
          <w:w w:val="105"/>
          <w:sz w:val="21"/>
        </w:rPr>
        <w:t>Attendees agreed that liquidity had continued to reduce and broadly attributed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to:</w:t>
      </w:r>
      <w:r>
        <w:rPr>
          <w:spacing w:val="30"/>
          <w:w w:val="105"/>
          <w:sz w:val="21"/>
        </w:rPr>
        <w:t> </w:t>
      </w:r>
      <w:r>
        <w:rPr>
          <w:w w:val="105"/>
        </w:rPr>
        <w:t>(i)</w:t>
      </w:r>
      <w:r>
        <w:rPr>
          <w:spacing w:val="-15"/>
          <w:w w:val="105"/>
        </w:rPr>
        <w:t> </w:t>
      </w:r>
      <w:r>
        <w:rPr>
          <w:w w:val="105"/>
        </w:rPr>
        <w:t>reduced</w:t>
      </w:r>
      <w:r>
        <w:rPr>
          <w:spacing w:val="-14"/>
          <w:w w:val="105"/>
        </w:rPr>
        <w:t> </w:t>
      </w:r>
      <w:r>
        <w:rPr>
          <w:w w:val="105"/>
        </w:rPr>
        <w:t>risk</w:t>
      </w:r>
      <w:r>
        <w:rPr>
          <w:spacing w:val="-15"/>
          <w:w w:val="105"/>
        </w:rPr>
        <w:t> </w:t>
      </w:r>
      <w:r>
        <w:rPr>
          <w:w w:val="105"/>
        </w:rPr>
        <w:t>appetite</w:t>
      </w:r>
      <w:r>
        <w:rPr>
          <w:spacing w:val="-14"/>
          <w:w w:val="105"/>
        </w:rPr>
        <w:t> </w:t>
      </w:r>
      <w:r>
        <w:rPr>
          <w:w w:val="105"/>
        </w:rPr>
        <w:t>amongst</w:t>
      </w:r>
      <w:r>
        <w:rPr>
          <w:spacing w:val="-14"/>
          <w:w w:val="105"/>
        </w:rPr>
        <w:t> </w:t>
      </w:r>
      <w:r>
        <w:rPr>
          <w:w w:val="105"/>
        </w:rPr>
        <w:t>market</w:t>
      </w:r>
      <w:r>
        <w:rPr>
          <w:spacing w:val="-15"/>
          <w:w w:val="105"/>
        </w:rPr>
        <w:t> </w:t>
      </w:r>
      <w:r>
        <w:rPr>
          <w:w w:val="105"/>
        </w:rPr>
        <w:t>participants</w:t>
      </w:r>
      <w:r>
        <w:rPr>
          <w:spacing w:val="-14"/>
          <w:w w:val="105"/>
        </w:rPr>
        <w:t> </w:t>
      </w:r>
      <w:r>
        <w:rPr>
          <w:w w:val="105"/>
        </w:rPr>
        <w:t>partially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to the decline in risk warehousing capacity by banks as a result of regulatory changes and; (ii) an increase in internalisation rates by</w:t>
      </w:r>
      <w:r>
        <w:rPr>
          <w:spacing w:val="-25"/>
          <w:w w:val="105"/>
        </w:rPr>
        <w:t> </w:t>
      </w:r>
      <w:r>
        <w:rPr>
          <w:w w:val="105"/>
        </w:rPr>
        <w:t>banks.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89" w:lineRule="auto"/>
        <w:ind w:left="550" w:right="466"/>
      </w:pPr>
      <w:r>
        <w:rPr>
          <w:w w:val="105"/>
        </w:rPr>
        <w:t>Attendees</w:t>
      </w:r>
      <w:r>
        <w:rPr>
          <w:spacing w:val="-21"/>
          <w:w w:val="105"/>
        </w:rPr>
        <w:t> </w:t>
      </w:r>
      <w:r>
        <w:rPr>
          <w:w w:val="105"/>
        </w:rPr>
        <w:t>also</w:t>
      </w:r>
      <w:r>
        <w:rPr>
          <w:spacing w:val="-21"/>
          <w:w w:val="105"/>
        </w:rPr>
        <w:t> </w:t>
      </w:r>
      <w:r>
        <w:rPr>
          <w:w w:val="105"/>
        </w:rPr>
        <w:t>briefly</w:t>
      </w:r>
      <w:r>
        <w:rPr>
          <w:spacing w:val="-19"/>
          <w:w w:val="105"/>
        </w:rPr>
        <w:t> </w:t>
      </w:r>
      <w:r>
        <w:rPr>
          <w:w w:val="105"/>
        </w:rPr>
        <w:t>discussed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potential</w:t>
      </w:r>
      <w:r>
        <w:rPr>
          <w:spacing w:val="-20"/>
          <w:w w:val="105"/>
        </w:rPr>
        <w:t> </w:t>
      </w:r>
      <w:r>
        <w:rPr>
          <w:w w:val="105"/>
        </w:rPr>
        <w:t>market</w:t>
      </w:r>
      <w:r>
        <w:rPr>
          <w:spacing w:val="-21"/>
          <w:w w:val="105"/>
        </w:rPr>
        <w:t> </w:t>
      </w:r>
      <w:r>
        <w:rPr>
          <w:w w:val="105"/>
        </w:rPr>
        <w:t>reaction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forthcoming referendum on EU</w:t>
      </w:r>
      <w:r>
        <w:rPr>
          <w:spacing w:val="-7"/>
          <w:w w:val="105"/>
        </w:rPr>
        <w:t> </w:t>
      </w:r>
      <w:r>
        <w:rPr>
          <w:w w:val="105"/>
        </w:rPr>
        <w:t>membership.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1" w:after="0"/>
        <w:ind w:left="381" w:right="0" w:hanging="269"/>
        <w:jc w:val="left"/>
      </w:pPr>
      <w:r>
        <w:rPr>
          <w:w w:val="105"/>
        </w:rPr>
        <w:t>Regulatory</w:t>
      </w:r>
      <w:r>
        <w:rPr>
          <w:spacing w:val="-3"/>
          <w:w w:val="105"/>
        </w:rPr>
        <w:t> </w:t>
      </w:r>
      <w:r>
        <w:rPr>
          <w:w w:val="105"/>
        </w:rPr>
        <w:t>Update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line="491" w:lineRule="auto" w:before="0"/>
        <w:ind w:left="550" w:right="466" w:firstLine="0"/>
        <w:jc w:val="left"/>
        <w:rPr>
          <w:sz w:val="22"/>
        </w:rPr>
      </w:pPr>
      <w:r>
        <w:rPr>
          <w:w w:val="105"/>
          <w:sz w:val="22"/>
        </w:rPr>
        <w:t>Jamie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Black</w:t>
      </w:r>
      <w:r>
        <w:rPr>
          <w:spacing w:val="-17"/>
          <w:w w:val="105"/>
          <w:sz w:val="22"/>
        </w:rPr>
        <w:t> </w:t>
      </w:r>
      <w:r>
        <w:rPr>
          <w:i/>
          <w:w w:val="105"/>
          <w:sz w:val="22"/>
        </w:rPr>
        <w:t>(Financial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Conduct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Authority)</w:t>
      </w:r>
      <w:r>
        <w:rPr>
          <w:i/>
          <w:spacing w:val="-19"/>
          <w:w w:val="105"/>
          <w:sz w:val="22"/>
        </w:rPr>
        <w:t> </w:t>
      </w:r>
      <w:r>
        <w:rPr>
          <w:w w:val="105"/>
          <w:sz w:val="22"/>
        </w:rPr>
        <w:t>provided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update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of regulatory matters related to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FX.</w:t>
      </w:r>
    </w:p>
    <w:p>
      <w:pPr>
        <w:pStyle w:val="BodyText"/>
        <w:rPr>
          <w:sz w:val="23"/>
        </w:rPr>
      </w:pPr>
    </w:p>
    <w:p>
      <w:pPr>
        <w:spacing w:line="494" w:lineRule="auto" w:before="0"/>
        <w:ind w:left="550" w:right="466" w:firstLine="0"/>
        <w:jc w:val="left"/>
        <w:rPr>
          <w:sz w:val="21"/>
        </w:rPr>
      </w:pPr>
      <w:r>
        <w:rPr>
          <w:w w:val="105"/>
          <w:sz w:val="21"/>
        </w:rPr>
        <w:t>Items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discussion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included: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overview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scope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timings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 the delegated regulation with regards to MIFID II the European Commission had published on 25 April 2016; (ii) an update on the Regulatory Technical Standards on Margin rules published by the European Supervisory Authorities in March 2016, with first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stage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scheduled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completion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September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2016;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(iii)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overview of the EU Benchmark Regulation which was expected to come into effect in June 2016 and to be implemented in UK legislation by the end of 2017 and; (iv) an update on the timings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Market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Abuse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Regulation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(MAR)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July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2016.</w:t>
      </w:r>
    </w:p>
    <w:p>
      <w:pPr>
        <w:spacing w:after="0" w:line="494" w:lineRule="auto"/>
        <w:jc w:val="left"/>
        <w:rPr>
          <w:sz w:val="21"/>
        </w:rPr>
        <w:sectPr>
          <w:pgSz w:w="12240" w:h="15840"/>
          <w:pgMar w:header="0" w:footer="627" w:top="1000" w:bottom="860" w:left="1660" w:right="1720"/>
        </w:sect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72" w:after="0"/>
        <w:ind w:left="381" w:right="0" w:hanging="269"/>
        <w:jc w:val="left"/>
      </w:pPr>
      <w:r>
        <w:rPr>
          <w:w w:val="105"/>
        </w:rPr>
        <w:t>Updates from the</w:t>
      </w:r>
      <w:r>
        <w:rPr>
          <w:spacing w:val="-8"/>
          <w:w w:val="105"/>
        </w:rPr>
        <w:t> </w:t>
      </w:r>
      <w:r>
        <w:rPr>
          <w:w w:val="105"/>
        </w:rPr>
        <w:t>sub-committees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550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Legal sub-committee</w:t>
      </w:r>
    </w:p>
    <w:p>
      <w:pPr>
        <w:pStyle w:val="BodyText"/>
        <w:spacing w:before="9"/>
        <w:rPr>
          <w:i/>
        </w:rPr>
      </w:pPr>
    </w:p>
    <w:p>
      <w:pPr>
        <w:spacing w:line="494" w:lineRule="auto" w:before="1"/>
        <w:ind w:left="550" w:right="466" w:firstLine="0"/>
        <w:jc w:val="left"/>
        <w:rPr>
          <w:sz w:val="21"/>
        </w:rPr>
      </w:pPr>
      <w:r>
        <w:rPr>
          <w:w w:val="105"/>
          <w:sz w:val="21"/>
        </w:rPr>
        <w:t>Chris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Chair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Legal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Sub-committee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reported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Committee meeting in January, meetings of the Legal sub-committee had been concerned with reviewing and discussing the draft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Code.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60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Operations sub-committee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1"/>
        </w:rPr>
      </w:pPr>
    </w:p>
    <w:p>
      <w:pPr>
        <w:spacing w:line="494" w:lineRule="auto" w:before="0"/>
        <w:ind w:left="550" w:right="466" w:hanging="1"/>
        <w:jc w:val="left"/>
        <w:rPr>
          <w:sz w:val="21"/>
        </w:rPr>
      </w:pPr>
      <w:r>
        <w:rPr>
          <w:w w:val="105"/>
          <w:sz w:val="21"/>
        </w:rPr>
        <w:t>Isabelle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Dennigan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(Chair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Operations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Sub-committee)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provided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overview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 current areas of work being undertaken by the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sub-committee.</w:t>
      </w:r>
    </w:p>
    <w:p>
      <w:pPr>
        <w:pStyle w:val="BodyText"/>
        <w:spacing w:before="10"/>
      </w:pPr>
    </w:p>
    <w:p>
      <w:pPr>
        <w:spacing w:line="494" w:lineRule="auto" w:before="1"/>
        <w:ind w:left="550" w:right="466" w:firstLine="0"/>
        <w:jc w:val="left"/>
        <w:rPr>
          <w:sz w:val="22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sub-committee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2016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received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presentations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(i)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structure,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challenges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managing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treasury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corporate perspective provided by Shell and; (ii) an update on the work being undertaken by the Bank as part of its One Bank Research Agenda to understand the impact of growing innovation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industry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w w:val="105"/>
          <w:sz w:val="22"/>
        </w:rPr>
        <w:t>digital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currencies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distributed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ledger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technology</w:t>
      </w:r>
      <w:r>
        <w:rPr>
          <w:w w:val="105"/>
          <w:sz w:val="22"/>
          <w:vertAlign w:val="superscript"/>
        </w:rPr>
        <w:t>3</w:t>
      </w:r>
      <w:r>
        <w:rPr>
          <w:w w:val="105"/>
          <w:sz w:val="22"/>
          <w:vertAlign w:val="baseline"/>
        </w:rPr>
        <w:t>.</w:t>
      </w:r>
    </w:p>
    <w:p>
      <w:pPr>
        <w:pStyle w:val="BodyText"/>
        <w:spacing w:before="10"/>
      </w:pPr>
    </w:p>
    <w:p>
      <w:pPr>
        <w:pStyle w:val="BodyText"/>
        <w:spacing w:line="491" w:lineRule="auto"/>
        <w:ind w:left="550" w:right="466"/>
      </w:pPr>
      <w:r>
        <w:rPr>
          <w:w w:val="105"/>
        </w:rPr>
        <w:t>Isabelle</w:t>
      </w:r>
      <w:r>
        <w:rPr>
          <w:spacing w:val="-20"/>
          <w:w w:val="105"/>
        </w:rPr>
        <w:t> </w:t>
      </w:r>
      <w:r>
        <w:rPr>
          <w:w w:val="105"/>
        </w:rPr>
        <w:t>Dennigan</w:t>
      </w:r>
      <w:r>
        <w:rPr>
          <w:spacing w:val="-19"/>
          <w:w w:val="105"/>
        </w:rPr>
        <w:t> </w:t>
      </w:r>
      <w:r>
        <w:rPr>
          <w:w w:val="105"/>
        </w:rPr>
        <w:t>outlined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work</w:t>
      </w:r>
      <w:r>
        <w:rPr>
          <w:spacing w:val="-19"/>
          <w:w w:val="105"/>
        </w:rPr>
        <w:t> </w:t>
      </w:r>
      <w:r>
        <w:rPr>
          <w:w w:val="105"/>
        </w:rPr>
        <w:t>being</w:t>
      </w:r>
      <w:r>
        <w:rPr>
          <w:spacing w:val="-19"/>
          <w:w w:val="105"/>
        </w:rPr>
        <w:t> </w:t>
      </w:r>
      <w:r>
        <w:rPr>
          <w:w w:val="105"/>
        </w:rPr>
        <w:t>undertaken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sub-committee’s working groups to take forward the actions arising from an FX sector resilience exercise carried out in 2015 that examined the impact of the failure of a settlement engine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FX</w:t>
      </w:r>
      <w:r>
        <w:rPr>
          <w:spacing w:val="-13"/>
          <w:w w:val="105"/>
        </w:rPr>
        <w:t> </w:t>
      </w:r>
      <w:r>
        <w:rPr>
          <w:w w:val="105"/>
        </w:rPr>
        <w:t>market</w:t>
      </w:r>
      <w:r>
        <w:rPr>
          <w:spacing w:val="-15"/>
          <w:w w:val="105"/>
        </w:rPr>
        <w:t> </w:t>
      </w:r>
      <w:r>
        <w:rPr>
          <w:w w:val="105"/>
        </w:rPr>
        <w:t>operations.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group</w:t>
      </w:r>
      <w:r>
        <w:rPr>
          <w:spacing w:val="-15"/>
          <w:w w:val="105"/>
        </w:rPr>
        <w:t> </w:t>
      </w:r>
      <w:r>
        <w:rPr>
          <w:w w:val="105"/>
        </w:rPr>
        <w:t>had</w:t>
      </w:r>
      <w:r>
        <w:rPr>
          <w:spacing w:val="-14"/>
          <w:w w:val="105"/>
        </w:rPr>
        <w:t> </w:t>
      </w:r>
      <w:r>
        <w:rPr>
          <w:w w:val="105"/>
        </w:rPr>
        <w:t>focused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areas covering</w:t>
      </w:r>
      <w:r>
        <w:rPr>
          <w:spacing w:val="-22"/>
          <w:w w:val="105"/>
        </w:rPr>
        <w:t> </w:t>
      </w:r>
      <w:r>
        <w:rPr>
          <w:w w:val="105"/>
        </w:rPr>
        <w:t>infrastructure</w:t>
      </w:r>
      <w:r>
        <w:rPr>
          <w:spacing w:val="-22"/>
          <w:w w:val="105"/>
        </w:rPr>
        <w:t> </w:t>
      </w:r>
      <w:r>
        <w:rPr>
          <w:w w:val="105"/>
        </w:rPr>
        <w:t>transparency,</w:t>
      </w:r>
      <w:r>
        <w:rPr>
          <w:spacing w:val="-21"/>
          <w:w w:val="105"/>
        </w:rPr>
        <w:t> </w:t>
      </w:r>
      <w:r>
        <w:rPr>
          <w:w w:val="105"/>
        </w:rPr>
        <w:t>FX</w:t>
      </w:r>
      <w:r>
        <w:rPr>
          <w:spacing w:val="-21"/>
          <w:w w:val="105"/>
        </w:rPr>
        <w:t> </w:t>
      </w:r>
      <w:r>
        <w:rPr>
          <w:w w:val="105"/>
        </w:rPr>
        <w:t>contingency</w:t>
      </w:r>
      <w:r>
        <w:rPr>
          <w:spacing w:val="-20"/>
          <w:w w:val="105"/>
        </w:rPr>
        <w:t> </w:t>
      </w:r>
      <w:r>
        <w:rPr>
          <w:w w:val="105"/>
        </w:rPr>
        <w:t>processes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bilateral</w:t>
      </w:r>
      <w:r>
        <w:rPr>
          <w:spacing w:val="-21"/>
          <w:w w:val="105"/>
        </w:rPr>
        <w:t> </w:t>
      </w:r>
      <w:r>
        <w:rPr>
          <w:w w:val="105"/>
        </w:rPr>
        <w:t>netting abilities. The working group had created a playbook setting out various scenarios, trigger</w:t>
      </w:r>
      <w:r>
        <w:rPr>
          <w:spacing w:val="-14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potential</w:t>
      </w:r>
      <w:r>
        <w:rPr>
          <w:spacing w:val="-13"/>
          <w:w w:val="105"/>
        </w:rPr>
        <w:t> </w:t>
      </w:r>
      <w:r>
        <w:rPr>
          <w:w w:val="105"/>
        </w:rPr>
        <w:t>solutions.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completion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summer 2016.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110.519997pt;margin-top:8.445269pt;width:135.5pt;height:.1pt;mso-position-horizontal-relative:page;mso-position-vertical-relative:paragraph;z-index:-251656192;mso-wrap-distance-left:0;mso-wrap-distance-right:0" coordorigin="2210,169" coordsize="2710,0" path="m2210,169l4920,169e" filled="false" stroked="true" strokeweight=".599980pt" strokecolor="#000000">
            <v:path arrowok="t"/>
            <v:stroke dashstyle="solid"/>
            <w10:wrap type="topAndBottom"/>
          </v:shape>
        </w:pict>
      </w:r>
    </w:p>
    <w:p>
      <w:pPr>
        <w:spacing w:before="49"/>
        <w:ind w:left="550" w:right="2380" w:firstLine="0"/>
        <w:jc w:val="left"/>
        <w:rPr>
          <w:sz w:val="19"/>
        </w:rPr>
      </w:pPr>
      <w:r>
        <w:rPr>
          <w:position w:val="8"/>
          <w:sz w:val="12"/>
        </w:rPr>
        <w:t>3 </w:t>
      </w:r>
      <w:r>
        <w:rPr>
          <w:sz w:val="19"/>
        </w:rPr>
        <w:t>The discussion paper can be accessed here: </w:t>
      </w:r>
      <w:hyperlink r:id="rId7">
        <w:r>
          <w:rPr>
            <w:color w:val="0000FF"/>
            <w:sz w:val="19"/>
            <w:u w:val="single" w:color="0000FF"/>
          </w:rPr>
          <w:t>http://www.bankofengland.co.uk/research/documents/onebank/discussion.pdf</w:t>
        </w:r>
      </w:hyperlink>
    </w:p>
    <w:p>
      <w:pPr>
        <w:spacing w:after="0"/>
        <w:jc w:val="left"/>
        <w:rPr>
          <w:sz w:val="19"/>
        </w:rPr>
        <w:sectPr>
          <w:pgSz w:w="12240" w:h="15840"/>
          <w:pgMar w:header="0" w:footer="627" w:top="1000" w:bottom="860" w:left="1660" w:right="1720"/>
        </w:sectPr>
      </w:pPr>
    </w:p>
    <w:p>
      <w:pPr>
        <w:pStyle w:val="BodyText"/>
        <w:spacing w:line="491" w:lineRule="auto" w:before="71"/>
        <w:ind w:left="550" w:right="656"/>
      </w:pP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terms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membership</w:t>
      </w:r>
      <w:r>
        <w:rPr>
          <w:spacing w:val="-20"/>
          <w:w w:val="105"/>
        </w:rPr>
        <w:t> </w:t>
      </w:r>
      <w:r>
        <w:rPr>
          <w:w w:val="105"/>
        </w:rPr>
        <w:t>composition,</w:t>
      </w:r>
      <w:r>
        <w:rPr>
          <w:spacing w:val="-20"/>
          <w:w w:val="105"/>
        </w:rPr>
        <w:t> </w:t>
      </w:r>
      <w:r>
        <w:rPr>
          <w:w w:val="105"/>
        </w:rPr>
        <w:t>Isabelle</w:t>
      </w:r>
      <w:r>
        <w:rPr>
          <w:spacing w:val="-20"/>
          <w:w w:val="105"/>
        </w:rPr>
        <w:t> </w:t>
      </w:r>
      <w:r>
        <w:rPr>
          <w:w w:val="105"/>
        </w:rPr>
        <w:t>Dennigan</w:t>
      </w:r>
      <w:r>
        <w:rPr>
          <w:spacing w:val="-20"/>
          <w:w w:val="105"/>
        </w:rPr>
        <w:t> </w:t>
      </w:r>
      <w:r>
        <w:rPr>
          <w:w w:val="105"/>
        </w:rPr>
        <w:t>updated</w:t>
      </w:r>
      <w:r>
        <w:rPr>
          <w:spacing w:val="-19"/>
          <w:w w:val="105"/>
        </w:rPr>
        <w:t> </w:t>
      </w:r>
      <w:r>
        <w:rPr>
          <w:w w:val="105"/>
        </w:rPr>
        <w:t>attendees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recent membership changes on the sub-committee. Furthermore, Isabelle Dennigan noted 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Chair,</w:t>
      </w:r>
      <w:r>
        <w:rPr>
          <w:spacing w:val="-16"/>
          <w:w w:val="105"/>
        </w:rPr>
        <w:t> </w:t>
      </w:r>
      <w:r>
        <w:rPr>
          <w:w w:val="105"/>
        </w:rPr>
        <w:t>Deputy</w:t>
      </w:r>
      <w:r>
        <w:rPr>
          <w:spacing w:val="-15"/>
          <w:w w:val="105"/>
        </w:rPr>
        <w:t> </w:t>
      </w:r>
      <w:r>
        <w:rPr>
          <w:w w:val="105"/>
        </w:rPr>
        <w:t>Chairs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Secretariat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sub-committee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review</w:t>
      </w:r>
      <w:r>
        <w:rPr>
          <w:spacing w:val="-15"/>
          <w:w w:val="105"/>
        </w:rPr>
        <w:t> </w:t>
      </w:r>
      <w:r>
        <w:rPr>
          <w:w w:val="105"/>
        </w:rPr>
        <w:t>its membership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reflective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diversity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wholesale FX market. The target for this to be completed was by the next meeting in September.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1" w:right="0" w:hanging="269"/>
        <w:jc w:val="left"/>
      </w:pPr>
      <w:r>
        <w:rPr>
          <w:w w:val="105"/>
        </w:rPr>
        <w:t>Any Other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0" w:right="466" w:hanging="1"/>
      </w:pPr>
      <w:r>
        <w:rPr>
          <w:w w:val="105"/>
        </w:rPr>
        <w:t>Elizabeth Darkens </w:t>
      </w:r>
      <w:r>
        <w:rPr>
          <w:i/>
          <w:w w:val="105"/>
        </w:rPr>
        <w:t>(Bank of England) </w:t>
      </w:r>
      <w:r>
        <w:rPr>
          <w:w w:val="105"/>
        </w:rPr>
        <w:t>informed attendees that the FXJSC Annual Review article would be published in the Bank of England’s Q2 </w:t>
      </w:r>
      <w:r>
        <w:rPr>
          <w:i/>
          <w:w w:val="105"/>
        </w:rPr>
        <w:t>Quarterly Bulletin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circulated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draft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review.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article</w:t>
      </w:r>
      <w:r>
        <w:rPr>
          <w:spacing w:val="-14"/>
          <w:w w:val="105"/>
        </w:rPr>
        <w:t> </w:t>
      </w:r>
      <w:r>
        <w:rPr>
          <w:w w:val="105"/>
        </w:rPr>
        <w:t>covered</w:t>
      </w:r>
      <w:r>
        <w:rPr>
          <w:spacing w:val="-13"/>
          <w:w w:val="105"/>
        </w:rPr>
        <w:t> </w:t>
      </w:r>
      <w:r>
        <w:rPr>
          <w:w w:val="105"/>
        </w:rPr>
        <w:t>the work</w:t>
      </w:r>
      <w:r>
        <w:rPr>
          <w:spacing w:val="-20"/>
          <w:w w:val="105"/>
        </w:rPr>
        <w:t> </w:t>
      </w:r>
      <w:r>
        <w:rPr>
          <w:w w:val="105"/>
        </w:rPr>
        <w:t>undertaken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FXJSC</w:t>
      </w:r>
      <w:r>
        <w:rPr>
          <w:spacing w:val="-20"/>
          <w:w w:val="105"/>
        </w:rPr>
        <w:t> </w:t>
      </w:r>
      <w:r>
        <w:rPr>
          <w:w w:val="105"/>
        </w:rPr>
        <w:t>Main</w:t>
      </w:r>
      <w:r>
        <w:rPr>
          <w:spacing w:val="-20"/>
          <w:w w:val="105"/>
        </w:rPr>
        <w:t> </w:t>
      </w:r>
      <w:r>
        <w:rPr>
          <w:w w:val="105"/>
        </w:rPr>
        <w:t>Committee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20"/>
          <w:w w:val="105"/>
        </w:rPr>
        <w:t> </w:t>
      </w:r>
      <w:r>
        <w:rPr>
          <w:w w:val="105"/>
        </w:rPr>
        <w:t>sub-committees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20"/>
          <w:w w:val="105"/>
        </w:rPr>
        <w:t> </w:t>
      </w:r>
      <w:r>
        <w:rPr>
          <w:w w:val="105"/>
        </w:rPr>
        <w:t>2015.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ind w:left="1152" w:right="1091"/>
        <w:jc w:val="center"/>
      </w:pPr>
      <w:r>
        <w:rPr>
          <w:w w:val="105"/>
        </w:rPr>
        <w:t>The next meeting of the FXJSC will be held on 14 September 2016.</w:t>
      </w:r>
    </w:p>
    <w:sectPr>
      <w:pgSz w:w="12240" w:h="15840"/>
      <w:pgMar w:header="0" w:footer="627" w:top="1000" w:bottom="86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9.519997pt;margin-top:747.963379pt;width:64pt;height:10.4pt;mso-position-horizontal-relative:page;mso-position-vertical-relative:page;z-index:-2520258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sz w:val="15"/>
                  </w:rPr>
                  <w:t>Markets 946093v1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0" w:hanging="43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390" w:hanging="4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0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0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0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0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0" w:hanging="4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381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381" w:hanging="26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43"/>
      <w:ind w:left="10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bis.org/about/factmktc/fxwg.htm" TargetMode="External"/><Relationship Id="rId7" Type="http://schemas.openxmlformats.org/officeDocument/2006/relationships/hyperlink" Target="http://www.bankofengland.co.uk/research/documents/onebank/discussion.pdf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London FXJSC meeting minutes - May 2016</dc:title>
  <dcterms:created xsi:type="dcterms:W3CDTF">2020-06-01T02:01:11Z</dcterms:created>
  <dcterms:modified xsi:type="dcterms:W3CDTF">2020-06-01T02:01:11Z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2020-06-01T00:00:00Z</vt:filetime>
  </property>
</Properties>
</file>