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ind w:left="1411" w:right="1351"/>
        <w:jc w:val="center"/>
      </w:pPr>
      <w:r>
        <w:rPr>
          <w:w w:val="105"/>
        </w:rPr>
        <w:t>FOREIGN EXCHANGE JOINT STANDING COMMITTEE</w:t>
      </w:r>
    </w:p>
    <w:p>
      <w:pPr>
        <w:pStyle w:val="BodyText"/>
        <w:spacing w:before="2"/>
        <w:rPr>
          <w:b/>
          <w:sz w:val="23"/>
        </w:rPr>
      </w:pPr>
    </w:p>
    <w:p>
      <w:pPr>
        <w:spacing w:before="0"/>
        <w:ind w:left="1411" w:right="1350" w:firstLine="0"/>
        <w:jc w:val="center"/>
        <w:rPr>
          <w:b/>
          <w:sz w:val="22"/>
        </w:rPr>
      </w:pPr>
      <w:r>
        <w:rPr>
          <w:b/>
          <w:w w:val="105"/>
          <w:sz w:val="22"/>
        </w:rPr>
        <w:t>Tuesday 22 September 2015</w:t>
      </w:r>
    </w:p>
    <w:p>
      <w:pPr>
        <w:pStyle w:val="BodyText"/>
        <w:spacing w:before="1"/>
        <w:rPr>
          <w:b/>
          <w:sz w:val="23"/>
        </w:rPr>
      </w:pPr>
    </w:p>
    <w:p>
      <w:pPr>
        <w:pStyle w:val="BodyText"/>
        <w:ind w:left="1411" w:right="1351"/>
        <w:jc w:val="center"/>
      </w:pPr>
      <w:r>
        <w:rPr>
          <w:w w:val="105"/>
        </w:rPr>
        <w:t>JP Morgan, 25 Bank Street, Canary Wharf E14 5JP</w:t>
      </w:r>
    </w:p>
    <w:p>
      <w:pPr>
        <w:pStyle w:val="BodyText"/>
        <w:spacing w:before="10"/>
        <w:rPr>
          <w:sz w:val="14"/>
        </w:rPr>
      </w:pPr>
    </w:p>
    <w:p>
      <w:pPr>
        <w:spacing w:before="96"/>
        <w:ind w:left="1411" w:right="1351" w:firstLine="0"/>
        <w:jc w:val="center"/>
        <w:rPr>
          <w:b/>
          <w:sz w:val="22"/>
        </w:rPr>
      </w:pPr>
      <w:r>
        <w:rPr>
          <w:b/>
          <w:w w:val="105"/>
          <w:sz w:val="22"/>
          <w:u w:val="thick"/>
        </w:rPr>
        <w:t>MINUTES</w:t>
      </w:r>
    </w:p>
    <w:p>
      <w:pPr>
        <w:spacing w:before="7"/>
        <w:ind w:left="552" w:right="0" w:firstLine="0"/>
        <w:jc w:val="left"/>
        <w:rPr>
          <w:b/>
          <w:sz w:val="22"/>
        </w:rPr>
      </w:pPr>
      <w:r>
        <w:rPr>
          <w:b/>
          <w:w w:val="105"/>
          <w:sz w:val="22"/>
        </w:rPr>
        <w:t>In Attendance</w:t>
      </w:r>
    </w:p>
    <w:p>
      <w:pPr>
        <w:pStyle w:val="BodyText"/>
        <w:spacing w:before="9"/>
        <w:rPr>
          <w:b/>
        </w:rPr>
      </w:pPr>
    </w:p>
    <w:tbl>
      <w:tblPr>
        <w:tblW w:w="0" w:type="auto"/>
        <w:jc w:val="left"/>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24"/>
        <w:gridCol w:w="3995"/>
      </w:tblGrid>
      <w:tr>
        <w:trPr>
          <w:trHeight w:val="290" w:hRule="atLeast"/>
        </w:trPr>
        <w:tc>
          <w:tcPr>
            <w:tcW w:w="4024" w:type="dxa"/>
          </w:tcPr>
          <w:p>
            <w:pPr>
              <w:pStyle w:val="TableParagraph"/>
              <w:spacing w:before="35"/>
              <w:rPr>
                <w:b/>
                <w:i/>
                <w:sz w:val="19"/>
              </w:rPr>
            </w:pPr>
            <w:r>
              <w:rPr>
                <w:b/>
                <w:i/>
                <w:sz w:val="19"/>
              </w:rPr>
              <w:t>Chris Salmon</w:t>
            </w:r>
          </w:p>
        </w:tc>
        <w:tc>
          <w:tcPr>
            <w:tcW w:w="3995" w:type="dxa"/>
          </w:tcPr>
          <w:p>
            <w:pPr>
              <w:pStyle w:val="TableParagraph"/>
              <w:spacing w:before="35"/>
              <w:ind w:left="99"/>
              <w:rPr>
                <w:b/>
                <w:i/>
                <w:sz w:val="19"/>
              </w:rPr>
            </w:pPr>
            <w:r>
              <w:rPr>
                <w:b/>
                <w:i/>
                <w:sz w:val="19"/>
              </w:rPr>
              <w:t>Bank of England (Chair)</w:t>
            </w:r>
          </w:p>
        </w:tc>
      </w:tr>
      <w:tr>
        <w:trPr>
          <w:trHeight w:val="291" w:hRule="atLeast"/>
        </w:trPr>
        <w:tc>
          <w:tcPr>
            <w:tcW w:w="4024" w:type="dxa"/>
          </w:tcPr>
          <w:p>
            <w:pPr>
              <w:pStyle w:val="TableParagraph"/>
              <w:spacing w:before="36"/>
              <w:rPr>
                <w:b/>
                <w:i/>
                <w:sz w:val="19"/>
              </w:rPr>
            </w:pPr>
            <w:r>
              <w:rPr>
                <w:b/>
                <w:i/>
                <w:sz w:val="19"/>
              </w:rPr>
              <w:t>Jacqueline Joyston-Bechal</w:t>
            </w:r>
          </w:p>
        </w:tc>
        <w:tc>
          <w:tcPr>
            <w:tcW w:w="3995" w:type="dxa"/>
          </w:tcPr>
          <w:p>
            <w:pPr>
              <w:pStyle w:val="TableParagraph"/>
              <w:spacing w:before="36"/>
              <w:rPr>
                <w:b/>
                <w:i/>
                <w:sz w:val="19"/>
              </w:rPr>
            </w:pPr>
            <w:r>
              <w:rPr>
                <w:b/>
                <w:i/>
                <w:sz w:val="19"/>
              </w:rPr>
              <w:t>Bank of England (Legal)</w:t>
            </w:r>
          </w:p>
        </w:tc>
      </w:tr>
      <w:tr>
        <w:trPr>
          <w:trHeight w:val="291" w:hRule="atLeast"/>
        </w:trPr>
        <w:tc>
          <w:tcPr>
            <w:tcW w:w="4024" w:type="dxa"/>
          </w:tcPr>
          <w:p>
            <w:pPr>
              <w:pStyle w:val="TableParagraph"/>
              <w:spacing w:before="35"/>
              <w:rPr>
                <w:b/>
                <w:i/>
                <w:sz w:val="19"/>
              </w:rPr>
            </w:pPr>
            <w:r>
              <w:rPr>
                <w:b/>
                <w:i/>
                <w:sz w:val="19"/>
              </w:rPr>
              <w:t>Jo West</w:t>
            </w:r>
          </w:p>
        </w:tc>
        <w:tc>
          <w:tcPr>
            <w:tcW w:w="3995" w:type="dxa"/>
          </w:tcPr>
          <w:p>
            <w:pPr>
              <w:pStyle w:val="TableParagraph"/>
              <w:spacing w:before="35"/>
              <w:rPr>
                <w:b/>
                <w:i/>
                <w:sz w:val="19"/>
              </w:rPr>
            </w:pPr>
            <w:r>
              <w:rPr>
                <w:b/>
                <w:i/>
                <w:sz w:val="19"/>
              </w:rPr>
              <w:t>Bank of England (Secretariat)</w:t>
            </w:r>
          </w:p>
        </w:tc>
      </w:tr>
      <w:tr>
        <w:trPr>
          <w:trHeight w:val="290" w:hRule="atLeast"/>
        </w:trPr>
        <w:tc>
          <w:tcPr>
            <w:tcW w:w="4024" w:type="dxa"/>
          </w:tcPr>
          <w:p>
            <w:pPr>
              <w:pStyle w:val="TableParagraph"/>
              <w:rPr>
                <w:sz w:val="19"/>
              </w:rPr>
            </w:pPr>
            <w:r>
              <w:rPr>
                <w:sz w:val="19"/>
              </w:rPr>
              <w:t>Rob Loewy</w:t>
            </w:r>
          </w:p>
        </w:tc>
        <w:tc>
          <w:tcPr>
            <w:tcW w:w="3995" w:type="dxa"/>
          </w:tcPr>
          <w:p>
            <w:pPr>
              <w:pStyle w:val="TableParagraph"/>
              <w:ind w:left="101"/>
              <w:rPr>
                <w:sz w:val="19"/>
              </w:rPr>
            </w:pPr>
            <w:r>
              <w:rPr>
                <w:sz w:val="19"/>
              </w:rPr>
              <w:t>Bank of China</w:t>
            </w:r>
          </w:p>
        </w:tc>
      </w:tr>
      <w:tr>
        <w:trPr>
          <w:trHeight w:val="291" w:hRule="atLeast"/>
        </w:trPr>
        <w:tc>
          <w:tcPr>
            <w:tcW w:w="4024" w:type="dxa"/>
          </w:tcPr>
          <w:p>
            <w:pPr>
              <w:pStyle w:val="TableParagraph"/>
              <w:spacing w:before="35"/>
              <w:rPr>
                <w:sz w:val="19"/>
              </w:rPr>
            </w:pPr>
            <w:r>
              <w:rPr>
                <w:sz w:val="19"/>
              </w:rPr>
              <w:t>Conor Lawlor</w:t>
            </w:r>
          </w:p>
        </w:tc>
        <w:tc>
          <w:tcPr>
            <w:tcW w:w="3995" w:type="dxa"/>
          </w:tcPr>
          <w:p>
            <w:pPr>
              <w:pStyle w:val="TableParagraph"/>
              <w:spacing w:before="35"/>
              <w:rPr>
                <w:sz w:val="19"/>
              </w:rPr>
            </w:pPr>
            <w:r>
              <w:rPr>
                <w:sz w:val="19"/>
              </w:rPr>
              <w:t>British Bankers’ Association (Alternate)</w:t>
            </w:r>
          </w:p>
        </w:tc>
      </w:tr>
      <w:tr>
        <w:trPr>
          <w:trHeight w:val="291" w:hRule="atLeast"/>
        </w:trPr>
        <w:tc>
          <w:tcPr>
            <w:tcW w:w="4024" w:type="dxa"/>
          </w:tcPr>
          <w:p>
            <w:pPr>
              <w:pStyle w:val="TableParagraph"/>
              <w:rPr>
                <w:sz w:val="19"/>
              </w:rPr>
            </w:pPr>
            <w:r>
              <w:rPr>
                <w:sz w:val="19"/>
              </w:rPr>
              <w:t>James Bindler</w:t>
            </w:r>
          </w:p>
        </w:tc>
        <w:tc>
          <w:tcPr>
            <w:tcW w:w="3995" w:type="dxa"/>
          </w:tcPr>
          <w:p>
            <w:pPr>
              <w:pStyle w:val="TableParagraph"/>
              <w:rPr>
                <w:sz w:val="19"/>
              </w:rPr>
            </w:pPr>
            <w:r>
              <w:rPr>
                <w:sz w:val="19"/>
              </w:rPr>
              <w:t>Citi</w:t>
            </w:r>
          </w:p>
        </w:tc>
      </w:tr>
      <w:tr>
        <w:trPr>
          <w:trHeight w:val="290" w:hRule="atLeast"/>
        </w:trPr>
        <w:tc>
          <w:tcPr>
            <w:tcW w:w="4024" w:type="dxa"/>
          </w:tcPr>
          <w:p>
            <w:pPr>
              <w:pStyle w:val="TableParagraph"/>
              <w:rPr>
                <w:sz w:val="19"/>
              </w:rPr>
            </w:pPr>
            <w:r>
              <w:rPr>
                <w:sz w:val="19"/>
              </w:rPr>
              <w:t>David Puth</w:t>
            </w:r>
          </w:p>
        </w:tc>
        <w:tc>
          <w:tcPr>
            <w:tcW w:w="3995" w:type="dxa"/>
          </w:tcPr>
          <w:p>
            <w:pPr>
              <w:pStyle w:val="TableParagraph"/>
              <w:rPr>
                <w:sz w:val="19"/>
              </w:rPr>
            </w:pPr>
            <w:r>
              <w:rPr>
                <w:sz w:val="19"/>
              </w:rPr>
              <w:t>CLS Bank</w:t>
            </w:r>
          </w:p>
        </w:tc>
      </w:tr>
      <w:tr>
        <w:trPr>
          <w:trHeight w:val="291" w:hRule="atLeast"/>
        </w:trPr>
        <w:tc>
          <w:tcPr>
            <w:tcW w:w="4024" w:type="dxa"/>
          </w:tcPr>
          <w:p>
            <w:pPr>
              <w:pStyle w:val="TableParagraph"/>
              <w:spacing w:before="35"/>
              <w:rPr>
                <w:sz w:val="19"/>
              </w:rPr>
            </w:pPr>
            <w:r>
              <w:rPr>
                <w:sz w:val="19"/>
              </w:rPr>
              <w:t>Tom Springbett</w:t>
            </w:r>
          </w:p>
        </w:tc>
        <w:tc>
          <w:tcPr>
            <w:tcW w:w="3995" w:type="dxa"/>
          </w:tcPr>
          <w:p>
            <w:pPr>
              <w:pStyle w:val="TableParagraph"/>
              <w:spacing w:before="35"/>
              <w:rPr>
                <w:sz w:val="19"/>
              </w:rPr>
            </w:pPr>
            <w:r>
              <w:rPr>
                <w:sz w:val="19"/>
              </w:rPr>
              <w:t>FCA (alternate)</w:t>
            </w:r>
          </w:p>
        </w:tc>
      </w:tr>
      <w:tr>
        <w:trPr>
          <w:trHeight w:val="291" w:hRule="atLeast"/>
        </w:trPr>
        <w:tc>
          <w:tcPr>
            <w:tcW w:w="4024" w:type="dxa"/>
          </w:tcPr>
          <w:p>
            <w:pPr>
              <w:pStyle w:val="TableParagraph"/>
              <w:rPr>
                <w:sz w:val="19"/>
              </w:rPr>
            </w:pPr>
            <w:r>
              <w:rPr>
                <w:sz w:val="19"/>
              </w:rPr>
              <w:t>Frederic Boillereau</w:t>
            </w:r>
          </w:p>
        </w:tc>
        <w:tc>
          <w:tcPr>
            <w:tcW w:w="3995" w:type="dxa"/>
          </w:tcPr>
          <w:p>
            <w:pPr>
              <w:pStyle w:val="TableParagraph"/>
              <w:rPr>
                <w:sz w:val="19"/>
              </w:rPr>
            </w:pPr>
            <w:r>
              <w:rPr>
                <w:sz w:val="19"/>
              </w:rPr>
              <w:t>HSBC</w:t>
            </w:r>
          </w:p>
        </w:tc>
      </w:tr>
      <w:tr>
        <w:trPr>
          <w:trHeight w:val="290" w:hRule="atLeast"/>
        </w:trPr>
        <w:tc>
          <w:tcPr>
            <w:tcW w:w="4024" w:type="dxa"/>
          </w:tcPr>
          <w:p>
            <w:pPr>
              <w:pStyle w:val="TableParagraph"/>
              <w:rPr>
                <w:sz w:val="19"/>
              </w:rPr>
            </w:pPr>
            <w:r>
              <w:rPr>
                <w:sz w:val="19"/>
              </w:rPr>
              <w:t>Troy Rohrbaugh</w:t>
            </w:r>
          </w:p>
        </w:tc>
        <w:tc>
          <w:tcPr>
            <w:tcW w:w="3995" w:type="dxa"/>
          </w:tcPr>
          <w:p>
            <w:pPr>
              <w:pStyle w:val="TableParagraph"/>
              <w:rPr>
                <w:sz w:val="19"/>
              </w:rPr>
            </w:pPr>
            <w:r>
              <w:rPr>
                <w:sz w:val="19"/>
              </w:rPr>
              <w:t>JP Morgan Chase</w:t>
            </w:r>
          </w:p>
        </w:tc>
      </w:tr>
      <w:tr>
        <w:trPr>
          <w:trHeight w:val="291" w:hRule="atLeast"/>
        </w:trPr>
        <w:tc>
          <w:tcPr>
            <w:tcW w:w="4024" w:type="dxa"/>
          </w:tcPr>
          <w:p>
            <w:pPr>
              <w:pStyle w:val="TableParagraph"/>
              <w:spacing w:before="34"/>
              <w:rPr>
                <w:sz w:val="19"/>
              </w:rPr>
            </w:pPr>
            <w:r>
              <w:rPr>
                <w:sz w:val="19"/>
              </w:rPr>
              <w:t>Lisa Scott-Smith</w:t>
            </w:r>
          </w:p>
        </w:tc>
        <w:tc>
          <w:tcPr>
            <w:tcW w:w="3995" w:type="dxa"/>
          </w:tcPr>
          <w:p>
            <w:pPr>
              <w:pStyle w:val="TableParagraph"/>
              <w:spacing w:before="34"/>
              <w:ind w:left="99"/>
              <w:rPr>
                <w:sz w:val="19"/>
              </w:rPr>
            </w:pPr>
            <w:r>
              <w:rPr>
                <w:sz w:val="19"/>
              </w:rPr>
              <w:t>Millennium Global</w:t>
            </w:r>
          </w:p>
        </w:tc>
      </w:tr>
      <w:tr>
        <w:trPr>
          <w:trHeight w:val="291" w:hRule="atLeast"/>
        </w:trPr>
        <w:tc>
          <w:tcPr>
            <w:tcW w:w="4024" w:type="dxa"/>
          </w:tcPr>
          <w:p>
            <w:pPr>
              <w:pStyle w:val="TableParagraph"/>
              <w:spacing w:before="32"/>
              <w:rPr>
                <w:sz w:val="19"/>
              </w:rPr>
            </w:pPr>
            <w:r>
              <w:rPr>
                <w:sz w:val="19"/>
              </w:rPr>
              <w:t>Isabelle Dennigan</w:t>
            </w:r>
          </w:p>
        </w:tc>
        <w:tc>
          <w:tcPr>
            <w:tcW w:w="3995" w:type="dxa"/>
          </w:tcPr>
          <w:p>
            <w:pPr>
              <w:pStyle w:val="TableParagraph"/>
              <w:spacing w:before="32"/>
              <w:rPr>
                <w:sz w:val="19"/>
              </w:rPr>
            </w:pPr>
            <w:r>
              <w:rPr>
                <w:sz w:val="19"/>
              </w:rPr>
              <w:t>RBC (Operations Sub-committee Chair)</w:t>
            </w:r>
          </w:p>
        </w:tc>
      </w:tr>
      <w:tr>
        <w:trPr>
          <w:trHeight w:val="290" w:hRule="atLeast"/>
        </w:trPr>
        <w:tc>
          <w:tcPr>
            <w:tcW w:w="4024" w:type="dxa"/>
          </w:tcPr>
          <w:p>
            <w:pPr>
              <w:pStyle w:val="TableParagraph"/>
              <w:rPr>
                <w:sz w:val="19"/>
              </w:rPr>
            </w:pPr>
            <w:r>
              <w:rPr>
                <w:sz w:val="19"/>
              </w:rPr>
              <w:t>Brian Welch</w:t>
            </w:r>
          </w:p>
        </w:tc>
        <w:tc>
          <w:tcPr>
            <w:tcW w:w="3995" w:type="dxa"/>
          </w:tcPr>
          <w:p>
            <w:pPr>
              <w:pStyle w:val="TableParagraph"/>
              <w:ind w:left="98"/>
              <w:rPr>
                <w:sz w:val="19"/>
              </w:rPr>
            </w:pPr>
            <w:r>
              <w:rPr>
                <w:sz w:val="19"/>
              </w:rPr>
              <w:t>Treasury Consultancy</w:t>
            </w:r>
          </w:p>
        </w:tc>
      </w:tr>
      <w:tr>
        <w:trPr>
          <w:trHeight w:val="291" w:hRule="atLeast"/>
        </w:trPr>
        <w:tc>
          <w:tcPr>
            <w:tcW w:w="4024" w:type="dxa"/>
          </w:tcPr>
          <w:p>
            <w:pPr>
              <w:pStyle w:val="TableParagraph"/>
              <w:spacing w:before="35"/>
              <w:rPr>
                <w:sz w:val="19"/>
              </w:rPr>
            </w:pPr>
            <w:r>
              <w:rPr>
                <w:sz w:val="19"/>
              </w:rPr>
              <w:t>James Potter</w:t>
            </w:r>
          </w:p>
        </w:tc>
        <w:tc>
          <w:tcPr>
            <w:tcW w:w="3995" w:type="dxa"/>
          </w:tcPr>
          <w:p>
            <w:pPr>
              <w:pStyle w:val="TableParagraph"/>
              <w:spacing w:before="35"/>
              <w:ind w:left="101"/>
              <w:rPr>
                <w:sz w:val="19"/>
              </w:rPr>
            </w:pPr>
            <w:r>
              <w:rPr>
                <w:sz w:val="19"/>
              </w:rPr>
              <w:t>Tullet Prebon</w:t>
            </w:r>
          </w:p>
        </w:tc>
      </w:tr>
      <w:tr>
        <w:trPr>
          <w:trHeight w:val="291" w:hRule="atLeast"/>
        </w:trPr>
        <w:tc>
          <w:tcPr>
            <w:tcW w:w="4024" w:type="dxa"/>
          </w:tcPr>
          <w:p>
            <w:pPr>
              <w:pStyle w:val="TableParagraph"/>
              <w:rPr>
                <w:sz w:val="19"/>
              </w:rPr>
            </w:pPr>
            <w:r>
              <w:rPr>
                <w:sz w:val="19"/>
              </w:rPr>
              <w:t>Richard Gill</w:t>
            </w:r>
          </w:p>
        </w:tc>
        <w:tc>
          <w:tcPr>
            <w:tcW w:w="3995" w:type="dxa"/>
          </w:tcPr>
          <w:p>
            <w:pPr>
              <w:pStyle w:val="TableParagraph"/>
              <w:rPr>
                <w:sz w:val="19"/>
              </w:rPr>
            </w:pPr>
            <w:r>
              <w:rPr>
                <w:sz w:val="19"/>
              </w:rPr>
              <w:t>Bank of New York Mellon</w:t>
            </w:r>
          </w:p>
        </w:tc>
      </w:tr>
      <w:tr>
        <w:trPr>
          <w:trHeight w:val="290" w:hRule="atLeast"/>
        </w:trPr>
        <w:tc>
          <w:tcPr>
            <w:tcW w:w="4024" w:type="dxa"/>
          </w:tcPr>
          <w:p>
            <w:pPr>
              <w:pStyle w:val="TableParagraph"/>
              <w:rPr>
                <w:sz w:val="19"/>
              </w:rPr>
            </w:pPr>
            <w:r>
              <w:rPr>
                <w:sz w:val="19"/>
              </w:rPr>
              <w:t>George Athanasopoulos</w:t>
            </w:r>
          </w:p>
        </w:tc>
        <w:tc>
          <w:tcPr>
            <w:tcW w:w="3995" w:type="dxa"/>
          </w:tcPr>
          <w:p>
            <w:pPr>
              <w:pStyle w:val="TableParagraph"/>
              <w:ind w:left="94"/>
              <w:rPr>
                <w:sz w:val="19"/>
              </w:rPr>
            </w:pPr>
            <w:r>
              <w:rPr>
                <w:sz w:val="19"/>
              </w:rPr>
              <w:t>UBS</w:t>
            </w:r>
          </w:p>
        </w:tc>
      </w:tr>
      <w:tr>
        <w:trPr>
          <w:trHeight w:val="291" w:hRule="atLeast"/>
        </w:trPr>
        <w:tc>
          <w:tcPr>
            <w:tcW w:w="4024" w:type="dxa"/>
          </w:tcPr>
          <w:p>
            <w:pPr>
              <w:pStyle w:val="TableParagraph"/>
              <w:spacing w:before="35"/>
              <w:rPr>
                <w:sz w:val="19"/>
              </w:rPr>
            </w:pPr>
            <w:r>
              <w:rPr>
                <w:sz w:val="19"/>
              </w:rPr>
              <w:t>Alex McDonald</w:t>
            </w:r>
          </w:p>
        </w:tc>
        <w:tc>
          <w:tcPr>
            <w:tcW w:w="3995" w:type="dxa"/>
          </w:tcPr>
          <w:p>
            <w:pPr>
              <w:pStyle w:val="TableParagraph"/>
              <w:spacing w:before="35"/>
              <w:ind w:left="93"/>
              <w:rPr>
                <w:sz w:val="19"/>
              </w:rPr>
            </w:pPr>
            <w:r>
              <w:rPr>
                <w:sz w:val="19"/>
              </w:rPr>
              <w:t>WMBA</w:t>
            </w:r>
          </w:p>
        </w:tc>
      </w:tr>
      <w:tr>
        <w:trPr>
          <w:trHeight w:val="291" w:hRule="atLeast"/>
        </w:trPr>
        <w:tc>
          <w:tcPr>
            <w:tcW w:w="4024" w:type="dxa"/>
          </w:tcPr>
          <w:p>
            <w:pPr>
              <w:pStyle w:val="TableParagraph"/>
              <w:rPr>
                <w:i/>
                <w:sz w:val="19"/>
              </w:rPr>
            </w:pPr>
            <w:r>
              <w:rPr>
                <w:i/>
                <w:sz w:val="19"/>
              </w:rPr>
              <w:t>Grigoria Christodoulou</w:t>
            </w:r>
          </w:p>
        </w:tc>
        <w:tc>
          <w:tcPr>
            <w:tcW w:w="3995" w:type="dxa"/>
          </w:tcPr>
          <w:p>
            <w:pPr>
              <w:pStyle w:val="TableParagraph"/>
              <w:ind w:left="94"/>
              <w:rPr>
                <w:i/>
                <w:sz w:val="19"/>
              </w:rPr>
            </w:pPr>
            <w:r>
              <w:rPr>
                <w:i/>
                <w:sz w:val="19"/>
              </w:rPr>
              <w:t>Bank of England (Speaker)</w:t>
            </w:r>
          </w:p>
        </w:tc>
      </w:tr>
      <w:tr>
        <w:trPr>
          <w:trHeight w:val="290" w:hRule="atLeast"/>
        </w:trPr>
        <w:tc>
          <w:tcPr>
            <w:tcW w:w="4024" w:type="dxa"/>
          </w:tcPr>
          <w:p>
            <w:pPr>
              <w:pStyle w:val="TableParagraph"/>
              <w:rPr>
                <w:i/>
                <w:sz w:val="19"/>
              </w:rPr>
            </w:pPr>
            <w:r>
              <w:rPr>
                <w:i/>
                <w:sz w:val="19"/>
              </w:rPr>
              <w:t>Elizabeth Darkens</w:t>
            </w:r>
          </w:p>
        </w:tc>
        <w:tc>
          <w:tcPr>
            <w:tcW w:w="3995" w:type="dxa"/>
          </w:tcPr>
          <w:p>
            <w:pPr>
              <w:pStyle w:val="TableParagraph"/>
              <w:ind w:left="94"/>
              <w:rPr>
                <w:i/>
                <w:sz w:val="19"/>
              </w:rPr>
            </w:pPr>
            <w:r>
              <w:rPr>
                <w:i/>
                <w:sz w:val="19"/>
              </w:rPr>
              <w:t>Bank of England (Speaker)</w:t>
            </w:r>
          </w:p>
        </w:tc>
      </w:tr>
      <w:tr>
        <w:trPr>
          <w:trHeight w:val="291" w:hRule="atLeast"/>
        </w:trPr>
        <w:tc>
          <w:tcPr>
            <w:tcW w:w="4024" w:type="dxa"/>
          </w:tcPr>
          <w:p>
            <w:pPr>
              <w:pStyle w:val="TableParagraph"/>
              <w:spacing w:before="34"/>
              <w:rPr>
                <w:i/>
                <w:sz w:val="19"/>
              </w:rPr>
            </w:pPr>
            <w:r>
              <w:rPr>
                <w:i/>
                <w:sz w:val="19"/>
              </w:rPr>
              <w:t>Geoff Coppins</w:t>
            </w:r>
          </w:p>
        </w:tc>
        <w:tc>
          <w:tcPr>
            <w:tcW w:w="3995" w:type="dxa"/>
          </w:tcPr>
          <w:p>
            <w:pPr>
              <w:pStyle w:val="TableParagraph"/>
              <w:spacing w:before="34"/>
              <w:ind w:left="93"/>
              <w:rPr>
                <w:i/>
                <w:sz w:val="19"/>
              </w:rPr>
            </w:pPr>
            <w:r>
              <w:rPr>
                <w:i/>
                <w:sz w:val="19"/>
              </w:rPr>
              <w:t>Bank of England (Speaker)</w:t>
            </w:r>
          </w:p>
        </w:tc>
      </w:tr>
    </w:tbl>
    <w:p>
      <w:pPr>
        <w:pStyle w:val="BodyText"/>
        <w:spacing w:before="7"/>
        <w:rPr>
          <w:b/>
          <w:sz w:val="14"/>
        </w:rPr>
      </w:pPr>
    </w:p>
    <w:p>
      <w:pPr>
        <w:spacing w:before="96"/>
        <w:ind w:left="552" w:right="0" w:firstLine="0"/>
        <w:jc w:val="left"/>
        <w:rPr>
          <w:b/>
          <w:sz w:val="22"/>
        </w:rPr>
      </w:pPr>
      <w:r>
        <w:rPr>
          <w:b/>
          <w:w w:val="105"/>
          <w:sz w:val="22"/>
        </w:rPr>
        <w:t>Apologies</w:t>
      </w:r>
    </w:p>
    <w:p>
      <w:pPr>
        <w:pStyle w:val="BodyText"/>
        <w:spacing w:before="8" w:after="1"/>
        <w:rPr>
          <w:b/>
        </w:rPr>
      </w:pPr>
    </w:p>
    <w:tbl>
      <w:tblPr>
        <w:tblW w:w="0" w:type="auto"/>
        <w:jc w:val="left"/>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1"/>
        <w:gridCol w:w="4001"/>
      </w:tblGrid>
      <w:tr>
        <w:trPr>
          <w:trHeight w:val="291" w:hRule="atLeast"/>
        </w:trPr>
        <w:tc>
          <w:tcPr>
            <w:tcW w:w="4001" w:type="dxa"/>
          </w:tcPr>
          <w:p>
            <w:pPr>
              <w:pStyle w:val="TableParagraph"/>
              <w:ind w:left="101"/>
              <w:rPr>
                <w:sz w:val="19"/>
              </w:rPr>
            </w:pPr>
            <w:r>
              <w:rPr>
                <w:sz w:val="19"/>
              </w:rPr>
              <w:t>Andrew Rogan</w:t>
            </w:r>
          </w:p>
        </w:tc>
        <w:tc>
          <w:tcPr>
            <w:tcW w:w="4001" w:type="dxa"/>
          </w:tcPr>
          <w:p>
            <w:pPr>
              <w:pStyle w:val="TableParagraph"/>
              <w:ind w:left="101"/>
              <w:rPr>
                <w:sz w:val="19"/>
              </w:rPr>
            </w:pPr>
            <w:r>
              <w:rPr>
                <w:sz w:val="19"/>
              </w:rPr>
              <w:t>British Bankers’ Association</w:t>
            </w:r>
          </w:p>
        </w:tc>
      </w:tr>
      <w:tr>
        <w:trPr>
          <w:trHeight w:val="290" w:hRule="atLeast"/>
        </w:trPr>
        <w:tc>
          <w:tcPr>
            <w:tcW w:w="4001" w:type="dxa"/>
          </w:tcPr>
          <w:p>
            <w:pPr>
              <w:pStyle w:val="TableParagraph"/>
              <w:ind w:left="101"/>
              <w:rPr>
                <w:sz w:val="19"/>
              </w:rPr>
            </w:pPr>
            <w:r>
              <w:rPr>
                <w:sz w:val="19"/>
              </w:rPr>
              <w:t>Chris Allen</w:t>
            </w:r>
          </w:p>
        </w:tc>
        <w:tc>
          <w:tcPr>
            <w:tcW w:w="4001" w:type="dxa"/>
          </w:tcPr>
          <w:p>
            <w:pPr>
              <w:pStyle w:val="TableParagraph"/>
              <w:ind w:left="102"/>
              <w:rPr>
                <w:sz w:val="19"/>
              </w:rPr>
            </w:pPr>
            <w:r>
              <w:rPr>
                <w:sz w:val="19"/>
              </w:rPr>
              <w:t>Barclays (Legal)</w:t>
            </w:r>
          </w:p>
        </w:tc>
      </w:tr>
      <w:tr>
        <w:trPr>
          <w:trHeight w:val="291" w:hRule="atLeast"/>
        </w:trPr>
        <w:tc>
          <w:tcPr>
            <w:tcW w:w="4001" w:type="dxa"/>
          </w:tcPr>
          <w:p>
            <w:pPr>
              <w:pStyle w:val="TableParagraph"/>
              <w:spacing w:before="35"/>
              <w:ind w:left="101"/>
              <w:rPr>
                <w:sz w:val="19"/>
              </w:rPr>
            </w:pPr>
            <w:r>
              <w:rPr>
                <w:sz w:val="19"/>
              </w:rPr>
              <w:t>Gil Mandelzis</w:t>
            </w:r>
          </w:p>
        </w:tc>
        <w:tc>
          <w:tcPr>
            <w:tcW w:w="4001" w:type="dxa"/>
          </w:tcPr>
          <w:p>
            <w:pPr>
              <w:pStyle w:val="TableParagraph"/>
              <w:spacing w:before="35"/>
              <w:ind w:left="101"/>
              <w:rPr>
                <w:sz w:val="19"/>
              </w:rPr>
            </w:pPr>
            <w:r>
              <w:rPr>
                <w:sz w:val="19"/>
              </w:rPr>
              <w:t>EBS Broker-Tech</w:t>
            </w:r>
          </w:p>
        </w:tc>
      </w:tr>
      <w:tr>
        <w:trPr>
          <w:trHeight w:val="291" w:hRule="atLeast"/>
        </w:trPr>
        <w:tc>
          <w:tcPr>
            <w:tcW w:w="4001" w:type="dxa"/>
          </w:tcPr>
          <w:p>
            <w:pPr>
              <w:pStyle w:val="TableParagraph"/>
              <w:ind w:left="101"/>
              <w:rPr>
                <w:sz w:val="19"/>
              </w:rPr>
            </w:pPr>
            <w:r>
              <w:rPr>
                <w:sz w:val="19"/>
              </w:rPr>
              <w:t>Heather Pilley</w:t>
            </w:r>
          </w:p>
        </w:tc>
        <w:tc>
          <w:tcPr>
            <w:tcW w:w="4001" w:type="dxa"/>
          </w:tcPr>
          <w:p>
            <w:pPr>
              <w:pStyle w:val="TableParagraph"/>
              <w:ind w:left="102"/>
              <w:rPr>
                <w:sz w:val="19"/>
              </w:rPr>
            </w:pPr>
            <w:r>
              <w:rPr>
                <w:sz w:val="19"/>
              </w:rPr>
              <w:t>FCA</w:t>
            </w:r>
          </w:p>
        </w:tc>
      </w:tr>
      <w:tr>
        <w:trPr>
          <w:trHeight w:val="290" w:hRule="atLeast"/>
        </w:trPr>
        <w:tc>
          <w:tcPr>
            <w:tcW w:w="4001" w:type="dxa"/>
          </w:tcPr>
          <w:p>
            <w:pPr>
              <w:pStyle w:val="TableParagraph"/>
              <w:ind w:left="101"/>
              <w:rPr>
                <w:sz w:val="19"/>
              </w:rPr>
            </w:pPr>
            <w:r>
              <w:rPr>
                <w:sz w:val="19"/>
              </w:rPr>
              <w:t>Richard Metcalfe</w:t>
            </w:r>
          </w:p>
        </w:tc>
        <w:tc>
          <w:tcPr>
            <w:tcW w:w="4001" w:type="dxa"/>
          </w:tcPr>
          <w:p>
            <w:pPr>
              <w:pStyle w:val="TableParagraph"/>
              <w:rPr>
                <w:sz w:val="19"/>
              </w:rPr>
            </w:pPr>
            <w:r>
              <w:rPr>
                <w:sz w:val="19"/>
              </w:rPr>
              <w:t>The Investment Association</w:t>
            </w:r>
          </w:p>
        </w:tc>
      </w:tr>
      <w:tr>
        <w:trPr>
          <w:trHeight w:val="291" w:hRule="atLeast"/>
        </w:trPr>
        <w:tc>
          <w:tcPr>
            <w:tcW w:w="4001" w:type="dxa"/>
          </w:tcPr>
          <w:p>
            <w:pPr>
              <w:pStyle w:val="TableParagraph"/>
              <w:spacing w:before="34"/>
              <w:ind w:left="101"/>
              <w:rPr>
                <w:sz w:val="19"/>
              </w:rPr>
            </w:pPr>
            <w:r>
              <w:rPr>
                <w:sz w:val="19"/>
              </w:rPr>
              <w:t>Phil Weisberg</w:t>
            </w:r>
          </w:p>
        </w:tc>
        <w:tc>
          <w:tcPr>
            <w:tcW w:w="4001" w:type="dxa"/>
          </w:tcPr>
          <w:p>
            <w:pPr>
              <w:pStyle w:val="TableParagraph"/>
              <w:spacing w:before="34"/>
              <w:ind w:left="101"/>
              <w:rPr>
                <w:sz w:val="19"/>
              </w:rPr>
            </w:pPr>
            <w:r>
              <w:rPr>
                <w:sz w:val="19"/>
              </w:rPr>
              <w:t>Thomson Reuters</w:t>
            </w:r>
          </w:p>
        </w:tc>
      </w:tr>
    </w:tbl>
    <w:p>
      <w:pPr>
        <w:spacing w:after="0"/>
        <w:rPr>
          <w:sz w:val="19"/>
        </w:rPr>
        <w:sectPr>
          <w:type w:val="continuous"/>
          <w:pgSz w:w="12240" w:h="15840"/>
          <w:pgMar w:top="1280" w:bottom="280" w:left="1660" w:right="1720"/>
        </w:sectPr>
      </w:pPr>
    </w:p>
    <w:p>
      <w:pPr>
        <w:pStyle w:val="ListParagraph"/>
        <w:numPr>
          <w:ilvl w:val="0"/>
          <w:numId w:val="1"/>
        </w:numPr>
        <w:tabs>
          <w:tab w:pos="610" w:val="left" w:leader="none"/>
        </w:tabs>
        <w:spacing w:line="240" w:lineRule="auto" w:before="80" w:after="0"/>
        <w:ind w:left="609" w:right="0" w:hanging="227"/>
        <w:jc w:val="left"/>
        <w:rPr>
          <w:b/>
          <w:sz w:val="22"/>
        </w:rPr>
      </w:pPr>
      <w:r>
        <w:rPr>
          <w:b/>
          <w:w w:val="105"/>
          <w:sz w:val="22"/>
        </w:rPr>
        <w:t>Apologies for</w:t>
      </w:r>
      <w:r>
        <w:rPr>
          <w:b/>
          <w:spacing w:val="-5"/>
          <w:w w:val="105"/>
          <w:sz w:val="22"/>
        </w:rPr>
        <w:t> </w:t>
      </w:r>
      <w:r>
        <w:rPr>
          <w:b/>
          <w:w w:val="105"/>
          <w:sz w:val="22"/>
        </w:rPr>
        <w:t>absence</w:t>
      </w:r>
    </w:p>
    <w:p>
      <w:pPr>
        <w:pStyle w:val="BodyText"/>
        <w:rPr>
          <w:b/>
          <w:sz w:val="24"/>
        </w:rPr>
      </w:pPr>
    </w:p>
    <w:p>
      <w:pPr>
        <w:pStyle w:val="BodyText"/>
        <w:spacing w:before="11"/>
        <w:rPr>
          <w:b/>
          <w:sz w:val="21"/>
        </w:rPr>
      </w:pPr>
    </w:p>
    <w:p>
      <w:pPr>
        <w:pStyle w:val="BodyText"/>
        <w:spacing w:line="491" w:lineRule="auto"/>
        <w:ind w:left="552" w:right="491"/>
      </w:pPr>
      <w:r>
        <w:rPr>
          <w:w w:val="105"/>
        </w:rPr>
        <w:t>Apologies</w:t>
      </w:r>
      <w:r>
        <w:rPr>
          <w:spacing w:val="-16"/>
          <w:w w:val="105"/>
        </w:rPr>
        <w:t> </w:t>
      </w:r>
      <w:r>
        <w:rPr>
          <w:w w:val="105"/>
        </w:rPr>
        <w:t>were</w:t>
      </w:r>
      <w:r>
        <w:rPr>
          <w:spacing w:val="-17"/>
          <w:w w:val="105"/>
        </w:rPr>
        <w:t> </w:t>
      </w:r>
      <w:r>
        <w:rPr>
          <w:w w:val="105"/>
        </w:rPr>
        <w:t>received</w:t>
      </w:r>
      <w:r>
        <w:rPr>
          <w:spacing w:val="-15"/>
          <w:w w:val="105"/>
        </w:rPr>
        <w:t> </w:t>
      </w:r>
      <w:r>
        <w:rPr>
          <w:w w:val="105"/>
        </w:rPr>
        <w:t>from</w:t>
      </w:r>
      <w:r>
        <w:rPr>
          <w:spacing w:val="-19"/>
          <w:w w:val="105"/>
        </w:rPr>
        <w:t> </w:t>
      </w:r>
      <w:r>
        <w:rPr>
          <w:w w:val="105"/>
        </w:rPr>
        <w:t>Andrew</w:t>
      </w:r>
      <w:r>
        <w:rPr>
          <w:spacing w:val="-16"/>
          <w:w w:val="105"/>
        </w:rPr>
        <w:t> </w:t>
      </w:r>
      <w:r>
        <w:rPr>
          <w:w w:val="105"/>
        </w:rPr>
        <w:t>Rogan,</w:t>
      </w:r>
      <w:r>
        <w:rPr>
          <w:spacing w:val="-16"/>
          <w:w w:val="105"/>
        </w:rPr>
        <w:t> </w:t>
      </w:r>
      <w:r>
        <w:rPr>
          <w:w w:val="105"/>
        </w:rPr>
        <w:t>Chris</w:t>
      </w:r>
      <w:r>
        <w:rPr>
          <w:spacing w:val="-16"/>
          <w:w w:val="105"/>
        </w:rPr>
        <w:t> </w:t>
      </w:r>
      <w:r>
        <w:rPr>
          <w:w w:val="105"/>
        </w:rPr>
        <w:t>Allen,</w:t>
      </w:r>
      <w:r>
        <w:rPr>
          <w:spacing w:val="-16"/>
          <w:w w:val="105"/>
        </w:rPr>
        <w:t> </w:t>
      </w:r>
      <w:r>
        <w:rPr>
          <w:w w:val="105"/>
        </w:rPr>
        <w:t>Gil</w:t>
      </w:r>
      <w:r>
        <w:rPr>
          <w:spacing w:val="-16"/>
          <w:w w:val="105"/>
        </w:rPr>
        <w:t> </w:t>
      </w:r>
      <w:r>
        <w:rPr>
          <w:w w:val="105"/>
        </w:rPr>
        <w:t>Mandelzis,</w:t>
      </w:r>
      <w:r>
        <w:rPr>
          <w:spacing w:val="-17"/>
          <w:w w:val="105"/>
        </w:rPr>
        <w:t> </w:t>
      </w:r>
      <w:r>
        <w:rPr>
          <w:w w:val="105"/>
        </w:rPr>
        <w:t>Heather Pilley,</w:t>
      </w:r>
      <w:r>
        <w:rPr>
          <w:spacing w:val="-19"/>
          <w:w w:val="105"/>
        </w:rPr>
        <w:t> </w:t>
      </w:r>
      <w:r>
        <w:rPr>
          <w:w w:val="105"/>
        </w:rPr>
        <w:t>Richard</w:t>
      </w:r>
      <w:r>
        <w:rPr>
          <w:spacing w:val="-19"/>
          <w:w w:val="105"/>
        </w:rPr>
        <w:t> </w:t>
      </w:r>
      <w:r>
        <w:rPr>
          <w:w w:val="105"/>
        </w:rPr>
        <w:t>Metcalfe</w:t>
      </w:r>
      <w:r>
        <w:rPr>
          <w:spacing w:val="-18"/>
          <w:w w:val="105"/>
        </w:rPr>
        <w:t> </w:t>
      </w:r>
      <w:r>
        <w:rPr>
          <w:w w:val="105"/>
        </w:rPr>
        <w:t>and</w:t>
      </w:r>
      <w:r>
        <w:rPr>
          <w:spacing w:val="-19"/>
          <w:w w:val="105"/>
        </w:rPr>
        <w:t> </w:t>
      </w:r>
      <w:r>
        <w:rPr>
          <w:w w:val="105"/>
        </w:rPr>
        <w:t>Phil</w:t>
      </w:r>
      <w:r>
        <w:rPr>
          <w:spacing w:val="-20"/>
          <w:w w:val="105"/>
        </w:rPr>
        <w:t> </w:t>
      </w:r>
      <w:r>
        <w:rPr>
          <w:w w:val="105"/>
        </w:rPr>
        <w:t>Weisberg.</w:t>
      </w:r>
      <w:r>
        <w:rPr>
          <w:spacing w:val="-19"/>
          <w:w w:val="105"/>
        </w:rPr>
        <w:t> </w:t>
      </w:r>
      <w:r>
        <w:rPr>
          <w:w w:val="105"/>
        </w:rPr>
        <w:t>Chris</w:t>
      </w:r>
      <w:r>
        <w:rPr>
          <w:spacing w:val="-18"/>
          <w:w w:val="105"/>
        </w:rPr>
        <w:t> </w:t>
      </w:r>
      <w:r>
        <w:rPr>
          <w:w w:val="105"/>
        </w:rPr>
        <w:t>Salmon</w:t>
      </w:r>
      <w:r>
        <w:rPr>
          <w:spacing w:val="-19"/>
          <w:w w:val="105"/>
        </w:rPr>
        <w:t> </w:t>
      </w:r>
      <w:r>
        <w:rPr>
          <w:w w:val="105"/>
        </w:rPr>
        <w:t>introduced</w:t>
      </w:r>
      <w:r>
        <w:rPr>
          <w:spacing w:val="-19"/>
          <w:w w:val="105"/>
        </w:rPr>
        <w:t> </w:t>
      </w:r>
      <w:r>
        <w:rPr>
          <w:w w:val="105"/>
        </w:rPr>
        <w:t>himself</w:t>
      </w:r>
      <w:r>
        <w:rPr>
          <w:spacing w:val="-17"/>
          <w:w w:val="105"/>
        </w:rPr>
        <w:t> </w:t>
      </w:r>
      <w:r>
        <w:rPr>
          <w:w w:val="105"/>
        </w:rPr>
        <w:t>as</w:t>
      </w:r>
      <w:r>
        <w:rPr>
          <w:spacing w:val="-19"/>
          <w:w w:val="105"/>
        </w:rPr>
        <w:t> </w:t>
      </w:r>
      <w:r>
        <w:rPr>
          <w:w w:val="105"/>
        </w:rPr>
        <w:t>the new Committee chair and thanked the previous chair, Mike Cross for his long- standing and valuable contribution to the</w:t>
      </w:r>
      <w:r>
        <w:rPr>
          <w:spacing w:val="-21"/>
          <w:w w:val="105"/>
        </w:rPr>
        <w:t> </w:t>
      </w:r>
      <w:r>
        <w:rPr>
          <w:w w:val="105"/>
        </w:rPr>
        <w:t>Committee.</w:t>
      </w:r>
    </w:p>
    <w:p>
      <w:pPr>
        <w:pStyle w:val="BodyText"/>
        <w:spacing w:before="2"/>
        <w:rPr>
          <w:sz w:val="23"/>
        </w:rPr>
      </w:pPr>
    </w:p>
    <w:p>
      <w:pPr>
        <w:pStyle w:val="Heading1"/>
        <w:numPr>
          <w:ilvl w:val="0"/>
          <w:numId w:val="1"/>
        </w:numPr>
        <w:tabs>
          <w:tab w:pos="666" w:val="left" w:leader="none"/>
        </w:tabs>
        <w:spacing w:line="240" w:lineRule="auto" w:before="0" w:after="0"/>
        <w:ind w:left="665" w:right="0" w:hanging="283"/>
        <w:jc w:val="left"/>
      </w:pPr>
      <w:r>
        <w:rPr>
          <w:w w:val="105"/>
        </w:rPr>
        <w:t>Minutes of 19 May meeting and matters</w:t>
      </w:r>
      <w:r>
        <w:rPr>
          <w:spacing w:val="-25"/>
          <w:w w:val="105"/>
        </w:rPr>
        <w:t> </w:t>
      </w:r>
      <w:r>
        <w:rPr>
          <w:w w:val="105"/>
        </w:rPr>
        <w:t>arising</w:t>
      </w:r>
    </w:p>
    <w:p>
      <w:pPr>
        <w:pStyle w:val="BodyText"/>
        <w:rPr>
          <w:b/>
          <w:sz w:val="24"/>
        </w:rPr>
      </w:pPr>
    </w:p>
    <w:p>
      <w:pPr>
        <w:pStyle w:val="BodyText"/>
        <w:spacing w:before="11"/>
        <w:rPr>
          <w:b/>
          <w:sz w:val="21"/>
        </w:rPr>
      </w:pPr>
    </w:p>
    <w:p>
      <w:pPr>
        <w:pStyle w:val="BodyText"/>
        <w:ind w:left="552"/>
      </w:pPr>
      <w:r>
        <w:rPr>
          <w:w w:val="105"/>
        </w:rPr>
        <w:t>The minutes of the May meeting were agreed.</w:t>
      </w:r>
    </w:p>
    <w:p>
      <w:pPr>
        <w:pStyle w:val="BodyText"/>
        <w:rPr>
          <w:sz w:val="24"/>
        </w:rPr>
      </w:pPr>
    </w:p>
    <w:p>
      <w:pPr>
        <w:pStyle w:val="BodyText"/>
        <w:spacing w:before="3"/>
      </w:pPr>
    </w:p>
    <w:p>
      <w:pPr>
        <w:pStyle w:val="Heading1"/>
        <w:numPr>
          <w:ilvl w:val="0"/>
          <w:numId w:val="1"/>
        </w:numPr>
        <w:tabs>
          <w:tab w:pos="552" w:val="left" w:leader="none"/>
          <w:tab w:pos="553" w:val="left" w:leader="none"/>
        </w:tabs>
        <w:spacing w:line="240" w:lineRule="auto" w:before="0" w:after="0"/>
        <w:ind w:left="552" w:right="0" w:hanging="438"/>
        <w:jc w:val="left"/>
      </w:pPr>
      <w:r>
        <w:rPr>
          <w:w w:val="105"/>
        </w:rPr>
        <w:t>Discussion of recent market</w:t>
      </w:r>
      <w:r>
        <w:rPr>
          <w:spacing w:val="-14"/>
          <w:w w:val="105"/>
        </w:rPr>
        <w:t> </w:t>
      </w:r>
      <w:r>
        <w:rPr>
          <w:w w:val="105"/>
        </w:rPr>
        <w:t>developments</w:t>
      </w:r>
    </w:p>
    <w:p>
      <w:pPr>
        <w:pStyle w:val="BodyText"/>
        <w:rPr>
          <w:b/>
          <w:sz w:val="24"/>
        </w:rPr>
      </w:pPr>
    </w:p>
    <w:p>
      <w:pPr>
        <w:pStyle w:val="BodyText"/>
        <w:spacing w:before="11"/>
        <w:rPr>
          <w:b/>
          <w:sz w:val="21"/>
        </w:rPr>
      </w:pPr>
    </w:p>
    <w:p>
      <w:pPr>
        <w:pStyle w:val="BodyText"/>
        <w:spacing w:line="491" w:lineRule="auto"/>
        <w:ind w:left="552" w:right="491"/>
      </w:pPr>
      <w:r>
        <w:rPr>
          <w:w w:val="105"/>
        </w:rPr>
        <w:t>The Committee discussed foreign exchange market conditions, with a focus on the impact</w:t>
      </w:r>
      <w:r>
        <w:rPr>
          <w:spacing w:val="-15"/>
          <w:w w:val="105"/>
        </w:rPr>
        <w:t> </w:t>
      </w:r>
      <w:r>
        <w:rPr>
          <w:w w:val="105"/>
        </w:rPr>
        <w:t>of</w:t>
      </w:r>
      <w:r>
        <w:rPr>
          <w:spacing w:val="-15"/>
          <w:w w:val="105"/>
        </w:rPr>
        <w:t> </w:t>
      </w:r>
      <w:r>
        <w:rPr>
          <w:w w:val="105"/>
        </w:rPr>
        <w:t>changes</w:t>
      </w:r>
      <w:r>
        <w:rPr>
          <w:spacing w:val="-15"/>
          <w:w w:val="105"/>
        </w:rPr>
        <w:t> </w:t>
      </w:r>
      <w:r>
        <w:rPr>
          <w:w w:val="105"/>
        </w:rPr>
        <w:t>in</w:t>
      </w:r>
      <w:r>
        <w:rPr>
          <w:spacing w:val="-15"/>
          <w:w w:val="105"/>
        </w:rPr>
        <w:t> </w:t>
      </w:r>
      <w:r>
        <w:rPr>
          <w:w w:val="105"/>
        </w:rPr>
        <w:t>the</w:t>
      </w:r>
      <w:r>
        <w:rPr>
          <w:spacing w:val="-14"/>
          <w:w w:val="105"/>
        </w:rPr>
        <w:t> </w:t>
      </w:r>
      <w:r>
        <w:rPr>
          <w:w w:val="105"/>
        </w:rPr>
        <w:t>People’s</w:t>
      </w:r>
      <w:r>
        <w:rPr>
          <w:spacing w:val="-15"/>
          <w:w w:val="105"/>
        </w:rPr>
        <w:t> </w:t>
      </w:r>
      <w:r>
        <w:rPr>
          <w:w w:val="105"/>
        </w:rPr>
        <w:t>Bank</w:t>
      </w:r>
      <w:r>
        <w:rPr>
          <w:spacing w:val="-15"/>
          <w:w w:val="105"/>
        </w:rPr>
        <w:t> </w:t>
      </w:r>
      <w:r>
        <w:rPr>
          <w:w w:val="105"/>
        </w:rPr>
        <w:t>of</w:t>
      </w:r>
      <w:r>
        <w:rPr>
          <w:spacing w:val="-14"/>
          <w:w w:val="105"/>
        </w:rPr>
        <w:t> </w:t>
      </w:r>
      <w:r>
        <w:rPr>
          <w:w w:val="105"/>
        </w:rPr>
        <w:t>China</w:t>
      </w:r>
      <w:r>
        <w:rPr>
          <w:spacing w:val="-14"/>
          <w:w w:val="105"/>
        </w:rPr>
        <w:t> </w:t>
      </w:r>
      <w:r>
        <w:rPr>
          <w:w w:val="105"/>
        </w:rPr>
        <w:t>(PBoC)</w:t>
      </w:r>
      <w:r>
        <w:rPr>
          <w:spacing w:val="-15"/>
          <w:w w:val="105"/>
        </w:rPr>
        <w:t> </w:t>
      </w:r>
      <w:r>
        <w:rPr>
          <w:w w:val="105"/>
        </w:rPr>
        <w:t>methodology</w:t>
      </w:r>
      <w:r>
        <w:rPr>
          <w:spacing w:val="-14"/>
          <w:w w:val="105"/>
        </w:rPr>
        <w:t> </w:t>
      </w:r>
      <w:r>
        <w:rPr>
          <w:w w:val="105"/>
        </w:rPr>
        <w:t>for</w:t>
      </w:r>
      <w:r>
        <w:rPr>
          <w:spacing w:val="-15"/>
          <w:w w:val="105"/>
        </w:rPr>
        <w:t> </w:t>
      </w:r>
      <w:r>
        <w:rPr>
          <w:w w:val="105"/>
        </w:rPr>
        <w:t>setting</w:t>
      </w:r>
      <w:r>
        <w:rPr>
          <w:spacing w:val="-15"/>
          <w:w w:val="105"/>
        </w:rPr>
        <w:t> </w:t>
      </w:r>
      <w:r>
        <w:rPr>
          <w:w w:val="105"/>
        </w:rPr>
        <w:t>the daily Renminbi exchange rate and the subsequent depreciation of the Renminbi, as well as an increase in emerging market exchange rate volatility. Members noted the dovish tone of the latest FOMC statement in the United States had somewhat dampened appetite for risker assets. More broadly, the Committee argued that structural</w:t>
      </w:r>
      <w:r>
        <w:rPr>
          <w:spacing w:val="-18"/>
          <w:w w:val="105"/>
        </w:rPr>
        <w:t> </w:t>
      </w:r>
      <w:r>
        <w:rPr>
          <w:w w:val="105"/>
        </w:rPr>
        <w:t>changes,</w:t>
      </w:r>
      <w:r>
        <w:rPr>
          <w:spacing w:val="-18"/>
          <w:w w:val="105"/>
        </w:rPr>
        <w:t> </w:t>
      </w:r>
      <w:r>
        <w:rPr>
          <w:w w:val="105"/>
        </w:rPr>
        <w:t>such</w:t>
      </w:r>
      <w:r>
        <w:rPr>
          <w:spacing w:val="-17"/>
          <w:w w:val="105"/>
        </w:rPr>
        <w:t> </w:t>
      </w:r>
      <w:r>
        <w:rPr>
          <w:w w:val="105"/>
        </w:rPr>
        <w:t>as</w:t>
      </w:r>
      <w:r>
        <w:rPr>
          <w:spacing w:val="-18"/>
          <w:w w:val="105"/>
        </w:rPr>
        <w:t> </w:t>
      </w:r>
      <w:r>
        <w:rPr>
          <w:w w:val="105"/>
        </w:rPr>
        <w:t>the</w:t>
      </w:r>
      <w:r>
        <w:rPr>
          <w:spacing w:val="-18"/>
          <w:w w:val="105"/>
        </w:rPr>
        <w:t> </w:t>
      </w:r>
      <w:r>
        <w:rPr>
          <w:w w:val="105"/>
        </w:rPr>
        <w:t>introduction</w:t>
      </w:r>
      <w:r>
        <w:rPr>
          <w:spacing w:val="-18"/>
          <w:w w:val="105"/>
        </w:rPr>
        <w:t> </w:t>
      </w:r>
      <w:r>
        <w:rPr>
          <w:w w:val="105"/>
        </w:rPr>
        <w:t>of</w:t>
      </w:r>
      <w:r>
        <w:rPr>
          <w:spacing w:val="-18"/>
          <w:w w:val="105"/>
        </w:rPr>
        <w:t> </w:t>
      </w:r>
      <w:r>
        <w:rPr>
          <w:w w:val="105"/>
        </w:rPr>
        <w:t>the</w:t>
      </w:r>
      <w:r>
        <w:rPr>
          <w:spacing w:val="-17"/>
          <w:w w:val="105"/>
        </w:rPr>
        <w:t> </w:t>
      </w:r>
      <w:r>
        <w:rPr>
          <w:w w:val="105"/>
        </w:rPr>
        <w:t>Volcker</w:t>
      </w:r>
      <w:r>
        <w:rPr>
          <w:spacing w:val="-17"/>
          <w:w w:val="105"/>
        </w:rPr>
        <w:t> </w:t>
      </w:r>
      <w:r>
        <w:rPr>
          <w:w w:val="105"/>
        </w:rPr>
        <w:t>rule,</w:t>
      </w:r>
      <w:r>
        <w:rPr>
          <w:spacing w:val="-18"/>
          <w:w w:val="105"/>
        </w:rPr>
        <w:t> </w:t>
      </w:r>
      <w:r>
        <w:rPr>
          <w:w w:val="105"/>
        </w:rPr>
        <w:t>had</w:t>
      </w:r>
      <w:r>
        <w:rPr>
          <w:spacing w:val="-18"/>
          <w:w w:val="105"/>
        </w:rPr>
        <w:t> </w:t>
      </w:r>
      <w:r>
        <w:rPr>
          <w:w w:val="105"/>
        </w:rPr>
        <w:t>impacted</w:t>
      </w:r>
      <w:r>
        <w:rPr>
          <w:spacing w:val="-17"/>
          <w:w w:val="105"/>
        </w:rPr>
        <w:t> </w:t>
      </w:r>
      <w:r>
        <w:rPr>
          <w:w w:val="105"/>
        </w:rPr>
        <w:t>liquidity of G10</w:t>
      </w:r>
      <w:r>
        <w:rPr>
          <w:spacing w:val="-5"/>
          <w:w w:val="105"/>
        </w:rPr>
        <w:t> </w:t>
      </w:r>
      <w:r>
        <w:rPr>
          <w:w w:val="105"/>
        </w:rPr>
        <w:t>currencies.</w:t>
      </w:r>
    </w:p>
    <w:p>
      <w:pPr>
        <w:pStyle w:val="BodyText"/>
        <w:spacing w:before="6"/>
        <w:rPr>
          <w:sz w:val="23"/>
        </w:rPr>
      </w:pPr>
    </w:p>
    <w:p>
      <w:pPr>
        <w:pStyle w:val="Heading1"/>
        <w:numPr>
          <w:ilvl w:val="0"/>
          <w:numId w:val="1"/>
        </w:numPr>
        <w:tabs>
          <w:tab w:pos="552" w:val="left" w:leader="none"/>
          <w:tab w:pos="553" w:val="left" w:leader="none"/>
        </w:tabs>
        <w:spacing w:line="240" w:lineRule="auto" w:before="0" w:after="0"/>
        <w:ind w:left="552" w:right="0" w:hanging="438"/>
        <w:jc w:val="left"/>
      </w:pPr>
      <w:r>
        <w:rPr>
          <w:w w:val="105"/>
        </w:rPr>
        <w:t>FX Global</w:t>
      </w:r>
      <w:r>
        <w:rPr>
          <w:spacing w:val="-7"/>
          <w:w w:val="105"/>
        </w:rPr>
        <w:t> </w:t>
      </w:r>
      <w:r>
        <w:rPr>
          <w:w w:val="105"/>
        </w:rPr>
        <w:t>Code</w:t>
      </w:r>
    </w:p>
    <w:p>
      <w:pPr>
        <w:pStyle w:val="BodyText"/>
        <w:rPr>
          <w:b/>
          <w:sz w:val="24"/>
        </w:rPr>
      </w:pPr>
    </w:p>
    <w:p>
      <w:pPr>
        <w:pStyle w:val="BodyText"/>
        <w:spacing w:before="11"/>
        <w:rPr>
          <w:b/>
          <w:sz w:val="21"/>
        </w:rPr>
      </w:pPr>
    </w:p>
    <w:p>
      <w:pPr>
        <w:pStyle w:val="BodyText"/>
        <w:spacing w:line="491" w:lineRule="auto"/>
        <w:ind w:left="552" w:right="491"/>
      </w:pPr>
      <w:r>
        <w:rPr>
          <w:w w:val="105"/>
        </w:rPr>
        <w:t>Chris Salmon introduced a discussion on the overall approach and timetable for the FX Global Code work; a key initiative for FX markets and the central banking community. Grigoria Christodoulou (Bank of England) updated the Committee on developments</w:t>
      </w:r>
      <w:r>
        <w:rPr>
          <w:spacing w:val="-17"/>
          <w:w w:val="105"/>
        </w:rPr>
        <w:t> </w:t>
      </w:r>
      <w:r>
        <w:rPr>
          <w:w w:val="105"/>
        </w:rPr>
        <w:t>since</w:t>
      </w:r>
      <w:r>
        <w:rPr>
          <w:spacing w:val="-18"/>
          <w:w w:val="105"/>
        </w:rPr>
        <w:t> </w:t>
      </w:r>
      <w:r>
        <w:rPr>
          <w:w w:val="105"/>
        </w:rPr>
        <w:t>their</w:t>
      </w:r>
      <w:r>
        <w:rPr>
          <w:spacing w:val="-15"/>
          <w:w w:val="105"/>
        </w:rPr>
        <w:t> </w:t>
      </w:r>
      <w:r>
        <w:rPr>
          <w:w w:val="105"/>
        </w:rPr>
        <w:t>previous</w:t>
      </w:r>
      <w:r>
        <w:rPr>
          <w:spacing w:val="-15"/>
          <w:w w:val="105"/>
        </w:rPr>
        <w:t> </w:t>
      </w:r>
      <w:r>
        <w:rPr>
          <w:w w:val="105"/>
        </w:rPr>
        <w:t>meeting.</w:t>
      </w:r>
      <w:r>
        <w:rPr>
          <w:spacing w:val="24"/>
          <w:w w:val="105"/>
        </w:rPr>
        <w:t> </w:t>
      </w:r>
      <w:r>
        <w:rPr>
          <w:w w:val="105"/>
        </w:rPr>
        <w:t>In</w:t>
      </w:r>
      <w:r>
        <w:rPr>
          <w:spacing w:val="-17"/>
          <w:w w:val="105"/>
        </w:rPr>
        <w:t> </w:t>
      </w:r>
      <w:r>
        <w:rPr>
          <w:w w:val="105"/>
        </w:rPr>
        <w:t>May,</w:t>
      </w:r>
      <w:r>
        <w:rPr>
          <w:spacing w:val="-16"/>
          <w:w w:val="105"/>
        </w:rPr>
        <w:t> </w:t>
      </w:r>
      <w:r>
        <w:rPr>
          <w:w w:val="105"/>
        </w:rPr>
        <w:t>the</w:t>
      </w:r>
      <w:r>
        <w:rPr>
          <w:spacing w:val="-17"/>
          <w:w w:val="105"/>
        </w:rPr>
        <w:t> </w:t>
      </w:r>
      <w:r>
        <w:rPr>
          <w:w w:val="105"/>
        </w:rPr>
        <w:t>Foreign</w:t>
      </w:r>
      <w:r>
        <w:rPr>
          <w:spacing w:val="-17"/>
          <w:w w:val="105"/>
        </w:rPr>
        <w:t> </w:t>
      </w:r>
      <w:r>
        <w:rPr>
          <w:w w:val="105"/>
        </w:rPr>
        <w:t>Exchange</w:t>
      </w:r>
      <w:r>
        <w:rPr>
          <w:spacing w:val="-17"/>
          <w:w w:val="105"/>
        </w:rPr>
        <w:t> </w:t>
      </w:r>
      <w:r>
        <w:rPr>
          <w:w w:val="105"/>
        </w:rPr>
        <w:t>Working Group</w:t>
      </w:r>
      <w:r>
        <w:rPr>
          <w:spacing w:val="-16"/>
          <w:w w:val="105"/>
        </w:rPr>
        <w:t> </w:t>
      </w:r>
      <w:r>
        <w:rPr>
          <w:w w:val="105"/>
        </w:rPr>
        <w:t>(FXWG)</w:t>
      </w:r>
      <w:r>
        <w:rPr>
          <w:spacing w:val="-17"/>
          <w:w w:val="105"/>
        </w:rPr>
        <w:t> </w:t>
      </w:r>
      <w:r>
        <w:rPr>
          <w:w w:val="105"/>
        </w:rPr>
        <w:t>was</w:t>
      </w:r>
      <w:r>
        <w:rPr>
          <w:spacing w:val="-16"/>
          <w:w w:val="105"/>
        </w:rPr>
        <w:t> </w:t>
      </w:r>
      <w:r>
        <w:rPr>
          <w:w w:val="105"/>
        </w:rPr>
        <w:t>established</w:t>
      </w:r>
      <w:r>
        <w:rPr>
          <w:spacing w:val="-15"/>
          <w:w w:val="105"/>
        </w:rPr>
        <w:t> </w:t>
      </w:r>
      <w:r>
        <w:rPr>
          <w:w w:val="105"/>
        </w:rPr>
        <w:t>(under</w:t>
      </w:r>
      <w:r>
        <w:rPr>
          <w:spacing w:val="-16"/>
          <w:w w:val="105"/>
        </w:rPr>
        <w:t> </w:t>
      </w:r>
      <w:r>
        <w:rPr>
          <w:w w:val="105"/>
        </w:rPr>
        <w:t>the</w:t>
      </w:r>
      <w:r>
        <w:rPr>
          <w:spacing w:val="-16"/>
          <w:w w:val="105"/>
        </w:rPr>
        <w:t> </w:t>
      </w:r>
      <w:r>
        <w:rPr>
          <w:w w:val="105"/>
        </w:rPr>
        <w:t>auspices</w:t>
      </w:r>
      <w:r>
        <w:rPr>
          <w:spacing w:val="-16"/>
          <w:w w:val="105"/>
        </w:rPr>
        <w:t> </w:t>
      </w:r>
      <w:r>
        <w:rPr>
          <w:w w:val="105"/>
        </w:rPr>
        <w:t>of</w:t>
      </w:r>
      <w:r>
        <w:rPr>
          <w:spacing w:val="-16"/>
          <w:w w:val="105"/>
        </w:rPr>
        <w:t> </w:t>
      </w:r>
      <w:r>
        <w:rPr>
          <w:w w:val="105"/>
        </w:rPr>
        <w:t>the</w:t>
      </w:r>
      <w:r>
        <w:rPr>
          <w:spacing w:val="-15"/>
          <w:w w:val="105"/>
        </w:rPr>
        <w:t> </w:t>
      </w:r>
      <w:r>
        <w:rPr>
          <w:w w:val="105"/>
        </w:rPr>
        <w:t>BIS)</w:t>
      </w:r>
      <w:r>
        <w:rPr>
          <w:spacing w:val="-16"/>
          <w:w w:val="105"/>
        </w:rPr>
        <w:t> </w:t>
      </w:r>
      <w:r>
        <w:rPr>
          <w:w w:val="105"/>
        </w:rPr>
        <w:t>to</w:t>
      </w:r>
      <w:r>
        <w:rPr>
          <w:spacing w:val="-16"/>
          <w:w w:val="105"/>
        </w:rPr>
        <w:t> </w:t>
      </w:r>
      <w:r>
        <w:rPr>
          <w:w w:val="105"/>
        </w:rPr>
        <w:t>strengthen</w:t>
      </w:r>
      <w:r>
        <w:rPr>
          <w:spacing w:val="-16"/>
          <w:w w:val="105"/>
        </w:rPr>
        <w:t> </w:t>
      </w:r>
      <w:r>
        <w:rPr>
          <w:w w:val="105"/>
        </w:rPr>
        <w:t>code</w:t>
      </w:r>
      <w:r>
        <w:rPr>
          <w:spacing w:val="-16"/>
          <w:w w:val="105"/>
        </w:rPr>
        <w:t> </w:t>
      </w:r>
      <w:r>
        <w:rPr>
          <w:w w:val="105"/>
        </w:rPr>
        <w:t>of</w:t>
      </w:r>
    </w:p>
    <w:p>
      <w:pPr>
        <w:spacing w:after="0" w:line="491" w:lineRule="auto"/>
        <w:sectPr>
          <w:pgSz w:w="12240" w:h="15840"/>
          <w:pgMar w:top="1280" w:bottom="280" w:left="1660" w:right="1720"/>
        </w:sectPr>
      </w:pPr>
    </w:p>
    <w:p>
      <w:pPr>
        <w:pStyle w:val="BodyText"/>
        <w:spacing w:line="491" w:lineRule="auto" w:before="78"/>
        <w:ind w:left="552" w:right="491"/>
      </w:pPr>
      <w:r>
        <w:rPr>
          <w:w w:val="105"/>
        </w:rPr>
        <w:t>conduct</w:t>
      </w:r>
      <w:r>
        <w:rPr>
          <w:spacing w:val="-20"/>
          <w:w w:val="105"/>
        </w:rPr>
        <w:t> </w:t>
      </w:r>
      <w:r>
        <w:rPr>
          <w:w w:val="105"/>
        </w:rPr>
        <w:t>standards</w:t>
      </w:r>
      <w:r>
        <w:rPr>
          <w:spacing w:val="-19"/>
          <w:w w:val="105"/>
        </w:rPr>
        <w:t> </w:t>
      </w:r>
      <w:r>
        <w:rPr>
          <w:w w:val="105"/>
        </w:rPr>
        <w:t>and</w:t>
      </w:r>
      <w:r>
        <w:rPr>
          <w:spacing w:val="-19"/>
          <w:w w:val="105"/>
        </w:rPr>
        <w:t> </w:t>
      </w:r>
      <w:r>
        <w:rPr>
          <w:w w:val="105"/>
        </w:rPr>
        <w:t>principles</w:t>
      </w:r>
      <w:r>
        <w:rPr>
          <w:spacing w:val="-18"/>
          <w:w w:val="105"/>
        </w:rPr>
        <w:t> </w:t>
      </w:r>
      <w:r>
        <w:rPr>
          <w:w w:val="105"/>
        </w:rPr>
        <w:t>in</w:t>
      </w:r>
      <w:r>
        <w:rPr>
          <w:spacing w:val="-19"/>
          <w:w w:val="105"/>
        </w:rPr>
        <w:t> </w:t>
      </w:r>
      <w:r>
        <w:rPr>
          <w:w w:val="105"/>
        </w:rPr>
        <w:t>foreign</w:t>
      </w:r>
      <w:r>
        <w:rPr>
          <w:spacing w:val="-19"/>
          <w:w w:val="105"/>
        </w:rPr>
        <w:t> </w:t>
      </w:r>
      <w:r>
        <w:rPr>
          <w:w w:val="105"/>
        </w:rPr>
        <w:t>exchange</w:t>
      </w:r>
      <w:r>
        <w:rPr>
          <w:spacing w:val="-18"/>
          <w:w w:val="105"/>
        </w:rPr>
        <w:t> </w:t>
      </w:r>
      <w:r>
        <w:rPr>
          <w:w w:val="105"/>
        </w:rPr>
        <w:t>markets.</w:t>
      </w:r>
      <w:r>
        <w:rPr>
          <w:spacing w:val="20"/>
          <w:w w:val="105"/>
        </w:rPr>
        <w:t> </w:t>
      </w:r>
      <w:r>
        <w:rPr>
          <w:w w:val="105"/>
        </w:rPr>
        <w:t>Work</w:t>
      </w:r>
      <w:r>
        <w:rPr>
          <w:spacing w:val="-19"/>
          <w:w w:val="105"/>
        </w:rPr>
        <w:t> </w:t>
      </w:r>
      <w:r>
        <w:rPr>
          <w:w w:val="105"/>
        </w:rPr>
        <w:t>on</w:t>
      </w:r>
      <w:r>
        <w:rPr>
          <w:spacing w:val="-19"/>
          <w:w w:val="105"/>
        </w:rPr>
        <w:t> </w:t>
      </w:r>
      <w:r>
        <w:rPr>
          <w:w w:val="105"/>
        </w:rPr>
        <w:t>developing the</w:t>
      </w:r>
      <w:r>
        <w:rPr>
          <w:spacing w:val="-13"/>
          <w:w w:val="105"/>
        </w:rPr>
        <w:t> </w:t>
      </w:r>
      <w:r>
        <w:rPr>
          <w:w w:val="105"/>
        </w:rPr>
        <w:t>Global</w:t>
      </w:r>
      <w:r>
        <w:rPr>
          <w:spacing w:val="-13"/>
          <w:w w:val="105"/>
        </w:rPr>
        <w:t> </w:t>
      </w:r>
      <w:r>
        <w:rPr>
          <w:w w:val="105"/>
        </w:rPr>
        <w:t>FX</w:t>
      </w:r>
      <w:r>
        <w:rPr>
          <w:spacing w:val="-12"/>
          <w:w w:val="105"/>
        </w:rPr>
        <w:t> </w:t>
      </w:r>
      <w:r>
        <w:rPr>
          <w:w w:val="105"/>
        </w:rPr>
        <w:t>Code</w:t>
      </w:r>
      <w:r>
        <w:rPr>
          <w:spacing w:val="-13"/>
          <w:w w:val="105"/>
        </w:rPr>
        <w:t> </w:t>
      </w:r>
      <w:r>
        <w:rPr>
          <w:w w:val="105"/>
        </w:rPr>
        <w:t>has</w:t>
      </w:r>
      <w:r>
        <w:rPr>
          <w:spacing w:val="-12"/>
          <w:w w:val="105"/>
        </w:rPr>
        <w:t> </w:t>
      </w:r>
      <w:r>
        <w:rPr>
          <w:w w:val="105"/>
        </w:rPr>
        <w:t>been</w:t>
      </w:r>
      <w:r>
        <w:rPr>
          <w:spacing w:val="-13"/>
          <w:w w:val="105"/>
        </w:rPr>
        <w:t> </w:t>
      </w:r>
      <w:r>
        <w:rPr>
          <w:w w:val="105"/>
        </w:rPr>
        <w:t>separated</w:t>
      </w:r>
      <w:r>
        <w:rPr>
          <w:spacing w:val="-13"/>
          <w:w w:val="105"/>
        </w:rPr>
        <w:t> </w:t>
      </w:r>
      <w:r>
        <w:rPr>
          <w:w w:val="105"/>
        </w:rPr>
        <w:t>into</w:t>
      </w:r>
      <w:r>
        <w:rPr>
          <w:spacing w:val="-13"/>
          <w:w w:val="105"/>
        </w:rPr>
        <w:t> </w:t>
      </w:r>
      <w:r>
        <w:rPr>
          <w:w w:val="105"/>
        </w:rPr>
        <w:t>two</w:t>
      </w:r>
      <w:r>
        <w:rPr>
          <w:spacing w:val="-12"/>
          <w:w w:val="105"/>
        </w:rPr>
        <w:t> </w:t>
      </w:r>
      <w:r>
        <w:rPr>
          <w:w w:val="105"/>
        </w:rPr>
        <w:t>work</w:t>
      </w:r>
      <w:r>
        <w:rPr>
          <w:spacing w:val="-12"/>
          <w:w w:val="105"/>
        </w:rPr>
        <w:t> </w:t>
      </w:r>
      <w:r>
        <w:rPr>
          <w:w w:val="105"/>
        </w:rPr>
        <w:t>streams;</w:t>
      </w:r>
      <w:r>
        <w:rPr>
          <w:spacing w:val="-15"/>
          <w:w w:val="105"/>
        </w:rPr>
        <w:t> </w:t>
      </w:r>
      <w:r>
        <w:rPr>
          <w:w w:val="105"/>
        </w:rPr>
        <w:t>one</w:t>
      </w:r>
      <w:r>
        <w:rPr>
          <w:spacing w:val="-12"/>
          <w:w w:val="105"/>
        </w:rPr>
        <w:t> </w:t>
      </w:r>
      <w:r>
        <w:rPr>
          <w:w w:val="105"/>
        </w:rPr>
        <w:t>to</w:t>
      </w:r>
      <w:r>
        <w:rPr>
          <w:spacing w:val="-13"/>
          <w:w w:val="105"/>
        </w:rPr>
        <w:t> </w:t>
      </w:r>
      <w:r>
        <w:rPr>
          <w:w w:val="105"/>
        </w:rPr>
        <w:t>draft</w:t>
      </w:r>
      <w:r>
        <w:rPr>
          <w:spacing w:val="-12"/>
          <w:w w:val="105"/>
        </w:rPr>
        <w:t> </w:t>
      </w:r>
      <w:r>
        <w:rPr>
          <w:w w:val="105"/>
        </w:rPr>
        <w:t>the</w:t>
      </w:r>
      <w:r>
        <w:rPr>
          <w:spacing w:val="-15"/>
          <w:w w:val="105"/>
        </w:rPr>
        <w:t> </w:t>
      </w:r>
      <w:r>
        <w:rPr>
          <w:w w:val="105"/>
        </w:rPr>
        <w:t>new code (lead by Simon Potter, Federal Reserve Bank of New York) and a second to develop proposals to promote and incentivise adherence to the new code (lead by Chris Salmon, Bank of England). The work of the FXWG is expected to be completed</w:t>
      </w:r>
      <w:r>
        <w:rPr>
          <w:spacing w:val="-7"/>
          <w:w w:val="105"/>
        </w:rPr>
        <w:t> </w:t>
      </w:r>
      <w:r>
        <w:rPr>
          <w:w w:val="105"/>
        </w:rPr>
        <w:t>in</w:t>
      </w:r>
      <w:r>
        <w:rPr>
          <w:spacing w:val="-7"/>
          <w:w w:val="105"/>
        </w:rPr>
        <w:t> </w:t>
      </w:r>
      <w:r>
        <w:rPr>
          <w:w w:val="105"/>
        </w:rPr>
        <w:t>May</w:t>
      </w:r>
      <w:r>
        <w:rPr>
          <w:spacing w:val="-5"/>
          <w:w w:val="105"/>
        </w:rPr>
        <w:t> </w:t>
      </w:r>
      <w:r>
        <w:rPr>
          <w:w w:val="105"/>
        </w:rPr>
        <w:t>2017,</w:t>
      </w:r>
      <w:r>
        <w:rPr>
          <w:spacing w:val="-8"/>
          <w:w w:val="105"/>
        </w:rPr>
        <w:t> </w:t>
      </w:r>
      <w:r>
        <w:rPr>
          <w:w w:val="105"/>
        </w:rPr>
        <w:t>with</w:t>
      </w:r>
      <w:r>
        <w:rPr>
          <w:spacing w:val="-7"/>
          <w:w w:val="105"/>
        </w:rPr>
        <w:t> </w:t>
      </w:r>
      <w:r>
        <w:rPr>
          <w:w w:val="105"/>
        </w:rPr>
        <w:t>an</w:t>
      </w:r>
      <w:r>
        <w:rPr>
          <w:spacing w:val="-5"/>
          <w:w w:val="105"/>
        </w:rPr>
        <w:t> </w:t>
      </w:r>
      <w:r>
        <w:rPr>
          <w:w w:val="105"/>
        </w:rPr>
        <w:t>interim</w:t>
      </w:r>
      <w:r>
        <w:rPr>
          <w:spacing w:val="-10"/>
          <w:w w:val="105"/>
        </w:rPr>
        <w:t> </w:t>
      </w:r>
      <w:r>
        <w:rPr>
          <w:w w:val="105"/>
        </w:rPr>
        <w:t>update</w:t>
      </w:r>
      <w:r>
        <w:rPr>
          <w:spacing w:val="-7"/>
          <w:w w:val="105"/>
        </w:rPr>
        <w:t> </w:t>
      </w:r>
      <w:r>
        <w:rPr>
          <w:w w:val="105"/>
        </w:rPr>
        <w:t>published</w:t>
      </w:r>
      <w:r>
        <w:rPr>
          <w:spacing w:val="-8"/>
          <w:w w:val="105"/>
        </w:rPr>
        <w:t> </w:t>
      </w:r>
      <w:r>
        <w:rPr>
          <w:w w:val="105"/>
        </w:rPr>
        <w:t>in</w:t>
      </w:r>
      <w:r>
        <w:rPr>
          <w:spacing w:val="-6"/>
          <w:w w:val="105"/>
        </w:rPr>
        <w:t> </w:t>
      </w:r>
      <w:r>
        <w:rPr>
          <w:w w:val="105"/>
        </w:rPr>
        <w:t>May</w:t>
      </w:r>
      <w:r>
        <w:rPr>
          <w:spacing w:val="-5"/>
          <w:w w:val="105"/>
        </w:rPr>
        <w:t> </w:t>
      </w:r>
      <w:r>
        <w:rPr>
          <w:w w:val="105"/>
        </w:rPr>
        <w:t>2016.</w:t>
      </w:r>
    </w:p>
    <w:p>
      <w:pPr>
        <w:pStyle w:val="BodyText"/>
        <w:spacing w:before="4"/>
        <w:rPr>
          <w:sz w:val="23"/>
        </w:rPr>
      </w:pPr>
    </w:p>
    <w:p>
      <w:pPr>
        <w:pStyle w:val="BodyText"/>
        <w:spacing w:line="491" w:lineRule="auto"/>
        <w:ind w:left="552" w:right="538"/>
      </w:pPr>
      <w:r>
        <w:rPr>
          <w:w w:val="105"/>
        </w:rPr>
        <w:t>Elizabeth</w:t>
      </w:r>
      <w:r>
        <w:rPr>
          <w:spacing w:val="-18"/>
          <w:w w:val="105"/>
        </w:rPr>
        <w:t> </w:t>
      </w:r>
      <w:r>
        <w:rPr>
          <w:w w:val="105"/>
        </w:rPr>
        <w:t>Darkens</w:t>
      </w:r>
      <w:r>
        <w:rPr>
          <w:spacing w:val="-17"/>
          <w:w w:val="105"/>
        </w:rPr>
        <w:t> </w:t>
      </w:r>
      <w:r>
        <w:rPr>
          <w:w w:val="105"/>
        </w:rPr>
        <w:t>(Bank</w:t>
      </w:r>
      <w:r>
        <w:rPr>
          <w:spacing w:val="-18"/>
          <w:w w:val="105"/>
        </w:rPr>
        <w:t> </w:t>
      </w:r>
      <w:r>
        <w:rPr>
          <w:w w:val="105"/>
        </w:rPr>
        <w:t>of</w:t>
      </w:r>
      <w:r>
        <w:rPr>
          <w:spacing w:val="-17"/>
          <w:w w:val="105"/>
        </w:rPr>
        <w:t> </w:t>
      </w:r>
      <w:r>
        <w:rPr>
          <w:w w:val="105"/>
        </w:rPr>
        <w:t>England)</w:t>
      </w:r>
      <w:r>
        <w:rPr>
          <w:spacing w:val="-17"/>
          <w:w w:val="105"/>
        </w:rPr>
        <w:t> </w:t>
      </w:r>
      <w:r>
        <w:rPr>
          <w:w w:val="105"/>
        </w:rPr>
        <w:t>outlined</w:t>
      </w:r>
      <w:r>
        <w:rPr>
          <w:spacing w:val="-16"/>
          <w:w w:val="105"/>
        </w:rPr>
        <w:t> </w:t>
      </w:r>
      <w:r>
        <w:rPr>
          <w:w w:val="105"/>
        </w:rPr>
        <w:t>some</w:t>
      </w:r>
      <w:r>
        <w:rPr>
          <w:spacing w:val="-18"/>
          <w:w w:val="105"/>
        </w:rPr>
        <w:t> </w:t>
      </w:r>
      <w:r>
        <w:rPr>
          <w:w w:val="105"/>
        </w:rPr>
        <w:t>of</w:t>
      </w:r>
      <w:r>
        <w:rPr>
          <w:spacing w:val="-18"/>
          <w:w w:val="105"/>
        </w:rPr>
        <w:t> </w:t>
      </w:r>
      <w:r>
        <w:rPr>
          <w:w w:val="105"/>
        </w:rPr>
        <w:t>the</w:t>
      </w:r>
      <w:r>
        <w:rPr>
          <w:spacing w:val="-18"/>
          <w:w w:val="105"/>
        </w:rPr>
        <w:t> </w:t>
      </w:r>
      <w:r>
        <w:rPr>
          <w:w w:val="105"/>
        </w:rPr>
        <w:t>key</w:t>
      </w:r>
      <w:r>
        <w:rPr>
          <w:spacing w:val="-16"/>
          <w:w w:val="105"/>
        </w:rPr>
        <w:t> </w:t>
      </w:r>
      <w:r>
        <w:rPr>
          <w:w w:val="105"/>
        </w:rPr>
        <w:t>themes</w:t>
      </w:r>
      <w:r>
        <w:rPr>
          <w:spacing w:val="-16"/>
          <w:w w:val="105"/>
        </w:rPr>
        <w:t> </w:t>
      </w:r>
      <w:r>
        <w:rPr>
          <w:w w:val="105"/>
        </w:rPr>
        <w:t>the</w:t>
      </w:r>
      <w:r>
        <w:rPr>
          <w:spacing w:val="-18"/>
          <w:w w:val="105"/>
        </w:rPr>
        <w:t> </w:t>
      </w:r>
      <w:r>
        <w:rPr>
          <w:w w:val="105"/>
        </w:rPr>
        <w:t>adherence work</w:t>
      </w:r>
      <w:r>
        <w:rPr>
          <w:spacing w:val="-15"/>
          <w:w w:val="105"/>
        </w:rPr>
        <w:t> </w:t>
      </w:r>
      <w:r>
        <w:rPr>
          <w:w w:val="105"/>
        </w:rPr>
        <w:t>stream</w:t>
      </w:r>
      <w:r>
        <w:rPr>
          <w:spacing w:val="-16"/>
          <w:w w:val="105"/>
        </w:rPr>
        <w:t> </w:t>
      </w:r>
      <w:r>
        <w:rPr>
          <w:w w:val="105"/>
        </w:rPr>
        <w:t>was</w:t>
      </w:r>
      <w:r>
        <w:rPr>
          <w:spacing w:val="-15"/>
          <w:w w:val="105"/>
        </w:rPr>
        <w:t> </w:t>
      </w:r>
      <w:r>
        <w:rPr>
          <w:w w:val="105"/>
        </w:rPr>
        <w:t>likely</w:t>
      </w:r>
      <w:r>
        <w:rPr>
          <w:spacing w:val="-13"/>
          <w:w w:val="105"/>
        </w:rPr>
        <w:t> </w:t>
      </w:r>
      <w:r>
        <w:rPr>
          <w:w w:val="105"/>
        </w:rPr>
        <w:t>to</w:t>
      </w:r>
      <w:r>
        <w:rPr>
          <w:spacing w:val="-15"/>
          <w:w w:val="105"/>
        </w:rPr>
        <w:t> </w:t>
      </w:r>
      <w:r>
        <w:rPr>
          <w:w w:val="105"/>
        </w:rPr>
        <w:t>consider,</w:t>
      </w:r>
      <w:r>
        <w:rPr>
          <w:spacing w:val="-14"/>
          <w:w w:val="105"/>
        </w:rPr>
        <w:t> </w:t>
      </w:r>
      <w:r>
        <w:rPr>
          <w:w w:val="105"/>
        </w:rPr>
        <w:t>including</w:t>
      </w:r>
      <w:r>
        <w:rPr>
          <w:spacing w:val="-15"/>
          <w:w w:val="105"/>
        </w:rPr>
        <w:t> </w:t>
      </w:r>
      <w:r>
        <w:rPr>
          <w:w w:val="105"/>
        </w:rPr>
        <w:t>how</w:t>
      </w:r>
      <w:r>
        <w:rPr>
          <w:spacing w:val="-14"/>
          <w:w w:val="105"/>
        </w:rPr>
        <w:t> </w:t>
      </w:r>
      <w:r>
        <w:rPr>
          <w:w w:val="105"/>
        </w:rPr>
        <w:t>the</w:t>
      </w:r>
      <w:r>
        <w:rPr>
          <w:spacing w:val="-15"/>
          <w:w w:val="105"/>
        </w:rPr>
        <w:t> </w:t>
      </w:r>
      <w:r>
        <w:rPr>
          <w:w w:val="105"/>
        </w:rPr>
        <w:t>new</w:t>
      </w:r>
      <w:r>
        <w:rPr>
          <w:spacing w:val="-15"/>
          <w:w w:val="105"/>
        </w:rPr>
        <w:t> </w:t>
      </w:r>
      <w:r>
        <w:rPr>
          <w:w w:val="105"/>
        </w:rPr>
        <w:t>code</w:t>
      </w:r>
      <w:r>
        <w:rPr>
          <w:spacing w:val="-14"/>
          <w:w w:val="105"/>
        </w:rPr>
        <w:t> </w:t>
      </w:r>
      <w:r>
        <w:rPr>
          <w:w w:val="105"/>
        </w:rPr>
        <w:t>could</w:t>
      </w:r>
      <w:r>
        <w:rPr>
          <w:spacing w:val="-14"/>
          <w:w w:val="105"/>
        </w:rPr>
        <w:t> </w:t>
      </w:r>
      <w:r>
        <w:rPr>
          <w:w w:val="105"/>
        </w:rPr>
        <w:t>be</w:t>
      </w:r>
      <w:r>
        <w:rPr>
          <w:spacing w:val="-16"/>
          <w:w w:val="105"/>
        </w:rPr>
        <w:t> </w:t>
      </w:r>
      <w:r>
        <w:rPr>
          <w:w w:val="105"/>
        </w:rPr>
        <w:t>embedded in market participants’ systems and controls, creating transparency to be able to monitor and demonstrate adherence to the code, as well as examining appropriate incentives for participants to adhere to the</w:t>
      </w:r>
      <w:r>
        <w:rPr>
          <w:spacing w:val="-22"/>
          <w:w w:val="105"/>
        </w:rPr>
        <w:t> </w:t>
      </w:r>
      <w:r>
        <w:rPr>
          <w:w w:val="105"/>
        </w:rPr>
        <w:t>code.</w:t>
      </w:r>
    </w:p>
    <w:p>
      <w:pPr>
        <w:pStyle w:val="BodyText"/>
        <w:spacing w:before="2"/>
        <w:rPr>
          <w:sz w:val="23"/>
        </w:rPr>
      </w:pPr>
    </w:p>
    <w:p>
      <w:pPr>
        <w:pStyle w:val="BodyText"/>
        <w:spacing w:line="491" w:lineRule="auto"/>
        <w:ind w:left="552" w:right="527"/>
        <w:jc w:val="both"/>
      </w:pPr>
      <w:r>
        <w:rPr>
          <w:w w:val="105"/>
        </w:rPr>
        <w:t>The</w:t>
      </w:r>
      <w:r>
        <w:rPr>
          <w:spacing w:val="-15"/>
          <w:w w:val="105"/>
        </w:rPr>
        <w:t> </w:t>
      </w:r>
      <w:r>
        <w:rPr>
          <w:w w:val="105"/>
        </w:rPr>
        <w:t>work</w:t>
      </w:r>
      <w:r>
        <w:rPr>
          <w:spacing w:val="-15"/>
          <w:w w:val="105"/>
        </w:rPr>
        <w:t> </w:t>
      </w:r>
      <w:r>
        <w:rPr>
          <w:w w:val="105"/>
        </w:rPr>
        <w:t>of</w:t>
      </w:r>
      <w:r>
        <w:rPr>
          <w:spacing w:val="-15"/>
          <w:w w:val="105"/>
        </w:rPr>
        <w:t> </w:t>
      </w:r>
      <w:r>
        <w:rPr>
          <w:w w:val="105"/>
        </w:rPr>
        <w:t>the</w:t>
      </w:r>
      <w:r>
        <w:rPr>
          <w:spacing w:val="-17"/>
          <w:w w:val="105"/>
        </w:rPr>
        <w:t> </w:t>
      </w:r>
      <w:r>
        <w:rPr>
          <w:w w:val="105"/>
        </w:rPr>
        <w:t>FXWG</w:t>
      </w:r>
      <w:r>
        <w:rPr>
          <w:spacing w:val="-14"/>
          <w:w w:val="105"/>
        </w:rPr>
        <w:t> </w:t>
      </w:r>
      <w:r>
        <w:rPr>
          <w:w w:val="105"/>
        </w:rPr>
        <w:t>will</w:t>
      </w:r>
      <w:r>
        <w:rPr>
          <w:spacing w:val="-17"/>
          <w:w w:val="105"/>
        </w:rPr>
        <w:t> </w:t>
      </w:r>
      <w:r>
        <w:rPr>
          <w:w w:val="105"/>
        </w:rPr>
        <w:t>be</w:t>
      </w:r>
      <w:r>
        <w:rPr>
          <w:spacing w:val="-15"/>
          <w:w w:val="105"/>
        </w:rPr>
        <w:t> </w:t>
      </w:r>
      <w:r>
        <w:rPr>
          <w:w w:val="105"/>
        </w:rPr>
        <w:t>supplemented</w:t>
      </w:r>
      <w:r>
        <w:rPr>
          <w:spacing w:val="-15"/>
          <w:w w:val="105"/>
        </w:rPr>
        <w:t> </w:t>
      </w:r>
      <w:r>
        <w:rPr>
          <w:w w:val="105"/>
        </w:rPr>
        <w:t>by</w:t>
      </w:r>
      <w:r>
        <w:rPr>
          <w:spacing w:val="-14"/>
          <w:w w:val="105"/>
        </w:rPr>
        <w:t> </w:t>
      </w:r>
      <w:r>
        <w:rPr>
          <w:w w:val="105"/>
        </w:rPr>
        <w:t>an</w:t>
      </w:r>
      <w:r>
        <w:rPr>
          <w:spacing w:val="-14"/>
          <w:w w:val="105"/>
        </w:rPr>
        <w:t> </w:t>
      </w:r>
      <w:r>
        <w:rPr>
          <w:w w:val="105"/>
        </w:rPr>
        <w:t>additional</w:t>
      </w:r>
      <w:r>
        <w:rPr>
          <w:spacing w:val="-15"/>
          <w:w w:val="105"/>
        </w:rPr>
        <w:t> </w:t>
      </w:r>
      <w:r>
        <w:rPr>
          <w:w w:val="105"/>
        </w:rPr>
        <w:t>group</w:t>
      </w:r>
      <w:r>
        <w:rPr>
          <w:spacing w:val="-15"/>
          <w:w w:val="105"/>
        </w:rPr>
        <w:t> </w:t>
      </w:r>
      <w:r>
        <w:rPr>
          <w:w w:val="105"/>
        </w:rPr>
        <w:t>of</w:t>
      </w:r>
      <w:r>
        <w:rPr>
          <w:spacing w:val="-14"/>
          <w:w w:val="105"/>
        </w:rPr>
        <w:t> </w:t>
      </w:r>
      <w:r>
        <w:rPr>
          <w:w w:val="105"/>
        </w:rPr>
        <w:t>private</w:t>
      </w:r>
      <w:r>
        <w:rPr>
          <w:spacing w:val="-14"/>
          <w:w w:val="105"/>
        </w:rPr>
        <w:t> </w:t>
      </w:r>
      <w:r>
        <w:rPr>
          <w:w w:val="105"/>
        </w:rPr>
        <w:t>sector Market</w:t>
      </w:r>
      <w:r>
        <w:rPr>
          <w:spacing w:val="-17"/>
          <w:w w:val="105"/>
        </w:rPr>
        <w:t> </w:t>
      </w:r>
      <w:r>
        <w:rPr>
          <w:w w:val="105"/>
        </w:rPr>
        <w:t>Participants</w:t>
      </w:r>
      <w:r>
        <w:rPr>
          <w:spacing w:val="-17"/>
          <w:w w:val="105"/>
        </w:rPr>
        <w:t> </w:t>
      </w:r>
      <w:r>
        <w:rPr>
          <w:w w:val="105"/>
        </w:rPr>
        <w:t>(MPG),</w:t>
      </w:r>
      <w:r>
        <w:rPr>
          <w:spacing w:val="-16"/>
          <w:w w:val="105"/>
        </w:rPr>
        <w:t> </w:t>
      </w:r>
      <w:r>
        <w:rPr>
          <w:w w:val="105"/>
        </w:rPr>
        <w:t>drawing</w:t>
      </w:r>
      <w:r>
        <w:rPr>
          <w:spacing w:val="-18"/>
          <w:w w:val="105"/>
        </w:rPr>
        <w:t> </w:t>
      </w:r>
      <w:r>
        <w:rPr>
          <w:w w:val="105"/>
        </w:rPr>
        <w:t>on</w:t>
      </w:r>
      <w:r>
        <w:rPr>
          <w:spacing w:val="-16"/>
          <w:w w:val="105"/>
        </w:rPr>
        <w:t> </w:t>
      </w:r>
      <w:r>
        <w:rPr>
          <w:w w:val="105"/>
        </w:rPr>
        <w:t>participants</w:t>
      </w:r>
      <w:r>
        <w:rPr>
          <w:spacing w:val="-17"/>
          <w:w w:val="105"/>
        </w:rPr>
        <w:t> </w:t>
      </w:r>
      <w:r>
        <w:rPr>
          <w:w w:val="105"/>
        </w:rPr>
        <w:t>from</w:t>
      </w:r>
      <w:r>
        <w:rPr>
          <w:spacing w:val="-18"/>
          <w:w w:val="105"/>
        </w:rPr>
        <w:t> </w:t>
      </w:r>
      <w:r>
        <w:rPr>
          <w:w w:val="105"/>
        </w:rPr>
        <w:t>the</w:t>
      </w:r>
      <w:r>
        <w:rPr>
          <w:spacing w:val="-16"/>
          <w:w w:val="105"/>
        </w:rPr>
        <w:t> </w:t>
      </w:r>
      <w:r>
        <w:rPr>
          <w:w w:val="105"/>
        </w:rPr>
        <w:t>sell</w:t>
      </w:r>
      <w:r>
        <w:rPr>
          <w:spacing w:val="-17"/>
          <w:w w:val="105"/>
        </w:rPr>
        <w:t> </w:t>
      </w:r>
      <w:r>
        <w:rPr>
          <w:w w:val="105"/>
        </w:rPr>
        <w:t>side</w:t>
      </w:r>
      <w:r>
        <w:rPr>
          <w:spacing w:val="-17"/>
          <w:w w:val="105"/>
        </w:rPr>
        <w:t> </w:t>
      </w:r>
      <w:r>
        <w:rPr>
          <w:w w:val="105"/>
        </w:rPr>
        <w:t>and</w:t>
      </w:r>
      <w:r>
        <w:rPr>
          <w:spacing w:val="-16"/>
          <w:w w:val="105"/>
        </w:rPr>
        <w:t> </w:t>
      </w:r>
      <w:r>
        <w:rPr>
          <w:w w:val="105"/>
        </w:rPr>
        <w:t>buy</w:t>
      </w:r>
      <w:r>
        <w:rPr>
          <w:spacing w:val="-15"/>
          <w:w w:val="105"/>
        </w:rPr>
        <w:t> </w:t>
      </w:r>
      <w:r>
        <w:rPr>
          <w:w w:val="105"/>
        </w:rPr>
        <w:t>side</w:t>
      </w:r>
      <w:r>
        <w:rPr>
          <w:spacing w:val="-17"/>
          <w:w w:val="105"/>
        </w:rPr>
        <w:t> </w:t>
      </w:r>
      <w:r>
        <w:rPr>
          <w:w w:val="105"/>
        </w:rPr>
        <w:t>of the</w:t>
      </w:r>
      <w:r>
        <w:rPr>
          <w:spacing w:val="-9"/>
          <w:w w:val="105"/>
        </w:rPr>
        <w:t> </w:t>
      </w:r>
      <w:r>
        <w:rPr>
          <w:w w:val="105"/>
        </w:rPr>
        <w:t>market</w:t>
      </w:r>
      <w:r>
        <w:rPr>
          <w:spacing w:val="-10"/>
          <w:w w:val="105"/>
        </w:rPr>
        <w:t> </w:t>
      </w:r>
      <w:r>
        <w:rPr>
          <w:w w:val="105"/>
        </w:rPr>
        <w:t>as</w:t>
      </w:r>
      <w:r>
        <w:rPr>
          <w:spacing w:val="-10"/>
          <w:w w:val="105"/>
        </w:rPr>
        <w:t> </w:t>
      </w:r>
      <w:r>
        <w:rPr>
          <w:w w:val="105"/>
        </w:rPr>
        <w:t>well</w:t>
      </w:r>
      <w:r>
        <w:rPr>
          <w:spacing w:val="-10"/>
          <w:w w:val="105"/>
        </w:rPr>
        <w:t> </w:t>
      </w:r>
      <w:r>
        <w:rPr>
          <w:w w:val="105"/>
        </w:rPr>
        <w:t>as</w:t>
      </w:r>
      <w:r>
        <w:rPr>
          <w:spacing w:val="-10"/>
          <w:w w:val="105"/>
        </w:rPr>
        <w:t> </w:t>
      </w:r>
      <w:r>
        <w:rPr>
          <w:w w:val="105"/>
        </w:rPr>
        <w:t>FX</w:t>
      </w:r>
      <w:r>
        <w:rPr>
          <w:spacing w:val="-11"/>
          <w:w w:val="105"/>
        </w:rPr>
        <w:t> </w:t>
      </w:r>
      <w:r>
        <w:rPr>
          <w:w w:val="105"/>
        </w:rPr>
        <w:t>infrastructure</w:t>
      </w:r>
      <w:r>
        <w:rPr>
          <w:spacing w:val="-12"/>
          <w:w w:val="105"/>
        </w:rPr>
        <w:t> </w:t>
      </w:r>
      <w:r>
        <w:rPr>
          <w:w w:val="105"/>
        </w:rPr>
        <w:t>providers,</w:t>
      </w:r>
      <w:r>
        <w:rPr>
          <w:spacing w:val="-9"/>
          <w:w w:val="105"/>
        </w:rPr>
        <w:t> </w:t>
      </w:r>
      <w:r>
        <w:rPr>
          <w:w w:val="105"/>
        </w:rPr>
        <w:t>chaired</w:t>
      </w:r>
      <w:r>
        <w:rPr>
          <w:spacing w:val="-10"/>
          <w:w w:val="105"/>
        </w:rPr>
        <w:t> </w:t>
      </w:r>
      <w:r>
        <w:rPr>
          <w:w w:val="105"/>
        </w:rPr>
        <w:t>by</w:t>
      </w:r>
      <w:r>
        <w:rPr>
          <w:spacing w:val="-9"/>
          <w:w w:val="105"/>
        </w:rPr>
        <w:t> </w:t>
      </w:r>
      <w:r>
        <w:rPr>
          <w:w w:val="105"/>
        </w:rPr>
        <w:t>David</w:t>
      </w:r>
      <w:r>
        <w:rPr>
          <w:spacing w:val="-11"/>
          <w:w w:val="105"/>
        </w:rPr>
        <w:t> </w:t>
      </w:r>
      <w:r>
        <w:rPr>
          <w:w w:val="105"/>
        </w:rPr>
        <w:t>Puth</w:t>
      </w:r>
      <w:r>
        <w:rPr>
          <w:spacing w:val="-10"/>
          <w:w w:val="105"/>
        </w:rPr>
        <w:t> </w:t>
      </w:r>
      <w:r>
        <w:rPr>
          <w:w w:val="105"/>
        </w:rPr>
        <w:t>(CLS).</w:t>
      </w:r>
    </w:p>
    <w:p>
      <w:pPr>
        <w:pStyle w:val="BodyText"/>
        <w:spacing w:line="491" w:lineRule="auto" w:before="1"/>
        <w:ind w:left="552" w:right="1141"/>
        <w:jc w:val="both"/>
      </w:pPr>
      <w:r>
        <w:rPr>
          <w:w w:val="105"/>
        </w:rPr>
        <w:t>David</w:t>
      </w:r>
      <w:r>
        <w:rPr>
          <w:spacing w:val="-18"/>
          <w:w w:val="105"/>
        </w:rPr>
        <w:t> </w:t>
      </w:r>
      <w:r>
        <w:rPr>
          <w:w w:val="105"/>
        </w:rPr>
        <w:t>Puth</w:t>
      </w:r>
      <w:r>
        <w:rPr>
          <w:spacing w:val="-17"/>
          <w:w w:val="105"/>
        </w:rPr>
        <w:t> </w:t>
      </w:r>
      <w:r>
        <w:rPr>
          <w:w w:val="105"/>
        </w:rPr>
        <w:t>gave</w:t>
      </w:r>
      <w:r>
        <w:rPr>
          <w:spacing w:val="-19"/>
          <w:w w:val="105"/>
        </w:rPr>
        <w:t> </w:t>
      </w:r>
      <w:r>
        <w:rPr>
          <w:w w:val="105"/>
        </w:rPr>
        <w:t>a</w:t>
      </w:r>
      <w:r>
        <w:rPr>
          <w:spacing w:val="-17"/>
          <w:w w:val="105"/>
        </w:rPr>
        <w:t> </w:t>
      </w:r>
      <w:r>
        <w:rPr>
          <w:w w:val="105"/>
        </w:rPr>
        <w:t>summary</w:t>
      </w:r>
      <w:r>
        <w:rPr>
          <w:spacing w:val="-17"/>
          <w:w w:val="105"/>
        </w:rPr>
        <w:t> </w:t>
      </w:r>
      <w:r>
        <w:rPr>
          <w:w w:val="105"/>
        </w:rPr>
        <w:t>of</w:t>
      </w:r>
      <w:r>
        <w:rPr>
          <w:spacing w:val="-17"/>
          <w:w w:val="105"/>
        </w:rPr>
        <w:t> </w:t>
      </w:r>
      <w:r>
        <w:rPr>
          <w:w w:val="105"/>
        </w:rPr>
        <w:t>the</w:t>
      </w:r>
      <w:r>
        <w:rPr>
          <w:spacing w:val="-18"/>
          <w:w w:val="105"/>
        </w:rPr>
        <w:t> </w:t>
      </w:r>
      <w:r>
        <w:rPr>
          <w:w w:val="105"/>
        </w:rPr>
        <w:t>MPG’s</w:t>
      </w:r>
      <w:r>
        <w:rPr>
          <w:spacing w:val="-17"/>
          <w:w w:val="105"/>
        </w:rPr>
        <w:t> </w:t>
      </w:r>
      <w:r>
        <w:rPr>
          <w:w w:val="105"/>
        </w:rPr>
        <w:t>structure,</w:t>
      </w:r>
      <w:r>
        <w:rPr>
          <w:spacing w:val="-16"/>
          <w:w w:val="105"/>
        </w:rPr>
        <w:t> </w:t>
      </w:r>
      <w:r>
        <w:rPr>
          <w:w w:val="105"/>
        </w:rPr>
        <w:t>membership</w:t>
      </w:r>
      <w:r>
        <w:rPr>
          <w:spacing w:val="-18"/>
          <w:w w:val="105"/>
        </w:rPr>
        <w:t> </w:t>
      </w:r>
      <w:r>
        <w:rPr>
          <w:w w:val="105"/>
        </w:rPr>
        <w:t>and</w:t>
      </w:r>
      <w:r>
        <w:rPr>
          <w:spacing w:val="-17"/>
          <w:w w:val="105"/>
        </w:rPr>
        <w:t> </w:t>
      </w:r>
      <w:r>
        <w:rPr>
          <w:w w:val="105"/>
        </w:rPr>
        <w:t>provided insights</w:t>
      </w:r>
      <w:r>
        <w:rPr>
          <w:spacing w:val="-8"/>
          <w:w w:val="105"/>
        </w:rPr>
        <w:t> </w:t>
      </w:r>
      <w:r>
        <w:rPr>
          <w:w w:val="105"/>
        </w:rPr>
        <w:t>into</w:t>
      </w:r>
      <w:r>
        <w:rPr>
          <w:spacing w:val="-8"/>
          <w:w w:val="105"/>
        </w:rPr>
        <w:t> </w:t>
      </w:r>
      <w:r>
        <w:rPr>
          <w:w w:val="105"/>
        </w:rPr>
        <w:t>the</w:t>
      </w:r>
      <w:r>
        <w:rPr>
          <w:spacing w:val="-8"/>
          <w:w w:val="105"/>
        </w:rPr>
        <w:t> </w:t>
      </w:r>
      <w:r>
        <w:rPr>
          <w:w w:val="105"/>
        </w:rPr>
        <w:t>work</w:t>
      </w:r>
      <w:r>
        <w:rPr>
          <w:spacing w:val="-9"/>
          <w:w w:val="105"/>
        </w:rPr>
        <w:t> </w:t>
      </w:r>
      <w:r>
        <w:rPr>
          <w:w w:val="105"/>
        </w:rPr>
        <w:t>that</w:t>
      </w:r>
      <w:r>
        <w:rPr>
          <w:spacing w:val="-8"/>
          <w:w w:val="105"/>
        </w:rPr>
        <w:t> </w:t>
      </w:r>
      <w:r>
        <w:rPr>
          <w:w w:val="105"/>
        </w:rPr>
        <w:t>the</w:t>
      </w:r>
      <w:r>
        <w:rPr>
          <w:spacing w:val="-10"/>
          <w:w w:val="105"/>
        </w:rPr>
        <w:t> </w:t>
      </w:r>
      <w:r>
        <w:rPr>
          <w:w w:val="105"/>
        </w:rPr>
        <w:t>MPG</w:t>
      </w:r>
      <w:r>
        <w:rPr>
          <w:spacing w:val="-8"/>
          <w:w w:val="105"/>
        </w:rPr>
        <w:t> </w:t>
      </w:r>
      <w:r>
        <w:rPr>
          <w:w w:val="105"/>
        </w:rPr>
        <w:t>is</w:t>
      </w:r>
      <w:r>
        <w:rPr>
          <w:spacing w:val="-8"/>
          <w:w w:val="105"/>
        </w:rPr>
        <w:t> </w:t>
      </w:r>
      <w:r>
        <w:rPr>
          <w:w w:val="105"/>
        </w:rPr>
        <w:t>supporting</w:t>
      </w:r>
      <w:r>
        <w:rPr>
          <w:spacing w:val="-9"/>
          <w:w w:val="105"/>
        </w:rPr>
        <w:t> </w:t>
      </w:r>
      <w:r>
        <w:rPr>
          <w:w w:val="105"/>
        </w:rPr>
        <w:t>and</w:t>
      </w:r>
      <w:r>
        <w:rPr>
          <w:spacing w:val="-7"/>
          <w:w w:val="105"/>
        </w:rPr>
        <w:t> </w:t>
      </w:r>
      <w:r>
        <w:rPr>
          <w:w w:val="105"/>
        </w:rPr>
        <w:t>coordinating</w:t>
      </w:r>
      <w:r>
        <w:rPr>
          <w:spacing w:val="-8"/>
          <w:w w:val="105"/>
        </w:rPr>
        <w:t> </w:t>
      </w:r>
      <w:r>
        <w:rPr>
          <w:w w:val="105"/>
        </w:rPr>
        <w:t>on.</w:t>
      </w:r>
    </w:p>
    <w:p>
      <w:pPr>
        <w:pStyle w:val="BodyText"/>
        <w:spacing w:before="1"/>
        <w:rPr>
          <w:sz w:val="23"/>
        </w:rPr>
      </w:pPr>
    </w:p>
    <w:p>
      <w:pPr>
        <w:pStyle w:val="BodyText"/>
        <w:spacing w:line="491" w:lineRule="auto"/>
        <w:ind w:left="552" w:right="491"/>
      </w:pPr>
      <w:r>
        <w:rPr>
          <w:w w:val="105"/>
        </w:rPr>
        <w:t>Chris</w:t>
      </w:r>
      <w:r>
        <w:rPr>
          <w:spacing w:val="-18"/>
          <w:w w:val="105"/>
        </w:rPr>
        <w:t> </w:t>
      </w:r>
      <w:r>
        <w:rPr>
          <w:w w:val="105"/>
        </w:rPr>
        <w:t>Salmon</w:t>
      </w:r>
      <w:r>
        <w:rPr>
          <w:spacing w:val="-17"/>
          <w:w w:val="105"/>
        </w:rPr>
        <w:t> </w:t>
      </w:r>
      <w:r>
        <w:rPr>
          <w:w w:val="105"/>
        </w:rPr>
        <w:t>urged</w:t>
      </w:r>
      <w:r>
        <w:rPr>
          <w:spacing w:val="-17"/>
          <w:w w:val="105"/>
        </w:rPr>
        <w:t> </w:t>
      </w:r>
      <w:r>
        <w:rPr>
          <w:w w:val="105"/>
        </w:rPr>
        <w:t>FXJSC</w:t>
      </w:r>
      <w:r>
        <w:rPr>
          <w:spacing w:val="-17"/>
          <w:w w:val="105"/>
        </w:rPr>
        <w:t> </w:t>
      </w:r>
      <w:r>
        <w:rPr>
          <w:w w:val="105"/>
        </w:rPr>
        <w:t>members</w:t>
      </w:r>
      <w:r>
        <w:rPr>
          <w:spacing w:val="-18"/>
          <w:w w:val="105"/>
        </w:rPr>
        <w:t> </w:t>
      </w:r>
      <w:r>
        <w:rPr>
          <w:w w:val="105"/>
        </w:rPr>
        <w:t>to</w:t>
      </w:r>
      <w:r>
        <w:rPr>
          <w:spacing w:val="-17"/>
          <w:w w:val="105"/>
        </w:rPr>
        <w:t> </w:t>
      </w:r>
      <w:r>
        <w:rPr>
          <w:w w:val="105"/>
        </w:rPr>
        <w:t>remain</w:t>
      </w:r>
      <w:r>
        <w:rPr>
          <w:spacing w:val="-17"/>
          <w:w w:val="105"/>
        </w:rPr>
        <w:t> </w:t>
      </w:r>
      <w:r>
        <w:rPr>
          <w:w w:val="105"/>
        </w:rPr>
        <w:t>actively</w:t>
      </w:r>
      <w:r>
        <w:rPr>
          <w:spacing w:val="-16"/>
          <w:w w:val="105"/>
        </w:rPr>
        <w:t> </w:t>
      </w:r>
      <w:r>
        <w:rPr>
          <w:w w:val="105"/>
        </w:rPr>
        <w:t>engaged</w:t>
      </w:r>
      <w:r>
        <w:rPr>
          <w:spacing w:val="-18"/>
          <w:w w:val="105"/>
        </w:rPr>
        <w:t> </w:t>
      </w:r>
      <w:r>
        <w:rPr>
          <w:w w:val="105"/>
        </w:rPr>
        <w:t>in</w:t>
      </w:r>
      <w:r>
        <w:rPr>
          <w:spacing w:val="-17"/>
          <w:w w:val="105"/>
        </w:rPr>
        <w:t> </w:t>
      </w:r>
      <w:r>
        <w:rPr>
          <w:w w:val="105"/>
        </w:rPr>
        <w:t>the</w:t>
      </w:r>
      <w:r>
        <w:rPr>
          <w:spacing w:val="-17"/>
          <w:w w:val="105"/>
        </w:rPr>
        <w:t> </w:t>
      </w:r>
      <w:r>
        <w:rPr>
          <w:w w:val="105"/>
        </w:rPr>
        <w:t>process</w:t>
      </w:r>
      <w:r>
        <w:rPr>
          <w:spacing w:val="-16"/>
          <w:w w:val="105"/>
        </w:rPr>
        <w:t> </w:t>
      </w:r>
      <w:r>
        <w:rPr>
          <w:w w:val="105"/>
        </w:rPr>
        <w:t>and contribute as appropriate, suggesting that the FX Global Code will be a standing agenda item at future Committee</w:t>
      </w:r>
      <w:r>
        <w:rPr>
          <w:spacing w:val="-15"/>
          <w:w w:val="105"/>
        </w:rPr>
        <w:t> </w:t>
      </w:r>
      <w:r>
        <w:rPr>
          <w:w w:val="105"/>
        </w:rPr>
        <w:t>meetings.</w:t>
      </w:r>
    </w:p>
    <w:p>
      <w:pPr>
        <w:spacing w:after="0" w:line="491" w:lineRule="auto"/>
        <w:sectPr>
          <w:pgSz w:w="12240" w:h="15840"/>
          <w:pgMar w:top="1280" w:bottom="280" w:left="1660" w:right="1720"/>
        </w:sectPr>
      </w:pPr>
    </w:p>
    <w:p>
      <w:pPr>
        <w:pStyle w:val="Heading1"/>
        <w:numPr>
          <w:ilvl w:val="0"/>
          <w:numId w:val="1"/>
        </w:numPr>
        <w:tabs>
          <w:tab w:pos="893" w:val="left" w:leader="none"/>
        </w:tabs>
        <w:spacing w:line="240" w:lineRule="auto" w:before="79" w:after="0"/>
        <w:ind w:left="892" w:right="0" w:hanging="341"/>
        <w:jc w:val="left"/>
      </w:pPr>
      <w:r>
        <w:rPr>
          <w:w w:val="105"/>
        </w:rPr>
        <w:t>Regulatory</w:t>
      </w:r>
      <w:r>
        <w:rPr>
          <w:spacing w:val="-3"/>
          <w:w w:val="105"/>
        </w:rPr>
        <w:t> </w:t>
      </w:r>
      <w:r>
        <w:rPr>
          <w:w w:val="105"/>
        </w:rPr>
        <w:t>Update</w:t>
      </w:r>
    </w:p>
    <w:p>
      <w:pPr>
        <w:pStyle w:val="BodyText"/>
        <w:rPr>
          <w:b/>
          <w:sz w:val="24"/>
        </w:rPr>
      </w:pPr>
    </w:p>
    <w:p>
      <w:pPr>
        <w:pStyle w:val="BodyText"/>
        <w:rPr>
          <w:b/>
        </w:rPr>
      </w:pPr>
    </w:p>
    <w:p>
      <w:pPr>
        <w:pStyle w:val="BodyText"/>
        <w:spacing w:line="491" w:lineRule="auto" w:before="1"/>
        <w:ind w:left="552" w:right="488"/>
        <w:jc w:val="both"/>
      </w:pPr>
      <w:r>
        <w:rPr>
          <w:w w:val="105"/>
        </w:rPr>
        <w:t>Tom</w:t>
      </w:r>
      <w:r>
        <w:rPr>
          <w:spacing w:val="-16"/>
          <w:w w:val="105"/>
        </w:rPr>
        <w:t> </w:t>
      </w:r>
      <w:r>
        <w:rPr>
          <w:w w:val="105"/>
        </w:rPr>
        <w:t>Springbett</w:t>
      </w:r>
      <w:r>
        <w:rPr>
          <w:spacing w:val="-16"/>
          <w:w w:val="105"/>
        </w:rPr>
        <w:t> </w:t>
      </w:r>
      <w:r>
        <w:rPr>
          <w:w w:val="105"/>
        </w:rPr>
        <w:t>(FCA)</w:t>
      </w:r>
      <w:r>
        <w:rPr>
          <w:spacing w:val="-15"/>
          <w:w w:val="105"/>
        </w:rPr>
        <w:t> </w:t>
      </w:r>
      <w:r>
        <w:rPr>
          <w:w w:val="105"/>
        </w:rPr>
        <w:t>gave</w:t>
      </w:r>
      <w:r>
        <w:rPr>
          <w:spacing w:val="-14"/>
          <w:w w:val="105"/>
        </w:rPr>
        <w:t> </w:t>
      </w:r>
      <w:r>
        <w:rPr>
          <w:w w:val="105"/>
        </w:rPr>
        <w:t>an</w:t>
      </w:r>
      <w:r>
        <w:rPr>
          <w:spacing w:val="-15"/>
          <w:w w:val="105"/>
        </w:rPr>
        <w:t> </w:t>
      </w:r>
      <w:r>
        <w:rPr>
          <w:w w:val="105"/>
        </w:rPr>
        <w:t>overview</w:t>
      </w:r>
      <w:r>
        <w:rPr>
          <w:spacing w:val="-13"/>
          <w:w w:val="105"/>
        </w:rPr>
        <w:t> </w:t>
      </w:r>
      <w:r>
        <w:rPr>
          <w:w w:val="105"/>
        </w:rPr>
        <w:t>of</w:t>
      </w:r>
      <w:r>
        <w:rPr>
          <w:spacing w:val="-15"/>
          <w:w w:val="105"/>
        </w:rPr>
        <w:t> </w:t>
      </w:r>
      <w:r>
        <w:rPr>
          <w:w w:val="105"/>
        </w:rPr>
        <w:t>recent</w:t>
      </w:r>
      <w:r>
        <w:rPr>
          <w:spacing w:val="-15"/>
          <w:w w:val="105"/>
        </w:rPr>
        <w:t> </w:t>
      </w:r>
      <w:r>
        <w:rPr>
          <w:w w:val="105"/>
        </w:rPr>
        <w:t>FX</w:t>
      </w:r>
      <w:r>
        <w:rPr>
          <w:spacing w:val="-13"/>
          <w:w w:val="105"/>
        </w:rPr>
        <w:t> </w:t>
      </w:r>
      <w:r>
        <w:rPr>
          <w:w w:val="105"/>
        </w:rPr>
        <w:t>regulatory</w:t>
      </w:r>
      <w:r>
        <w:rPr>
          <w:spacing w:val="-13"/>
          <w:w w:val="105"/>
        </w:rPr>
        <w:t> </w:t>
      </w:r>
      <w:r>
        <w:rPr>
          <w:w w:val="105"/>
        </w:rPr>
        <w:t>developments</w:t>
      </w:r>
      <w:r>
        <w:rPr>
          <w:spacing w:val="-13"/>
          <w:w w:val="105"/>
        </w:rPr>
        <w:t> </w:t>
      </w:r>
      <w:r>
        <w:rPr>
          <w:w w:val="105"/>
        </w:rPr>
        <w:t>to</w:t>
      </w:r>
      <w:r>
        <w:rPr>
          <w:spacing w:val="-13"/>
          <w:w w:val="105"/>
        </w:rPr>
        <w:t> </w:t>
      </w:r>
      <w:r>
        <w:rPr>
          <w:w w:val="105"/>
        </w:rPr>
        <w:t>the Committee. Items of discussion included: (i) an update of the European Securities and</w:t>
      </w:r>
      <w:r>
        <w:rPr>
          <w:spacing w:val="-17"/>
          <w:w w:val="105"/>
        </w:rPr>
        <w:t> </w:t>
      </w:r>
      <w:r>
        <w:rPr>
          <w:w w:val="105"/>
        </w:rPr>
        <w:t>Markets</w:t>
      </w:r>
      <w:r>
        <w:rPr>
          <w:spacing w:val="-16"/>
          <w:w w:val="105"/>
        </w:rPr>
        <w:t> </w:t>
      </w:r>
      <w:r>
        <w:rPr>
          <w:w w:val="105"/>
        </w:rPr>
        <w:t>Authority</w:t>
      </w:r>
      <w:r>
        <w:rPr>
          <w:spacing w:val="-16"/>
          <w:w w:val="105"/>
        </w:rPr>
        <w:t> </w:t>
      </w:r>
      <w:r>
        <w:rPr>
          <w:w w:val="105"/>
        </w:rPr>
        <w:t>(ESMA)</w:t>
      </w:r>
      <w:r>
        <w:rPr>
          <w:spacing w:val="-16"/>
          <w:w w:val="105"/>
        </w:rPr>
        <w:t> </w:t>
      </w:r>
      <w:r>
        <w:rPr>
          <w:w w:val="105"/>
        </w:rPr>
        <w:t>delivering</w:t>
      </w:r>
      <w:r>
        <w:rPr>
          <w:spacing w:val="-16"/>
          <w:w w:val="105"/>
        </w:rPr>
        <w:t> </w:t>
      </w:r>
      <w:r>
        <w:rPr>
          <w:w w:val="105"/>
        </w:rPr>
        <w:t>draft</w:t>
      </w:r>
      <w:r>
        <w:rPr>
          <w:spacing w:val="-16"/>
          <w:w w:val="105"/>
        </w:rPr>
        <w:t> </w:t>
      </w:r>
      <w:r>
        <w:rPr>
          <w:w w:val="105"/>
        </w:rPr>
        <w:t>regulatory</w:t>
      </w:r>
      <w:r>
        <w:rPr>
          <w:spacing w:val="-16"/>
          <w:w w:val="105"/>
        </w:rPr>
        <w:t> </w:t>
      </w:r>
      <w:r>
        <w:rPr>
          <w:w w:val="105"/>
        </w:rPr>
        <w:t>technical</w:t>
      </w:r>
      <w:r>
        <w:rPr>
          <w:spacing w:val="-17"/>
          <w:w w:val="105"/>
        </w:rPr>
        <w:t> </w:t>
      </w:r>
      <w:r>
        <w:rPr>
          <w:w w:val="105"/>
        </w:rPr>
        <w:t>standards</w:t>
      </w:r>
      <w:r>
        <w:rPr>
          <w:spacing w:val="-17"/>
          <w:w w:val="105"/>
        </w:rPr>
        <w:t> </w:t>
      </w:r>
      <w:r>
        <w:rPr>
          <w:w w:val="105"/>
        </w:rPr>
        <w:t>for</w:t>
      </w:r>
      <w:r>
        <w:rPr>
          <w:spacing w:val="-16"/>
          <w:w w:val="105"/>
        </w:rPr>
        <w:t> </w:t>
      </w:r>
      <w:r>
        <w:rPr>
          <w:w w:val="105"/>
        </w:rPr>
        <w:t>the Markets in Financial Instruments Directive and Regulation (MiFID II); (ii) the European Commission’s work on the definition of foreign exchange derivative instruments</w:t>
      </w:r>
      <w:r>
        <w:rPr>
          <w:spacing w:val="-14"/>
          <w:w w:val="105"/>
        </w:rPr>
        <w:t> </w:t>
      </w:r>
      <w:r>
        <w:rPr>
          <w:w w:val="105"/>
        </w:rPr>
        <w:t>under</w:t>
      </w:r>
      <w:r>
        <w:rPr>
          <w:spacing w:val="-14"/>
          <w:w w:val="105"/>
        </w:rPr>
        <w:t> </w:t>
      </w:r>
      <w:r>
        <w:rPr>
          <w:w w:val="105"/>
        </w:rPr>
        <w:t>the</w:t>
      </w:r>
      <w:r>
        <w:rPr>
          <w:spacing w:val="-15"/>
          <w:w w:val="105"/>
        </w:rPr>
        <w:t> </w:t>
      </w:r>
      <w:r>
        <w:rPr>
          <w:w w:val="105"/>
        </w:rPr>
        <w:t>delegated</w:t>
      </w:r>
      <w:r>
        <w:rPr>
          <w:spacing w:val="-14"/>
          <w:w w:val="105"/>
        </w:rPr>
        <w:t> </w:t>
      </w:r>
      <w:r>
        <w:rPr>
          <w:w w:val="105"/>
        </w:rPr>
        <w:t>acts</w:t>
      </w:r>
      <w:r>
        <w:rPr>
          <w:spacing w:val="-13"/>
          <w:w w:val="105"/>
        </w:rPr>
        <w:t> </w:t>
      </w:r>
      <w:r>
        <w:rPr>
          <w:w w:val="105"/>
        </w:rPr>
        <w:t>of</w:t>
      </w:r>
      <w:r>
        <w:rPr>
          <w:spacing w:val="-14"/>
          <w:w w:val="105"/>
        </w:rPr>
        <w:t> </w:t>
      </w:r>
      <w:r>
        <w:rPr>
          <w:w w:val="105"/>
        </w:rPr>
        <w:t>MiFID</w:t>
      </w:r>
      <w:r>
        <w:rPr>
          <w:spacing w:val="-12"/>
          <w:w w:val="105"/>
        </w:rPr>
        <w:t> </w:t>
      </w:r>
      <w:r>
        <w:rPr>
          <w:w w:val="105"/>
        </w:rPr>
        <w:t>II;</w:t>
      </w:r>
      <w:r>
        <w:rPr>
          <w:spacing w:val="-16"/>
          <w:w w:val="105"/>
        </w:rPr>
        <w:t> </w:t>
      </w:r>
      <w:r>
        <w:rPr>
          <w:w w:val="105"/>
        </w:rPr>
        <w:t>(iii)</w:t>
      </w:r>
      <w:r>
        <w:rPr>
          <w:spacing w:val="-14"/>
          <w:w w:val="105"/>
        </w:rPr>
        <w:t> </w:t>
      </w:r>
      <w:r>
        <w:rPr>
          <w:w w:val="105"/>
        </w:rPr>
        <w:t>an</w:t>
      </w:r>
      <w:r>
        <w:rPr>
          <w:spacing w:val="-14"/>
          <w:w w:val="105"/>
        </w:rPr>
        <w:t> </w:t>
      </w:r>
      <w:r>
        <w:rPr>
          <w:w w:val="105"/>
        </w:rPr>
        <w:t>update</w:t>
      </w:r>
      <w:r>
        <w:rPr>
          <w:spacing w:val="-14"/>
          <w:w w:val="105"/>
        </w:rPr>
        <w:t> </w:t>
      </w:r>
      <w:r>
        <w:rPr>
          <w:w w:val="105"/>
        </w:rPr>
        <w:t>on</w:t>
      </w:r>
      <w:r>
        <w:rPr>
          <w:spacing w:val="-14"/>
          <w:w w:val="105"/>
        </w:rPr>
        <w:t> </w:t>
      </w:r>
      <w:r>
        <w:rPr>
          <w:w w:val="105"/>
        </w:rPr>
        <w:t>the</w:t>
      </w:r>
      <w:r>
        <w:rPr>
          <w:spacing w:val="-15"/>
          <w:w w:val="105"/>
        </w:rPr>
        <w:t> </w:t>
      </w:r>
      <w:r>
        <w:rPr>
          <w:w w:val="105"/>
        </w:rPr>
        <w:t>Commission’s evaluation of responses to the European Market Infrastructure Regulation (EMIR) review conducted in summer 2015; and (iv) a progress update on the mandatory collateralisation of non-centrally cleared derivatives in</w:t>
      </w:r>
      <w:r>
        <w:rPr>
          <w:spacing w:val="-26"/>
          <w:w w:val="105"/>
        </w:rPr>
        <w:t> </w:t>
      </w:r>
      <w:r>
        <w:rPr>
          <w:w w:val="105"/>
        </w:rPr>
        <w:t>Europe.</w:t>
      </w:r>
    </w:p>
    <w:p>
      <w:pPr>
        <w:pStyle w:val="BodyText"/>
        <w:spacing w:before="4"/>
        <w:rPr>
          <w:sz w:val="23"/>
        </w:rPr>
      </w:pPr>
    </w:p>
    <w:p>
      <w:pPr>
        <w:pStyle w:val="BodyText"/>
        <w:spacing w:line="491" w:lineRule="auto"/>
        <w:ind w:left="552" w:right="490"/>
        <w:jc w:val="both"/>
      </w:pPr>
      <w:r>
        <w:rPr>
          <w:w w:val="105"/>
        </w:rPr>
        <w:t>Members</w:t>
      </w:r>
      <w:r>
        <w:rPr>
          <w:spacing w:val="-15"/>
          <w:w w:val="105"/>
        </w:rPr>
        <w:t> </w:t>
      </w:r>
      <w:r>
        <w:rPr>
          <w:w w:val="105"/>
        </w:rPr>
        <w:t>of</w:t>
      </w:r>
      <w:r>
        <w:rPr>
          <w:spacing w:val="-15"/>
          <w:w w:val="105"/>
        </w:rPr>
        <w:t> </w:t>
      </w:r>
      <w:r>
        <w:rPr>
          <w:w w:val="105"/>
        </w:rPr>
        <w:t>the</w:t>
      </w:r>
      <w:r>
        <w:rPr>
          <w:spacing w:val="-16"/>
          <w:w w:val="105"/>
        </w:rPr>
        <w:t> </w:t>
      </w:r>
      <w:r>
        <w:rPr>
          <w:w w:val="105"/>
        </w:rPr>
        <w:t>Committee</w:t>
      </w:r>
      <w:r>
        <w:rPr>
          <w:spacing w:val="-16"/>
          <w:w w:val="105"/>
        </w:rPr>
        <w:t> </w:t>
      </w:r>
      <w:r>
        <w:rPr>
          <w:w w:val="105"/>
        </w:rPr>
        <w:t>noted</w:t>
      </w:r>
      <w:r>
        <w:rPr>
          <w:spacing w:val="-14"/>
          <w:w w:val="105"/>
        </w:rPr>
        <w:t> </w:t>
      </w:r>
      <w:r>
        <w:rPr>
          <w:w w:val="105"/>
        </w:rPr>
        <w:t>that</w:t>
      </w:r>
      <w:r>
        <w:rPr>
          <w:spacing w:val="-15"/>
          <w:w w:val="105"/>
        </w:rPr>
        <w:t> </w:t>
      </w:r>
      <w:r>
        <w:rPr>
          <w:w w:val="105"/>
        </w:rPr>
        <w:t>the</w:t>
      </w:r>
      <w:r>
        <w:rPr>
          <w:spacing w:val="-17"/>
          <w:w w:val="105"/>
        </w:rPr>
        <w:t> </w:t>
      </w:r>
      <w:r>
        <w:rPr>
          <w:w w:val="105"/>
        </w:rPr>
        <w:t>definition</w:t>
      </w:r>
      <w:r>
        <w:rPr>
          <w:spacing w:val="-16"/>
          <w:w w:val="105"/>
        </w:rPr>
        <w:t> </w:t>
      </w:r>
      <w:r>
        <w:rPr>
          <w:w w:val="105"/>
        </w:rPr>
        <w:t>of</w:t>
      </w:r>
      <w:r>
        <w:rPr>
          <w:spacing w:val="-16"/>
          <w:w w:val="105"/>
        </w:rPr>
        <w:t> </w:t>
      </w:r>
      <w:r>
        <w:rPr>
          <w:w w:val="105"/>
        </w:rPr>
        <w:t>FX</w:t>
      </w:r>
      <w:r>
        <w:rPr>
          <w:spacing w:val="-15"/>
          <w:w w:val="105"/>
        </w:rPr>
        <w:t> </w:t>
      </w:r>
      <w:r>
        <w:rPr>
          <w:w w:val="105"/>
        </w:rPr>
        <w:t>derivatives</w:t>
      </w:r>
      <w:r>
        <w:rPr>
          <w:spacing w:val="-16"/>
          <w:w w:val="105"/>
        </w:rPr>
        <w:t> </w:t>
      </w:r>
      <w:r>
        <w:rPr>
          <w:w w:val="105"/>
        </w:rPr>
        <w:t>under</w:t>
      </w:r>
      <w:r>
        <w:rPr>
          <w:spacing w:val="-16"/>
          <w:w w:val="105"/>
        </w:rPr>
        <w:t> </w:t>
      </w:r>
      <w:r>
        <w:rPr>
          <w:w w:val="105"/>
        </w:rPr>
        <w:t>MiFID</w:t>
      </w:r>
      <w:r>
        <w:rPr>
          <w:spacing w:val="-15"/>
          <w:w w:val="105"/>
        </w:rPr>
        <w:t> </w:t>
      </w:r>
      <w:r>
        <w:rPr>
          <w:w w:val="105"/>
        </w:rPr>
        <w:t>II was</w:t>
      </w:r>
      <w:r>
        <w:rPr>
          <w:spacing w:val="-8"/>
          <w:w w:val="105"/>
        </w:rPr>
        <w:t> </w:t>
      </w:r>
      <w:r>
        <w:rPr>
          <w:w w:val="105"/>
        </w:rPr>
        <w:t>likely</w:t>
      </w:r>
      <w:r>
        <w:rPr>
          <w:spacing w:val="-5"/>
          <w:w w:val="105"/>
        </w:rPr>
        <w:t> </w:t>
      </w:r>
      <w:r>
        <w:rPr>
          <w:w w:val="105"/>
        </w:rPr>
        <w:t>to</w:t>
      </w:r>
      <w:r>
        <w:rPr>
          <w:spacing w:val="-7"/>
          <w:w w:val="105"/>
        </w:rPr>
        <w:t> </w:t>
      </w:r>
      <w:r>
        <w:rPr>
          <w:w w:val="105"/>
        </w:rPr>
        <w:t>have</w:t>
      </w:r>
      <w:r>
        <w:rPr>
          <w:spacing w:val="-8"/>
          <w:w w:val="105"/>
        </w:rPr>
        <w:t> </w:t>
      </w:r>
      <w:r>
        <w:rPr>
          <w:w w:val="105"/>
        </w:rPr>
        <w:t>practical</w:t>
      </w:r>
      <w:r>
        <w:rPr>
          <w:spacing w:val="-7"/>
          <w:w w:val="105"/>
        </w:rPr>
        <w:t> </w:t>
      </w:r>
      <w:r>
        <w:rPr>
          <w:w w:val="105"/>
        </w:rPr>
        <w:t>implications</w:t>
      </w:r>
      <w:r>
        <w:rPr>
          <w:spacing w:val="-7"/>
          <w:w w:val="105"/>
        </w:rPr>
        <w:t> </w:t>
      </w:r>
      <w:r>
        <w:rPr>
          <w:w w:val="105"/>
        </w:rPr>
        <w:t>for</w:t>
      </w:r>
      <w:r>
        <w:rPr>
          <w:spacing w:val="-7"/>
          <w:w w:val="105"/>
        </w:rPr>
        <w:t> </w:t>
      </w:r>
      <w:r>
        <w:rPr>
          <w:w w:val="105"/>
        </w:rPr>
        <w:t>their</w:t>
      </w:r>
      <w:r>
        <w:rPr>
          <w:spacing w:val="-7"/>
          <w:w w:val="105"/>
        </w:rPr>
        <w:t> </w:t>
      </w:r>
      <w:r>
        <w:rPr>
          <w:w w:val="105"/>
        </w:rPr>
        <w:t>operations</w:t>
      </w:r>
      <w:r>
        <w:rPr>
          <w:spacing w:val="-7"/>
          <w:w w:val="105"/>
        </w:rPr>
        <w:t> </w:t>
      </w:r>
      <w:r>
        <w:rPr>
          <w:w w:val="105"/>
        </w:rPr>
        <w:t>going</w:t>
      </w:r>
      <w:r>
        <w:rPr>
          <w:spacing w:val="-7"/>
          <w:w w:val="105"/>
        </w:rPr>
        <w:t> </w:t>
      </w:r>
      <w:r>
        <w:rPr>
          <w:w w:val="105"/>
        </w:rPr>
        <w:t>forward.</w:t>
      </w:r>
    </w:p>
    <w:p>
      <w:pPr>
        <w:pStyle w:val="BodyText"/>
        <w:spacing w:before="2"/>
        <w:rPr>
          <w:sz w:val="23"/>
        </w:rPr>
      </w:pPr>
    </w:p>
    <w:p>
      <w:pPr>
        <w:pStyle w:val="Heading1"/>
        <w:numPr>
          <w:ilvl w:val="0"/>
          <w:numId w:val="1"/>
        </w:numPr>
        <w:tabs>
          <w:tab w:pos="893" w:val="left" w:leader="none"/>
        </w:tabs>
        <w:spacing w:line="240" w:lineRule="auto" w:before="0" w:after="0"/>
        <w:ind w:left="892" w:right="0" w:hanging="341"/>
        <w:jc w:val="left"/>
      </w:pPr>
      <w:r>
        <w:rPr>
          <w:w w:val="105"/>
        </w:rPr>
        <w:t>Fair and Effective Markets</w:t>
      </w:r>
      <w:r>
        <w:rPr>
          <w:spacing w:val="-8"/>
          <w:w w:val="105"/>
        </w:rPr>
        <w:t> </w:t>
      </w:r>
      <w:r>
        <w:rPr>
          <w:w w:val="105"/>
        </w:rPr>
        <w:t>Review</w:t>
      </w:r>
    </w:p>
    <w:p>
      <w:pPr>
        <w:pStyle w:val="BodyText"/>
        <w:rPr>
          <w:b/>
          <w:sz w:val="24"/>
        </w:rPr>
      </w:pPr>
    </w:p>
    <w:p>
      <w:pPr>
        <w:pStyle w:val="BodyText"/>
        <w:spacing w:before="11"/>
        <w:rPr>
          <w:b/>
          <w:sz w:val="21"/>
        </w:rPr>
      </w:pPr>
    </w:p>
    <w:p>
      <w:pPr>
        <w:pStyle w:val="BodyText"/>
        <w:spacing w:line="491" w:lineRule="auto"/>
        <w:ind w:left="552" w:right="491"/>
      </w:pPr>
      <w:r>
        <w:rPr>
          <w:w w:val="105"/>
        </w:rPr>
        <w:t>Geoff Coppins (Bank of England) provided an update on the implementation of the recommendations</w:t>
      </w:r>
      <w:r>
        <w:rPr>
          <w:spacing w:val="-20"/>
          <w:w w:val="105"/>
        </w:rPr>
        <w:t> </w:t>
      </w:r>
      <w:r>
        <w:rPr>
          <w:w w:val="105"/>
        </w:rPr>
        <w:t>from</w:t>
      </w:r>
      <w:r>
        <w:rPr>
          <w:spacing w:val="-21"/>
          <w:w w:val="105"/>
        </w:rPr>
        <w:t> </w:t>
      </w:r>
      <w:r>
        <w:rPr>
          <w:w w:val="105"/>
        </w:rPr>
        <w:t>the</w:t>
      </w:r>
      <w:r>
        <w:rPr>
          <w:spacing w:val="-19"/>
          <w:w w:val="105"/>
        </w:rPr>
        <w:t> </w:t>
      </w:r>
      <w:r>
        <w:rPr>
          <w:w w:val="105"/>
        </w:rPr>
        <w:t>Fair</w:t>
      </w:r>
      <w:r>
        <w:rPr>
          <w:spacing w:val="-19"/>
          <w:w w:val="105"/>
        </w:rPr>
        <w:t> </w:t>
      </w:r>
      <w:r>
        <w:rPr>
          <w:w w:val="105"/>
        </w:rPr>
        <w:t>and</w:t>
      </w:r>
      <w:r>
        <w:rPr>
          <w:spacing w:val="-19"/>
          <w:w w:val="105"/>
        </w:rPr>
        <w:t> </w:t>
      </w:r>
      <w:r>
        <w:rPr>
          <w:w w:val="105"/>
        </w:rPr>
        <w:t>Effective</w:t>
      </w:r>
      <w:r>
        <w:rPr>
          <w:spacing w:val="-21"/>
          <w:w w:val="105"/>
        </w:rPr>
        <w:t> </w:t>
      </w:r>
      <w:r>
        <w:rPr>
          <w:w w:val="105"/>
        </w:rPr>
        <w:t>Markets</w:t>
      </w:r>
      <w:r>
        <w:rPr>
          <w:spacing w:val="-19"/>
          <w:w w:val="105"/>
        </w:rPr>
        <w:t> </w:t>
      </w:r>
      <w:r>
        <w:rPr>
          <w:w w:val="105"/>
        </w:rPr>
        <w:t>Review</w:t>
      </w:r>
      <w:r>
        <w:rPr>
          <w:spacing w:val="-19"/>
          <w:w w:val="105"/>
        </w:rPr>
        <w:t> </w:t>
      </w:r>
      <w:r>
        <w:rPr>
          <w:w w:val="105"/>
        </w:rPr>
        <w:t>(FEMR)</w:t>
      </w:r>
      <w:r>
        <w:rPr>
          <w:spacing w:val="-19"/>
          <w:w w:val="105"/>
        </w:rPr>
        <w:t> </w:t>
      </w:r>
      <w:r>
        <w:rPr>
          <w:w w:val="105"/>
        </w:rPr>
        <w:t>following</w:t>
      </w:r>
      <w:r>
        <w:rPr>
          <w:spacing w:val="-18"/>
          <w:w w:val="105"/>
        </w:rPr>
        <w:t> </w:t>
      </w:r>
      <w:r>
        <w:rPr>
          <w:w w:val="105"/>
        </w:rPr>
        <w:t>the publication of the Review’s Final Report in June 2015. Topics covered included the creation of the FICC Markets Standards Board (FMSB); the recommendation for a mandatory</w:t>
      </w:r>
      <w:r>
        <w:rPr>
          <w:spacing w:val="-18"/>
          <w:w w:val="105"/>
        </w:rPr>
        <w:t> </w:t>
      </w:r>
      <w:r>
        <w:rPr>
          <w:w w:val="105"/>
        </w:rPr>
        <w:t>form</w:t>
      </w:r>
      <w:r>
        <w:rPr>
          <w:spacing w:val="-22"/>
          <w:w w:val="105"/>
        </w:rPr>
        <w:t> </w:t>
      </w:r>
      <w:r>
        <w:rPr>
          <w:w w:val="105"/>
        </w:rPr>
        <w:t>for</w:t>
      </w:r>
      <w:r>
        <w:rPr>
          <w:spacing w:val="-19"/>
          <w:w w:val="105"/>
        </w:rPr>
        <w:t> </w:t>
      </w:r>
      <w:r>
        <w:rPr>
          <w:w w:val="105"/>
        </w:rPr>
        <w:t>regulatory</w:t>
      </w:r>
      <w:r>
        <w:rPr>
          <w:spacing w:val="-18"/>
          <w:w w:val="105"/>
        </w:rPr>
        <w:t> </w:t>
      </w:r>
      <w:r>
        <w:rPr>
          <w:w w:val="105"/>
        </w:rPr>
        <w:t>employment</w:t>
      </w:r>
      <w:r>
        <w:rPr>
          <w:spacing w:val="-20"/>
          <w:w w:val="105"/>
        </w:rPr>
        <w:t> </w:t>
      </w:r>
      <w:r>
        <w:rPr>
          <w:w w:val="105"/>
        </w:rPr>
        <w:t>references;</w:t>
      </w:r>
      <w:r>
        <w:rPr>
          <w:spacing w:val="-20"/>
          <w:w w:val="105"/>
        </w:rPr>
        <w:t> </w:t>
      </w:r>
      <w:r>
        <w:rPr>
          <w:w w:val="105"/>
        </w:rPr>
        <w:t>and</w:t>
      </w:r>
      <w:r>
        <w:rPr>
          <w:spacing w:val="-19"/>
          <w:w w:val="105"/>
        </w:rPr>
        <w:t> </w:t>
      </w:r>
      <w:r>
        <w:rPr>
          <w:w w:val="105"/>
        </w:rPr>
        <w:t>the</w:t>
      </w:r>
      <w:r>
        <w:rPr>
          <w:spacing w:val="-19"/>
          <w:w w:val="105"/>
        </w:rPr>
        <w:t> </w:t>
      </w:r>
      <w:r>
        <w:rPr>
          <w:w w:val="105"/>
        </w:rPr>
        <w:t>creation</w:t>
      </w:r>
      <w:r>
        <w:rPr>
          <w:spacing w:val="-19"/>
          <w:w w:val="105"/>
        </w:rPr>
        <w:t> </w:t>
      </w:r>
      <w:r>
        <w:rPr>
          <w:w w:val="105"/>
        </w:rPr>
        <w:t>of</w:t>
      </w:r>
      <w:r>
        <w:rPr>
          <w:spacing w:val="-19"/>
          <w:w w:val="105"/>
        </w:rPr>
        <w:t> </w:t>
      </w:r>
      <w:r>
        <w:rPr>
          <w:w w:val="105"/>
        </w:rPr>
        <w:t>the</w:t>
      </w:r>
      <w:r>
        <w:rPr>
          <w:spacing w:val="-19"/>
          <w:w w:val="105"/>
        </w:rPr>
        <w:t> </w:t>
      </w:r>
      <w:r>
        <w:rPr>
          <w:w w:val="105"/>
        </w:rPr>
        <w:t>FXWG to develop a global FX code of conduct (as discussed earlier in the meeting). Geoff Coppins</w:t>
      </w:r>
      <w:r>
        <w:rPr>
          <w:spacing w:val="-16"/>
          <w:w w:val="105"/>
        </w:rPr>
        <w:t> </w:t>
      </w:r>
      <w:r>
        <w:rPr>
          <w:w w:val="105"/>
        </w:rPr>
        <w:t>noted</w:t>
      </w:r>
      <w:r>
        <w:rPr>
          <w:spacing w:val="-16"/>
          <w:w w:val="105"/>
        </w:rPr>
        <w:t> </w:t>
      </w:r>
      <w:r>
        <w:rPr>
          <w:w w:val="105"/>
        </w:rPr>
        <w:t>that</w:t>
      </w:r>
      <w:r>
        <w:rPr>
          <w:spacing w:val="-16"/>
          <w:w w:val="105"/>
        </w:rPr>
        <w:t> </w:t>
      </w:r>
      <w:r>
        <w:rPr>
          <w:w w:val="105"/>
        </w:rPr>
        <w:t>the</w:t>
      </w:r>
      <w:r>
        <w:rPr>
          <w:spacing w:val="-16"/>
          <w:w w:val="105"/>
        </w:rPr>
        <w:t> </w:t>
      </w:r>
      <w:r>
        <w:rPr>
          <w:w w:val="105"/>
        </w:rPr>
        <w:t>Review’s</w:t>
      </w:r>
      <w:r>
        <w:rPr>
          <w:spacing w:val="-16"/>
          <w:w w:val="105"/>
        </w:rPr>
        <w:t> </w:t>
      </w:r>
      <w:r>
        <w:rPr>
          <w:w w:val="105"/>
        </w:rPr>
        <w:t>Chairs</w:t>
      </w:r>
      <w:r>
        <w:rPr>
          <w:spacing w:val="-16"/>
          <w:w w:val="105"/>
        </w:rPr>
        <w:t> </w:t>
      </w:r>
      <w:r>
        <w:rPr>
          <w:w w:val="105"/>
        </w:rPr>
        <w:t>will</w:t>
      </w:r>
      <w:r>
        <w:rPr>
          <w:spacing w:val="-16"/>
          <w:w w:val="105"/>
        </w:rPr>
        <w:t> </w:t>
      </w:r>
      <w:r>
        <w:rPr>
          <w:w w:val="105"/>
        </w:rPr>
        <w:t>provide</w:t>
      </w:r>
      <w:r>
        <w:rPr>
          <w:spacing w:val="-16"/>
          <w:w w:val="105"/>
        </w:rPr>
        <w:t> </w:t>
      </w:r>
      <w:r>
        <w:rPr>
          <w:w w:val="105"/>
        </w:rPr>
        <w:t>a</w:t>
      </w:r>
      <w:r>
        <w:rPr>
          <w:spacing w:val="-17"/>
          <w:w w:val="105"/>
        </w:rPr>
        <w:t> </w:t>
      </w:r>
      <w:r>
        <w:rPr>
          <w:w w:val="105"/>
        </w:rPr>
        <w:t>public</w:t>
      </w:r>
      <w:r>
        <w:rPr>
          <w:spacing w:val="-16"/>
          <w:w w:val="105"/>
        </w:rPr>
        <w:t> </w:t>
      </w:r>
      <w:r>
        <w:rPr>
          <w:w w:val="105"/>
        </w:rPr>
        <w:t>implementation</w:t>
      </w:r>
      <w:r>
        <w:rPr>
          <w:spacing w:val="-15"/>
          <w:w w:val="105"/>
        </w:rPr>
        <w:t> </w:t>
      </w:r>
      <w:r>
        <w:rPr>
          <w:w w:val="105"/>
        </w:rPr>
        <w:t>update to</w:t>
      </w:r>
      <w:r>
        <w:rPr>
          <w:spacing w:val="-13"/>
          <w:w w:val="105"/>
        </w:rPr>
        <w:t> </w:t>
      </w:r>
      <w:r>
        <w:rPr>
          <w:w w:val="105"/>
        </w:rPr>
        <w:t>the</w:t>
      </w:r>
      <w:r>
        <w:rPr>
          <w:spacing w:val="-12"/>
          <w:w w:val="105"/>
        </w:rPr>
        <w:t> </w:t>
      </w:r>
      <w:r>
        <w:rPr>
          <w:w w:val="105"/>
        </w:rPr>
        <w:t>Chancellor</w:t>
      </w:r>
      <w:r>
        <w:rPr>
          <w:spacing w:val="-13"/>
          <w:w w:val="105"/>
        </w:rPr>
        <w:t> </w:t>
      </w:r>
      <w:r>
        <w:rPr>
          <w:w w:val="105"/>
        </w:rPr>
        <w:t>of</w:t>
      </w:r>
      <w:r>
        <w:rPr>
          <w:spacing w:val="-12"/>
          <w:w w:val="105"/>
        </w:rPr>
        <w:t> </w:t>
      </w:r>
      <w:r>
        <w:rPr>
          <w:w w:val="105"/>
        </w:rPr>
        <w:t>the</w:t>
      </w:r>
      <w:r>
        <w:rPr>
          <w:spacing w:val="-11"/>
          <w:w w:val="105"/>
        </w:rPr>
        <w:t> </w:t>
      </w:r>
      <w:r>
        <w:rPr>
          <w:w w:val="105"/>
        </w:rPr>
        <w:t>Exchequer</w:t>
      </w:r>
      <w:r>
        <w:rPr>
          <w:spacing w:val="-12"/>
          <w:w w:val="105"/>
        </w:rPr>
        <w:t> </w:t>
      </w:r>
      <w:r>
        <w:rPr>
          <w:w w:val="105"/>
        </w:rPr>
        <w:t>and</w:t>
      </w:r>
      <w:r>
        <w:rPr>
          <w:spacing w:val="-12"/>
          <w:w w:val="105"/>
        </w:rPr>
        <w:t> </w:t>
      </w:r>
      <w:r>
        <w:rPr>
          <w:w w:val="105"/>
        </w:rPr>
        <w:t>the</w:t>
      </w:r>
      <w:r>
        <w:rPr>
          <w:spacing w:val="-14"/>
          <w:w w:val="105"/>
        </w:rPr>
        <w:t> </w:t>
      </w:r>
      <w:r>
        <w:rPr>
          <w:w w:val="105"/>
        </w:rPr>
        <w:t>Governor</w:t>
      </w:r>
      <w:r>
        <w:rPr>
          <w:spacing w:val="-12"/>
          <w:w w:val="105"/>
        </w:rPr>
        <w:t> </w:t>
      </w:r>
      <w:r>
        <w:rPr>
          <w:w w:val="105"/>
        </w:rPr>
        <w:t>of</w:t>
      </w:r>
      <w:r>
        <w:rPr>
          <w:spacing w:val="-12"/>
          <w:w w:val="105"/>
        </w:rPr>
        <w:t> </w:t>
      </w:r>
      <w:r>
        <w:rPr>
          <w:w w:val="105"/>
        </w:rPr>
        <w:t>the</w:t>
      </w:r>
      <w:r>
        <w:rPr>
          <w:spacing w:val="-13"/>
          <w:w w:val="105"/>
        </w:rPr>
        <w:t> </w:t>
      </w:r>
      <w:r>
        <w:rPr>
          <w:w w:val="105"/>
        </w:rPr>
        <w:t>Bank</w:t>
      </w:r>
      <w:r>
        <w:rPr>
          <w:spacing w:val="-12"/>
          <w:w w:val="105"/>
        </w:rPr>
        <w:t> </w:t>
      </w:r>
      <w:r>
        <w:rPr>
          <w:w w:val="105"/>
        </w:rPr>
        <w:t>of</w:t>
      </w:r>
      <w:r>
        <w:rPr>
          <w:spacing w:val="-12"/>
          <w:w w:val="105"/>
        </w:rPr>
        <w:t> </w:t>
      </w:r>
      <w:r>
        <w:rPr>
          <w:w w:val="105"/>
        </w:rPr>
        <w:t>England</w:t>
      </w:r>
      <w:r>
        <w:rPr>
          <w:spacing w:val="-12"/>
          <w:w w:val="105"/>
        </w:rPr>
        <w:t> </w:t>
      </w:r>
      <w:r>
        <w:rPr>
          <w:w w:val="105"/>
        </w:rPr>
        <w:t>in</w:t>
      </w:r>
      <w:r>
        <w:rPr>
          <w:spacing w:val="-12"/>
          <w:w w:val="105"/>
        </w:rPr>
        <w:t> </w:t>
      </w:r>
      <w:r>
        <w:rPr>
          <w:w w:val="105"/>
        </w:rPr>
        <w:t>June 2016.</w:t>
      </w:r>
    </w:p>
    <w:p>
      <w:pPr>
        <w:spacing w:after="0" w:line="491" w:lineRule="auto"/>
        <w:sectPr>
          <w:pgSz w:w="12240" w:h="15840"/>
          <w:pgMar w:top="1280" w:bottom="280" w:left="1660" w:right="1720"/>
        </w:sectPr>
      </w:pPr>
    </w:p>
    <w:p>
      <w:pPr>
        <w:pStyle w:val="Heading1"/>
        <w:numPr>
          <w:ilvl w:val="0"/>
          <w:numId w:val="1"/>
        </w:numPr>
        <w:tabs>
          <w:tab w:pos="893" w:val="left" w:leader="none"/>
        </w:tabs>
        <w:spacing w:line="240" w:lineRule="auto" w:before="79" w:after="0"/>
        <w:ind w:left="892" w:right="0" w:hanging="341"/>
        <w:jc w:val="left"/>
      </w:pPr>
      <w:r>
        <w:rPr>
          <w:w w:val="105"/>
        </w:rPr>
        <w:t>FXJSC – discussion of future role and membership</w:t>
      </w:r>
      <w:r>
        <w:rPr>
          <w:spacing w:val="-39"/>
          <w:w w:val="105"/>
        </w:rPr>
        <w:t> </w:t>
      </w:r>
      <w:r>
        <w:rPr>
          <w:w w:val="105"/>
        </w:rPr>
        <w:t>structure</w:t>
      </w:r>
    </w:p>
    <w:p>
      <w:pPr>
        <w:pStyle w:val="BodyText"/>
        <w:rPr>
          <w:b/>
          <w:sz w:val="24"/>
        </w:rPr>
      </w:pPr>
    </w:p>
    <w:p>
      <w:pPr>
        <w:pStyle w:val="BodyText"/>
        <w:rPr>
          <w:b/>
        </w:rPr>
      </w:pPr>
    </w:p>
    <w:p>
      <w:pPr>
        <w:pStyle w:val="BodyText"/>
        <w:spacing w:line="491" w:lineRule="auto" w:before="1"/>
        <w:ind w:left="552" w:right="491"/>
      </w:pPr>
      <w:r>
        <w:rPr>
          <w:w w:val="105"/>
        </w:rPr>
        <w:t>Chris</w:t>
      </w:r>
      <w:r>
        <w:rPr>
          <w:spacing w:val="-17"/>
          <w:w w:val="105"/>
        </w:rPr>
        <w:t> </w:t>
      </w:r>
      <w:r>
        <w:rPr>
          <w:w w:val="105"/>
        </w:rPr>
        <w:t>Salmon</w:t>
      </w:r>
      <w:r>
        <w:rPr>
          <w:spacing w:val="-16"/>
          <w:w w:val="105"/>
        </w:rPr>
        <w:t> </w:t>
      </w:r>
      <w:r>
        <w:rPr>
          <w:w w:val="105"/>
        </w:rPr>
        <w:t>indicated</w:t>
      </w:r>
      <w:r>
        <w:rPr>
          <w:spacing w:val="-16"/>
          <w:w w:val="105"/>
        </w:rPr>
        <w:t> </w:t>
      </w:r>
      <w:r>
        <w:rPr>
          <w:w w:val="105"/>
        </w:rPr>
        <w:t>that</w:t>
      </w:r>
      <w:r>
        <w:rPr>
          <w:spacing w:val="-16"/>
          <w:w w:val="105"/>
        </w:rPr>
        <w:t> </w:t>
      </w:r>
      <w:r>
        <w:rPr>
          <w:w w:val="105"/>
        </w:rPr>
        <w:t>the</w:t>
      </w:r>
      <w:r>
        <w:rPr>
          <w:spacing w:val="-17"/>
          <w:w w:val="105"/>
        </w:rPr>
        <w:t> </w:t>
      </w:r>
      <w:r>
        <w:rPr>
          <w:w w:val="105"/>
        </w:rPr>
        <w:t>FXJSC</w:t>
      </w:r>
      <w:r>
        <w:rPr>
          <w:spacing w:val="-16"/>
          <w:w w:val="105"/>
        </w:rPr>
        <w:t> </w:t>
      </w:r>
      <w:r>
        <w:rPr>
          <w:w w:val="105"/>
        </w:rPr>
        <w:t>Secretariat</w:t>
      </w:r>
      <w:r>
        <w:rPr>
          <w:spacing w:val="-17"/>
          <w:w w:val="105"/>
        </w:rPr>
        <w:t> </w:t>
      </w:r>
      <w:r>
        <w:rPr>
          <w:w w:val="105"/>
        </w:rPr>
        <w:t>were</w:t>
      </w:r>
      <w:r>
        <w:rPr>
          <w:spacing w:val="-17"/>
          <w:w w:val="105"/>
        </w:rPr>
        <w:t> </w:t>
      </w:r>
      <w:r>
        <w:rPr>
          <w:w w:val="105"/>
        </w:rPr>
        <w:t>in</w:t>
      </w:r>
      <w:r>
        <w:rPr>
          <w:spacing w:val="-16"/>
          <w:w w:val="105"/>
        </w:rPr>
        <w:t> </w:t>
      </w:r>
      <w:r>
        <w:rPr>
          <w:w w:val="105"/>
        </w:rPr>
        <w:t>the</w:t>
      </w:r>
      <w:r>
        <w:rPr>
          <w:spacing w:val="-16"/>
          <w:w w:val="105"/>
        </w:rPr>
        <w:t> </w:t>
      </w:r>
      <w:r>
        <w:rPr>
          <w:w w:val="105"/>
        </w:rPr>
        <w:t>process</w:t>
      </w:r>
      <w:r>
        <w:rPr>
          <w:spacing w:val="-16"/>
          <w:w w:val="105"/>
        </w:rPr>
        <w:t> </w:t>
      </w:r>
      <w:r>
        <w:rPr>
          <w:w w:val="105"/>
        </w:rPr>
        <w:t>of</w:t>
      </w:r>
      <w:r>
        <w:rPr>
          <w:spacing w:val="-17"/>
          <w:w w:val="105"/>
        </w:rPr>
        <w:t> </w:t>
      </w:r>
      <w:r>
        <w:rPr>
          <w:w w:val="105"/>
        </w:rPr>
        <w:t>updating</w:t>
      </w:r>
      <w:r>
        <w:rPr>
          <w:spacing w:val="-17"/>
          <w:w w:val="105"/>
        </w:rPr>
        <w:t> </w:t>
      </w:r>
      <w:r>
        <w:rPr>
          <w:w w:val="105"/>
        </w:rPr>
        <w:t>the FXJSC terms of reference. In that context, the membership structure of the FXJSC would</w:t>
      </w:r>
      <w:r>
        <w:rPr>
          <w:spacing w:val="-16"/>
          <w:w w:val="105"/>
        </w:rPr>
        <w:t> </w:t>
      </w:r>
      <w:r>
        <w:rPr>
          <w:w w:val="105"/>
        </w:rPr>
        <w:t>also</w:t>
      </w:r>
      <w:r>
        <w:rPr>
          <w:spacing w:val="-16"/>
          <w:w w:val="105"/>
        </w:rPr>
        <w:t> </w:t>
      </w:r>
      <w:r>
        <w:rPr>
          <w:w w:val="105"/>
        </w:rPr>
        <w:t>be</w:t>
      </w:r>
      <w:r>
        <w:rPr>
          <w:spacing w:val="-16"/>
          <w:w w:val="105"/>
        </w:rPr>
        <w:t> </w:t>
      </w:r>
      <w:r>
        <w:rPr>
          <w:w w:val="105"/>
        </w:rPr>
        <w:t>reviewed</w:t>
      </w:r>
      <w:r>
        <w:rPr>
          <w:spacing w:val="-16"/>
          <w:w w:val="105"/>
        </w:rPr>
        <w:t> </w:t>
      </w:r>
      <w:r>
        <w:rPr>
          <w:w w:val="105"/>
        </w:rPr>
        <w:t>to</w:t>
      </w:r>
      <w:r>
        <w:rPr>
          <w:spacing w:val="-15"/>
          <w:w w:val="105"/>
        </w:rPr>
        <w:t> </w:t>
      </w:r>
      <w:r>
        <w:rPr>
          <w:w w:val="105"/>
        </w:rPr>
        <w:t>ensure</w:t>
      </w:r>
      <w:r>
        <w:rPr>
          <w:spacing w:val="-16"/>
          <w:w w:val="105"/>
        </w:rPr>
        <w:t> </w:t>
      </w:r>
      <w:r>
        <w:rPr>
          <w:w w:val="105"/>
        </w:rPr>
        <w:t>that</w:t>
      </w:r>
      <w:r>
        <w:rPr>
          <w:spacing w:val="-15"/>
          <w:w w:val="105"/>
        </w:rPr>
        <w:t> </w:t>
      </w:r>
      <w:r>
        <w:rPr>
          <w:w w:val="105"/>
        </w:rPr>
        <w:t>the</w:t>
      </w:r>
      <w:r>
        <w:rPr>
          <w:spacing w:val="-15"/>
          <w:w w:val="105"/>
        </w:rPr>
        <w:t> </w:t>
      </w:r>
      <w:r>
        <w:rPr>
          <w:w w:val="105"/>
        </w:rPr>
        <w:t>Committee</w:t>
      </w:r>
      <w:r>
        <w:rPr>
          <w:spacing w:val="-15"/>
          <w:w w:val="105"/>
        </w:rPr>
        <w:t> </w:t>
      </w:r>
      <w:r>
        <w:rPr>
          <w:w w:val="105"/>
        </w:rPr>
        <w:t>continues</w:t>
      </w:r>
      <w:r>
        <w:rPr>
          <w:spacing w:val="-16"/>
          <w:w w:val="105"/>
        </w:rPr>
        <w:t> </w:t>
      </w:r>
      <w:r>
        <w:rPr>
          <w:w w:val="105"/>
        </w:rPr>
        <w:t>to</w:t>
      </w:r>
      <w:r>
        <w:rPr>
          <w:spacing w:val="-15"/>
          <w:w w:val="105"/>
        </w:rPr>
        <w:t> </w:t>
      </w:r>
      <w:r>
        <w:rPr>
          <w:w w:val="105"/>
        </w:rPr>
        <w:t>reflect</w:t>
      </w:r>
      <w:r>
        <w:rPr>
          <w:spacing w:val="-15"/>
          <w:w w:val="105"/>
        </w:rPr>
        <w:t> </w:t>
      </w:r>
      <w:r>
        <w:rPr>
          <w:w w:val="105"/>
        </w:rPr>
        <w:t>the</w:t>
      </w:r>
      <w:r>
        <w:rPr>
          <w:spacing w:val="-16"/>
          <w:w w:val="105"/>
        </w:rPr>
        <w:t> </w:t>
      </w:r>
      <w:r>
        <w:rPr>
          <w:w w:val="105"/>
        </w:rPr>
        <w:t>diversity of FX markets and can effectively discharge its</w:t>
      </w:r>
      <w:r>
        <w:rPr>
          <w:spacing w:val="-26"/>
          <w:w w:val="105"/>
        </w:rPr>
        <w:t> </w:t>
      </w:r>
      <w:r>
        <w:rPr>
          <w:w w:val="105"/>
        </w:rPr>
        <w:t>mandate.</w:t>
      </w:r>
    </w:p>
    <w:p>
      <w:pPr>
        <w:pStyle w:val="BodyText"/>
        <w:spacing w:before="2"/>
        <w:rPr>
          <w:sz w:val="23"/>
        </w:rPr>
      </w:pPr>
    </w:p>
    <w:p>
      <w:pPr>
        <w:pStyle w:val="Heading1"/>
        <w:numPr>
          <w:ilvl w:val="0"/>
          <w:numId w:val="1"/>
        </w:numPr>
        <w:tabs>
          <w:tab w:pos="893" w:val="left" w:leader="none"/>
        </w:tabs>
        <w:spacing w:line="240" w:lineRule="auto" w:before="0" w:after="0"/>
        <w:ind w:left="892" w:right="0" w:hanging="341"/>
        <w:jc w:val="left"/>
      </w:pPr>
      <w:r>
        <w:rPr>
          <w:w w:val="105"/>
        </w:rPr>
        <w:t>Sub-committee</w:t>
      </w:r>
      <w:r>
        <w:rPr>
          <w:spacing w:val="-5"/>
          <w:w w:val="105"/>
        </w:rPr>
        <w:t> </w:t>
      </w:r>
      <w:r>
        <w:rPr>
          <w:w w:val="105"/>
        </w:rPr>
        <w:t>updates</w:t>
      </w:r>
    </w:p>
    <w:p>
      <w:pPr>
        <w:pStyle w:val="BodyText"/>
        <w:rPr>
          <w:b/>
          <w:sz w:val="24"/>
        </w:rPr>
      </w:pPr>
    </w:p>
    <w:p>
      <w:pPr>
        <w:pStyle w:val="BodyText"/>
        <w:rPr>
          <w:b/>
        </w:rPr>
      </w:pPr>
    </w:p>
    <w:p>
      <w:pPr>
        <w:spacing w:before="0"/>
        <w:ind w:left="552" w:right="0" w:firstLine="0"/>
        <w:jc w:val="left"/>
        <w:rPr>
          <w:i/>
          <w:sz w:val="22"/>
        </w:rPr>
      </w:pPr>
      <w:r>
        <w:rPr>
          <w:i/>
          <w:w w:val="105"/>
          <w:sz w:val="22"/>
        </w:rPr>
        <w:t>Legal sub-committee</w:t>
      </w:r>
    </w:p>
    <w:p>
      <w:pPr>
        <w:pStyle w:val="BodyText"/>
        <w:rPr>
          <w:i/>
          <w:sz w:val="24"/>
        </w:rPr>
      </w:pPr>
    </w:p>
    <w:p>
      <w:pPr>
        <w:pStyle w:val="BodyText"/>
        <w:spacing w:before="1"/>
        <w:rPr>
          <w:i/>
        </w:rPr>
      </w:pPr>
    </w:p>
    <w:p>
      <w:pPr>
        <w:pStyle w:val="BodyText"/>
        <w:ind w:left="552"/>
      </w:pPr>
      <w:r>
        <w:rPr/>
        <w:t>The legal sub-committee were next due to meet on 28</w:t>
      </w:r>
      <w:r>
        <w:rPr>
          <w:vertAlign w:val="superscript"/>
        </w:rPr>
        <w:t>th</w:t>
      </w:r>
      <w:r>
        <w:rPr>
          <w:vertAlign w:val="baseline"/>
        </w:rPr>
        <w:t> September 2015.</w:t>
      </w:r>
    </w:p>
    <w:p>
      <w:pPr>
        <w:pStyle w:val="BodyText"/>
        <w:rPr>
          <w:sz w:val="28"/>
        </w:rPr>
      </w:pPr>
    </w:p>
    <w:p>
      <w:pPr>
        <w:spacing w:before="208"/>
        <w:ind w:left="552" w:right="0" w:firstLine="0"/>
        <w:jc w:val="left"/>
        <w:rPr>
          <w:i/>
          <w:sz w:val="22"/>
        </w:rPr>
      </w:pPr>
      <w:r>
        <w:rPr>
          <w:i/>
          <w:w w:val="105"/>
          <w:sz w:val="22"/>
        </w:rPr>
        <w:t>Operations sub-committee</w:t>
      </w:r>
    </w:p>
    <w:p>
      <w:pPr>
        <w:pStyle w:val="BodyText"/>
        <w:rPr>
          <w:i/>
          <w:sz w:val="24"/>
        </w:rPr>
      </w:pPr>
    </w:p>
    <w:p>
      <w:pPr>
        <w:pStyle w:val="BodyText"/>
        <w:rPr>
          <w:i/>
        </w:rPr>
      </w:pPr>
    </w:p>
    <w:p>
      <w:pPr>
        <w:pStyle w:val="BodyText"/>
        <w:spacing w:line="491" w:lineRule="auto"/>
        <w:ind w:left="552" w:right="491"/>
      </w:pPr>
      <w:r>
        <w:rPr>
          <w:w w:val="105"/>
        </w:rPr>
        <w:t>The</w:t>
      </w:r>
      <w:r>
        <w:rPr>
          <w:spacing w:val="-18"/>
          <w:w w:val="105"/>
        </w:rPr>
        <w:t> </w:t>
      </w:r>
      <w:r>
        <w:rPr>
          <w:w w:val="105"/>
        </w:rPr>
        <w:t>operations</w:t>
      </w:r>
      <w:r>
        <w:rPr>
          <w:spacing w:val="-17"/>
          <w:w w:val="105"/>
        </w:rPr>
        <w:t> </w:t>
      </w:r>
      <w:r>
        <w:rPr>
          <w:w w:val="105"/>
        </w:rPr>
        <w:t>sub-committee</w:t>
      </w:r>
      <w:r>
        <w:rPr>
          <w:spacing w:val="-19"/>
          <w:w w:val="105"/>
        </w:rPr>
        <w:t> </w:t>
      </w:r>
      <w:r>
        <w:rPr>
          <w:w w:val="105"/>
        </w:rPr>
        <w:t>last</w:t>
      </w:r>
      <w:r>
        <w:rPr>
          <w:spacing w:val="-16"/>
          <w:w w:val="105"/>
        </w:rPr>
        <w:t> </w:t>
      </w:r>
      <w:r>
        <w:rPr>
          <w:w w:val="105"/>
        </w:rPr>
        <w:t>met</w:t>
      </w:r>
      <w:r>
        <w:rPr>
          <w:spacing w:val="-17"/>
          <w:w w:val="105"/>
        </w:rPr>
        <w:t> </w:t>
      </w:r>
      <w:r>
        <w:rPr>
          <w:w w:val="105"/>
        </w:rPr>
        <w:t>on</w:t>
      </w:r>
      <w:r>
        <w:rPr>
          <w:spacing w:val="-17"/>
          <w:w w:val="105"/>
        </w:rPr>
        <w:t> </w:t>
      </w:r>
      <w:r>
        <w:rPr>
          <w:w w:val="105"/>
        </w:rPr>
        <w:t>17</w:t>
      </w:r>
      <w:r>
        <w:rPr>
          <w:w w:val="105"/>
          <w:vertAlign w:val="superscript"/>
        </w:rPr>
        <w:t>th</w:t>
      </w:r>
      <w:r>
        <w:rPr>
          <w:spacing w:val="-16"/>
          <w:w w:val="105"/>
          <w:vertAlign w:val="baseline"/>
        </w:rPr>
        <w:t> </w:t>
      </w:r>
      <w:r>
        <w:rPr>
          <w:w w:val="105"/>
          <w:vertAlign w:val="baseline"/>
        </w:rPr>
        <w:t>September</w:t>
      </w:r>
      <w:r>
        <w:rPr>
          <w:spacing w:val="-17"/>
          <w:w w:val="105"/>
          <w:vertAlign w:val="baseline"/>
        </w:rPr>
        <w:t> </w:t>
      </w:r>
      <w:r>
        <w:rPr>
          <w:w w:val="105"/>
          <w:vertAlign w:val="baseline"/>
        </w:rPr>
        <w:t>2015.</w:t>
      </w:r>
      <w:r>
        <w:rPr>
          <w:spacing w:val="23"/>
          <w:w w:val="105"/>
          <w:vertAlign w:val="baseline"/>
        </w:rPr>
        <w:t> </w:t>
      </w:r>
      <w:r>
        <w:rPr>
          <w:w w:val="105"/>
          <w:vertAlign w:val="baseline"/>
        </w:rPr>
        <w:t>The</w:t>
      </w:r>
      <w:r>
        <w:rPr>
          <w:spacing w:val="-17"/>
          <w:w w:val="105"/>
          <w:vertAlign w:val="baseline"/>
        </w:rPr>
        <w:t> </w:t>
      </w:r>
      <w:r>
        <w:rPr>
          <w:w w:val="105"/>
          <w:vertAlign w:val="baseline"/>
        </w:rPr>
        <w:t>sub-committee received a presentation on the Global FX code and discussed how members could actively contribute to the work of the FXWG. The sub-committee additionally considered the results of the April 2015 FXJSC turnover survey, noting synergies with the FX turnover surveys working group’s progress. The sub-committee additionally discussed the development of actions under the sub-committee’s FX settlement resiliency working</w:t>
      </w:r>
      <w:r>
        <w:rPr>
          <w:spacing w:val="-8"/>
          <w:w w:val="105"/>
          <w:vertAlign w:val="baseline"/>
        </w:rPr>
        <w:t> </w:t>
      </w:r>
      <w:r>
        <w:rPr>
          <w:w w:val="105"/>
          <w:vertAlign w:val="baseline"/>
        </w:rPr>
        <w:t>group.</w:t>
      </w:r>
    </w:p>
    <w:p>
      <w:pPr>
        <w:pStyle w:val="BodyText"/>
        <w:spacing w:before="5"/>
        <w:rPr>
          <w:sz w:val="23"/>
        </w:rPr>
      </w:pPr>
    </w:p>
    <w:p>
      <w:pPr>
        <w:spacing w:before="0"/>
        <w:ind w:left="552" w:right="0" w:firstLine="0"/>
        <w:jc w:val="left"/>
        <w:rPr>
          <w:i/>
          <w:sz w:val="22"/>
        </w:rPr>
      </w:pPr>
      <w:r>
        <w:rPr>
          <w:i/>
          <w:w w:val="105"/>
          <w:sz w:val="22"/>
        </w:rPr>
        <w:t>Buy-side sub-committee</w:t>
      </w:r>
    </w:p>
    <w:p>
      <w:pPr>
        <w:pStyle w:val="BodyText"/>
        <w:rPr>
          <w:i/>
          <w:sz w:val="24"/>
        </w:rPr>
      </w:pPr>
    </w:p>
    <w:p>
      <w:pPr>
        <w:pStyle w:val="BodyText"/>
        <w:rPr>
          <w:i/>
        </w:rPr>
      </w:pPr>
    </w:p>
    <w:p>
      <w:pPr>
        <w:pStyle w:val="BodyText"/>
        <w:spacing w:line="491" w:lineRule="auto"/>
        <w:ind w:left="552" w:right="491"/>
      </w:pPr>
      <w:r>
        <w:rPr>
          <w:w w:val="105"/>
        </w:rPr>
        <w:t>The buy-side sub-committee last met on 4th June 2015. The sub-committee considered</w:t>
      </w:r>
      <w:r>
        <w:rPr>
          <w:spacing w:val="-18"/>
          <w:w w:val="105"/>
        </w:rPr>
        <w:t> </w:t>
      </w:r>
      <w:r>
        <w:rPr>
          <w:w w:val="105"/>
        </w:rPr>
        <w:t>the</w:t>
      </w:r>
      <w:r>
        <w:rPr>
          <w:spacing w:val="-20"/>
          <w:w w:val="105"/>
        </w:rPr>
        <w:t> </w:t>
      </w:r>
      <w:r>
        <w:rPr>
          <w:w w:val="105"/>
        </w:rPr>
        <w:t>impact</w:t>
      </w:r>
      <w:r>
        <w:rPr>
          <w:spacing w:val="-18"/>
          <w:w w:val="105"/>
        </w:rPr>
        <w:t> </w:t>
      </w:r>
      <w:r>
        <w:rPr>
          <w:w w:val="105"/>
        </w:rPr>
        <w:t>of</w:t>
      </w:r>
      <w:r>
        <w:rPr>
          <w:spacing w:val="-18"/>
          <w:w w:val="105"/>
        </w:rPr>
        <w:t> </w:t>
      </w:r>
      <w:r>
        <w:rPr>
          <w:w w:val="105"/>
        </w:rPr>
        <w:t>central</w:t>
      </w:r>
      <w:r>
        <w:rPr>
          <w:spacing w:val="-18"/>
          <w:w w:val="105"/>
        </w:rPr>
        <w:t> </w:t>
      </w:r>
      <w:r>
        <w:rPr>
          <w:w w:val="105"/>
        </w:rPr>
        <w:t>bank</w:t>
      </w:r>
      <w:r>
        <w:rPr>
          <w:spacing w:val="-18"/>
          <w:w w:val="105"/>
        </w:rPr>
        <w:t> </w:t>
      </w:r>
      <w:r>
        <w:rPr>
          <w:w w:val="105"/>
        </w:rPr>
        <w:t>policy</w:t>
      </w:r>
      <w:r>
        <w:rPr>
          <w:spacing w:val="-18"/>
          <w:w w:val="105"/>
        </w:rPr>
        <w:t> </w:t>
      </w:r>
      <w:r>
        <w:rPr>
          <w:w w:val="105"/>
        </w:rPr>
        <w:t>decisions</w:t>
      </w:r>
      <w:r>
        <w:rPr>
          <w:spacing w:val="-18"/>
          <w:w w:val="105"/>
        </w:rPr>
        <w:t> </w:t>
      </w:r>
      <w:r>
        <w:rPr>
          <w:w w:val="105"/>
        </w:rPr>
        <w:t>and</w:t>
      </w:r>
      <w:r>
        <w:rPr>
          <w:spacing w:val="-19"/>
          <w:w w:val="105"/>
        </w:rPr>
        <w:t> </w:t>
      </w:r>
      <w:r>
        <w:rPr>
          <w:w w:val="105"/>
        </w:rPr>
        <w:t>political</w:t>
      </w:r>
      <w:r>
        <w:rPr>
          <w:spacing w:val="-19"/>
          <w:w w:val="105"/>
        </w:rPr>
        <w:t> </w:t>
      </w:r>
      <w:r>
        <w:rPr>
          <w:w w:val="105"/>
        </w:rPr>
        <w:t>developments</w:t>
      </w:r>
      <w:r>
        <w:rPr>
          <w:spacing w:val="-17"/>
          <w:w w:val="105"/>
        </w:rPr>
        <w:t> </w:t>
      </w:r>
      <w:r>
        <w:rPr>
          <w:w w:val="105"/>
        </w:rPr>
        <w:t>on market liquidity. The sub-committee additionally discussed progress in the implementation of FSB FX benchmark</w:t>
      </w:r>
      <w:r>
        <w:rPr>
          <w:spacing w:val="-22"/>
          <w:w w:val="105"/>
        </w:rPr>
        <w:t> </w:t>
      </w:r>
      <w:r>
        <w:rPr>
          <w:w w:val="105"/>
        </w:rPr>
        <w:t>recommendations.</w:t>
      </w:r>
    </w:p>
    <w:p>
      <w:pPr>
        <w:spacing w:after="0" w:line="491" w:lineRule="auto"/>
        <w:sectPr>
          <w:pgSz w:w="12240" w:h="15840"/>
          <w:pgMar w:top="1280" w:bottom="280" w:left="1660" w:right="1720"/>
        </w:sectPr>
      </w:pPr>
    </w:p>
    <w:p>
      <w:pPr>
        <w:pStyle w:val="Heading1"/>
        <w:numPr>
          <w:ilvl w:val="0"/>
          <w:numId w:val="1"/>
        </w:numPr>
        <w:tabs>
          <w:tab w:pos="835" w:val="left" w:leader="none"/>
        </w:tabs>
        <w:spacing w:line="240" w:lineRule="auto" w:before="80" w:after="0"/>
        <w:ind w:left="834" w:right="0" w:hanging="283"/>
        <w:jc w:val="left"/>
      </w:pPr>
      <w:r>
        <w:rPr>
          <w:w w:val="105"/>
        </w:rPr>
        <w:t>FXJSC</w:t>
      </w:r>
      <w:r>
        <w:rPr>
          <w:spacing w:val="-33"/>
          <w:w w:val="105"/>
        </w:rPr>
        <w:t> </w:t>
      </w:r>
      <w:r>
        <w:rPr>
          <w:w w:val="105"/>
        </w:rPr>
        <w:t>Turnover</w:t>
      </w:r>
      <w:r>
        <w:rPr>
          <w:spacing w:val="-33"/>
          <w:w w:val="105"/>
        </w:rPr>
        <w:t> </w:t>
      </w:r>
      <w:r>
        <w:rPr>
          <w:w w:val="105"/>
        </w:rPr>
        <w:t>Survey</w:t>
      </w:r>
    </w:p>
    <w:p>
      <w:pPr>
        <w:pStyle w:val="BodyText"/>
        <w:rPr>
          <w:b/>
          <w:sz w:val="24"/>
        </w:rPr>
      </w:pPr>
    </w:p>
    <w:p>
      <w:pPr>
        <w:pStyle w:val="BodyText"/>
        <w:spacing w:before="11"/>
        <w:rPr>
          <w:b/>
          <w:sz w:val="21"/>
        </w:rPr>
      </w:pPr>
    </w:p>
    <w:p>
      <w:pPr>
        <w:pStyle w:val="BodyText"/>
        <w:spacing w:line="491" w:lineRule="auto"/>
        <w:ind w:left="552" w:right="491"/>
      </w:pPr>
      <w:r>
        <w:rPr>
          <w:w w:val="105"/>
        </w:rPr>
        <w:t>Chris</w:t>
      </w:r>
      <w:r>
        <w:rPr>
          <w:spacing w:val="-17"/>
          <w:w w:val="105"/>
        </w:rPr>
        <w:t> </w:t>
      </w:r>
      <w:r>
        <w:rPr>
          <w:w w:val="105"/>
        </w:rPr>
        <w:t>Salmon</w:t>
      </w:r>
      <w:r>
        <w:rPr>
          <w:spacing w:val="-16"/>
          <w:w w:val="105"/>
        </w:rPr>
        <w:t> </w:t>
      </w:r>
      <w:r>
        <w:rPr>
          <w:w w:val="105"/>
        </w:rPr>
        <w:t>provided</w:t>
      </w:r>
      <w:r>
        <w:rPr>
          <w:spacing w:val="-16"/>
          <w:w w:val="105"/>
        </w:rPr>
        <w:t> </w:t>
      </w:r>
      <w:r>
        <w:rPr>
          <w:w w:val="105"/>
        </w:rPr>
        <w:t>a</w:t>
      </w:r>
      <w:r>
        <w:rPr>
          <w:spacing w:val="-17"/>
          <w:w w:val="105"/>
        </w:rPr>
        <w:t> </w:t>
      </w:r>
      <w:r>
        <w:rPr>
          <w:w w:val="105"/>
        </w:rPr>
        <w:t>short</w:t>
      </w:r>
      <w:r>
        <w:rPr>
          <w:spacing w:val="-17"/>
          <w:w w:val="105"/>
        </w:rPr>
        <w:t> </w:t>
      </w:r>
      <w:r>
        <w:rPr>
          <w:w w:val="105"/>
        </w:rPr>
        <w:t>overview</w:t>
      </w:r>
      <w:r>
        <w:rPr>
          <w:spacing w:val="-16"/>
          <w:w w:val="105"/>
        </w:rPr>
        <w:t> </w:t>
      </w:r>
      <w:r>
        <w:rPr>
          <w:w w:val="105"/>
        </w:rPr>
        <w:t>of</w:t>
      </w:r>
      <w:r>
        <w:rPr>
          <w:spacing w:val="-16"/>
          <w:w w:val="105"/>
        </w:rPr>
        <w:t> </w:t>
      </w:r>
      <w:r>
        <w:rPr>
          <w:w w:val="105"/>
        </w:rPr>
        <w:t>the</w:t>
      </w:r>
      <w:r>
        <w:rPr>
          <w:spacing w:val="-16"/>
          <w:w w:val="105"/>
        </w:rPr>
        <w:t> </w:t>
      </w:r>
      <w:r>
        <w:rPr>
          <w:w w:val="105"/>
        </w:rPr>
        <w:t>latest</w:t>
      </w:r>
      <w:r>
        <w:rPr>
          <w:spacing w:val="-17"/>
          <w:w w:val="105"/>
        </w:rPr>
        <w:t> </w:t>
      </w:r>
      <w:r>
        <w:rPr>
          <w:w w:val="105"/>
        </w:rPr>
        <w:t>April</w:t>
      </w:r>
      <w:r>
        <w:rPr>
          <w:spacing w:val="-17"/>
          <w:w w:val="105"/>
        </w:rPr>
        <w:t> </w:t>
      </w:r>
      <w:r>
        <w:rPr>
          <w:w w:val="105"/>
        </w:rPr>
        <w:t>2015</w:t>
      </w:r>
      <w:r>
        <w:rPr>
          <w:spacing w:val="-17"/>
          <w:w w:val="105"/>
        </w:rPr>
        <w:t> </w:t>
      </w:r>
      <w:r>
        <w:rPr>
          <w:w w:val="105"/>
        </w:rPr>
        <w:t>FXJSC</w:t>
      </w:r>
      <w:r>
        <w:rPr>
          <w:spacing w:val="-16"/>
          <w:w w:val="105"/>
        </w:rPr>
        <w:t> </w:t>
      </w:r>
      <w:r>
        <w:rPr>
          <w:w w:val="105"/>
        </w:rPr>
        <w:t>turnover survey results published in July</w:t>
      </w:r>
      <w:r>
        <w:rPr>
          <w:spacing w:val="-11"/>
          <w:w w:val="105"/>
        </w:rPr>
        <w:t> </w:t>
      </w:r>
      <w:r>
        <w:rPr>
          <w:w w:val="105"/>
        </w:rPr>
        <w:t>2015.</w:t>
      </w:r>
    </w:p>
    <w:p>
      <w:pPr>
        <w:pStyle w:val="BodyText"/>
        <w:spacing w:before="1"/>
        <w:rPr>
          <w:sz w:val="23"/>
        </w:rPr>
      </w:pPr>
    </w:p>
    <w:p>
      <w:pPr>
        <w:pStyle w:val="Heading1"/>
        <w:numPr>
          <w:ilvl w:val="0"/>
          <w:numId w:val="1"/>
        </w:numPr>
        <w:tabs>
          <w:tab w:pos="893" w:val="left" w:leader="none"/>
        </w:tabs>
        <w:spacing w:line="240" w:lineRule="auto" w:before="1" w:after="0"/>
        <w:ind w:left="892" w:right="0" w:hanging="341"/>
        <w:jc w:val="left"/>
      </w:pPr>
      <w:r>
        <w:rPr>
          <w:w w:val="105"/>
        </w:rPr>
        <w:t>Any other</w:t>
      </w:r>
      <w:r>
        <w:rPr>
          <w:spacing w:val="-5"/>
          <w:w w:val="105"/>
        </w:rPr>
        <w:t> </w:t>
      </w:r>
      <w:r>
        <w:rPr>
          <w:w w:val="105"/>
        </w:rPr>
        <w:t>business</w:t>
      </w:r>
    </w:p>
    <w:p>
      <w:pPr>
        <w:pStyle w:val="BodyText"/>
        <w:rPr>
          <w:b/>
          <w:sz w:val="24"/>
        </w:rPr>
      </w:pPr>
    </w:p>
    <w:p>
      <w:pPr>
        <w:pStyle w:val="BodyText"/>
        <w:rPr>
          <w:b/>
        </w:rPr>
      </w:pPr>
    </w:p>
    <w:p>
      <w:pPr>
        <w:pStyle w:val="BodyText"/>
        <w:spacing w:line="491" w:lineRule="auto"/>
        <w:ind w:left="552" w:right="491"/>
      </w:pPr>
      <w:r>
        <w:rPr>
          <w:w w:val="105"/>
        </w:rPr>
        <w:t>Chris</w:t>
      </w:r>
      <w:r>
        <w:rPr>
          <w:spacing w:val="-16"/>
          <w:w w:val="105"/>
        </w:rPr>
        <w:t> </w:t>
      </w:r>
      <w:r>
        <w:rPr>
          <w:w w:val="105"/>
        </w:rPr>
        <w:t>Salmon</w:t>
      </w:r>
      <w:r>
        <w:rPr>
          <w:spacing w:val="-14"/>
          <w:w w:val="105"/>
        </w:rPr>
        <w:t> </w:t>
      </w:r>
      <w:r>
        <w:rPr>
          <w:w w:val="105"/>
        </w:rPr>
        <w:t>announced</w:t>
      </w:r>
      <w:r>
        <w:rPr>
          <w:spacing w:val="-14"/>
          <w:w w:val="105"/>
        </w:rPr>
        <w:t> </w:t>
      </w:r>
      <w:r>
        <w:rPr>
          <w:w w:val="105"/>
        </w:rPr>
        <w:t>that</w:t>
      </w:r>
      <w:r>
        <w:rPr>
          <w:spacing w:val="-15"/>
          <w:w w:val="105"/>
        </w:rPr>
        <w:t> </w:t>
      </w:r>
      <w:r>
        <w:rPr>
          <w:w w:val="105"/>
        </w:rPr>
        <w:t>Troy</w:t>
      </w:r>
      <w:r>
        <w:rPr>
          <w:spacing w:val="-14"/>
          <w:w w:val="105"/>
        </w:rPr>
        <w:t> </w:t>
      </w:r>
      <w:r>
        <w:rPr>
          <w:w w:val="105"/>
        </w:rPr>
        <w:t>Rohrbaugh</w:t>
      </w:r>
      <w:r>
        <w:rPr>
          <w:spacing w:val="-15"/>
          <w:w w:val="105"/>
        </w:rPr>
        <w:t> </w:t>
      </w:r>
      <w:r>
        <w:rPr>
          <w:w w:val="105"/>
        </w:rPr>
        <w:t>(JP</w:t>
      </w:r>
      <w:r>
        <w:rPr>
          <w:spacing w:val="-15"/>
          <w:w w:val="105"/>
        </w:rPr>
        <w:t> </w:t>
      </w:r>
      <w:r>
        <w:rPr>
          <w:w w:val="105"/>
        </w:rPr>
        <w:t>Morgan)</w:t>
      </w:r>
      <w:r>
        <w:rPr>
          <w:spacing w:val="-15"/>
          <w:w w:val="105"/>
        </w:rPr>
        <w:t> </w:t>
      </w:r>
      <w:r>
        <w:rPr>
          <w:w w:val="105"/>
        </w:rPr>
        <w:t>and</w:t>
      </w:r>
      <w:r>
        <w:rPr>
          <w:spacing w:val="-15"/>
          <w:w w:val="105"/>
        </w:rPr>
        <w:t> </w:t>
      </w:r>
      <w:r>
        <w:rPr>
          <w:w w:val="105"/>
        </w:rPr>
        <w:t>Brian</w:t>
      </w:r>
      <w:r>
        <w:rPr>
          <w:spacing w:val="-16"/>
          <w:w w:val="105"/>
        </w:rPr>
        <w:t> </w:t>
      </w:r>
      <w:r>
        <w:rPr>
          <w:w w:val="105"/>
        </w:rPr>
        <w:t>Welch</w:t>
      </w:r>
      <w:r>
        <w:rPr>
          <w:spacing w:val="-15"/>
          <w:w w:val="105"/>
        </w:rPr>
        <w:t> </w:t>
      </w:r>
      <w:r>
        <w:rPr>
          <w:w w:val="105"/>
        </w:rPr>
        <w:t>(ACT) would</w:t>
      </w:r>
      <w:r>
        <w:rPr>
          <w:spacing w:val="-17"/>
          <w:w w:val="105"/>
        </w:rPr>
        <w:t> </w:t>
      </w:r>
      <w:r>
        <w:rPr>
          <w:w w:val="105"/>
        </w:rPr>
        <w:t>be</w:t>
      </w:r>
      <w:r>
        <w:rPr>
          <w:spacing w:val="-16"/>
          <w:w w:val="105"/>
        </w:rPr>
        <w:t> </w:t>
      </w:r>
      <w:r>
        <w:rPr>
          <w:w w:val="105"/>
        </w:rPr>
        <w:t>stepping</w:t>
      </w:r>
      <w:r>
        <w:rPr>
          <w:spacing w:val="-15"/>
          <w:w w:val="105"/>
        </w:rPr>
        <w:t> </w:t>
      </w:r>
      <w:r>
        <w:rPr>
          <w:w w:val="105"/>
        </w:rPr>
        <w:t>down</w:t>
      </w:r>
      <w:r>
        <w:rPr>
          <w:spacing w:val="-16"/>
          <w:w w:val="105"/>
        </w:rPr>
        <w:t> </w:t>
      </w:r>
      <w:r>
        <w:rPr>
          <w:w w:val="105"/>
        </w:rPr>
        <w:t>from</w:t>
      </w:r>
      <w:r>
        <w:rPr>
          <w:spacing w:val="-18"/>
          <w:w w:val="105"/>
        </w:rPr>
        <w:t> </w:t>
      </w:r>
      <w:r>
        <w:rPr>
          <w:w w:val="105"/>
        </w:rPr>
        <w:t>the</w:t>
      </w:r>
      <w:r>
        <w:rPr>
          <w:spacing w:val="-16"/>
          <w:w w:val="105"/>
        </w:rPr>
        <w:t> </w:t>
      </w:r>
      <w:r>
        <w:rPr>
          <w:w w:val="105"/>
        </w:rPr>
        <w:t>FXJSC</w:t>
      </w:r>
      <w:r>
        <w:rPr>
          <w:spacing w:val="-16"/>
          <w:w w:val="105"/>
        </w:rPr>
        <w:t> </w:t>
      </w:r>
      <w:r>
        <w:rPr>
          <w:w w:val="105"/>
        </w:rPr>
        <w:t>Main</w:t>
      </w:r>
      <w:r>
        <w:rPr>
          <w:spacing w:val="-16"/>
          <w:w w:val="105"/>
        </w:rPr>
        <w:t> </w:t>
      </w:r>
      <w:r>
        <w:rPr>
          <w:w w:val="105"/>
        </w:rPr>
        <w:t>Committee</w:t>
      </w:r>
      <w:r>
        <w:rPr>
          <w:spacing w:val="-17"/>
          <w:w w:val="105"/>
        </w:rPr>
        <w:t> </w:t>
      </w:r>
      <w:r>
        <w:rPr>
          <w:w w:val="105"/>
        </w:rPr>
        <w:t>and</w:t>
      </w:r>
      <w:r>
        <w:rPr>
          <w:spacing w:val="-16"/>
          <w:w w:val="105"/>
        </w:rPr>
        <w:t> </w:t>
      </w:r>
      <w:r>
        <w:rPr>
          <w:w w:val="105"/>
        </w:rPr>
        <w:t>thanked</w:t>
      </w:r>
      <w:r>
        <w:rPr>
          <w:spacing w:val="-16"/>
          <w:w w:val="105"/>
        </w:rPr>
        <w:t> </w:t>
      </w:r>
      <w:r>
        <w:rPr>
          <w:w w:val="105"/>
        </w:rPr>
        <w:t>both</w:t>
      </w:r>
      <w:r>
        <w:rPr>
          <w:spacing w:val="-16"/>
          <w:w w:val="105"/>
        </w:rPr>
        <w:t> </w:t>
      </w:r>
      <w:r>
        <w:rPr>
          <w:w w:val="105"/>
        </w:rPr>
        <w:t>for</w:t>
      </w:r>
      <w:r>
        <w:rPr>
          <w:spacing w:val="-16"/>
          <w:w w:val="105"/>
        </w:rPr>
        <w:t> </w:t>
      </w:r>
      <w:r>
        <w:rPr>
          <w:w w:val="105"/>
        </w:rPr>
        <w:t>their contributions to the FXJSC over a number of</w:t>
      </w:r>
      <w:r>
        <w:rPr>
          <w:spacing w:val="-29"/>
          <w:w w:val="105"/>
        </w:rPr>
        <w:t> </w:t>
      </w:r>
      <w:r>
        <w:rPr>
          <w:w w:val="105"/>
        </w:rPr>
        <w:t>years.</w:t>
      </w:r>
    </w:p>
    <w:p>
      <w:pPr>
        <w:pStyle w:val="BodyText"/>
        <w:spacing w:before="1"/>
        <w:rPr>
          <w:sz w:val="23"/>
        </w:rPr>
      </w:pPr>
    </w:p>
    <w:p>
      <w:pPr>
        <w:pStyle w:val="Heading1"/>
        <w:spacing w:line="491" w:lineRule="auto"/>
        <w:ind w:right="491"/>
      </w:pPr>
      <w:r>
        <w:rPr>
          <w:w w:val="105"/>
        </w:rPr>
        <w:t>The</w:t>
      </w:r>
      <w:r>
        <w:rPr>
          <w:spacing w:val="-13"/>
          <w:w w:val="105"/>
        </w:rPr>
        <w:t> </w:t>
      </w:r>
      <w:r>
        <w:rPr>
          <w:w w:val="105"/>
        </w:rPr>
        <w:t>next</w:t>
      </w:r>
      <w:r>
        <w:rPr>
          <w:spacing w:val="-13"/>
          <w:w w:val="105"/>
        </w:rPr>
        <w:t> </w:t>
      </w:r>
      <w:r>
        <w:rPr>
          <w:w w:val="105"/>
        </w:rPr>
        <w:t>meeting</w:t>
      </w:r>
      <w:r>
        <w:rPr>
          <w:spacing w:val="-13"/>
          <w:w w:val="105"/>
        </w:rPr>
        <w:t> </w:t>
      </w:r>
      <w:r>
        <w:rPr>
          <w:w w:val="105"/>
        </w:rPr>
        <w:t>of</w:t>
      </w:r>
      <w:r>
        <w:rPr>
          <w:spacing w:val="-13"/>
          <w:w w:val="105"/>
        </w:rPr>
        <w:t> </w:t>
      </w:r>
      <w:r>
        <w:rPr>
          <w:w w:val="105"/>
        </w:rPr>
        <w:t>the</w:t>
      </w:r>
      <w:r>
        <w:rPr>
          <w:spacing w:val="-14"/>
          <w:w w:val="105"/>
        </w:rPr>
        <w:t> </w:t>
      </w:r>
      <w:r>
        <w:rPr>
          <w:w w:val="105"/>
        </w:rPr>
        <w:t>FXJSC</w:t>
      </w:r>
      <w:r>
        <w:rPr>
          <w:spacing w:val="-12"/>
          <w:w w:val="105"/>
        </w:rPr>
        <w:t> </w:t>
      </w:r>
      <w:r>
        <w:rPr>
          <w:w w:val="105"/>
        </w:rPr>
        <w:t>will</w:t>
      </w:r>
      <w:r>
        <w:rPr>
          <w:spacing w:val="-13"/>
          <w:w w:val="105"/>
        </w:rPr>
        <w:t> </w:t>
      </w:r>
      <w:r>
        <w:rPr>
          <w:w w:val="105"/>
        </w:rPr>
        <w:t>be</w:t>
      </w:r>
      <w:r>
        <w:rPr>
          <w:spacing w:val="-14"/>
          <w:w w:val="105"/>
        </w:rPr>
        <w:t> </w:t>
      </w:r>
      <w:r>
        <w:rPr>
          <w:w w:val="105"/>
        </w:rPr>
        <w:t>held</w:t>
      </w:r>
      <w:r>
        <w:rPr>
          <w:spacing w:val="-12"/>
          <w:w w:val="105"/>
        </w:rPr>
        <w:t> </w:t>
      </w:r>
      <w:r>
        <w:rPr>
          <w:w w:val="105"/>
        </w:rPr>
        <w:t>on</w:t>
      </w:r>
      <w:r>
        <w:rPr>
          <w:spacing w:val="-12"/>
          <w:w w:val="105"/>
        </w:rPr>
        <w:t> </w:t>
      </w:r>
      <w:r>
        <w:rPr>
          <w:w w:val="105"/>
        </w:rPr>
        <w:t>17</w:t>
      </w:r>
      <w:r>
        <w:rPr>
          <w:spacing w:val="-13"/>
          <w:w w:val="105"/>
        </w:rPr>
        <w:t> </w:t>
      </w:r>
      <w:r>
        <w:rPr>
          <w:w w:val="105"/>
        </w:rPr>
        <w:t>November</w:t>
      </w:r>
      <w:r>
        <w:rPr>
          <w:spacing w:val="-13"/>
          <w:w w:val="105"/>
        </w:rPr>
        <w:t> </w:t>
      </w:r>
      <w:r>
        <w:rPr>
          <w:w w:val="105"/>
        </w:rPr>
        <w:t>at</w:t>
      </w:r>
      <w:r>
        <w:rPr>
          <w:spacing w:val="-13"/>
          <w:w w:val="105"/>
        </w:rPr>
        <w:t> </w:t>
      </w:r>
      <w:r>
        <w:rPr>
          <w:w w:val="105"/>
        </w:rPr>
        <w:t>the</w:t>
      </w:r>
      <w:r>
        <w:rPr>
          <w:spacing w:val="-14"/>
          <w:w w:val="105"/>
        </w:rPr>
        <w:t> </w:t>
      </w:r>
      <w:r>
        <w:rPr>
          <w:w w:val="105"/>
        </w:rPr>
        <w:t>Bank</w:t>
      </w:r>
      <w:r>
        <w:rPr>
          <w:spacing w:val="-13"/>
          <w:w w:val="105"/>
        </w:rPr>
        <w:t> </w:t>
      </w:r>
      <w:r>
        <w:rPr>
          <w:w w:val="105"/>
        </w:rPr>
        <w:t>of England.</w:t>
      </w:r>
    </w:p>
    <w:sectPr>
      <w:pgSz w:w="12240" w:h="15840"/>
      <w:pgMar w:top="1280" w:bottom="280" w:left="166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9" w:hanging="226"/>
        <w:jc w:val="right"/>
      </w:pPr>
      <w:rPr>
        <w:rFonts w:hint="default" w:ascii="Times New Roman" w:hAnsi="Times New Roman" w:eastAsia="Times New Roman" w:cs="Times New Roman"/>
        <w:b/>
        <w:bCs/>
        <w:spacing w:val="-1"/>
        <w:w w:val="102"/>
        <w:sz w:val="22"/>
        <w:szCs w:val="22"/>
      </w:rPr>
    </w:lvl>
    <w:lvl w:ilvl="1">
      <w:start w:val="0"/>
      <w:numFmt w:val="bullet"/>
      <w:lvlText w:val="•"/>
      <w:lvlJc w:val="left"/>
      <w:pPr>
        <w:ind w:left="1426" w:hanging="226"/>
      </w:pPr>
      <w:rPr>
        <w:rFonts w:hint="default"/>
      </w:rPr>
    </w:lvl>
    <w:lvl w:ilvl="2">
      <w:start w:val="0"/>
      <w:numFmt w:val="bullet"/>
      <w:lvlText w:val="•"/>
      <w:lvlJc w:val="left"/>
      <w:pPr>
        <w:ind w:left="2252" w:hanging="226"/>
      </w:pPr>
      <w:rPr>
        <w:rFonts w:hint="default"/>
      </w:rPr>
    </w:lvl>
    <w:lvl w:ilvl="3">
      <w:start w:val="0"/>
      <w:numFmt w:val="bullet"/>
      <w:lvlText w:val="•"/>
      <w:lvlJc w:val="left"/>
      <w:pPr>
        <w:ind w:left="3078" w:hanging="226"/>
      </w:pPr>
      <w:rPr>
        <w:rFonts w:hint="default"/>
      </w:rPr>
    </w:lvl>
    <w:lvl w:ilvl="4">
      <w:start w:val="0"/>
      <w:numFmt w:val="bullet"/>
      <w:lvlText w:val="•"/>
      <w:lvlJc w:val="left"/>
      <w:pPr>
        <w:ind w:left="3904" w:hanging="226"/>
      </w:pPr>
      <w:rPr>
        <w:rFonts w:hint="default"/>
      </w:rPr>
    </w:lvl>
    <w:lvl w:ilvl="5">
      <w:start w:val="0"/>
      <w:numFmt w:val="bullet"/>
      <w:lvlText w:val="•"/>
      <w:lvlJc w:val="left"/>
      <w:pPr>
        <w:ind w:left="4730" w:hanging="226"/>
      </w:pPr>
      <w:rPr>
        <w:rFonts w:hint="default"/>
      </w:rPr>
    </w:lvl>
    <w:lvl w:ilvl="6">
      <w:start w:val="0"/>
      <w:numFmt w:val="bullet"/>
      <w:lvlText w:val="•"/>
      <w:lvlJc w:val="left"/>
      <w:pPr>
        <w:ind w:left="5556" w:hanging="226"/>
      </w:pPr>
      <w:rPr>
        <w:rFonts w:hint="default"/>
      </w:rPr>
    </w:lvl>
    <w:lvl w:ilvl="7">
      <w:start w:val="0"/>
      <w:numFmt w:val="bullet"/>
      <w:lvlText w:val="•"/>
      <w:lvlJc w:val="left"/>
      <w:pPr>
        <w:ind w:left="6382" w:hanging="226"/>
      </w:pPr>
      <w:rPr>
        <w:rFonts w:hint="default"/>
      </w:rPr>
    </w:lvl>
    <w:lvl w:ilvl="8">
      <w:start w:val="0"/>
      <w:numFmt w:val="bullet"/>
      <w:lvlText w:val="•"/>
      <w:lvlJc w:val="left"/>
      <w:pPr>
        <w:ind w:left="7208" w:hanging="22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552"/>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92" w:hanging="341"/>
    </w:pPr>
    <w:rPr>
      <w:rFonts w:ascii="Times New Roman" w:hAnsi="Times New Roman" w:eastAsia="Times New Roman" w:cs="Times New Roman"/>
    </w:rPr>
  </w:style>
  <w:style w:styleId="TableParagraph" w:type="paragraph">
    <w:name w:val="Table Paragraph"/>
    <w:basedOn w:val="Normal"/>
    <w:uiPriority w:val="1"/>
    <w:qFormat/>
    <w:pPr>
      <w:spacing w:before="33"/>
      <w:ind w:left="1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Foreign Exchange Joint Standing Committee - September Minutes</dc:subject>
  <dc:title>Foreign Exchange Joint Standing Committee - September Minutes</dc:title>
  <dcterms:created xsi:type="dcterms:W3CDTF">2020-06-01T02:01:18Z</dcterms:created>
  <dcterms:modified xsi:type="dcterms:W3CDTF">2020-06-01T02:01:18Z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PScript5.dll Version 5.2.2</vt:lpwstr>
  </property>
  <property fmtid="{D5CDD505-2E9C-101B-9397-08002B2CF9AE}" pid="4" name="LastSaved">
    <vt:filetime>2020-06-01T00:00:00Z</vt:filetime>
  </property>
</Properties>
</file>