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16 August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86" w:right="2967" w:firstLine="0"/>
        <w:jc w:val="center"/>
        <w:rPr>
          <w:rFonts w:ascii="Book Antiqua"/>
          <w:b/>
          <w:sz w:val="48"/>
        </w:rPr>
      </w:pPr>
      <w:r>
        <w:rPr>
          <w:rFonts w:ascii="Book Antiqua"/>
          <w:b/>
          <w:sz w:val="48"/>
        </w:rPr>
        <w:t>2 and 3 August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2 and 3 August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http://www.bankofengland.co.uk/publications/minutes/mpc/pdf/2006/mpc0608.pdf</w:t>
        </w:r>
      </w:hyperlink>
    </w:p>
    <w:p>
      <w:pPr>
        <w:pStyle w:val="BodyText"/>
        <w:spacing w:before="6"/>
        <w:rPr>
          <w:rFonts w:ascii="Book Antiqua"/>
          <w:sz w:val="22"/>
        </w:rPr>
      </w:pPr>
    </w:p>
    <w:p>
      <w:pPr>
        <w:spacing w:line="288" w:lineRule="auto" w:before="0"/>
        <w:ind w:left="119" w:right="5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September will be published on 20 September</w:t>
      </w:r>
      <w:r>
        <w:rPr>
          <w:rFonts w:ascii="Book Antiqua" w:hAnsi="Book Antiqua"/>
          <w:spacing w:val="-3"/>
          <w:sz w:val="26"/>
        </w:rPr>
        <w:t> </w:t>
      </w:r>
      <w:r>
        <w:rPr>
          <w:rFonts w:ascii="Book Antiqua" w:hAnsi="Book Antiqua"/>
          <w:sz w:val="26"/>
        </w:rPr>
        <w:t>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1"/>
        <w:rPr>
          <w:rFonts w:ascii="Book Antiqua"/>
          <w:sz w:val="26"/>
        </w:rPr>
      </w:pPr>
      <w:r>
        <w:rPr/>
        <w:drawing>
          <wp:anchor distT="0" distB="0" distL="0" distR="0" allowOverlap="1" layoutInCell="1" locked="0" behindDoc="0" simplePos="0" relativeHeight="2">
            <wp:simplePos x="0" y="0"/>
            <wp:positionH relativeFrom="page">
              <wp:posOffset>5581650</wp:posOffset>
            </wp:positionH>
            <wp:positionV relativeFrom="paragraph">
              <wp:posOffset>237139</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6"/>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8"/>
        <w:rPr>
          <w:rFonts w:ascii="Book Antiqua"/>
          <w:sz w:val="29"/>
        </w:rPr>
      </w:pPr>
    </w:p>
    <w:p>
      <w:pPr>
        <w:spacing w:line="249" w:lineRule="auto" w:before="94"/>
        <w:ind w:left="368" w:right="543" w:firstLine="0"/>
        <w:jc w:val="left"/>
        <w:rPr>
          <w:b/>
          <w:sz w:val="27"/>
        </w:rPr>
      </w:pPr>
      <w:r>
        <w:rPr>
          <w:b/>
          <w:sz w:val="27"/>
        </w:rPr>
        <w:t>MINUTES OF THE MONETARY POLICY COMMITTEE MEETING HELD ON 2-3 AUGUST 2006</w:t>
      </w:r>
    </w:p>
    <w:p>
      <w:pPr>
        <w:pStyle w:val="BodyText"/>
        <w:rPr>
          <w:b/>
          <w:sz w:val="30"/>
        </w:rPr>
      </w:pPr>
    </w:p>
    <w:p>
      <w:pPr>
        <w:pStyle w:val="ListParagraph"/>
        <w:numPr>
          <w:ilvl w:val="0"/>
          <w:numId w:val="1"/>
        </w:numPr>
        <w:tabs>
          <w:tab w:pos="931" w:val="left" w:leader="none"/>
          <w:tab w:pos="932" w:val="left" w:leader="none"/>
        </w:tabs>
        <w:spacing w:line="360" w:lineRule="auto" w:before="201" w:after="0"/>
        <w:ind w:left="367" w:right="649" w:firstLine="0"/>
        <w:jc w:val="left"/>
        <w:rPr>
          <w:sz w:val="24"/>
        </w:rPr>
      </w:pPr>
      <w:r>
        <w:rPr>
          <w:sz w:val="24"/>
        </w:rPr>
        <w:t>Before turning to its immediate policy decision, and against the background of its latest projections for output and inflation, the Committee discussed financial market developments; </w:t>
      </w:r>
      <w:r>
        <w:rPr>
          <w:spacing w:val="-2"/>
          <w:sz w:val="24"/>
        </w:rPr>
        <w:t>the </w:t>
      </w:r>
      <w:r>
        <w:rPr>
          <w:sz w:val="24"/>
        </w:rPr>
        <w:t>international economy; money, credit, demand and output; </w:t>
      </w:r>
      <w:r>
        <w:rPr>
          <w:spacing w:val="-6"/>
          <w:sz w:val="24"/>
        </w:rPr>
        <w:t>and </w:t>
      </w:r>
      <w:r>
        <w:rPr>
          <w:sz w:val="24"/>
        </w:rPr>
        <w:t>costs and</w:t>
      </w:r>
      <w:r>
        <w:rPr>
          <w:spacing w:val="5"/>
          <w:sz w:val="24"/>
        </w:rPr>
        <w:t> </w:t>
      </w:r>
      <w:r>
        <w:rPr>
          <w:sz w:val="24"/>
        </w:rPr>
        <w:t>prices.</w:t>
      </w:r>
    </w:p>
    <w:p>
      <w:pPr>
        <w:pStyle w:val="BodyText"/>
        <w:rPr>
          <w:sz w:val="36"/>
        </w:rPr>
      </w:pPr>
    </w:p>
    <w:p>
      <w:pPr>
        <w:pStyle w:val="Heading2"/>
        <w:spacing w:before="1"/>
      </w:pPr>
      <w:r>
        <w:rPr/>
        <w:t>Financial markets</w:t>
      </w:r>
    </w:p>
    <w:p>
      <w:pPr>
        <w:pStyle w:val="BodyText"/>
        <w:rPr>
          <w:b/>
          <w:sz w:val="26"/>
        </w:rPr>
      </w:pPr>
    </w:p>
    <w:p>
      <w:pPr>
        <w:pStyle w:val="BodyText"/>
        <w:spacing w:before="11"/>
        <w:rPr>
          <w:b/>
          <w:sz w:val="21"/>
        </w:rPr>
      </w:pPr>
    </w:p>
    <w:p>
      <w:pPr>
        <w:pStyle w:val="ListParagraph"/>
        <w:numPr>
          <w:ilvl w:val="0"/>
          <w:numId w:val="1"/>
        </w:numPr>
        <w:tabs>
          <w:tab w:pos="931" w:val="left" w:leader="none"/>
          <w:tab w:pos="932" w:val="left" w:leader="none"/>
        </w:tabs>
        <w:spacing w:line="360" w:lineRule="auto" w:before="0" w:after="0"/>
        <w:ind w:left="368" w:right="234" w:firstLine="0"/>
        <w:jc w:val="left"/>
        <w:rPr>
          <w:sz w:val="24"/>
        </w:rPr>
      </w:pPr>
      <w:r>
        <w:rPr>
          <w:sz w:val="24"/>
        </w:rPr>
        <w:t>There had been relatively little news from financial markets since the July MPC </w:t>
      </w:r>
      <w:r>
        <w:rPr>
          <w:spacing w:val="-3"/>
          <w:sz w:val="24"/>
        </w:rPr>
        <w:t>meeting. </w:t>
      </w:r>
      <w:r>
        <w:rPr>
          <w:sz w:val="24"/>
        </w:rPr>
        <w:t>Short- term </w:t>
      </w:r>
      <w:r>
        <w:rPr>
          <w:spacing w:val="-4"/>
          <w:sz w:val="24"/>
        </w:rPr>
        <w:t>market </w:t>
      </w:r>
      <w:r>
        <w:rPr>
          <w:sz w:val="24"/>
        </w:rPr>
        <w:t>interest rates had fallen in the United Kingdom during the first part of the </w:t>
      </w:r>
      <w:r>
        <w:rPr>
          <w:spacing w:val="-3"/>
          <w:sz w:val="24"/>
        </w:rPr>
        <w:t>month, </w:t>
      </w:r>
      <w:r>
        <w:rPr>
          <w:sz w:val="24"/>
        </w:rPr>
        <w:t>but had risen following the stronger-than-expected CPI data on 18 July to end the period little changed. Market prices implied one rate rise in 2006 and a further rise in 2007. Implied volatility of short-term interest rates </w:t>
      </w:r>
      <w:r>
        <w:rPr>
          <w:spacing w:val="-3"/>
          <w:sz w:val="24"/>
        </w:rPr>
        <w:t>had </w:t>
      </w:r>
      <w:r>
        <w:rPr>
          <w:sz w:val="24"/>
        </w:rPr>
        <w:t>also increased </w:t>
      </w:r>
      <w:r>
        <w:rPr>
          <w:spacing w:val="-3"/>
          <w:sz w:val="24"/>
        </w:rPr>
        <w:t>over </w:t>
      </w:r>
      <w:r>
        <w:rPr>
          <w:sz w:val="24"/>
        </w:rPr>
        <w:t>the </w:t>
      </w:r>
      <w:r>
        <w:rPr>
          <w:spacing w:val="-5"/>
          <w:sz w:val="24"/>
        </w:rPr>
        <w:t>month, </w:t>
      </w:r>
      <w:r>
        <w:rPr>
          <w:sz w:val="24"/>
        </w:rPr>
        <w:t>suggesting heightened uncertainty about the decision to be made at the August </w:t>
      </w:r>
      <w:r>
        <w:rPr>
          <w:spacing w:val="-4"/>
          <w:sz w:val="24"/>
        </w:rPr>
        <w:t>meeting. </w:t>
      </w:r>
      <w:r>
        <w:rPr>
          <w:sz w:val="24"/>
        </w:rPr>
        <w:t>In a poll conducted by Reuters, 7 out of 46 private sector economists had expected an increase in</w:t>
      </w:r>
      <w:r>
        <w:rPr>
          <w:spacing w:val="9"/>
          <w:sz w:val="24"/>
        </w:rPr>
        <w:t> </w:t>
      </w:r>
      <w:r>
        <w:rPr>
          <w:spacing w:val="-4"/>
          <w:sz w:val="24"/>
        </w:rPr>
        <w:t>August.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29" w:firstLine="0"/>
        <w:jc w:val="left"/>
        <w:rPr>
          <w:sz w:val="24"/>
        </w:rPr>
      </w:pPr>
      <w:r>
        <w:rPr>
          <w:sz w:val="24"/>
        </w:rPr>
        <w:t>Euro-area short-term interest rates were lower on </w:t>
      </w:r>
      <w:r>
        <w:rPr>
          <w:spacing w:val="-3"/>
          <w:sz w:val="24"/>
        </w:rPr>
        <w:t>the </w:t>
      </w:r>
      <w:r>
        <w:rPr>
          <w:spacing w:val="-4"/>
          <w:sz w:val="24"/>
        </w:rPr>
        <w:t>month </w:t>
      </w:r>
      <w:r>
        <w:rPr>
          <w:sz w:val="24"/>
        </w:rPr>
        <w:t>by </w:t>
      </w:r>
      <w:r>
        <w:rPr>
          <w:spacing w:val="-3"/>
          <w:sz w:val="24"/>
        </w:rPr>
        <w:t>around </w:t>
      </w:r>
      <w:r>
        <w:rPr>
          <w:sz w:val="24"/>
        </w:rPr>
        <w:t>10 basis points and in </w:t>
      </w:r>
      <w:r>
        <w:rPr>
          <w:spacing w:val="-3"/>
          <w:sz w:val="24"/>
        </w:rPr>
        <w:t>the </w:t>
      </w:r>
      <w:r>
        <w:rPr>
          <w:sz w:val="24"/>
        </w:rPr>
        <w:t>United States short-term rates had fallen by </w:t>
      </w:r>
      <w:r>
        <w:rPr>
          <w:spacing w:val="-4"/>
          <w:sz w:val="24"/>
        </w:rPr>
        <w:t>around </w:t>
      </w:r>
      <w:r>
        <w:rPr>
          <w:sz w:val="24"/>
        </w:rPr>
        <w:t>25 basis points. </w:t>
      </w:r>
      <w:r>
        <w:rPr>
          <w:spacing w:val="-4"/>
          <w:sz w:val="24"/>
        </w:rPr>
        <w:t>The </w:t>
      </w:r>
      <w:r>
        <w:rPr>
          <w:sz w:val="24"/>
        </w:rPr>
        <w:t>decline in US rates seemed to reflect the markets’ interpretation of public testimony by the Chairman of the Federal Open Markets Committee on July 19, as well as weaker-than-expected data on employment and output.</w:t>
      </w:r>
      <w:r>
        <w:rPr>
          <w:spacing w:val="17"/>
          <w:sz w:val="24"/>
        </w:rPr>
        <w:t> </w:t>
      </w:r>
      <w:r>
        <w:rPr>
          <w:sz w:val="24"/>
        </w:rPr>
        <w:t>Longer-term nominal and real interest rates had fallen by 10-25 basis points in the </w:t>
      </w:r>
      <w:r>
        <w:rPr>
          <w:spacing w:val="-5"/>
          <w:sz w:val="24"/>
        </w:rPr>
        <w:t>United </w:t>
      </w:r>
      <w:r>
        <w:rPr>
          <w:sz w:val="24"/>
        </w:rPr>
        <w:t>States, the euro area and the United</w:t>
      </w:r>
      <w:r>
        <w:rPr>
          <w:spacing w:val="7"/>
          <w:sz w:val="24"/>
        </w:rPr>
        <w:t> </w:t>
      </w:r>
      <w:r>
        <w:rPr>
          <w:spacing w:val="-6"/>
          <w:sz w:val="24"/>
        </w:rPr>
        <w:t>Kingdom.</w:t>
      </w:r>
    </w:p>
    <w:p>
      <w:pPr>
        <w:pStyle w:val="BodyText"/>
        <w:spacing w:before="6"/>
        <w:rPr>
          <w:sz w:val="35"/>
        </w:rPr>
      </w:pPr>
    </w:p>
    <w:p>
      <w:pPr>
        <w:pStyle w:val="ListParagraph"/>
        <w:numPr>
          <w:ilvl w:val="0"/>
          <w:numId w:val="1"/>
        </w:numPr>
        <w:tabs>
          <w:tab w:pos="931" w:val="left" w:leader="none"/>
          <w:tab w:pos="932" w:val="left" w:leader="none"/>
        </w:tabs>
        <w:spacing w:line="362" w:lineRule="auto" w:before="0" w:after="0"/>
        <w:ind w:left="368" w:right="449" w:firstLine="0"/>
        <w:jc w:val="left"/>
        <w:rPr>
          <w:sz w:val="24"/>
        </w:rPr>
      </w:pPr>
      <w:r>
        <w:rPr>
          <w:sz w:val="24"/>
        </w:rPr>
        <w:t>Consistent with developments in interest rate differentials, the sterling effective exchange rate index had risen by nearly 2% on the month, leaving it around 3% above the May </w:t>
      </w:r>
      <w:r>
        <w:rPr>
          <w:i/>
          <w:sz w:val="24"/>
        </w:rPr>
        <w:t>Inflation Report </w:t>
      </w:r>
      <w:r>
        <w:rPr>
          <w:sz w:val="24"/>
        </w:rPr>
        <w:t>forecast path. Equity prices in the major economies had </w:t>
      </w:r>
      <w:r>
        <w:rPr>
          <w:spacing w:val="-3"/>
          <w:sz w:val="24"/>
        </w:rPr>
        <w:t>initially </w:t>
      </w:r>
      <w:r>
        <w:rPr>
          <w:sz w:val="24"/>
        </w:rPr>
        <w:t>fallen after the start of hostilities in Lebanon, but had recovered later to be little </w:t>
      </w:r>
      <w:r>
        <w:rPr>
          <w:spacing w:val="-3"/>
          <w:sz w:val="24"/>
        </w:rPr>
        <w:t>changed </w:t>
      </w:r>
      <w:r>
        <w:rPr>
          <w:sz w:val="24"/>
        </w:rPr>
        <w:t>on the</w:t>
      </w:r>
      <w:r>
        <w:rPr>
          <w:spacing w:val="18"/>
          <w:sz w:val="24"/>
        </w:rPr>
        <w:t> </w:t>
      </w:r>
      <w:r>
        <w:rPr>
          <w:spacing w:val="-3"/>
          <w:sz w:val="24"/>
        </w:rPr>
        <w:t>month.</w:t>
      </w:r>
    </w:p>
    <w:p>
      <w:pPr>
        <w:pStyle w:val="BodyText"/>
        <w:spacing w:before="7"/>
        <w:rPr>
          <w:sz w:val="35"/>
        </w:rPr>
      </w:pPr>
    </w:p>
    <w:p>
      <w:pPr>
        <w:pStyle w:val="ListParagraph"/>
        <w:numPr>
          <w:ilvl w:val="0"/>
          <w:numId w:val="1"/>
        </w:numPr>
        <w:tabs>
          <w:tab w:pos="931" w:val="left" w:leader="none"/>
          <w:tab w:pos="932" w:val="left" w:leader="none"/>
        </w:tabs>
        <w:spacing w:line="355" w:lineRule="auto" w:before="0" w:after="0"/>
        <w:ind w:left="368" w:right="416" w:firstLine="0"/>
        <w:jc w:val="left"/>
        <w:rPr>
          <w:sz w:val="24"/>
        </w:rPr>
      </w:pPr>
      <w:r>
        <w:rPr>
          <w:sz w:val="24"/>
        </w:rPr>
        <w:t>In</w:t>
      </w:r>
      <w:r>
        <w:rPr>
          <w:spacing w:val="-4"/>
          <w:sz w:val="24"/>
        </w:rPr>
        <w:t> </w:t>
      </w:r>
      <w:r>
        <w:rPr>
          <w:sz w:val="24"/>
        </w:rPr>
        <w:t>a</w:t>
      </w:r>
      <w:r>
        <w:rPr>
          <w:spacing w:val="-3"/>
          <w:sz w:val="24"/>
        </w:rPr>
        <w:t> </w:t>
      </w:r>
      <w:r>
        <w:rPr>
          <w:sz w:val="24"/>
        </w:rPr>
        <w:t>widely</w:t>
      </w:r>
      <w:r>
        <w:rPr>
          <w:spacing w:val="-3"/>
          <w:sz w:val="24"/>
        </w:rPr>
        <w:t> </w:t>
      </w:r>
      <w:r>
        <w:rPr>
          <w:sz w:val="24"/>
        </w:rPr>
        <w:t>anticipated</w:t>
      </w:r>
      <w:r>
        <w:rPr>
          <w:spacing w:val="-3"/>
          <w:sz w:val="24"/>
        </w:rPr>
        <w:t> </w:t>
      </w:r>
      <w:r>
        <w:rPr>
          <w:sz w:val="24"/>
        </w:rPr>
        <w:t>move,</w:t>
      </w:r>
      <w:r>
        <w:rPr>
          <w:spacing w:val="-3"/>
          <w:sz w:val="24"/>
        </w:rPr>
        <w:t> </w:t>
      </w:r>
      <w:r>
        <w:rPr>
          <w:sz w:val="24"/>
        </w:rPr>
        <w:t>the</w:t>
      </w:r>
      <w:r>
        <w:rPr>
          <w:spacing w:val="-3"/>
          <w:sz w:val="24"/>
        </w:rPr>
        <w:t> </w:t>
      </w:r>
      <w:r>
        <w:rPr>
          <w:sz w:val="24"/>
        </w:rPr>
        <w:t>Bank</w:t>
      </w:r>
      <w:r>
        <w:rPr>
          <w:spacing w:val="-3"/>
          <w:sz w:val="24"/>
        </w:rPr>
        <w:t> </w:t>
      </w:r>
      <w:r>
        <w:rPr>
          <w:sz w:val="24"/>
        </w:rPr>
        <w:t>of</w:t>
      </w:r>
      <w:r>
        <w:rPr>
          <w:spacing w:val="-4"/>
          <w:sz w:val="24"/>
        </w:rPr>
        <w:t> </w:t>
      </w:r>
      <w:r>
        <w:rPr>
          <w:sz w:val="24"/>
        </w:rPr>
        <w:t>Japan</w:t>
      </w:r>
      <w:r>
        <w:rPr>
          <w:spacing w:val="-3"/>
          <w:sz w:val="24"/>
        </w:rPr>
        <w:t> </w:t>
      </w:r>
      <w:r>
        <w:rPr>
          <w:sz w:val="24"/>
        </w:rPr>
        <w:t>had</w:t>
      </w:r>
      <w:r>
        <w:rPr>
          <w:spacing w:val="-3"/>
          <w:sz w:val="24"/>
        </w:rPr>
        <w:t> </w:t>
      </w:r>
      <w:r>
        <w:rPr>
          <w:sz w:val="24"/>
        </w:rPr>
        <w:t>brought</w:t>
      </w:r>
      <w:r>
        <w:rPr>
          <w:spacing w:val="-5"/>
          <w:sz w:val="24"/>
        </w:rPr>
        <w:t> </w:t>
      </w:r>
      <w:r>
        <w:rPr>
          <w:sz w:val="24"/>
        </w:rPr>
        <w:t>to</w:t>
      </w:r>
      <w:r>
        <w:rPr>
          <w:spacing w:val="-5"/>
          <w:sz w:val="24"/>
        </w:rPr>
        <w:t> </w:t>
      </w:r>
      <w:r>
        <w:rPr>
          <w:sz w:val="24"/>
        </w:rPr>
        <w:t>an</w:t>
      </w:r>
      <w:r>
        <w:rPr>
          <w:spacing w:val="-5"/>
          <w:sz w:val="24"/>
        </w:rPr>
        <w:t> </w:t>
      </w:r>
      <w:r>
        <w:rPr>
          <w:sz w:val="24"/>
        </w:rPr>
        <w:t>end</w:t>
      </w:r>
      <w:r>
        <w:rPr>
          <w:spacing w:val="-5"/>
          <w:sz w:val="24"/>
        </w:rPr>
        <w:t> </w:t>
      </w:r>
      <w:r>
        <w:rPr>
          <w:sz w:val="24"/>
        </w:rPr>
        <w:t>its</w:t>
      </w:r>
      <w:r>
        <w:rPr>
          <w:spacing w:val="-5"/>
          <w:sz w:val="24"/>
        </w:rPr>
        <w:t> </w:t>
      </w:r>
      <w:r>
        <w:rPr>
          <w:sz w:val="24"/>
        </w:rPr>
        <w:t>long-standing</w:t>
      </w:r>
      <w:r>
        <w:rPr>
          <w:spacing w:val="-11"/>
          <w:sz w:val="24"/>
        </w:rPr>
        <w:t> </w:t>
      </w:r>
      <w:r>
        <w:rPr>
          <w:sz w:val="24"/>
        </w:rPr>
        <w:t>policy of zero </w:t>
      </w:r>
      <w:r>
        <w:rPr>
          <w:spacing w:val="-3"/>
          <w:sz w:val="24"/>
        </w:rPr>
        <w:t>short-term </w:t>
      </w:r>
      <w:r>
        <w:rPr>
          <w:sz w:val="24"/>
        </w:rPr>
        <w:t>interest rates, raising rates to 0.25% on July</w:t>
      </w:r>
      <w:r>
        <w:rPr>
          <w:spacing w:val="11"/>
          <w:sz w:val="24"/>
        </w:rPr>
        <w:t> </w:t>
      </w:r>
      <w:r>
        <w:rPr>
          <w:sz w:val="24"/>
        </w:rPr>
        <w:t>14.</w:t>
      </w:r>
    </w:p>
    <w:p>
      <w:pPr>
        <w:spacing w:after="0" w:line="355" w:lineRule="auto"/>
        <w:jc w:val="left"/>
        <w:rPr>
          <w:sz w:val="24"/>
        </w:rPr>
        <w:sectPr>
          <w:pgSz w:w="11900" w:h="16840"/>
          <w:pgMar w:top="1600" w:bottom="280" w:left="760" w:right="700"/>
        </w:sectPr>
      </w:pPr>
    </w:p>
    <w:p>
      <w:pPr>
        <w:pStyle w:val="BodyText"/>
        <w:rPr>
          <w:sz w:val="20"/>
        </w:rPr>
      </w:pPr>
    </w:p>
    <w:p>
      <w:pPr>
        <w:pStyle w:val="BodyText"/>
        <w:spacing w:before="2"/>
        <w:rPr>
          <w:sz w:val="20"/>
        </w:rPr>
      </w:pPr>
    </w:p>
    <w:p>
      <w:pPr>
        <w:pStyle w:val="Heading2"/>
        <w:spacing w:before="90"/>
        <w:ind w:left="368"/>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627" w:firstLine="0"/>
        <w:jc w:val="left"/>
        <w:rPr>
          <w:sz w:val="24"/>
        </w:rPr>
      </w:pPr>
      <w:r>
        <w:rPr>
          <w:sz w:val="24"/>
        </w:rPr>
        <w:t>Oil</w:t>
      </w:r>
      <w:r>
        <w:rPr>
          <w:spacing w:val="-5"/>
          <w:sz w:val="24"/>
        </w:rPr>
        <w:t> </w:t>
      </w:r>
      <w:r>
        <w:rPr>
          <w:sz w:val="24"/>
        </w:rPr>
        <w:t>prices</w:t>
      </w:r>
      <w:r>
        <w:rPr>
          <w:spacing w:val="-5"/>
          <w:sz w:val="24"/>
        </w:rPr>
        <w:t> </w:t>
      </w:r>
      <w:r>
        <w:rPr>
          <w:sz w:val="24"/>
        </w:rPr>
        <w:t>had</w:t>
      </w:r>
      <w:r>
        <w:rPr>
          <w:spacing w:val="-4"/>
          <w:sz w:val="24"/>
        </w:rPr>
        <w:t> </w:t>
      </w:r>
      <w:r>
        <w:rPr>
          <w:sz w:val="24"/>
        </w:rPr>
        <w:t>been</w:t>
      </w:r>
      <w:r>
        <w:rPr>
          <w:spacing w:val="-15"/>
          <w:sz w:val="24"/>
        </w:rPr>
        <w:t> </w:t>
      </w:r>
      <w:r>
        <w:rPr>
          <w:sz w:val="24"/>
        </w:rPr>
        <w:t>volatile,</w:t>
      </w:r>
      <w:r>
        <w:rPr>
          <w:spacing w:val="-3"/>
          <w:sz w:val="24"/>
        </w:rPr>
        <w:t> </w:t>
      </w:r>
      <w:r>
        <w:rPr>
          <w:sz w:val="24"/>
        </w:rPr>
        <w:t>primarily</w:t>
      </w:r>
      <w:r>
        <w:rPr>
          <w:spacing w:val="-5"/>
          <w:sz w:val="24"/>
        </w:rPr>
        <w:t> </w:t>
      </w:r>
      <w:r>
        <w:rPr>
          <w:sz w:val="24"/>
        </w:rPr>
        <w:t>reflecting</w:t>
      </w:r>
      <w:r>
        <w:rPr>
          <w:spacing w:val="-3"/>
          <w:sz w:val="24"/>
        </w:rPr>
        <w:t> </w:t>
      </w:r>
      <w:r>
        <w:rPr>
          <w:sz w:val="24"/>
        </w:rPr>
        <w:t>concerns</w:t>
      </w:r>
      <w:r>
        <w:rPr>
          <w:spacing w:val="-2"/>
          <w:sz w:val="24"/>
        </w:rPr>
        <w:t> </w:t>
      </w:r>
      <w:r>
        <w:rPr>
          <w:sz w:val="24"/>
        </w:rPr>
        <w:t>about</w:t>
      </w:r>
      <w:r>
        <w:rPr>
          <w:spacing w:val="-3"/>
          <w:sz w:val="24"/>
        </w:rPr>
        <w:t> </w:t>
      </w:r>
      <w:r>
        <w:rPr>
          <w:sz w:val="24"/>
        </w:rPr>
        <w:t>developments</w:t>
      </w:r>
      <w:r>
        <w:rPr>
          <w:spacing w:val="-3"/>
          <w:sz w:val="24"/>
        </w:rPr>
        <w:t> </w:t>
      </w:r>
      <w:r>
        <w:rPr>
          <w:sz w:val="24"/>
        </w:rPr>
        <w:t>in</w:t>
      </w:r>
      <w:r>
        <w:rPr>
          <w:spacing w:val="-3"/>
          <w:sz w:val="24"/>
        </w:rPr>
        <w:t> </w:t>
      </w:r>
      <w:r>
        <w:rPr>
          <w:sz w:val="24"/>
        </w:rPr>
        <w:t>the</w:t>
      </w:r>
      <w:r>
        <w:rPr>
          <w:spacing w:val="-3"/>
          <w:sz w:val="24"/>
        </w:rPr>
        <w:t> </w:t>
      </w:r>
      <w:r>
        <w:rPr>
          <w:sz w:val="24"/>
        </w:rPr>
        <w:t>Middle </w:t>
      </w:r>
      <w:r>
        <w:rPr>
          <w:spacing w:val="-3"/>
          <w:sz w:val="24"/>
        </w:rPr>
        <w:t>East. </w:t>
      </w:r>
      <w:r>
        <w:rPr>
          <w:sz w:val="24"/>
        </w:rPr>
        <w:t>By the start of the MPC </w:t>
      </w:r>
      <w:r>
        <w:rPr>
          <w:spacing w:val="-3"/>
          <w:sz w:val="24"/>
        </w:rPr>
        <w:t>meeting, </w:t>
      </w:r>
      <w:r>
        <w:rPr>
          <w:sz w:val="24"/>
        </w:rPr>
        <w:t>the price of a barrel of Brent Crude had risen to over $77 despite rising OPEC production and US oil</w:t>
      </w:r>
      <w:r>
        <w:rPr>
          <w:spacing w:val="8"/>
          <w:sz w:val="24"/>
        </w:rPr>
        <w:t> </w:t>
      </w:r>
      <w:r>
        <w:rPr>
          <w:sz w:val="24"/>
        </w:rPr>
        <w:t>stocks.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8" w:firstLine="0"/>
        <w:jc w:val="left"/>
        <w:rPr>
          <w:sz w:val="24"/>
        </w:rPr>
      </w:pPr>
      <w:r>
        <w:rPr>
          <w:sz w:val="24"/>
        </w:rPr>
        <w:t>In the United States, GDP growth in the second quarter had been estimated at 0.6% following unsustainably strong growth of 1.4% in the first quarter. Some slowdown had been expected in consumption, consistent with a softer housing market, but investment growth had been </w:t>
      </w:r>
      <w:r>
        <w:rPr>
          <w:spacing w:val="-2"/>
          <w:sz w:val="24"/>
        </w:rPr>
        <w:t>unexpectedly </w:t>
      </w:r>
      <w:r>
        <w:rPr>
          <w:sz w:val="24"/>
        </w:rPr>
        <w:t>weak. There had also been substantial revisions to earlier data, leaving the level of real GDP some 0.8% lower than previously estimated, </w:t>
      </w:r>
      <w:r>
        <w:rPr>
          <w:spacing w:val="-6"/>
          <w:sz w:val="24"/>
        </w:rPr>
        <w:t>and </w:t>
      </w:r>
      <w:r>
        <w:rPr>
          <w:sz w:val="24"/>
        </w:rPr>
        <w:t>upward revisions to price deflators. In particular, the inflation rate of the core deflator for personal consumption expenditures </w:t>
      </w:r>
      <w:r>
        <w:rPr>
          <w:spacing w:val="-3"/>
          <w:sz w:val="24"/>
        </w:rPr>
        <w:t>(PCE) </w:t>
      </w:r>
      <w:r>
        <w:rPr>
          <w:sz w:val="24"/>
        </w:rPr>
        <w:t>now looked to have stabilized at over 2.0% during 2005 – rather than drifting lower – </w:t>
      </w:r>
      <w:r>
        <w:rPr>
          <w:spacing w:val="-3"/>
          <w:sz w:val="24"/>
        </w:rPr>
        <w:t>and had </w:t>
      </w:r>
      <w:r>
        <w:rPr>
          <w:sz w:val="24"/>
        </w:rPr>
        <w:t>risen to 2.4% in June 2006. It was likely that productivity data due to be released the following week would show commensurate downward</w:t>
      </w:r>
      <w:r>
        <w:rPr>
          <w:spacing w:val="-5"/>
          <w:sz w:val="24"/>
        </w:rPr>
        <w:t> </w:t>
      </w:r>
      <w:r>
        <w:rPr>
          <w:sz w:val="24"/>
        </w:rPr>
        <w:t>revisions,</w:t>
      </w:r>
      <w:r>
        <w:rPr>
          <w:spacing w:val="-5"/>
          <w:sz w:val="24"/>
        </w:rPr>
        <w:t> </w:t>
      </w:r>
      <w:r>
        <w:rPr>
          <w:sz w:val="24"/>
        </w:rPr>
        <w:t>raising</w:t>
      </w:r>
      <w:r>
        <w:rPr>
          <w:spacing w:val="-5"/>
          <w:sz w:val="24"/>
        </w:rPr>
        <w:t> </w:t>
      </w:r>
      <w:r>
        <w:rPr>
          <w:sz w:val="24"/>
        </w:rPr>
        <w:t>the</w:t>
      </w:r>
      <w:r>
        <w:rPr>
          <w:spacing w:val="-5"/>
          <w:sz w:val="24"/>
        </w:rPr>
        <w:t> </w:t>
      </w:r>
      <w:r>
        <w:rPr>
          <w:sz w:val="24"/>
        </w:rPr>
        <w:t>possibility</w:t>
      </w:r>
      <w:r>
        <w:rPr>
          <w:spacing w:val="-5"/>
          <w:sz w:val="24"/>
        </w:rPr>
        <w:t> </w:t>
      </w:r>
      <w:r>
        <w:rPr>
          <w:sz w:val="24"/>
        </w:rPr>
        <w:t>that</w:t>
      </w:r>
      <w:r>
        <w:rPr>
          <w:spacing w:val="-5"/>
          <w:sz w:val="24"/>
        </w:rPr>
        <w:t> </w:t>
      </w:r>
      <w:r>
        <w:rPr>
          <w:sz w:val="24"/>
        </w:rPr>
        <w:t>the</w:t>
      </w:r>
      <w:r>
        <w:rPr>
          <w:spacing w:val="-5"/>
          <w:sz w:val="24"/>
        </w:rPr>
        <w:t> </w:t>
      </w:r>
      <w:r>
        <w:rPr>
          <w:sz w:val="24"/>
        </w:rPr>
        <w:t>growth</w:t>
      </w:r>
      <w:r>
        <w:rPr>
          <w:spacing w:val="7"/>
          <w:sz w:val="24"/>
        </w:rPr>
        <w:t> </w:t>
      </w:r>
      <w:r>
        <w:rPr>
          <w:sz w:val="24"/>
        </w:rPr>
        <w:t>rate</w:t>
      </w:r>
      <w:r>
        <w:rPr>
          <w:spacing w:val="-7"/>
          <w:sz w:val="24"/>
        </w:rPr>
        <w:t> </w:t>
      </w:r>
      <w:r>
        <w:rPr>
          <w:sz w:val="24"/>
        </w:rPr>
        <w:t>of</w:t>
      </w:r>
      <w:r>
        <w:rPr>
          <w:spacing w:val="-6"/>
          <w:sz w:val="24"/>
        </w:rPr>
        <w:t> </w:t>
      </w:r>
      <w:r>
        <w:rPr>
          <w:sz w:val="24"/>
        </w:rPr>
        <w:t>potential</w:t>
      </w:r>
      <w:r>
        <w:rPr>
          <w:spacing w:val="-12"/>
          <w:sz w:val="24"/>
        </w:rPr>
        <w:t> </w:t>
      </w:r>
      <w:r>
        <w:rPr>
          <w:sz w:val="24"/>
        </w:rPr>
        <w:t>output</w:t>
      </w:r>
      <w:r>
        <w:rPr>
          <w:spacing w:val="1"/>
          <w:sz w:val="24"/>
        </w:rPr>
        <w:t> </w:t>
      </w:r>
      <w:r>
        <w:rPr>
          <w:sz w:val="24"/>
        </w:rPr>
        <w:t>in the</w:t>
      </w:r>
      <w:r>
        <w:rPr>
          <w:spacing w:val="-1"/>
          <w:sz w:val="24"/>
        </w:rPr>
        <w:t> </w:t>
      </w:r>
      <w:r>
        <w:rPr>
          <w:sz w:val="24"/>
        </w:rPr>
        <w:t>United States was somewhat less than previously</w:t>
      </w:r>
      <w:r>
        <w:rPr>
          <w:spacing w:val="9"/>
          <w:sz w:val="24"/>
        </w:rPr>
        <w:t> </w:t>
      </w:r>
      <w:r>
        <w:rPr>
          <w:spacing w:val="-3"/>
          <w:sz w:val="24"/>
        </w:rPr>
        <w:t>thought.</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17" w:firstLine="0"/>
        <w:jc w:val="left"/>
        <w:rPr>
          <w:sz w:val="24"/>
        </w:rPr>
      </w:pPr>
      <w:r>
        <w:rPr>
          <w:sz w:val="24"/>
        </w:rPr>
        <w:t>Some of the more recent US activity data had been more positive, with the Purchasing Managers’ Index (PMI) for manufacturing increasing to 54.7 in July for example. And despite the weakness in Q2 investment, the financial conditions of </w:t>
      </w:r>
      <w:r>
        <w:rPr>
          <w:spacing w:val="-3"/>
          <w:sz w:val="24"/>
        </w:rPr>
        <w:t>corporations </w:t>
      </w:r>
      <w:r>
        <w:rPr>
          <w:sz w:val="24"/>
        </w:rPr>
        <w:t>remained strong, credit conditions </w:t>
      </w:r>
      <w:r>
        <w:rPr>
          <w:spacing w:val="3"/>
          <w:sz w:val="24"/>
        </w:rPr>
        <w:t>were </w:t>
      </w:r>
      <w:r>
        <w:rPr>
          <w:sz w:val="24"/>
        </w:rPr>
        <w:t>favourable and capacity utilisation was above average. These were all factors potentially supporting investment growth going</w:t>
      </w:r>
      <w:r>
        <w:rPr>
          <w:spacing w:val="30"/>
          <w:sz w:val="24"/>
        </w:rPr>
        <w:t> </w:t>
      </w:r>
      <w:r>
        <w:rPr>
          <w:sz w:val="24"/>
        </w:rPr>
        <w:t>forward.</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230" w:firstLine="0"/>
        <w:jc w:val="left"/>
        <w:rPr>
          <w:sz w:val="24"/>
        </w:rPr>
      </w:pPr>
      <w:r>
        <w:rPr>
          <w:sz w:val="24"/>
        </w:rPr>
        <w:t>In the euro area, business survey evidence suggested that output growth in Q2 was likely to </w:t>
      </w:r>
      <w:r>
        <w:rPr>
          <w:spacing w:val="-3"/>
          <w:sz w:val="24"/>
        </w:rPr>
        <w:t>have </w:t>
      </w:r>
      <w:r>
        <w:rPr>
          <w:sz w:val="24"/>
        </w:rPr>
        <w:t>been faster than in Q1. Some survey data had weakened slightly in </w:t>
      </w:r>
      <w:r>
        <w:rPr>
          <w:spacing w:val="-3"/>
          <w:sz w:val="24"/>
        </w:rPr>
        <w:t>July, </w:t>
      </w:r>
      <w:r>
        <w:rPr>
          <w:sz w:val="24"/>
        </w:rPr>
        <w:t>but the European Commission’s industrial confidence survey had reached its highest level since September 2000. </w:t>
      </w:r>
      <w:r>
        <w:rPr>
          <w:spacing w:val="-4"/>
          <w:sz w:val="24"/>
        </w:rPr>
        <w:t>In </w:t>
      </w:r>
      <w:r>
        <w:rPr>
          <w:sz w:val="24"/>
        </w:rPr>
        <w:t>Germany, the IFO index had remained high in July. Consumption indicators for Germany </w:t>
      </w:r>
      <w:r>
        <w:rPr>
          <w:spacing w:val="-8"/>
          <w:sz w:val="24"/>
        </w:rPr>
        <w:t>and </w:t>
      </w:r>
      <w:r>
        <w:rPr>
          <w:sz w:val="24"/>
        </w:rPr>
        <w:t>France had been reasonably positive. Looking forward, </w:t>
      </w:r>
      <w:r>
        <w:rPr>
          <w:spacing w:val="-5"/>
          <w:sz w:val="24"/>
        </w:rPr>
        <w:t>the </w:t>
      </w:r>
      <w:r>
        <w:rPr>
          <w:sz w:val="24"/>
        </w:rPr>
        <w:t>pattern of German demand growth was likely </w:t>
      </w:r>
      <w:r>
        <w:rPr>
          <w:spacing w:val="-4"/>
          <w:sz w:val="24"/>
        </w:rPr>
        <w:t>to </w:t>
      </w:r>
      <w:r>
        <w:rPr>
          <w:sz w:val="24"/>
        </w:rPr>
        <w:t>be</w:t>
      </w:r>
      <w:r>
        <w:rPr>
          <w:spacing w:val="-8"/>
          <w:sz w:val="24"/>
        </w:rPr>
        <w:t> </w:t>
      </w:r>
      <w:r>
        <w:rPr>
          <w:sz w:val="24"/>
        </w:rPr>
        <w:t>distorted</w:t>
      </w:r>
      <w:r>
        <w:rPr>
          <w:spacing w:val="-7"/>
          <w:sz w:val="24"/>
        </w:rPr>
        <w:t> </w:t>
      </w:r>
      <w:r>
        <w:rPr>
          <w:sz w:val="24"/>
        </w:rPr>
        <w:t>by</w:t>
      </w:r>
      <w:r>
        <w:rPr>
          <w:spacing w:val="-7"/>
          <w:sz w:val="24"/>
        </w:rPr>
        <w:t> </w:t>
      </w:r>
      <w:r>
        <w:rPr>
          <w:sz w:val="24"/>
        </w:rPr>
        <w:t>the</w:t>
      </w:r>
      <w:r>
        <w:rPr>
          <w:spacing w:val="-7"/>
          <w:sz w:val="24"/>
        </w:rPr>
        <w:t> </w:t>
      </w:r>
      <w:r>
        <w:rPr>
          <w:sz w:val="24"/>
        </w:rPr>
        <w:t>planned</w:t>
      </w:r>
      <w:r>
        <w:rPr>
          <w:spacing w:val="-4"/>
          <w:sz w:val="24"/>
        </w:rPr>
        <w:t> </w:t>
      </w:r>
      <w:r>
        <w:rPr>
          <w:sz w:val="24"/>
        </w:rPr>
        <w:t>increase</w:t>
      </w:r>
      <w:r>
        <w:rPr>
          <w:spacing w:val="-4"/>
          <w:sz w:val="24"/>
        </w:rPr>
        <w:t> </w:t>
      </w:r>
      <w:r>
        <w:rPr>
          <w:sz w:val="24"/>
        </w:rPr>
        <w:t>in</w:t>
      </w:r>
      <w:r>
        <w:rPr>
          <w:spacing w:val="-3"/>
          <w:sz w:val="24"/>
        </w:rPr>
        <w:t> </w:t>
      </w:r>
      <w:r>
        <w:rPr>
          <w:sz w:val="24"/>
        </w:rPr>
        <w:t>VAT</w:t>
      </w:r>
      <w:r>
        <w:rPr>
          <w:spacing w:val="-15"/>
          <w:sz w:val="24"/>
        </w:rPr>
        <w:t> </w:t>
      </w:r>
      <w:r>
        <w:rPr>
          <w:sz w:val="24"/>
        </w:rPr>
        <w:t>announced</w:t>
      </w:r>
      <w:r>
        <w:rPr>
          <w:spacing w:val="-4"/>
          <w:sz w:val="24"/>
        </w:rPr>
        <w:t> </w:t>
      </w:r>
      <w:r>
        <w:rPr>
          <w:sz w:val="24"/>
        </w:rPr>
        <w:t>for</w:t>
      </w:r>
      <w:r>
        <w:rPr>
          <w:spacing w:val="-5"/>
          <w:sz w:val="24"/>
        </w:rPr>
        <w:t> </w:t>
      </w:r>
      <w:r>
        <w:rPr>
          <w:sz w:val="24"/>
        </w:rPr>
        <w:t>2007,</w:t>
      </w:r>
      <w:r>
        <w:rPr>
          <w:spacing w:val="-4"/>
          <w:sz w:val="24"/>
        </w:rPr>
        <w:t> </w:t>
      </w:r>
      <w:r>
        <w:rPr>
          <w:sz w:val="24"/>
        </w:rPr>
        <w:t>bringing</w:t>
      </w:r>
      <w:r>
        <w:rPr>
          <w:spacing w:val="-5"/>
          <w:sz w:val="24"/>
        </w:rPr>
        <w:t> </w:t>
      </w:r>
      <w:r>
        <w:rPr>
          <w:sz w:val="24"/>
        </w:rPr>
        <w:t>forward</w:t>
      </w:r>
      <w:r>
        <w:rPr>
          <w:spacing w:val="-5"/>
          <w:sz w:val="24"/>
        </w:rPr>
        <w:t> </w:t>
      </w:r>
      <w:r>
        <w:rPr>
          <w:sz w:val="24"/>
        </w:rPr>
        <w:t>some</w:t>
      </w:r>
      <w:r>
        <w:rPr>
          <w:spacing w:val="14"/>
          <w:sz w:val="24"/>
        </w:rPr>
        <w:t> </w:t>
      </w:r>
      <w:r>
        <w:rPr>
          <w:sz w:val="24"/>
        </w:rPr>
        <w:t>consumption </w:t>
      </w:r>
      <w:r>
        <w:rPr>
          <w:spacing w:val="-3"/>
          <w:sz w:val="24"/>
        </w:rPr>
        <w:t>from 2007 </w:t>
      </w:r>
      <w:r>
        <w:rPr>
          <w:sz w:val="24"/>
        </w:rPr>
        <w:t>to 2006 and hence acting as a drag on demand growth </w:t>
      </w:r>
      <w:r>
        <w:rPr>
          <w:spacing w:val="-4"/>
          <w:sz w:val="24"/>
        </w:rPr>
        <w:t>next</w:t>
      </w:r>
      <w:r>
        <w:rPr>
          <w:spacing w:val="35"/>
          <w:sz w:val="24"/>
        </w:rPr>
        <w:t> </w:t>
      </w:r>
      <w:r>
        <w:rPr>
          <w:sz w:val="24"/>
        </w:rPr>
        <w:t>year.</w:t>
      </w:r>
    </w:p>
    <w:p>
      <w:pPr>
        <w:pStyle w:val="BodyText"/>
        <w:rPr>
          <w:sz w:val="36"/>
        </w:rPr>
      </w:pPr>
    </w:p>
    <w:p>
      <w:pPr>
        <w:pStyle w:val="ListParagraph"/>
        <w:numPr>
          <w:ilvl w:val="0"/>
          <w:numId w:val="1"/>
        </w:numPr>
        <w:tabs>
          <w:tab w:pos="931" w:val="left" w:leader="none"/>
          <w:tab w:pos="932" w:val="left" w:leader="none"/>
        </w:tabs>
        <w:spacing w:line="355" w:lineRule="auto" w:before="0" w:after="0"/>
        <w:ind w:left="367" w:right="525" w:firstLine="0"/>
        <w:jc w:val="left"/>
        <w:rPr>
          <w:sz w:val="24"/>
        </w:rPr>
      </w:pPr>
      <w:r>
        <w:rPr>
          <w:sz w:val="24"/>
        </w:rPr>
        <w:t>Output growth in Asia </w:t>
      </w:r>
      <w:r>
        <w:rPr>
          <w:spacing w:val="-3"/>
          <w:sz w:val="24"/>
        </w:rPr>
        <w:t>had </w:t>
      </w:r>
      <w:r>
        <w:rPr>
          <w:sz w:val="24"/>
        </w:rPr>
        <w:t>remained robust, especially in China where the official estimate</w:t>
      </w:r>
      <w:r>
        <w:rPr>
          <w:spacing w:val="-24"/>
          <w:sz w:val="24"/>
        </w:rPr>
        <w:t> </w:t>
      </w:r>
      <w:r>
        <w:rPr>
          <w:sz w:val="24"/>
        </w:rPr>
        <w:t>of GDP </w:t>
      </w:r>
      <w:r>
        <w:rPr>
          <w:spacing w:val="-3"/>
          <w:sz w:val="24"/>
        </w:rPr>
        <w:t>growth </w:t>
      </w:r>
      <w:r>
        <w:rPr>
          <w:sz w:val="24"/>
        </w:rPr>
        <w:t>in the year to Q2 had been in excess of</w:t>
      </w:r>
      <w:r>
        <w:rPr>
          <w:spacing w:val="8"/>
          <w:sz w:val="24"/>
        </w:rPr>
        <w:t> </w:t>
      </w:r>
      <w:r>
        <w:rPr>
          <w:sz w:val="24"/>
        </w:rPr>
        <w:t>11%.</w:t>
      </w:r>
    </w:p>
    <w:p>
      <w:pPr>
        <w:spacing w:after="0" w:line="355"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0" w:lineRule="auto" w:before="90" w:after="0"/>
        <w:ind w:left="367" w:right="231" w:firstLine="0"/>
        <w:jc w:val="left"/>
        <w:rPr>
          <w:sz w:val="24"/>
        </w:rPr>
      </w:pPr>
      <w:r>
        <w:rPr>
          <w:sz w:val="24"/>
        </w:rPr>
        <w:t>Price inflation had been rising in many of the major economies. In the </w:t>
      </w:r>
      <w:r>
        <w:rPr>
          <w:spacing w:val="-3"/>
          <w:sz w:val="24"/>
        </w:rPr>
        <w:t>United </w:t>
      </w:r>
      <w:r>
        <w:rPr>
          <w:sz w:val="24"/>
        </w:rPr>
        <w:t>States, in addition </w:t>
      </w:r>
      <w:r>
        <w:rPr>
          <w:spacing w:val="-5"/>
          <w:sz w:val="24"/>
        </w:rPr>
        <w:t>to </w:t>
      </w:r>
      <w:r>
        <w:rPr>
          <w:sz w:val="24"/>
        </w:rPr>
        <w:t>the rise in core PCE inflation, the corresponding headline measure had risen to 3.5% while </w:t>
      </w:r>
      <w:r>
        <w:rPr>
          <w:spacing w:val="-5"/>
          <w:sz w:val="24"/>
        </w:rPr>
        <w:t>CPI </w:t>
      </w:r>
      <w:r>
        <w:rPr>
          <w:sz w:val="24"/>
        </w:rPr>
        <w:t>inflation had reached 4.3% in June. Recent upwards revision to labour compensation and </w:t>
      </w:r>
      <w:r>
        <w:rPr>
          <w:spacing w:val="-5"/>
          <w:sz w:val="24"/>
        </w:rPr>
        <w:t>the </w:t>
      </w:r>
      <w:r>
        <w:rPr>
          <w:sz w:val="24"/>
        </w:rPr>
        <w:t>prospective downwards revision to productivity growth would also </w:t>
      </w:r>
      <w:r>
        <w:rPr>
          <w:spacing w:val="-4"/>
          <w:sz w:val="24"/>
        </w:rPr>
        <w:t>imply </w:t>
      </w:r>
      <w:r>
        <w:rPr>
          <w:sz w:val="24"/>
        </w:rPr>
        <w:t>higher unit labour costs. In the euro area, CPI inflation remained at 2.5% in June, despite some slowdown in energy price inflation. In Japan, the </w:t>
      </w:r>
      <w:r>
        <w:rPr>
          <w:spacing w:val="-4"/>
          <w:sz w:val="24"/>
        </w:rPr>
        <w:t>CPI </w:t>
      </w:r>
      <w:r>
        <w:rPr>
          <w:sz w:val="24"/>
        </w:rPr>
        <w:t>inflation rate had reached 1%, its </w:t>
      </w:r>
      <w:r>
        <w:rPr>
          <w:spacing w:val="-3"/>
          <w:sz w:val="24"/>
        </w:rPr>
        <w:t>highest </w:t>
      </w:r>
      <w:r>
        <w:rPr>
          <w:sz w:val="24"/>
        </w:rPr>
        <w:t>for eight years. There was also growing evidence of upward pressures on major economy import and producer output prices, possibly reflecting a limited capacity for producers to absorb further oil price increases.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169" w:firstLine="0"/>
        <w:jc w:val="left"/>
        <w:rPr>
          <w:sz w:val="24"/>
        </w:rPr>
      </w:pPr>
      <w:r>
        <w:rPr>
          <w:sz w:val="24"/>
        </w:rPr>
        <w:t>Overall, the </w:t>
      </w:r>
      <w:r>
        <w:rPr>
          <w:spacing w:val="-3"/>
          <w:sz w:val="24"/>
        </w:rPr>
        <w:t>news </w:t>
      </w:r>
      <w:r>
        <w:rPr>
          <w:sz w:val="24"/>
        </w:rPr>
        <w:t>on the month had been consistent with continued brisk expansion in UK export markets, albeit with some downside risks to the outlook for growth in the United States. There was also </w:t>
      </w:r>
      <w:r>
        <w:rPr>
          <w:spacing w:val="-8"/>
          <w:sz w:val="24"/>
        </w:rPr>
        <w:t>some </w:t>
      </w:r>
      <w:r>
        <w:rPr>
          <w:sz w:val="24"/>
        </w:rPr>
        <w:t>evidence of a small, but generalised, increase in global inflationary</w:t>
      </w:r>
      <w:r>
        <w:rPr>
          <w:spacing w:val="-42"/>
          <w:sz w:val="24"/>
        </w:rPr>
        <w:t> </w:t>
      </w:r>
      <w:r>
        <w:rPr>
          <w:sz w:val="24"/>
        </w:rPr>
        <w:t>pressures.</w:t>
      </w:r>
    </w:p>
    <w:p>
      <w:pPr>
        <w:pStyle w:val="BodyText"/>
        <w:rPr>
          <w:sz w:val="36"/>
        </w:rPr>
      </w:pPr>
    </w:p>
    <w:p>
      <w:pPr>
        <w:pStyle w:val="Heading2"/>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81" w:firstLine="0"/>
        <w:jc w:val="left"/>
        <w:rPr>
          <w:sz w:val="24"/>
        </w:rPr>
      </w:pPr>
      <w:r>
        <w:rPr>
          <w:sz w:val="24"/>
        </w:rPr>
        <w:t>Domestic activity data had been broadly positive on the month. The Office for National Statistics’ initial estimate of GDP growth in the second quarter had been 0.8%, consistent with </w:t>
      </w:r>
      <w:r>
        <w:rPr>
          <w:spacing w:val="-6"/>
          <w:sz w:val="24"/>
        </w:rPr>
        <w:t>the </w:t>
      </w:r>
      <w:r>
        <w:rPr>
          <w:sz w:val="24"/>
        </w:rPr>
        <w:t>May </w:t>
      </w:r>
      <w:r>
        <w:rPr>
          <w:i/>
          <w:sz w:val="24"/>
        </w:rPr>
        <w:t>Inflation Report </w:t>
      </w:r>
      <w:r>
        <w:rPr>
          <w:sz w:val="24"/>
        </w:rPr>
        <w:t>forecast.  </w:t>
      </w:r>
      <w:r>
        <w:rPr>
          <w:spacing w:val="-6"/>
          <w:sz w:val="24"/>
        </w:rPr>
        <w:t>But </w:t>
      </w:r>
      <w:r>
        <w:rPr>
          <w:sz w:val="24"/>
        </w:rPr>
        <w:t>within the aggregate </w:t>
      </w:r>
      <w:r>
        <w:rPr>
          <w:spacing w:val="-3"/>
          <w:sz w:val="24"/>
        </w:rPr>
        <w:t>growth </w:t>
      </w:r>
      <w:r>
        <w:rPr>
          <w:sz w:val="24"/>
        </w:rPr>
        <w:t>rate, energy output had been erratically weak, suggesting that underlying output </w:t>
      </w:r>
      <w:r>
        <w:rPr>
          <w:spacing w:val="-3"/>
          <w:sz w:val="24"/>
        </w:rPr>
        <w:t>had </w:t>
      </w:r>
      <w:r>
        <w:rPr>
          <w:sz w:val="24"/>
        </w:rPr>
        <w:t>grown faster than expected. Taken together with earlier revisions, GDP growth over the past three quarters looked to have been consistently at, or slightly above, its long-run average. Given that the level of GDP in 2004 had been revised up by around</w:t>
      </w:r>
      <w:r>
        <w:rPr>
          <w:spacing w:val="-5"/>
          <w:sz w:val="24"/>
        </w:rPr>
        <w:t> </w:t>
      </w:r>
      <w:r>
        <w:rPr>
          <w:sz w:val="24"/>
        </w:rPr>
        <w:t>1%</w:t>
      </w:r>
      <w:r>
        <w:rPr>
          <w:spacing w:val="-2"/>
          <w:sz w:val="24"/>
        </w:rPr>
        <w:t> </w:t>
      </w:r>
      <w:r>
        <w:rPr>
          <w:sz w:val="24"/>
        </w:rPr>
        <w:t>in</w:t>
      </w:r>
      <w:r>
        <w:rPr>
          <w:spacing w:val="-2"/>
          <w:sz w:val="24"/>
        </w:rPr>
        <w:t> </w:t>
      </w:r>
      <w:r>
        <w:rPr>
          <w:sz w:val="24"/>
        </w:rPr>
        <w:t>the</w:t>
      </w:r>
      <w:r>
        <w:rPr>
          <w:spacing w:val="-3"/>
          <w:sz w:val="24"/>
        </w:rPr>
        <w:t> </w:t>
      </w:r>
      <w:r>
        <w:rPr>
          <w:sz w:val="24"/>
        </w:rPr>
        <w:t>previous</w:t>
      </w:r>
      <w:r>
        <w:rPr>
          <w:spacing w:val="-2"/>
          <w:sz w:val="24"/>
        </w:rPr>
        <w:t> </w:t>
      </w:r>
      <w:r>
        <w:rPr>
          <w:sz w:val="24"/>
        </w:rPr>
        <w:t>month’s</w:t>
      </w:r>
      <w:r>
        <w:rPr>
          <w:spacing w:val="-2"/>
          <w:sz w:val="24"/>
        </w:rPr>
        <w:t> </w:t>
      </w:r>
      <w:r>
        <w:rPr>
          <w:sz w:val="24"/>
        </w:rPr>
        <w:t>National</w:t>
      </w:r>
      <w:r>
        <w:rPr>
          <w:spacing w:val="-3"/>
          <w:sz w:val="24"/>
        </w:rPr>
        <w:t> </w:t>
      </w:r>
      <w:r>
        <w:rPr>
          <w:sz w:val="24"/>
        </w:rPr>
        <w:t>Accounts</w:t>
      </w:r>
      <w:r>
        <w:rPr>
          <w:spacing w:val="-2"/>
          <w:sz w:val="24"/>
        </w:rPr>
        <w:t> </w:t>
      </w:r>
      <w:r>
        <w:rPr>
          <w:sz w:val="24"/>
        </w:rPr>
        <w:t>data</w:t>
      </w:r>
      <w:r>
        <w:rPr>
          <w:spacing w:val="-4"/>
          <w:sz w:val="24"/>
        </w:rPr>
        <w:t> </w:t>
      </w:r>
      <w:r>
        <w:rPr>
          <w:sz w:val="24"/>
        </w:rPr>
        <w:t>release,</w:t>
      </w:r>
      <w:r>
        <w:rPr>
          <w:spacing w:val="-2"/>
          <w:sz w:val="24"/>
        </w:rPr>
        <w:t> </w:t>
      </w:r>
      <w:r>
        <w:rPr>
          <w:sz w:val="24"/>
        </w:rPr>
        <w:t>and</w:t>
      </w:r>
      <w:r>
        <w:rPr>
          <w:spacing w:val="-3"/>
          <w:sz w:val="24"/>
        </w:rPr>
        <w:t> </w:t>
      </w:r>
      <w:r>
        <w:rPr>
          <w:sz w:val="24"/>
        </w:rPr>
        <w:t>in</w:t>
      </w:r>
      <w:r>
        <w:rPr>
          <w:spacing w:val="-3"/>
          <w:sz w:val="24"/>
        </w:rPr>
        <w:t> </w:t>
      </w:r>
      <w:r>
        <w:rPr>
          <w:sz w:val="24"/>
        </w:rPr>
        <w:t>the</w:t>
      </w:r>
      <w:r>
        <w:rPr>
          <w:spacing w:val="-3"/>
          <w:sz w:val="24"/>
        </w:rPr>
        <w:t> </w:t>
      </w:r>
      <w:r>
        <w:rPr>
          <w:sz w:val="24"/>
        </w:rPr>
        <w:t>light</w:t>
      </w:r>
      <w:r>
        <w:rPr>
          <w:spacing w:val="-4"/>
          <w:sz w:val="24"/>
        </w:rPr>
        <w:t> </w:t>
      </w:r>
      <w:r>
        <w:rPr>
          <w:sz w:val="24"/>
        </w:rPr>
        <w:t>of</w:t>
      </w:r>
      <w:r>
        <w:rPr>
          <w:spacing w:val="-3"/>
          <w:sz w:val="24"/>
        </w:rPr>
        <w:t> </w:t>
      </w:r>
      <w:r>
        <w:rPr>
          <w:sz w:val="24"/>
        </w:rPr>
        <w:t>survey</w:t>
      </w:r>
      <w:r>
        <w:rPr>
          <w:spacing w:val="-3"/>
          <w:sz w:val="24"/>
        </w:rPr>
        <w:t> </w:t>
      </w:r>
      <w:r>
        <w:rPr>
          <w:sz w:val="24"/>
        </w:rPr>
        <w:t>and</w:t>
      </w:r>
      <w:r>
        <w:rPr>
          <w:spacing w:val="-3"/>
          <w:sz w:val="24"/>
        </w:rPr>
        <w:t> </w:t>
      </w:r>
      <w:r>
        <w:rPr>
          <w:sz w:val="24"/>
        </w:rPr>
        <w:t>other indicators, it was likely that there was less spare capacity in the economy than previously thought;</w:t>
      </w:r>
      <w:r>
        <w:rPr>
          <w:spacing w:val="5"/>
          <w:sz w:val="24"/>
        </w:rPr>
        <w:t> </w:t>
      </w:r>
      <w:r>
        <w:rPr>
          <w:sz w:val="24"/>
        </w:rPr>
        <w:t>this </w:t>
      </w:r>
      <w:r>
        <w:rPr>
          <w:spacing w:val="-3"/>
          <w:sz w:val="24"/>
        </w:rPr>
        <w:t>had </w:t>
      </w:r>
      <w:r>
        <w:rPr>
          <w:sz w:val="24"/>
        </w:rPr>
        <w:t>been reflected in the August </w:t>
      </w:r>
      <w:r>
        <w:rPr>
          <w:i/>
          <w:sz w:val="24"/>
        </w:rPr>
        <w:t>Inflation Report</w:t>
      </w:r>
      <w:r>
        <w:rPr>
          <w:i/>
          <w:spacing w:val="10"/>
          <w:sz w:val="24"/>
        </w:rPr>
        <w:t> </w:t>
      </w:r>
      <w:r>
        <w:rPr>
          <w:spacing w:val="-4"/>
          <w:sz w:val="24"/>
        </w:rPr>
        <w:t>forecast.</w:t>
      </w:r>
    </w:p>
    <w:p>
      <w:pPr>
        <w:pStyle w:val="BodyText"/>
        <w:rPr>
          <w:sz w:val="36"/>
        </w:rPr>
      </w:pPr>
    </w:p>
    <w:p>
      <w:pPr>
        <w:pStyle w:val="ListParagraph"/>
        <w:numPr>
          <w:ilvl w:val="0"/>
          <w:numId w:val="1"/>
        </w:numPr>
        <w:tabs>
          <w:tab w:pos="931" w:val="left" w:leader="none"/>
          <w:tab w:pos="932" w:val="left" w:leader="none"/>
        </w:tabs>
        <w:spacing w:line="357" w:lineRule="auto" w:before="1" w:after="0"/>
        <w:ind w:left="367" w:right="242" w:firstLine="0"/>
        <w:jc w:val="left"/>
        <w:rPr>
          <w:sz w:val="24"/>
        </w:rPr>
      </w:pPr>
      <w:r>
        <w:rPr>
          <w:sz w:val="24"/>
        </w:rPr>
        <w:t>Activity indicators for the third quarter had been consistent with broadly </w:t>
      </w:r>
      <w:r>
        <w:rPr>
          <w:spacing w:val="-3"/>
          <w:sz w:val="24"/>
        </w:rPr>
        <w:t>unchanged </w:t>
      </w:r>
      <w:r>
        <w:rPr>
          <w:spacing w:val="-4"/>
          <w:sz w:val="24"/>
        </w:rPr>
        <w:t>GDP </w:t>
      </w:r>
      <w:r>
        <w:rPr>
          <w:sz w:val="24"/>
        </w:rPr>
        <w:t>growth. The CIPS/RBS indices for manufacturing and for services had both eased a little in July but remained close to recent peaks. And the drag on growth from the energy sector was likely to diminish in the third</w:t>
      </w:r>
      <w:r>
        <w:rPr>
          <w:spacing w:val="8"/>
          <w:sz w:val="24"/>
        </w:rPr>
        <w:t> </w:t>
      </w:r>
      <w:r>
        <w:rPr>
          <w:sz w:val="24"/>
        </w:rPr>
        <w:t>quarter.</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7" w:right="379" w:firstLine="0"/>
        <w:jc w:val="left"/>
        <w:rPr>
          <w:sz w:val="24"/>
        </w:rPr>
      </w:pPr>
      <w:r>
        <w:rPr>
          <w:sz w:val="24"/>
        </w:rPr>
        <w:t>In contrast to the first quarter, expenditure indicators </w:t>
      </w:r>
      <w:r>
        <w:rPr>
          <w:spacing w:val="-3"/>
          <w:sz w:val="24"/>
        </w:rPr>
        <w:t>had </w:t>
      </w:r>
      <w:r>
        <w:rPr>
          <w:sz w:val="24"/>
        </w:rPr>
        <w:t>also </w:t>
      </w:r>
      <w:r>
        <w:rPr>
          <w:spacing w:val="-3"/>
          <w:sz w:val="24"/>
        </w:rPr>
        <w:t>been </w:t>
      </w:r>
      <w:r>
        <w:rPr>
          <w:sz w:val="24"/>
        </w:rPr>
        <w:t>firm: retail sales </w:t>
      </w:r>
      <w:r>
        <w:rPr>
          <w:spacing w:val="-4"/>
          <w:sz w:val="24"/>
        </w:rPr>
        <w:t>had </w:t>
      </w:r>
      <w:r>
        <w:rPr>
          <w:sz w:val="24"/>
        </w:rPr>
        <w:t>recovered since their post-Christmas dip, growing by 2.1% in the second quarter. This recovery </w:t>
      </w:r>
      <w:r>
        <w:rPr>
          <w:spacing w:val="-4"/>
          <w:sz w:val="24"/>
        </w:rPr>
        <w:t>had </w:t>
      </w:r>
      <w:r>
        <w:rPr>
          <w:sz w:val="24"/>
        </w:rPr>
        <w:t>occurred</w:t>
      </w:r>
      <w:r>
        <w:rPr>
          <w:spacing w:val="-4"/>
          <w:sz w:val="24"/>
        </w:rPr>
        <w:t> </w:t>
      </w:r>
      <w:r>
        <w:rPr>
          <w:sz w:val="24"/>
        </w:rPr>
        <w:t>despite</w:t>
      </w:r>
      <w:r>
        <w:rPr>
          <w:spacing w:val="-3"/>
          <w:sz w:val="24"/>
        </w:rPr>
        <w:t> </w:t>
      </w:r>
      <w:r>
        <w:rPr>
          <w:sz w:val="24"/>
        </w:rPr>
        <w:t>the</w:t>
      </w:r>
      <w:r>
        <w:rPr>
          <w:spacing w:val="-2"/>
          <w:sz w:val="24"/>
        </w:rPr>
        <w:t> </w:t>
      </w:r>
      <w:r>
        <w:rPr>
          <w:sz w:val="24"/>
        </w:rPr>
        <w:t>squeeze</w:t>
      </w:r>
      <w:r>
        <w:rPr>
          <w:spacing w:val="-2"/>
          <w:sz w:val="24"/>
        </w:rPr>
        <w:t> </w:t>
      </w:r>
      <w:r>
        <w:rPr>
          <w:sz w:val="24"/>
        </w:rPr>
        <w:t>on</w:t>
      </w:r>
      <w:r>
        <w:rPr>
          <w:spacing w:val="-1"/>
          <w:sz w:val="24"/>
        </w:rPr>
        <w:t> </w:t>
      </w:r>
      <w:r>
        <w:rPr>
          <w:sz w:val="24"/>
        </w:rPr>
        <w:t>real</w:t>
      </w:r>
      <w:r>
        <w:rPr>
          <w:spacing w:val="-2"/>
          <w:sz w:val="24"/>
        </w:rPr>
        <w:t> </w:t>
      </w:r>
      <w:r>
        <w:rPr>
          <w:sz w:val="24"/>
        </w:rPr>
        <w:t>incomes</w:t>
      </w:r>
      <w:r>
        <w:rPr>
          <w:spacing w:val="-2"/>
          <w:sz w:val="24"/>
        </w:rPr>
        <w:t> </w:t>
      </w:r>
      <w:r>
        <w:rPr>
          <w:sz w:val="24"/>
        </w:rPr>
        <w:t>arising</w:t>
      </w:r>
      <w:r>
        <w:rPr>
          <w:spacing w:val="-1"/>
          <w:sz w:val="24"/>
        </w:rPr>
        <w:t> </w:t>
      </w:r>
      <w:r>
        <w:rPr>
          <w:sz w:val="24"/>
        </w:rPr>
        <w:t>from</w:t>
      </w:r>
      <w:r>
        <w:rPr>
          <w:spacing w:val="-2"/>
          <w:sz w:val="24"/>
        </w:rPr>
        <w:t> </w:t>
      </w:r>
      <w:r>
        <w:rPr>
          <w:sz w:val="24"/>
        </w:rPr>
        <w:t>higher</w:t>
      </w:r>
      <w:r>
        <w:rPr>
          <w:spacing w:val="-1"/>
          <w:sz w:val="24"/>
        </w:rPr>
        <w:t> </w:t>
      </w:r>
      <w:r>
        <w:rPr>
          <w:sz w:val="24"/>
        </w:rPr>
        <w:t>energy</w:t>
      </w:r>
      <w:r>
        <w:rPr>
          <w:spacing w:val="-2"/>
          <w:sz w:val="24"/>
        </w:rPr>
        <w:t> </w:t>
      </w:r>
      <w:r>
        <w:rPr>
          <w:sz w:val="24"/>
        </w:rPr>
        <w:t>prices</w:t>
      </w:r>
      <w:r>
        <w:rPr>
          <w:spacing w:val="-5"/>
          <w:sz w:val="24"/>
        </w:rPr>
        <w:t> </w:t>
      </w:r>
      <w:r>
        <w:rPr>
          <w:sz w:val="24"/>
        </w:rPr>
        <w:t>and</w:t>
      </w:r>
      <w:r>
        <w:rPr>
          <w:spacing w:val="-5"/>
          <w:sz w:val="24"/>
        </w:rPr>
        <w:t> </w:t>
      </w:r>
      <w:r>
        <w:rPr>
          <w:sz w:val="24"/>
        </w:rPr>
        <w:t>taxes,</w:t>
      </w:r>
      <w:r>
        <w:rPr>
          <w:spacing w:val="-3"/>
          <w:sz w:val="24"/>
        </w:rPr>
        <w:t> </w:t>
      </w:r>
      <w:r>
        <w:rPr>
          <w:sz w:val="24"/>
        </w:rPr>
        <w:t>although</w:t>
      </w:r>
      <w:r>
        <w:rPr>
          <w:spacing w:val="-16"/>
          <w:sz w:val="24"/>
        </w:rPr>
        <w:t> </w:t>
      </w:r>
      <w:r>
        <w:rPr>
          <w:spacing w:val="2"/>
          <w:sz w:val="24"/>
        </w:rPr>
        <w:t>it </w:t>
      </w:r>
      <w:r>
        <w:rPr>
          <w:sz w:val="24"/>
        </w:rPr>
        <w:t>was possible that energy prices might not </w:t>
      </w:r>
      <w:r>
        <w:rPr>
          <w:spacing w:val="-4"/>
          <w:sz w:val="24"/>
        </w:rPr>
        <w:t>yet </w:t>
      </w:r>
      <w:r>
        <w:rPr>
          <w:sz w:val="24"/>
        </w:rPr>
        <w:t>have had their full </w:t>
      </w:r>
      <w:r>
        <w:rPr>
          <w:spacing w:val="-4"/>
          <w:sz w:val="24"/>
        </w:rPr>
        <w:t>impact. </w:t>
      </w:r>
      <w:r>
        <w:rPr>
          <w:sz w:val="24"/>
        </w:rPr>
        <w:t>In </w:t>
      </w:r>
      <w:r>
        <w:rPr>
          <w:spacing w:val="-5"/>
          <w:sz w:val="24"/>
        </w:rPr>
        <w:t>the </w:t>
      </w:r>
      <w:r>
        <w:rPr>
          <w:sz w:val="24"/>
        </w:rPr>
        <w:t>August forecast </w:t>
      </w:r>
      <w:r>
        <w:rPr>
          <w:spacing w:val="-6"/>
          <w:sz w:val="24"/>
        </w:rPr>
        <w:t>the </w:t>
      </w:r>
      <w:r>
        <w:rPr>
          <w:sz w:val="24"/>
        </w:rPr>
        <w:t>central projection was for quarterly GDP growth </w:t>
      </w:r>
      <w:r>
        <w:rPr>
          <w:spacing w:val="-5"/>
          <w:sz w:val="24"/>
        </w:rPr>
        <w:t>to </w:t>
      </w:r>
      <w:r>
        <w:rPr>
          <w:sz w:val="24"/>
        </w:rPr>
        <w:t>peak in Q3 and then ease slightly. An easing</w:t>
      </w:r>
      <w:r>
        <w:rPr>
          <w:spacing w:val="-24"/>
          <w:sz w:val="24"/>
        </w:rPr>
        <w:t> </w:t>
      </w:r>
      <w:r>
        <w:rPr>
          <w:sz w:val="24"/>
        </w:rPr>
        <w:t>in</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BodyText"/>
        <w:spacing w:line="364" w:lineRule="auto" w:before="90"/>
        <w:ind w:left="368"/>
      </w:pPr>
      <w:r>
        <w:rPr/>
        <w:t>consumer demand compared with the second quarter would be consistent with some of the more recent indicators such as the CBI </w:t>
      </w:r>
      <w:r>
        <w:rPr>
          <w:i/>
        </w:rPr>
        <w:t>Distributive Trades Survey</w:t>
      </w:r>
      <w:r>
        <w:rPr/>
        <w:t>.</w:t>
      </w:r>
    </w:p>
    <w:p>
      <w:pPr>
        <w:pStyle w:val="BodyText"/>
        <w:spacing w:before="6"/>
        <w:rPr>
          <w:sz w:val="35"/>
        </w:rPr>
      </w:pPr>
    </w:p>
    <w:p>
      <w:pPr>
        <w:pStyle w:val="ListParagraph"/>
        <w:numPr>
          <w:ilvl w:val="0"/>
          <w:numId w:val="1"/>
        </w:numPr>
        <w:tabs>
          <w:tab w:pos="931" w:val="left" w:leader="none"/>
          <w:tab w:pos="932" w:val="left" w:leader="none"/>
        </w:tabs>
        <w:spacing w:line="357" w:lineRule="auto" w:before="0" w:after="0"/>
        <w:ind w:left="367" w:right="438" w:firstLine="0"/>
        <w:jc w:val="left"/>
        <w:rPr>
          <w:sz w:val="24"/>
        </w:rPr>
      </w:pPr>
      <w:r>
        <w:rPr>
          <w:sz w:val="24"/>
        </w:rPr>
        <w:t>The housing market continued to be reasonably firm with the lenders’ house price indices showing an average rise of 0.5% in July; a preview of the Royal Institution of Chartered Surveyors’ survey had shown an increase in current and expected prices. Loan approvals had also increased. House price-to-earnings ratios remained at historically high</w:t>
      </w:r>
      <w:r>
        <w:rPr>
          <w:spacing w:val="-1"/>
          <w:sz w:val="24"/>
        </w:rPr>
        <w:t> </w:t>
      </w:r>
      <w:r>
        <w:rPr>
          <w:sz w:val="24"/>
        </w:rPr>
        <w:t>levels.</w:t>
      </w:r>
    </w:p>
    <w:p>
      <w:pPr>
        <w:pStyle w:val="BodyText"/>
        <w:spacing w:before="5"/>
        <w:rPr>
          <w:sz w:val="36"/>
        </w:rPr>
      </w:pPr>
    </w:p>
    <w:p>
      <w:pPr>
        <w:pStyle w:val="ListParagraph"/>
        <w:numPr>
          <w:ilvl w:val="0"/>
          <w:numId w:val="1"/>
        </w:numPr>
        <w:tabs>
          <w:tab w:pos="931" w:val="left" w:leader="none"/>
          <w:tab w:pos="932" w:val="left" w:leader="none"/>
        </w:tabs>
        <w:spacing w:line="364" w:lineRule="auto" w:before="1" w:after="0"/>
        <w:ind w:left="368" w:right="302" w:firstLine="0"/>
        <w:jc w:val="left"/>
        <w:rPr>
          <w:sz w:val="24"/>
        </w:rPr>
      </w:pPr>
      <w:r>
        <w:rPr>
          <w:sz w:val="24"/>
        </w:rPr>
        <w:t>There were few new data on investment or trade:</w:t>
      </w:r>
      <w:r>
        <w:rPr>
          <w:spacing w:val="6"/>
          <w:sz w:val="24"/>
        </w:rPr>
        <w:t> </w:t>
      </w:r>
      <w:r>
        <w:rPr>
          <w:sz w:val="24"/>
        </w:rPr>
        <w:t>business surveys of investment intentions </w:t>
      </w:r>
      <w:r>
        <w:rPr>
          <w:spacing w:val="-4"/>
          <w:sz w:val="24"/>
        </w:rPr>
        <w:t>had </w:t>
      </w:r>
      <w:r>
        <w:rPr>
          <w:sz w:val="24"/>
        </w:rPr>
        <w:t>picked up in recent quarters and growth in the UK’s main export markets had remained</w:t>
      </w:r>
      <w:r>
        <w:rPr>
          <w:spacing w:val="-26"/>
          <w:sz w:val="24"/>
        </w:rPr>
        <w:t> </w:t>
      </w:r>
      <w:r>
        <w:rPr>
          <w:sz w:val="24"/>
        </w:rPr>
        <w:t>robust.</w:t>
      </w:r>
    </w:p>
    <w:p>
      <w:pPr>
        <w:pStyle w:val="BodyText"/>
        <w:spacing w:before="6"/>
        <w:rPr>
          <w:sz w:val="35"/>
        </w:rPr>
      </w:pPr>
    </w:p>
    <w:p>
      <w:pPr>
        <w:pStyle w:val="ListParagraph"/>
        <w:numPr>
          <w:ilvl w:val="0"/>
          <w:numId w:val="1"/>
        </w:numPr>
        <w:tabs>
          <w:tab w:pos="932" w:val="left" w:leader="none"/>
        </w:tabs>
        <w:spacing w:line="360" w:lineRule="auto" w:before="0" w:after="0"/>
        <w:ind w:left="368" w:right="170" w:firstLine="0"/>
        <w:jc w:val="both"/>
        <w:rPr>
          <w:sz w:val="24"/>
        </w:rPr>
      </w:pPr>
      <w:r>
        <w:rPr>
          <w:sz w:val="24"/>
        </w:rPr>
        <w:t>The M4 </w:t>
      </w:r>
      <w:r>
        <w:rPr>
          <w:spacing w:val="-3"/>
          <w:sz w:val="24"/>
        </w:rPr>
        <w:t>measures </w:t>
      </w:r>
      <w:r>
        <w:rPr>
          <w:sz w:val="24"/>
        </w:rPr>
        <w:t>of broad money and lending growth had both risen </w:t>
      </w:r>
      <w:r>
        <w:rPr>
          <w:spacing w:val="2"/>
          <w:sz w:val="24"/>
        </w:rPr>
        <w:t>in </w:t>
      </w:r>
      <w:r>
        <w:rPr>
          <w:spacing w:val="-4"/>
          <w:sz w:val="24"/>
        </w:rPr>
        <w:t>June, </w:t>
      </w:r>
      <w:r>
        <w:rPr>
          <w:sz w:val="24"/>
        </w:rPr>
        <w:t>with broad money up around 15% on a year earlier. </w:t>
      </w:r>
      <w:r>
        <w:rPr>
          <w:spacing w:val="-5"/>
          <w:sz w:val="24"/>
        </w:rPr>
        <w:t>The </w:t>
      </w:r>
      <w:r>
        <w:rPr>
          <w:sz w:val="24"/>
        </w:rPr>
        <w:t>increase in growth on the month had </w:t>
      </w:r>
      <w:r>
        <w:rPr>
          <w:spacing w:val="-3"/>
          <w:sz w:val="24"/>
        </w:rPr>
        <w:t>been </w:t>
      </w:r>
      <w:r>
        <w:rPr>
          <w:sz w:val="24"/>
        </w:rPr>
        <w:t>mainly accounted for by annual growth in the </w:t>
      </w:r>
      <w:r>
        <w:rPr>
          <w:spacing w:val="-3"/>
          <w:sz w:val="24"/>
        </w:rPr>
        <w:t>Other </w:t>
      </w:r>
      <w:r>
        <w:rPr>
          <w:sz w:val="24"/>
        </w:rPr>
        <w:t>Financial Companies (ie </w:t>
      </w:r>
      <w:r>
        <w:rPr>
          <w:spacing w:val="-3"/>
          <w:sz w:val="24"/>
        </w:rPr>
        <w:t>non-banks) </w:t>
      </w:r>
      <w:r>
        <w:rPr>
          <w:sz w:val="24"/>
        </w:rPr>
        <w:t>component. Monetary data for this sector were subject to idiosyncratic or temporary movements. However, if institutions such as pension funds</w:t>
      </w:r>
      <w:r>
        <w:rPr>
          <w:spacing w:val="-6"/>
          <w:sz w:val="24"/>
        </w:rPr>
        <w:t> </w:t>
      </w:r>
      <w:r>
        <w:rPr>
          <w:sz w:val="24"/>
        </w:rPr>
        <w:t>and</w:t>
      </w:r>
      <w:r>
        <w:rPr>
          <w:spacing w:val="-5"/>
          <w:sz w:val="24"/>
        </w:rPr>
        <w:t> </w:t>
      </w:r>
      <w:r>
        <w:rPr>
          <w:sz w:val="24"/>
        </w:rPr>
        <w:t>insurance</w:t>
      </w:r>
      <w:r>
        <w:rPr>
          <w:spacing w:val="-5"/>
          <w:sz w:val="24"/>
        </w:rPr>
        <w:t> </w:t>
      </w:r>
      <w:r>
        <w:rPr>
          <w:sz w:val="24"/>
        </w:rPr>
        <w:t>companies</w:t>
      </w:r>
      <w:r>
        <w:rPr>
          <w:spacing w:val="-5"/>
          <w:sz w:val="24"/>
        </w:rPr>
        <w:t> </w:t>
      </w:r>
      <w:r>
        <w:rPr>
          <w:sz w:val="24"/>
        </w:rPr>
        <w:t>were</w:t>
      </w:r>
      <w:r>
        <w:rPr>
          <w:spacing w:val="-3"/>
          <w:sz w:val="24"/>
        </w:rPr>
        <w:t> </w:t>
      </w:r>
      <w:r>
        <w:rPr>
          <w:sz w:val="24"/>
        </w:rPr>
        <w:t>building</w:t>
      </w:r>
      <w:r>
        <w:rPr>
          <w:spacing w:val="-2"/>
          <w:sz w:val="24"/>
        </w:rPr>
        <w:t> </w:t>
      </w:r>
      <w:r>
        <w:rPr>
          <w:sz w:val="24"/>
        </w:rPr>
        <w:t>up</w:t>
      </w:r>
      <w:r>
        <w:rPr>
          <w:spacing w:val="-3"/>
          <w:sz w:val="24"/>
        </w:rPr>
        <w:t> </w:t>
      </w:r>
      <w:r>
        <w:rPr>
          <w:sz w:val="24"/>
        </w:rPr>
        <w:t>deposits,</w:t>
      </w:r>
      <w:r>
        <w:rPr>
          <w:spacing w:val="-10"/>
          <w:sz w:val="24"/>
        </w:rPr>
        <w:t> </w:t>
      </w:r>
      <w:r>
        <w:rPr>
          <w:spacing w:val="-3"/>
          <w:sz w:val="24"/>
        </w:rPr>
        <w:t>that</w:t>
      </w:r>
      <w:r>
        <w:rPr>
          <w:spacing w:val="10"/>
          <w:sz w:val="24"/>
        </w:rPr>
        <w:t> </w:t>
      </w:r>
      <w:r>
        <w:rPr>
          <w:sz w:val="24"/>
        </w:rPr>
        <w:t>might</w:t>
      </w:r>
      <w:r>
        <w:rPr>
          <w:spacing w:val="-5"/>
          <w:sz w:val="24"/>
        </w:rPr>
        <w:t> </w:t>
      </w:r>
      <w:r>
        <w:rPr>
          <w:sz w:val="24"/>
        </w:rPr>
        <w:t>over</w:t>
      </w:r>
      <w:r>
        <w:rPr>
          <w:spacing w:val="-5"/>
          <w:sz w:val="24"/>
        </w:rPr>
        <w:t> </w:t>
      </w:r>
      <w:r>
        <w:rPr>
          <w:sz w:val="24"/>
        </w:rPr>
        <w:t>time</w:t>
      </w:r>
      <w:r>
        <w:rPr>
          <w:spacing w:val="-6"/>
          <w:sz w:val="24"/>
        </w:rPr>
        <w:t> </w:t>
      </w:r>
      <w:r>
        <w:rPr>
          <w:spacing w:val="4"/>
          <w:sz w:val="24"/>
        </w:rPr>
        <w:t>put</w:t>
      </w:r>
      <w:r>
        <w:rPr>
          <w:spacing w:val="-5"/>
          <w:sz w:val="24"/>
        </w:rPr>
        <w:t> </w:t>
      </w:r>
      <w:r>
        <w:rPr>
          <w:sz w:val="24"/>
        </w:rPr>
        <w:t>upward</w:t>
      </w:r>
      <w:r>
        <w:rPr>
          <w:spacing w:val="-5"/>
          <w:sz w:val="24"/>
        </w:rPr>
        <w:t> </w:t>
      </w:r>
      <w:r>
        <w:rPr>
          <w:sz w:val="24"/>
        </w:rPr>
        <w:t>pressure</w:t>
      </w:r>
      <w:r>
        <w:rPr>
          <w:spacing w:val="-5"/>
          <w:sz w:val="24"/>
        </w:rPr>
        <w:t> </w:t>
      </w:r>
      <w:r>
        <w:rPr>
          <w:sz w:val="24"/>
        </w:rPr>
        <w:t>on asset prices, increasing household wealth and potentially pushing up nominal</w:t>
      </w:r>
      <w:r>
        <w:rPr>
          <w:spacing w:val="-9"/>
          <w:sz w:val="24"/>
        </w:rPr>
        <w:t> </w:t>
      </w:r>
      <w:r>
        <w:rPr>
          <w:sz w:val="24"/>
        </w:rPr>
        <w:t>spending.</w:t>
      </w:r>
    </w:p>
    <w:p>
      <w:pPr>
        <w:pStyle w:val="BodyText"/>
        <w:spacing w:before="6"/>
        <w:rPr>
          <w:sz w:val="35"/>
        </w:rPr>
      </w:pPr>
    </w:p>
    <w:p>
      <w:pPr>
        <w:pStyle w:val="Heading2"/>
        <w:ind w:left="368"/>
      </w:pPr>
      <w:r>
        <w:rPr/>
        <w:t>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17" w:firstLine="0"/>
        <w:jc w:val="left"/>
        <w:rPr>
          <w:sz w:val="24"/>
        </w:rPr>
      </w:pPr>
      <w:r>
        <w:rPr>
          <w:sz w:val="24"/>
        </w:rPr>
        <w:t>There had been limited news about the labour </w:t>
      </w:r>
      <w:r>
        <w:rPr>
          <w:spacing w:val="-4"/>
          <w:sz w:val="24"/>
        </w:rPr>
        <w:t>market. </w:t>
      </w:r>
      <w:r>
        <w:rPr>
          <w:sz w:val="24"/>
        </w:rPr>
        <w:t>The employment rate remained broadly unchanged. The Labour Force Survey </w:t>
      </w:r>
      <w:r>
        <w:rPr>
          <w:spacing w:val="-4"/>
          <w:sz w:val="24"/>
        </w:rPr>
        <w:t>(LFS) </w:t>
      </w:r>
      <w:r>
        <w:rPr>
          <w:sz w:val="24"/>
        </w:rPr>
        <w:t>measure of the unemployment rate had edged up further to 5.4% in </w:t>
      </w:r>
      <w:r>
        <w:rPr>
          <w:spacing w:val="-5"/>
          <w:sz w:val="24"/>
        </w:rPr>
        <w:t>May, </w:t>
      </w:r>
      <w:r>
        <w:rPr>
          <w:sz w:val="24"/>
        </w:rPr>
        <w:t>its highest level since 2000, in contrast the claimant count measure had remained at 3.0% in June, unchanged for the fourth consecutive month. The difference between these </w:t>
      </w:r>
      <w:r>
        <w:rPr>
          <w:spacing w:val="3"/>
          <w:sz w:val="24"/>
        </w:rPr>
        <w:t>two </w:t>
      </w:r>
      <w:r>
        <w:rPr>
          <w:sz w:val="24"/>
        </w:rPr>
        <w:t>measures had been growing through 2006. A broader measure of </w:t>
      </w:r>
      <w:r>
        <w:rPr>
          <w:spacing w:val="-3"/>
          <w:sz w:val="24"/>
        </w:rPr>
        <w:t>non-employment </w:t>
      </w:r>
      <w:r>
        <w:rPr>
          <w:sz w:val="24"/>
        </w:rPr>
        <w:t>that weighted together</w:t>
      </w:r>
      <w:r>
        <w:rPr>
          <w:spacing w:val="-4"/>
          <w:sz w:val="24"/>
        </w:rPr>
        <w:t> </w:t>
      </w:r>
      <w:r>
        <w:rPr>
          <w:sz w:val="24"/>
        </w:rPr>
        <w:t>the</w:t>
      </w:r>
      <w:r>
        <w:rPr>
          <w:spacing w:val="-4"/>
          <w:sz w:val="24"/>
        </w:rPr>
        <w:t> </w:t>
      </w:r>
      <w:r>
        <w:rPr>
          <w:sz w:val="24"/>
        </w:rPr>
        <w:t>unemployed</w:t>
      </w:r>
      <w:r>
        <w:rPr>
          <w:spacing w:val="-4"/>
          <w:sz w:val="24"/>
        </w:rPr>
        <w:t> </w:t>
      </w:r>
      <w:r>
        <w:rPr>
          <w:spacing w:val="-3"/>
          <w:sz w:val="24"/>
        </w:rPr>
        <w:t>and</w:t>
      </w:r>
      <w:r>
        <w:rPr>
          <w:spacing w:val="1"/>
          <w:sz w:val="24"/>
        </w:rPr>
        <w:t> </w:t>
      </w:r>
      <w:r>
        <w:rPr>
          <w:sz w:val="24"/>
        </w:rPr>
        <w:t>those</w:t>
      </w:r>
      <w:r>
        <w:rPr>
          <w:spacing w:val="-5"/>
          <w:sz w:val="24"/>
        </w:rPr>
        <w:t> </w:t>
      </w:r>
      <w:r>
        <w:rPr>
          <w:sz w:val="24"/>
        </w:rPr>
        <w:t>people</w:t>
      </w:r>
      <w:r>
        <w:rPr>
          <w:spacing w:val="-6"/>
          <w:sz w:val="24"/>
        </w:rPr>
        <w:t> </w:t>
      </w:r>
      <w:r>
        <w:rPr>
          <w:sz w:val="24"/>
        </w:rPr>
        <w:t>supposedly</w:t>
      </w:r>
      <w:r>
        <w:rPr>
          <w:spacing w:val="3"/>
          <w:sz w:val="24"/>
        </w:rPr>
        <w:t> </w:t>
      </w:r>
      <w:r>
        <w:rPr>
          <w:sz w:val="24"/>
        </w:rPr>
        <w:t>not</w:t>
      </w:r>
      <w:r>
        <w:rPr>
          <w:spacing w:val="-7"/>
          <w:sz w:val="24"/>
        </w:rPr>
        <w:t> </w:t>
      </w:r>
      <w:r>
        <w:rPr>
          <w:sz w:val="24"/>
        </w:rPr>
        <w:t>seeking</w:t>
      </w:r>
      <w:r>
        <w:rPr>
          <w:spacing w:val="-6"/>
          <w:sz w:val="24"/>
        </w:rPr>
        <w:t> </w:t>
      </w:r>
      <w:r>
        <w:rPr>
          <w:sz w:val="24"/>
        </w:rPr>
        <w:t>or</w:t>
      </w:r>
      <w:r>
        <w:rPr>
          <w:spacing w:val="-7"/>
          <w:sz w:val="24"/>
        </w:rPr>
        <w:t> </w:t>
      </w:r>
      <w:r>
        <w:rPr>
          <w:sz w:val="24"/>
        </w:rPr>
        <w:t>not</w:t>
      </w:r>
      <w:r>
        <w:rPr>
          <w:spacing w:val="-6"/>
          <w:sz w:val="24"/>
        </w:rPr>
        <w:t> </w:t>
      </w:r>
      <w:r>
        <w:rPr>
          <w:sz w:val="24"/>
        </w:rPr>
        <w:t>available</w:t>
      </w:r>
      <w:r>
        <w:rPr>
          <w:spacing w:val="-7"/>
          <w:sz w:val="24"/>
        </w:rPr>
        <w:t> </w:t>
      </w:r>
      <w:r>
        <w:rPr>
          <w:sz w:val="24"/>
        </w:rPr>
        <w:t>for</w:t>
      </w:r>
      <w:r>
        <w:rPr>
          <w:spacing w:val="-7"/>
          <w:sz w:val="24"/>
        </w:rPr>
        <w:t> </w:t>
      </w:r>
      <w:r>
        <w:rPr>
          <w:sz w:val="24"/>
        </w:rPr>
        <w:t>work,</w:t>
      </w:r>
      <w:r>
        <w:rPr>
          <w:spacing w:val="-6"/>
          <w:sz w:val="24"/>
        </w:rPr>
        <w:t> </w:t>
      </w:r>
      <w:r>
        <w:rPr>
          <w:sz w:val="24"/>
        </w:rPr>
        <w:t>according to the likelihood of them finding </w:t>
      </w:r>
      <w:r>
        <w:rPr>
          <w:spacing w:val="-5"/>
          <w:sz w:val="24"/>
        </w:rPr>
        <w:t>work, </w:t>
      </w:r>
      <w:r>
        <w:rPr>
          <w:sz w:val="24"/>
        </w:rPr>
        <w:t>had increased by rather less than the LFS measure. Growth in the working population had increased markedly in recent years, partly reflecting increased inward migration. The participation rate had been increasing gently, but it was possible that this would reverse if job seekers </w:t>
      </w:r>
      <w:r>
        <w:rPr>
          <w:spacing w:val="3"/>
          <w:sz w:val="24"/>
        </w:rPr>
        <w:t>were </w:t>
      </w:r>
      <w:r>
        <w:rPr>
          <w:sz w:val="24"/>
        </w:rPr>
        <w:t>discouraged by fewer job opportunities. Overall, </w:t>
      </w:r>
      <w:r>
        <w:rPr>
          <w:spacing w:val="-6"/>
          <w:sz w:val="24"/>
        </w:rPr>
        <w:t>the </w:t>
      </w:r>
      <w:r>
        <w:rPr>
          <w:sz w:val="24"/>
        </w:rPr>
        <w:t>degree of slack in </w:t>
      </w:r>
      <w:r>
        <w:rPr>
          <w:spacing w:val="-2"/>
          <w:sz w:val="24"/>
        </w:rPr>
        <w:t>the </w:t>
      </w:r>
      <w:r>
        <w:rPr>
          <w:sz w:val="24"/>
        </w:rPr>
        <w:t>labour market remained</w:t>
      </w:r>
      <w:r>
        <w:rPr>
          <w:spacing w:val="-3"/>
          <w:sz w:val="24"/>
        </w:rPr>
        <w:t> </w:t>
      </w:r>
      <w:r>
        <w:rPr>
          <w:sz w:val="24"/>
        </w:rPr>
        <w:t>uncertain.</w:t>
      </w:r>
    </w:p>
    <w:p>
      <w:pPr>
        <w:pStyle w:val="BodyText"/>
        <w:rPr>
          <w:sz w:val="36"/>
        </w:rPr>
      </w:pPr>
    </w:p>
    <w:p>
      <w:pPr>
        <w:pStyle w:val="ListParagraph"/>
        <w:numPr>
          <w:ilvl w:val="0"/>
          <w:numId w:val="1"/>
        </w:numPr>
        <w:tabs>
          <w:tab w:pos="931" w:val="left" w:leader="none"/>
          <w:tab w:pos="932" w:val="left" w:leader="none"/>
        </w:tabs>
        <w:spacing w:line="364" w:lineRule="auto" w:before="0" w:after="0"/>
        <w:ind w:left="368" w:right="446" w:firstLine="0"/>
        <w:jc w:val="left"/>
        <w:rPr>
          <w:sz w:val="24"/>
        </w:rPr>
      </w:pPr>
      <w:r>
        <w:rPr>
          <w:sz w:val="24"/>
        </w:rPr>
        <w:t>Pay</w:t>
      </w:r>
      <w:r>
        <w:rPr>
          <w:spacing w:val="-3"/>
          <w:sz w:val="24"/>
        </w:rPr>
        <w:t> </w:t>
      </w:r>
      <w:r>
        <w:rPr>
          <w:sz w:val="24"/>
        </w:rPr>
        <w:t>growth</w:t>
      </w:r>
      <w:r>
        <w:rPr>
          <w:spacing w:val="-2"/>
          <w:sz w:val="24"/>
        </w:rPr>
        <w:t> </w:t>
      </w:r>
      <w:r>
        <w:rPr>
          <w:sz w:val="24"/>
        </w:rPr>
        <w:t>had</w:t>
      </w:r>
      <w:r>
        <w:rPr>
          <w:spacing w:val="-3"/>
          <w:sz w:val="24"/>
        </w:rPr>
        <w:t> </w:t>
      </w:r>
      <w:r>
        <w:rPr>
          <w:sz w:val="24"/>
        </w:rPr>
        <w:t>remained</w:t>
      </w:r>
      <w:r>
        <w:rPr>
          <w:spacing w:val="-2"/>
          <w:sz w:val="24"/>
        </w:rPr>
        <w:t> </w:t>
      </w:r>
      <w:r>
        <w:rPr>
          <w:sz w:val="24"/>
        </w:rPr>
        <w:t>subdued,</w:t>
      </w:r>
      <w:r>
        <w:rPr>
          <w:spacing w:val="-6"/>
          <w:sz w:val="24"/>
        </w:rPr>
        <w:t> </w:t>
      </w:r>
      <w:r>
        <w:rPr>
          <w:sz w:val="24"/>
        </w:rPr>
        <w:t>with</w:t>
      </w:r>
      <w:r>
        <w:rPr>
          <w:spacing w:val="-3"/>
          <w:sz w:val="24"/>
        </w:rPr>
        <w:t> </w:t>
      </w:r>
      <w:r>
        <w:rPr>
          <w:sz w:val="24"/>
        </w:rPr>
        <w:t>the</w:t>
      </w:r>
      <w:r>
        <w:rPr>
          <w:spacing w:val="8"/>
          <w:sz w:val="24"/>
        </w:rPr>
        <w:t> </w:t>
      </w:r>
      <w:r>
        <w:rPr>
          <w:sz w:val="24"/>
        </w:rPr>
        <w:t>mean</w:t>
      </w:r>
      <w:r>
        <w:rPr>
          <w:spacing w:val="-6"/>
          <w:sz w:val="24"/>
        </w:rPr>
        <w:t> </w:t>
      </w:r>
      <w:r>
        <w:rPr>
          <w:sz w:val="24"/>
        </w:rPr>
        <w:t>twelve-month</w:t>
      </w:r>
      <w:r>
        <w:rPr>
          <w:spacing w:val="-7"/>
          <w:sz w:val="24"/>
        </w:rPr>
        <w:t> </w:t>
      </w:r>
      <w:r>
        <w:rPr>
          <w:sz w:val="24"/>
        </w:rPr>
        <w:t>settlement</w:t>
      </w:r>
      <w:r>
        <w:rPr>
          <w:spacing w:val="-7"/>
          <w:sz w:val="24"/>
        </w:rPr>
        <w:t> </w:t>
      </w:r>
      <w:r>
        <w:rPr>
          <w:sz w:val="24"/>
        </w:rPr>
        <w:t>dipping</w:t>
      </w:r>
      <w:r>
        <w:rPr>
          <w:spacing w:val="-7"/>
          <w:sz w:val="24"/>
        </w:rPr>
        <w:t> </w:t>
      </w:r>
      <w:r>
        <w:rPr>
          <w:sz w:val="24"/>
        </w:rPr>
        <w:t>to</w:t>
      </w:r>
      <w:r>
        <w:rPr>
          <w:spacing w:val="-7"/>
          <w:sz w:val="24"/>
        </w:rPr>
        <w:t> </w:t>
      </w:r>
      <w:r>
        <w:rPr>
          <w:sz w:val="24"/>
        </w:rPr>
        <w:t>3.1%</w:t>
      </w:r>
      <w:r>
        <w:rPr>
          <w:spacing w:val="-7"/>
          <w:sz w:val="24"/>
        </w:rPr>
        <w:t> </w:t>
      </w:r>
      <w:r>
        <w:rPr>
          <w:sz w:val="24"/>
        </w:rPr>
        <w:t>in June and growth in the whole economy average </w:t>
      </w:r>
      <w:r>
        <w:rPr>
          <w:spacing w:val="-3"/>
          <w:sz w:val="24"/>
        </w:rPr>
        <w:t>earnings </w:t>
      </w:r>
      <w:r>
        <w:rPr>
          <w:sz w:val="24"/>
        </w:rPr>
        <w:t>index picking up slightly to 4.3% in</w:t>
      </w:r>
      <w:r>
        <w:rPr>
          <w:spacing w:val="-32"/>
          <w:sz w:val="24"/>
        </w:rPr>
        <w:t> </w:t>
      </w:r>
      <w:r>
        <w:rPr>
          <w:sz w:val="24"/>
        </w:rPr>
        <w:t>May.</w:t>
      </w:r>
    </w:p>
    <w:p>
      <w:pPr>
        <w:spacing w:after="0" w:line="364"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BodyText"/>
        <w:spacing w:line="360" w:lineRule="auto" w:before="90"/>
        <w:ind w:left="367" w:right="156"/>
      </w:pPr>
      <w:r>
        <w:rPr/>
        <w:t>There was little evidence yet of any ‘second-round’ effects of higher energy prices being passed through into higher wages. On the contrary, as reported by the Bank’s regional Agents, firms appeared to have reacted to the squeeze on their profit margins by bearing down on wage (and other) costs. It was also possible that recent downward pressure on wages reflected the more general loosening in labour market conditions during 2005.</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59" w:firstLine="0"/>
        <w:jc w:val="left"/>
        <w:rPr>
          <w:sz w:val="24"/>
        </w:rPr>
      </w:pPr>
      <w:r>
        <w:rPr>
          <w:sz w:val="24"/>
        </w:rPr>
        <w:t>Price inflation at the start </w:t>
      </w:r>
      <w:r>
        <w:rPr>
          <w:spacing w:val="7"/>
          <w:sz w:val="24"/>
        </w:rPr>
        <w:t>of </w:t>
      </w:r>
      <w:r>
        <w:rPr>
          <w:sz w:val="24"/>
        </w:rPr>
        <w:t>the supply chain remained high. The sterling price of oil had risen by over 7% in July. The annual rate of </w:t>
      </w:r>
      <w:r>
        <w:rPr>
          <w:spacing w:val="-3"/>
          <w:sz w:val="24"/>
        </w:rPr>
        <w:t>manufacturing </w:t>
      </w:r>
      <w:r>
        <w:rPr>
          <w:sz w:val="24"/>
        </w:rPr>
        <w:t>input price inflation had eased a little to 11% in June while manufacturing output price inflation had picked up to 3.6%. More recent business surveys gave a somewhat mixed picture, with the manufacturing output price balance in the CIPS/RBS survey picking up a little in July, but the service sector balance declining slightly. The Agents’ business contacts had suggested a slightly increased propensity to pass cost increases</w:t>
      </w:r>
      <w:r>
        <w:rPr>
          <w:spacing w:val="-33"/>
          <w:sz w:val="24"/>
        </w:rPr>
        <w:t> </w:t>
      </w:r>
      <w:r>
        <w:rPr>
          <w:sz w:val="24"/>
        </w:rPr>
        <w:t>through.</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96" w:firstLine="0"/>
        <w:jc w:val="left"/>
        <w:rPr>
          <w:sz w:val="24"/>
        </w:rPr>
      </w:pPr>
      <w:r>
        <w:rPr>
          <w:sz w:val="24"/>
        </w:rPr>
        <w:t>Consumer price inflation had risen to 2.5% in June, with unexpectedly strong rises in the prices of household goods and food: fresh food prices </w:t>
      </w:r>
      <w:r>
        <w:rPr>
          <w:spacing w:val="2"/>
          <w:sz w:val="24"/>
        </w:rPr>
        <w:t>were </w:t>
      </w:r>
      <w:r>
        <w:rPr>
          <w:sz w:val="24"/>
        </w:rPr>
        <w:t>possibly beginning to reflect the unusually </w:t>
      </w:r>
      <w:r>
        <w:rPr>
          <w:spacing w:val="-2"/>
          <w:sz w:val="24"/>
        </w:rPr>
        <w:t>hot </w:t>
      </w:r>
      <w:r>
        <w:rPr>
          <w:sz w:val="24"/>
        </w:rPr>
        <w:t>summer conditions in Europe.  Going forward, it was </w:t>
      </w:r>
      <w:r>
        <w:rPr>
          <w:spacing w:val="-3"/>
          <w:sz w:val="24"/>
        </w:rPr>
        <w:t>likely that </w:t>
      </w:r>
      <w:r>
        <w:rPr>
          <w:sz w:val="24"/>
        </w:rPr>
        <w:t>the recent further rises in energy prices</w:t>
      </w:r>
      <w:r>
        <w:rPr>
          <w:spacing w:val="-8"/>
          <w:sz w:val="24"/>
        </w:rPr>
        <w:t> </w:t>
      </w:r>
      <w:r>
        <w:rPr>
          <w:sz w:val="24"/>
        </w:rPr>
        <w:t>and</w:t>
      </w:r>
      <w:r>
        <w:rPr>
          <w:spacing w:val="-7"/>
          <w:sz w:val="24"/>
        </w:rPr>
        <w:t> </w:t>
      </w:r>
      <w:r>
        <w:rPr>
          <w:sz w:val="24"/>
        </w:rPr>
        <w:t>the</w:t>
      </w:r>
      <w:r>
        <w:rPr>
          <w:spacing w:val="-8"/>
          <w:sz w:val="24"/>
        </w:rPr>
        <w:t> </w:t>
      </w:r>
      <w:r>
        <w:rPr>
          <w:sz w:val="24"/>
        </w:rPr>
        <w:t>impact</w:t>
      </w:r>
      <w:r>
        <w:rPr>
          <w:spacing w:val="-7"/>
          <w:sz w:val="24"/>
        </w:rPr>
        <w:t> </w:t>
      </w:r>
      <w:r>
        <w:rPr>
          <w:sz w:val="24"/>
        </w:rPr>
        <w:t>of</w:t>
      </w:r>
      <w:r>
        <w:rPr>
          <w:spacing w:val="4"/>
          <w:sz w:val="24"/>
        </w:rPr>
        <w:t> </w:t>
      </w:r>
      <w:r>
        <w:rPr>
          <w:sz w:val="24"/>
        </w:rPr>
        <w:t>increases</w:t>
      </w:r>
      <w:r>
        <w:rPr>
          <w:spacing w:val="-2"/>
          <w:sz w:val="24"/>
        </w:rPr>
        <w:t> </w:t>
      </w:r>
      <w:r>
        <w:rPr>
          <w:sz w:val="24"/>
        </w:rPr>
        <w:t>in</w:t>
      </w:r>
      <w:r>
        <w:rPr>
          <w:spacing w:val="-2"/>
          <w:sz w:val="24"/>
        </w:rPr>
        <w:t> </w:t>
      </w:r>
      <w:r>
        <w:rPr>
          <w:sz w:val="24"/>
        </w:rPr>
        <w:t>university</w:t>
      </w:r>
      <w:r>
        <w:rPr>
          <w:spacing w:val="-2"/>
          <w:sz w:val="24"/>
        </w:rPr>
        <w:t> </w:t>
      </w:r>
      <w:r>
        <w:rPr>
          <w:sz w:val="24"/>
        </w:rPr>
        <w:t>tuition</w:t>
      </w:r>
      <w:r>
        <w:rPr>
          <w:spacing w:val="-2"/>
          <w:sz w:val="24"/>
        </w:rPr>
        <w:t> </w:t>
      </w:r>
      <w:r>
        <w:rPr>
          <w:sz w:val="24"/>
        </w:rPr>
        <w:t>fees</w:t>
      </w:r>
      <w:r>
        <w:rPr>
          <w:spacing w:val="-2"/>
          <w:sz w:val="24"/>
        </w:rPr>
        <w:t> </w:t>
      </w:r>
      <w:r>
        <w:rPr>
          <w:sz w:val="24"/>
        </w:rPr>
        <w:t>at</w:t>
      </w:r>
      <w:r>
        <w:rPr>
          <w:spacing w:val="-1"/>
          <w:sz w:val="24"/>
        </w:rPr>
        <w:t> </w:t>
      </w:r>
      <w:r>
        <w:rPr>
          <w:sz w:val="24"/>
        </w:rPr>
        <w:t>the</w:t>
      </w:r>
      <w:r>
        <w:rPr>
          <w:spacing w:val="-2"/>
          <w:sz w:val="24"/>
        </w:rPr>
        <w:t> </w:t>
      </w:r>
      <w:r>
        <w:rPr>
          <w:sz w:val="24"/>
        </w:rPr>
        <w:t>start</w:t>
      </w:r>
      <w:r>
        <w:rPr>
          <w:spacing w:val="-2"/>
          <w:sz w:val="24"/>
        </w:rPr>
        <w:t> </w:t>
      </w:r>
      <w:r>
        <w:rPr>
          <w:sz w:val="24"/>
        </w:rPr>
        <w:t>of</w:t>
      </w:r>
      <w:r>
        <w:rPr>
          <w:spacing w:val="-2"/>
          <w:sz w:val="24"/>
        </w:rPr>
        <w:t> </w:t>
      </w:r>
      <w:r>
        <w:rPr>
          <w:sz w:val="24"/>
        </w:rPr>
        <w:t>the</w:t>
      </w:r>
      <w:r>
        <w:rPr>
          <w:spacing w:val="-2"/>
          <w:sz w:val="24"/>
        </w:rPr>
        <w:t> </w:t>
      </w:r>
      <w:r>
        <w:rPr>
          <w:sz w:val="24"/>
        </w:rPr>
        <w:t>next</w:t>
      </w:r>
      <w:r>
        <w:rPr>
          <w:spacing w:val="-2"/>
          <w:sz w:val="24"/>
        </w:rPr>
        <w:t> </w:t>
      </w:r>
      <w:r>
        <w:rPr>
          <w:sz w:val="24"/>
        </w:rPr>
        <w:t>academic</w:t>
      </w:r>
      <w:r>
        <w:rPr>
          <w:spacing w:val="-1"/>
          <w:sz w:val="24"/>
        </w:rPr>
        <w:t> </w:t>
      </w:r>
      <w:r>
        <w:rPr>
          <w:sz w:val="24"/>
        </w:rPr>
        <w:t>year</w:t>
      </w:r>
      <w:r>
        <w:rPr>
          <w:spacing w:val="-2"/>
          <w:sz w:val="24"/>
        </w:rPr>
        <w:t> </w:t>
      </w:r>
      <w:r>
        <w:rPr>
          <w:sz w:val="24"/>
        </w:rPr>
        <w:t>would push CPI inflation further above the target in the </w:t>
      </w:r>
      <w:r>
        <w:rPr>
          <w:spacing w:val="-7"/>
          <w:sz w:val="24"/>
        </w:rPr>
        <w:t>next </w:t>
      </w:r>
      <w:r>
        <w:rPr>
          <w:spacing w:val="-4"/>
          <w:sz w:val="24"/>
        </w:rPr>
        <w:t>few </w:t>
      </w:r>
      <w:r>
        <w:rPr>
          <w:spacing w:val="-3"/>
          <w:sz w:val="24"/>
        </w:rPr>
        <w:t>months, </w:t>
      </w:r>
      <w:r>
        <w:rPr>
          <w:sz w:val="24"/>
        </w:rPr>
        <w:t>although the impact from tuition fees on the CPI remained</w:t>
      </w:r>
      <w:r>
        <w:rPr>
          <w:spacing w:val="12"/>
          <w:sz w:val="24"/>
        </w:rPr>
        <w:t> </w:t>
      </w:r>
      <w:r>
        <w:rPr>
          <w:spacing w:val="-3"/>
          <w:sz w:val="24"/>
        </w:rPr>
        <w:t>uncertain.</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594" w:firstLine="0"/>
        <w:jc w:val="left"/>
        <w:rPr>
          <w:sz w:val="24"/>
        </w:rPr>
      </w:pPr>
      <w:r>
        <w:rPr>
          <w:sz w:val="24"/>
        </w:rPr>
        <w:t>Some surveys of the general public’s near-term inflation expectations had declined in recent </w:t>
      </w:r>
      <w:r>
        <w:rPr>
          <w:spacing w:val="-4"/>
          <w:sz w:val="24"/>
        </w:rPr>
        <w:t>months </w:t>
      </w:r>
      <w:r>
        <w:rPr>
          <w:sz w:val="24"/>
        </w:rPr>
        <w:t>whereas longer-term inflation expectations for the Retail Prices </w:t>
      </w:r>
      <w:r>
        <w:rPr>
          <w:spacing w:val="-6"/>
          <w:sz w:val="24"/>
        </w:rPr>
        <w:t>Index, </w:t>
      </w:r>
      <w:r>
        <w:rPr>
          <w:sz w:val="24"/>
        </w:rPr>
        <w:t>derived from index- linked gilt prices, had edged up </w:t>
      </w:r>
      <w:r>
        <w:rPr>
          <w:spacing w:val="-3"/>
          <w:sz w:val="24"/>
        </w:rPr>
        <w:t>again </w:t>
      </w:r>
      <w:r>
        <w:rPr>
          <w:sz w:val="24"/>
        </w:rPr>
        <w:t>to </w:t>
      </w:r>
      <w:r>
        <w:rPr>
          <w:spacing w:val="-4"/>
          <w:sz w:val="24"/>
        </w:rPr>
        <w:t>around </w:t>
      </w:r>
      <w:r>
        <w:rPr>
          <w:sz w:val="24"/>
        </w:rPr>
        <w:t>3% at five- and ten-year</w:t>
      </w:r>
      <w:r>
        <w:rPr>
          <w:spacing w:val="38"/>
          <w:sz w:val="24"/>
        </w:rPr>
        <w:t> </w:t>
      </w:r>
      <w:r>
        <w:rPr>
          <w:sz w:val="24"/>
        </w:rPr>
        <w:t>horizons.</w:t>
      </w:r>
    </w:p>
    <w:p>
      <w:pPr>
        <w:pStyle w:val="BodyText"/>
        <w:rPr>
          <w:sz w:val="36"/>
        </w:rPr>
      </w:pPr>
    </w:p>
    <w:p>
      <w:pPr>
        <w:pStyle w:val="Heading2"/>
        <w:ind w:left="368"/>
      </w:pPr>
      <w:r>
        <w:rPr/>
        <w:t>The August GDP growth and inflation projections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The Committee reached its policy decision in the light of the projections to be published in</w:t>
      </w:r>
      <w:r>
        <w:rPr>
          <w:spacing w:val="-31"/>
          <w:sz w:val="24"/>
        </w:rPr>
        <w:t> </w:t>
      </w:r>
      <w:r>
        <w:rPr>
          <w:sz w:val="24"/>
        </w:rPr>
        <w:t>the</w:t>
      </w:r>
    </w:p>
    <w:p>
      <w:pPr>
        <w:spacing w:before="144"/>
        <w:ind w:left="368" w:right="0" w:firstLine="0"/>
        <w:jc w:val="left"/>
        <w:rPr>
          <w:sz w:val="24"/>
        </w:rPr>
      </w:pPr>
      <w:r>
        <w:rPr>
          <w:i/>
          <w:sz w:val="24"/>
        </w:rPr>
        <w:t>Inflation Report </w:t>
      </w:r>
      <w:r>
        <w:rPr>
          <w:sz w:val="24"/>
        </w:rPr>
        <w:t>on Wednesday 9 August.</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60" w:lineRule="auto" w:before="0" w:after="0"/>
        <w:ind w:left="368" w:right="314" w:firstLine="0"/>
        <w:jc w:val="left"/>
        <w:rPr>
          <w:i/>
          <w:sz w:val="24"/>
        </w:rPr>
      </w:pPr>
      <w:r>
        <w:rPr>
          <w:sz w:val="24"/>
        </w:rPr>
        <w:t>Conditional on assuming market participants’ expected path for interest rates, the Committee’s central projection was for UK GDP to continue to grow at a rate close to its average over the past decade. Steady growth </w:t>
      </w:r>
      <w:r>
        <w:rPr>
          <w:spacing w:val="-4"/>
          <w:sz w:val="24"/>
        </w:rPr>
        <w:t>in </w:t>
      </w:r>
      <w:r>
        <w:rPr>
          <w:sz w:val="24"/>
        </w:rPr>
        <w:t>consumer spending, a moderate recovery in investment and a small boost from net trade offset slower growth in public expenditure. </w:t>
      </w:r>
      <w:r>
        <w:rPr>
          <w:spacing w:val="-6"/>
          <w:sz w:val="24"/>
        </w:rPr>
        <w:t>This </w:t>
      </w:r>
      <w:r>
        <w:rPr>
          <w:sz w:val="24"/>
        </w:rPr>
        <w:t>profile represented a slightly stronger outlook than </w:t>
      </w:r>
      <w:r>
        <w:rPr>
          <w:spacing w:val="-3"/>
          <w:sz w:val="24"/>
        </w:rPr>
        <w:t>that </w:t>
      </w:r>
      <w:r>
        <w:rPr>
          <w:sz w:val="24"/>
        </w:rPr>
        <w:t>published in the May </w:t>
      </w:r>
      <w:r>
        <w:rPr>
          <w:i/>
          <w:sz w:val="24"/>
        </w:rPr>
        <w:t>Inflation</w:t>
      </w:r>
      <w:r>
        <w:rPr>
          <w:i/>
          <w:spacing w:val="14"/>
          <w:sz w:val="24"/>
        </w:rPr>
        <w:t> </w:t>
      </w:r>
      <w:r>
        <w:rPr>
          <w:i/>
          <w:sz w:val="24"/>
        </w:rPr>
        <w:t>Report.</w:t>
      </w:r>
    </w:p>
    <w:p>
      <w:pPr>
        <w:spacing w:after="0" w:line="360" w:lineRule="auto"/>
        <w:jc w:val="left"/>
        <w:rPr>
          <w:sz w:val="24"/>
        </w:rPr>
        <w:sectPr>
          <w:pgSz w:w="11900" w:h="16840"/>
          <w:pgMar w:header="1134" w:footer="0" w:top="1380" w:bottom="280" w:left="760" w:right="700"/>
        </w:sectPr>
      </w:pPr>
    </w:p>
    <w:p>
      <w:pPr>
        <w:pStyle w:val="BodyText"/>
        <w:rPr>
          <w:i/>
          <w:sz w:val="20"/>
        </w:rPr>
      </w:pPr>
    </w:p>
    <w:p>
      <w:pPr>
        <w:pStyle w:val="BodyText"/>
        <w:spacing w:before="2"/>
        <w:rPr>
          <w:i/>
          <w:sz w:val="20"/>
        </w:rPr>
      </w:pPr>
    </w:p>
    <w:p>
      <w:pPr>
        <w:pStyle w:val="ListParagraph"/>
        <w:numPr>
          <w:ilvl w:val="0"/>
          <w:numId w:val="1"/>
        </w:numPr>
        <w:tabs>
          <w:tab w:pos="931" w:val="left" w:leader="none"/>
          <w:tab w:pos="932" w:val="left" w:leader="none"/>
        </w:tabs>
        <w:spacing w:line="362" w:lineRule="auto" w:before="90" w:after="0"/>
        <w:ind w:left="367" w:right="587" w:firstLine="0"/>
        <w:jc w:val="left"/>
        <w:rPr>
          <w:sz w:val="24"/>
        </w:rPr>
      </w:pPr>
      <w:r>
        <w:rPr>
          <w:sz w:val="24"/>
        </w:rPr>
        <w:t>The Committee’s central projection for inflation was also a little </w:t>
      </w:r>
      <w:r>
        <w:rPr>
          <w:spacing w:val="-3"/>
          <w:sz w:val="24"/>
        </w:rPr>
        <w:t>higher </w:t>
      </w:r>
      <w:r>
        <w:rPr>
          <w:sz w:val="24"/>
        </w:rPr>
        <w:t>than in </w:t>
      </w:r>
      <w:r>
        <w:rPr>
          <w:spacing w:val="-5"/>
          <w:sz w:val="24"/>
        </w:rPr>
        <w:t>May, </w:t>
      </w:r>
      <w:r>
        <w:rPr>
          <w:sz w:val="24"/>
        </w:rPr>
        <w:t>rising further above the target in the </w:t>
      </w:r>
      <w:r>
        <w:rPr>
          <w:spacing w:val="-3"/>
          <w:sz w:val="24"/>
        </w:rPr>
        <w:t>near term, </w:t>
      </w:r>
      <w:r>
        <w:rPr>
          <w:sz w:val="24"/>
        </w:rPr>
        <w:t>before easing back towards 2%. As energy price inflation moderated, and against a background of robust demand growth and limited spare capacity, some recovery in profit margins and pay growth was</w:t>
      </w:r>
      <w:r>
        <w:rPr>
          <w:spacing w:val="11"/>
          <w:sz w:val="24"/>
        </w:rPr>
        <w:t> </w:t>
      </w:r>
      <w:r>
        <w:rPr>
          <w:sz w:val="24"/>
        </w:rPr>
        <w:t>projected.</w:t>
      </w:r>
    </w:p>
    <w:p>
      <w:pPr>
        <w:pStyle w:val="BodyText"/>
        <w:spacing w:before="6"/>
        <w:rPr>
          <w:sz w:val="35"/>
        </w:rPr>
      </w:pPr>
    </w:p>
    <w:p>
      <w:pPr>
        <w:pStyle w:val="ListParagraph"/>
        <w:numPr>
          <w:ilvl w:val="0"/>
          <w:numId w:val="1"/>
        </w:numPr>
        <w:tabs>
          <w:tab w:pos="931" w:val="left" w:leader="none"/>
          <w:tab w:pos="932" w:val="left" w:leader="none"/>
        </w:tabs>
        <w:spacing w:line="357" w:lineRule="auto" w:before="0" w:after="0"/>
        <w:ind w:left="367" w:right="501" w:firstLine="0"/>
        <w:jc w:val="left"/>
        <w:rPr>
          <w:sz w:val="24"/>
        </w:rPr>
      </w:pPr>
      <w:r>
        <w:rPr>
          <w:sz w:val="24"/>
        </w:rPr>
        <w:t>As usual, substantial risks had been identified surrounding the central projections. These included, in particular: the prospects for world growth; the strength and duration of the recovery </w:t>
      </w:r>
      <w:r>
        <w:rPr>
          <w:spacing w:val="-3"/>
          <w:sz w:val="24"/>
        </w:rPr>
        <w:t>in </w:t>
      </w:r>
      <w:r>
        <w:rPr>
          <w:sz w:val="24"/>
        </w:rPr>
        <w:t>consumer spending; the outlook for energy and import prices and their interaction with domestic pricing pressures; and the margin of spare resources within firms and in the labour</w:t>
      </w:r>
      <w:r>
        <w:rPr>
          <w:spacing w:val="-9"/>
          <w:sz w:val="24"/>
        </w:rPr>
        <w:t> </w:t>
      </w:r>
      <w:r>
        <w:rPr>
          <w:sz w:val="24"/>
        </w:rPr>
        <w:t>market.</w:t>
      </w:r>
    </w:p>
    <w:p>
      <w:pPr>
        <w:pStyle w:val="BodyText"/>
        <w:spacing w:before="5"/>
        <w:rPr>
          <w:sz w:val="36"/>
        </w:rPr>
      </w:pPr>
    </w:p>
    <w:p>
      <w:pPr>
        <w:pStyle w:val="ListParagraph"/>
        <w:numPr>
          <w:ilvl w:val="0"/>
          <w:numId w:val="1"/>
        </w:numPr>
        <w:tabs>
          <w:tab w:pos="931" w:val="left" w:leader="none"/>
          <w:tab w:pos="932" w:val="left" w:leader="none"/>
        </w:tabs>
        <w:spacing w:line="364" w:lineRule="auto" w:before="1" w:after="0"/>
        <w:ind w:left="367" w:right="193" w:firstLine="0"/>
        <w:jc w:val="left"/>
        <w:rPr>
          <w:sz w:val="24"/>
        </w:rPr>
      </w:pPr>
      <w:r>
        <w:rPr>
          <w:sz w:val="24"/>
        </w:rPr>
        <w:t>Under</w:t>
      </w:r>
      <w:r>
        <w:rPr>
          <w:spacing w:val="-4"/>
          <w:sz w:val="24"/>
        </w:rPr>
        <w:t> </w:t>
      </w:r>
      <w:r>
        <w:rPr>
          <w:sz w:val="24"/>
        </w:rPr>
        <w:t>the</w:t>
      </w:r>
      <w:r>
        <w:rPr>
          <w:spacing w:val="-4"/>
          <w:sz w:val="24"/>
        </w:rPr>
        <w:t> </w:t>
      </w:r>
      <w:r>
        <w:rPr>
          <w:sz w:val="24"/>
        </w:rPr>
        <w:t>alternative</w:t>
      </w:r>
      <w:r>
        <w:rPr>
          <w:spacing w:val="-4"/>
          <w:sz w:val="24"/>
        </w:rPr>
        <w:t> </w:t>
      </w:r>
      <w:r>
        <w:rPr>
          <w:sz w:val="24"/>
        </w:rPr>
        <w:t>assumption</w:t>
      </w:r>
      <w:r>
        <w:rPr>
          <w:spacing w:val="-4"/>
          <w:sz w:val="24"/>
        </w:rPr>
        <w:t> </w:t>
      </w:r>
      <w:r>
        <w:rPr>
          <w:sz w:val="24"/>
        </w:rPr>
        <w:t>of</w:t>
      </w:r>
      <w:r>
        <w:rPr>
          <w:spacing w:val="-4"/>
          <w:sz w:val="24"/>
        </w:rPr>
        <w:t> </w:t>
      </w:r>
      <w:r>
        <w:rPr>
          <w:sz w:val="24"/>
        </w:rPr>
        <w:t>constant</w:t>
      </w:r>
      <w:r>
        <w:rPr>
          <w:spacing w:val="-3"/>
          <w:sz w:val="24"/>
        </w:rPr>
        <w:t> </w:t>
      </w:r>
      <w:r>
        <w:rPr>
          <w:sz w:val="24"/>
        </w:rPr>
        <w:t>interest</w:t>
      </w:r>
      <w:r>
        <w:rPr>
          <w:spacing w:val="-4"/>
          <w:sz w:val="24"/>
        </w:rPr>
        <w:t> </w:t>
      </w:r>
      <w:r>
        <w:rPr>
          <w:spacing w:val="-3"/>
          <w:sz w:val="24"/>
        </w:rPr>
        <w:t>rates,</w:t>
      </w:r>
      <w:r>
        <w:rPr>
          <w:spacing w:val="-6"/>
          <w:sz w:val="24"/>
        </w:rPr>
        <w:t> </w:t>
      </w:r>
      <w:r>
        <w:rPr>
          <w:sz w:val="24"/>
        </w:rPr>
        <w:t>output</w:t>
      </w:r>
      <w:r>
        <w:rPr>
          <w:spacing w:val="-6"/>
          <w:sz w:val="24"/>
        </w:rPr>
        <w:t> </w:t>
      </w:r>
      <w:r>
        <w:rPr>
          <w:sz w:val="24"/>
        </w:rPr>
        <w:t>growth</w:t>
      </w:r>
      <w:r>
        <w:rPr>
          <w:spacing w:val="-5"/>
          <w:sz w:val="24"/>
        </w:rPr>
        <w:t> </w:t>
      </w:r>
      <w:r>
        <w:rPr>
          <w:sz w:val="24"/>
        </w:rPr>
        <w:t>and</w:t>
      </w:r>
      <w:r>
        <w:rPr>
          <w:spacing w:val="-6"/>
          <w:sz w:val="24"/>
        </w:rPr>
        <w:t> </w:t>
      </w:r>
      <w:r>
        <w:rPr>
          <w:sz w:val="24"/>
        </w:rPr>
        <w:t>inflation</w:t>
      </w:r>
      <w:r>
        <w:rPr>
          <w:spacing w:val="-6"/>
          <w:sz w:val="24"/>
        </w:rPr>
        <w:t> </w:t>
      </w:r>
      <w:r>
        <w:rPr>
          <w:sz w:val="24"/>
        </w:rPr>
        <w:t>were</w:t>
      </w:r>
      <w:r>
        <w:rPr>
          <w:spacing w:val="-5"/>
          <w:sz w:val="24"/>
        </w:rPr>
        <w:t> </w:t>
      </w:r>
      <w:r>
        <w:rPr>
          <w:sz w:val="24"/>
        </w:rPr>
        <w:t>both projected to be a little</w:t>
      </w:r>
      <w:r>
        <w:rPr>
          <w:spacing w:val="-6"/>
          <w:sz w:val="24"/>
        </w:rPr>
        <w:t> </w:t>
      </w:r>
      <w:r>
        <w:rPr>
          <w:sz w:val="24"/>
        </w:rPr>
        <w:t>higher.</w:t>
      </w:r>
    </w:p>
    <w:p>
      <w:pPr>
        <w:pStyle w:val="BodyText"/>
        <w:spacing w:before="6"/>
        <w:rPr>
          <w:sz w:val="35"/>
        </w:rPr>
      </w:pPr>
    </w:p>
    <w:p>
      <w:pPr>
        <w:pStyle w:val="Heading2"/>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55" w:lineRule="auto" w:before="0" w:after="0"/>
        <w:ind w:left="367" w:right="697" w:firstLine="0"/>
        <w:jc w:val="left"/>
        <w:rPr>
          <w:sz w:val="24"/>
        </w:rPr>
      </w:pPr>
      <w:r>
        <w:rPr>
          <w:sz w:val="24"/>
        </w:rPr>
        <w:t>Committee members first reviewed some of the key issues arising from consideration</w:t>
      </w:r>
      <w:r>
        <w:rPr>
          <w:spacing w:val="-40"/>
          <w:sz w:val="24"/>
        </w:rPr>
        <w:t> </w:t>
      </w:r>
      <w:r>
        <w:rPr>
          <w:sz w:val="24"/>
        </w:rPr>
        <w:t>of </w:t>
      </w:r>
      <w:r>
        <w:rPr>
          <w:spacing w:val="-2"/>
          <w:sz w:val="24"/>
        </w:rPr>
        <w:t>the </w:t>
      </w:r>
      <w:r>
        <w:rPr>
          <w:sz w:val="24"/>
        </w:rPr>
        <w:t>August</w:t>
      </w:r>
      <w:r>
        <w:rPr>
          <w:spacing w:val="-4"/>
          <w:sz w:val="24"/>
        </w:rPr>
        <w:t> </w:t>
      </w:r>
      <w:r>
        <w:rPr>
          <w:sz w:val="24"/>
        </w:rPr>
        <w:t>forecast</w:t>
      </w:r>
      <w:r>
        <w:rPr>
          <w:spacing w:val="-13"/>
          <w:sz w:val="24"/>
        </w:rPr>
        <w:t> </w:t>
      </w:r>
      <w:r>
        <w:rPr>
          <w:sz w:val="24"/>
        </w:rPr>
        <w:t>and</w:t>
      </w:r>
      <w:r>
        <w:rPr>
          <w:spacing w:val="-1"/>
          <w:sz w:val="24"/>
        </w:rPr>
        <w:t> </w:t>
      </w:r>
      <w:r>
        <w:rPr>
          <w:sz w:val="24"/>
        </w:rPr>
        <w:t>then</w:t>
      </w:r>
      <w:r>
        <w:rPr>
          <w:spacing w:val="-2"/>
          <w:sz w:val="24"/>
        </w:rPr>
        <w:t> </w:t>
      </w:r>
      <w:r>
        <w:rPr>
          <w:sz w:val="24"/>
        </w:rPr>
        <w:t>discussed</w:t>
      </w:r>
      <w:r>
        <w:rPr>
          <w:spacing w:val="-2"/>
          <w:sz w:val="24"/>
        </w:rPr>
        <w:t> </w:t>
      </w:r>
      <w:r>
        <w:rPr>
          <w:sz w:val="24"/>
        </w:rPr>
        <w:t>factors</w:t>
      </w:r>
      <w:r>
        <w:rPr>
          <w:spacing w:val="-2"/>
          <w:sz w:val="24"/>
        </w:rPr>
        <w:t> </w:t>
      </w:r>
      <w:r>
        <w:rPr>
          <w:spacing w:val="-3"/>
          <w:sz w:val="24"/>
        </w:rPr>
        <w:t>affecting</w:t>
      </w:r>
      <w:r>
        <w:rPr>
          <w:spacing w:val="1"/>
          <w:sz w:val="24"/>
        </w:rPr>
        <w:t> </w:t>
      </w:r>
      <w:r>
        <w:rPr>
          <w:sz w:val="24"/>
        </w:rPr>
        <w:t>the</w:t>
      </w:r>
      <w:r>
        <w:rPr>
          <w:spacing w:val="1"/>
          <w:sz w:val="24"/>
        </w:rPr>
        <w:t> </w:t>
      </w:r>
      <w:r>
        <w:rPr>
          <w:sz w:val="24"/>
        </w:rPr>
        <w:t>ti</w:t>
      </w:r>
      <w:r>
        <w:rPr>
          <w:spacing w:val="-39"/>
          <w:sz w:val="24"/>
        </w:rPr>
        <w:t> </w:t>
      </w:r>
      <w:r>
        <w:rPr>
          <w:sz w:val="24"/>
        </w:rPr>
        <w:t>ming</w:t>
      </w:r>
      <w:r>
        <w:rPr>
          <w:spacing w:val="-4"/>
          <w:sz w:val="24"/>
        </w:rPr>
        <w:t> </w:t>
      </w:r>
      <w:r>
        <w:rPr>
          <w:sz w:val="24"/>
        </w:rPr>
        <w:t>of</w:t>
      </w:r>
      <w:r>
        <w:rPr>
          <w:spacing w:val="-4"/>
          <w:sz w:val="24"/>
        </w:rPr>
        <w:t> </w:t>
      </w:r>
      <w:r>
        <w:rPr>
          <w:sz w:val="24"/>
        </w:rPr>
        <w:t>any</w:t>
      </w:r>
      <w:r>
        <w:rPr>
          <w:spacing w:val="-3"/>
          <w:sz w:val="24"/>
        </w:rPr>
        <w:t> </w:t>
      </w:r>
      <w:r>
        <w:rPr>
          <w:sz w:val="24"/>
        </w:rPr>
        <w:t>change</w:t>
      </w:r>
      <w:r>
        <w:rPr>
          <w:spacing w:val="2"/>
          <w:sz w:val="24"/>
        </w:rPr>
        <w:t> </w:t>
      </w:r>
      <w:r>
        <w:rPr>
          <w:sz w:val="24"/>
        </w:rPr>
        <w:t>in</w:t>
      </w:r>
      <w:r>
        <w:rPr>
          <w:spacing w:val="6"/>
          <w:sz w:val="24"/>
        </w:rPr>
        <w:t> </w:t>
      </w:r>
      <w:r>
        <w:rPr>
          <w:sz w:val="24"/>
        </w:rPr>
        <w:t>interest</w:t>
      </w:r>
      <w:r>
        <w:rPr>
          <w:spacing w:val="-2"/>
          <w:sz w:val="24"/>
        </w:rPr>
        <w:t> </w:t>
      </w:r>
      <w:r>
        <w:rPr>
          <w:sz w:val="24"/>
        </w:rPr>
        <w:t>rates.</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7" w:right="194" w:firstLine="0"/>
        <w:jc w:val="left"/>
        <w:rPr>
          <w:sz w:val="24"/>
        </w:rPr>
      </w:pPr>
      <w:r>
        <w:rPr>
          <w:sz w:val="24"/>
        </w:rPr>
        <w:t>A </w:t>
      </w:r>
      <w:r>
        <w:rPr>
          <w:spacing w:val="-3"/>
          <w:sz w:val="24"/>
        </w:rPr>
        <w:t>major </w:t>
      </w:r>
      <w:r>
        <w:rPr>
          <w:sz w:val="24"/>
        </w:rPr>
        <w:t>uncertainty was the degree of slack in the economy as a whole. On </w:t>
      </w:r>
      <w:r>
        <w:rPr>
          <w:spacing w:val="-5"/>
          <w:sz w:val="24"/>
        </w:rPr>
        <w:t>the </w:t>
      </w:r>
      <w:r>
        <w:rPr>
          <w:sz w:val="24"/>
        </w:rPr>
        <w:t>one hand, </w:t>
      </w:r>
      <w:r>
        <w:rPr>
          <w:spacing w:val="-2"/>
          <w:sz w:val="24"/>
        </w:rPr>
        <w:t>the </w:t>
      </w:r>
      <w:r>
        <w:rPr>
          <w:sz w:val="24"/>
        </w:rPr>
        <w:t>recent upwards revisions to the GDP data, together with the central projection for output growth, implied </w:t>
      </w:r>
      <w:r>
        <w:rPr>
          <w:spacing w:val="-3"/>
          <w:sz w:val="24"/>
        </w:rPr>
        <w:t>that </w:t>
      </w:r>
      <w:r>
        <w:rPr>
          <w:sz w:val="24"/>
        </w:rPr>
        <w:t>there would be less slack in the economy than previously thought. On the other hand, </w:t>
      </w:r>
      <w:r>
        <w:rPr>
          <w:spacing w:val="-2"/>
          <w:sz w:val="24"/>
        </w:rPr>
        <w:t>the </w:t>
      </w:r>
      <w:r>
        <w:rPr>
          <w:sz w:val="24"/>
        </w:rPr>
        <w:t>labour</w:t>
      </w:r>
      <w:r>
        <w:rPr>
          <w:spacing w:val="-4"/>
          <w:sz w:val="24"/>
        </w:rPr>
        <w:t> </w:t>
      </w:r>
      <w:r>
        <w:rPr>
          <w:sz w:val="24"/>
        </w:rPr>
        <w:t>market</w:t>
      </w:r>
      <w:r>
        <w:rPr>
          <w:spacing w:val="-4"/>
          <w:sz w:val="24"/>
        </w:rPr>
        <w:t> </w:t>
      </w:r>
      <w:r>
        <w:rPr>
          <w:sz w:val="24"/>
        </w:rPr>
        <w:t>looked</w:t>
      </w:r>
      <w:r>
        <w:rPr>
          <w:spacing w:val="-3"/>
          <w:sz w:val="24"/>
        </w:rPr>
        <w:t> </w:t>
      </w:r>
      <w:r>
        <w:rPr>
          <w:sz w:val="24"/>
        </w:rPr>
        <w:t>as</w:t>
      </w:r>
      <w:r>
        <w:rPr>
          <w:spacing w:val="-4"/>
          <w:sz w:val="24"/>
        </w:rPr>
        <w:t> </w:t>
      </w:r>
      <w:r>
        <w:rPr>
          <w:sz w:val="24"/>
        </w:rPr>
        <w:t>if</w:t>
      </w:r>
      <w:r>
        <w:rPr>
          <w:spacing w:val="-3"/>
          <w:sz w:val="24"/>
        </w:rPr>
        <w:t> </w:t>
      </w:r>
      <w:r>
        <w:rPr>
          <w:sz w:val="24"/>
        </w:rPr>
        <w:t>it</w:t>
      </w:r>
      <w:r>
        <w:rPr>
          <w:spacing w:val="-4"/>
          <w:sz w:val="24"/>
        </w:rPr>
        <w:t> </w:t>
      </w:r>
      <w:r>
        <w:rPr>
          <w:sz w:val="24"/>
        </w:rPr>
        <w:t>had</w:t>
      </w:r>
      <w:r>
        <w:rPr>
          <w:spacing w:val="-3"/>
          <w:sz w:val="24"/>
        </w:rPr>
        <w:t> </w:t>
      </w:r>
      <w:r>
        <w:rPr>
          <w:sz w:val="24"/>
        </w:rPr>
        <w:t>loosened,</w:t>
      </w:r>
      <w:r>
        <w:rPr>
          <w:spacing w:val="-4"/>
          <w:sz w:val="24"/>
        </w:rPr>
        <w:t> </w:t>
      </w:r>
      <w:r>
        <w:rPr>
          <w:sz w:val="24"/>
        </w:rPr>
        <w:t>with</w:t>
      </w:r>
      <w:r>
        <w:rPr>
          <w:spacing w:val="-3"/>
          <w:sz w:val="24"/>
        </w:rPr>
        <w:t> </w:t>
      </w:r>
      <w:r>
        <w:rPr>
          <w:sz w:val="24"/>
        </w:rPr>
        <w:t>inward</w:t>
      </w:r>
      <w:r>
        <w:rPr>
          <w:spacing w:val="-4"/>
          <w:sz w:val="24"/>
        </w:rPr>
        <w:t> </w:t>
      </w:r>
      <w:r>
        <w:rPr>
          <w:sz w:val="24"/>
        </w:rPr>
        <w:t>migration</w:t>
      </w:r>
      <w:r>
        <w:rPr>
          <w:spacing w:val="-3"/>
          <w:sz w:val="24"/>
        </w:rPr>
        <w:t> </w:t>
      </w:r>
      <w:r>
        <w:rPr>
          <w:sz w:val="24"/>
        </w:rPr>
        <w:t>boosting</w:t>
      </w:r>
      <w:r>
        <w:rPr>
          <w:spacing w:val="-4"/>
          <w:sz w:val="24"/>
        </w:rPr>
        <w:t> </w:t>
      </w:r>
      <w:r>
        <w:rPr>
          <w:sz w:val="24"/>
        </w:rPr>
        <w:t>the</w:t>
      </w:r>
      <w:r>
        <w:rPr>
          <w:spacing w:val="-3"/>
          <w:sz w:val="24"/>
        </w:rPr>
        <w:t> </w:t>
      </w:r>
      <w:r>
        <w:rPr>
          <w:sz w:val="24"/>
        </w:rPr>
        <w:t>working</w:t>
      </w:r>
      <w:r>
        <w:rPr>
          <w:spacing w:val="-4"/>
          <w:sz w:val="24"/>
        </w:rPr>
        <w:t> </w:t>
      </w:r>
      <w:r>
        <w:rPr>
          <w:sz w:val="24"/>
        </w:rPr>
        <w:t>population</w:t>
      </w:r>
      <w:r>
        <w:rPr>
          <w:spacing w:val="-3"/>
          <w:sz w:val="24"/>
        </w:rPr>
        <w:t> </w:t>
      </w:r>
      <w:r>
        <w:rPr>
          <w:sz w:val="24"/>
        </w:rPr>
        <w:t>and with the demand for labour </w:t>
      </w:r>
      <w:r>
        <w:rPr>
          <w:spacing w:val="-3"/>
          <w:sz w:val="24"/>
        </w:rPr>
        <w:t>having </w:t>
      </w:r>
      <w:r>
        <w:rPr>
          <w:sz w:val="24"/>
        </w:rPr>
        <w:t>eased through 2005, possibly as firms sought to offset the impact of higher energy prices by reducing labour costs. Most Committee members concluded that, on balance, the overall degree of slack was less.</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698" w:firstLine="0"/>
        <w:jc w:val="left"/>
        <w:rPr>
          <w:sz w:val="24"/>
        </w:rPr>
      </w:pPr>
      <w:r>
        <w:rPr>
          <w:sz w:val="24"/>
        </w:rPr>
        <w:t>Earnings growth remained muted, but if </w:t>
      </w:r>
      <w:r>
        <w:rPr>
          <w:spacing w:val="-3"/>
          <w:sz w:val="24"/>
        </w:rPr>
        <w:t>demand </w:t>
      </w:r>
      <w:r>
        <w:rPr>
          <w:sz w:val="24"/>
        </w:rPr>
        <w:t>pressures were building that might well be reflected first in prices, as firms rebuilt profit </w:t>
      </w:r>
      <w:r>
        <w:rPr>
          <w:spacing w:val="-3"/>
          <w:sz w:val="24"/>
        </w:rPr>
        <w:t>margins </w:t>
      </w:r>
      <w:r>
        <w:rPr>
          <w:sz w:val="24"/>
        </w:rPr>
        <w:t>– wage increases would then be a lagging indicator of</w:t>
      </w:r>
      <w:r>
        <w:rPr>
          <w:spacing w:val="-2"/>
          <w:sz w:val="24"/>
        </w:rPr>
        <w:t> </w:t>
      </w:r>
      <w:r>
        <w:rPr>
          <w:spacing w:val="-3"/>
          <w:sz w:val="24"/>
        </w:rPr>
        <w:t>inflation.</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86" w:firstLine="0"/>
        <w:jc w:val="left"/>
        <w:rPr>
          <w:sz w:val="24"/>
        </w:rPr>
      </w:pPr>
      <w:r>
        <w:rPr>
          <w:sz w:val="24"/>
        </w:rPr>
        <w:t>In previous </w:t>
      </w:r>
      <w:r>
        <w:rPr>
          <w:spacing w:val="-7"/>
          <w:sz w:val="24"/>
        </w:rPr>
        <w:t>months </w:t>
      </w:r>
      <w:r>
        <w:rPr>
          <w:sz w:val="24"/>
        </w:rPr>
        <w:t>the Committee had discussed the risk of a sustained slowing in consumption growth, following the weak data for the first quarter. That risk seemed to be considerably less in the light of </w:t>
      </w:r>
      <w:r>
        <w:rPr>
          <w:spacing w:val="-6"/>
          <w:sz w:val="24"/>
        </w:rPr>
        <w:t>the </w:t>
      </w:r>
      <w:r>
        <w:rPr>
          <w:sz w:val="24"/>
        </w:rPr>
        <w:t>robust Q2</w:t>
      </w:r>
      <w:r>
        <w:rPr>
          <w:spacing w:val="13"/>
          <w:sz w:val="24"/>
        </w:rPr>
        <w:t> </w:t>
      </w:r>
      <w:r>
        <w:rPr>
          <w:sz w:val="24"/>
        </w:rPr>
        <w:t>indicators.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0" w:lineRule="auto" w:before="90" w:after="0"/>
        <w:ind w:left="368" w:right="281" w:firstLine="0"/>
        <w:jc w:val="left"/>
        <w:rPr>
          <w:sz w:val="24"/>
        </w:rPr>
      </w:pPr>
      <w:r>
        <w:rPr>
          <w:sz w:val="24"/>
        </w:rPr>
        <w:t>Supporting evidence of potential </w:t>
      </w:r>
      <w:r>
        <w:rPr>
          <w:spacing w:val="-4"/>
          <w:sz w:val="24"/>
        </w:rPr>
        <w:t>demand </w:t>
      </w:r>
      <w:r>
        <w:rPr>
          <w:sz w:val="24"/>
        </w:rPr>
        <w:t>pressures in the medium </w:t>
      </w:r>
      <w:r>
        <w:rPr>
          <w:spacing w:val="5"/>
          <w:sz w:val="24"/>
        </w:rPr>
        <w:t>term </w:t>
      </w:r>
      <w:r>
        <w:rPr>
          <w:sz w:val="24"/>
        </w:rPr>
        <w:t>came from the rapid rates of broad money and credit </w:t>
      </w:r>
      <w:r>
        <w:rPr>
          <w:spacing w:val="-4"/>
          <w:sz w:val="24"/>
        </w:rPr>
        <w:t>growth. </w:t>
      </w:r>
      <w:r>
        <w:rPr>
          <w:spacing w:val="3"/>
          <w:sz w:val="24"/>
        </w:rPr>
        <w:t>The </w:t>
      </w:r>
      <w:r>
        <w:rPr>
          <w:sz w:val="24"/>
        </w:rPr>
        <w:t>implications of that for inflation would depend on </w:t>
      </w:r>
      <w:r>
        <w:rPr>
          <w:spacing w:val="-2"/>
          <w:sz w:val="24"/>
        </w:rPr>
        <w:t>the </w:t>
      </w:r>
      <w:r>
        <w:rPr>
          <w:sz w:val="24"/>
        </w:rPr>
        <w:t>extent to which higher money balances would eventually be used to finance the purchases of either goods and services or financial and other assets, </w:t>
      </w:r>
      <w:r>
        <w:rPr>
          <w:spacing w:val="-4"/>
          <w:sz w:val="24"/>
        </w:rPr>
        <w:t>and </w:t>
      </w:r>
      <w:r>
        <w:rPr>
          <w:sz w:val="24"/>
        </w:rPr>
        <w:t>some Committee members interpreted the</w:t>
      </w:r>
      <w:r>
        <w:rPr>
          <w:spacing w:val="-43"/>
          <w:sz w:val="24"/>
        </w:rPr>
        <w:t> </w:t>
      </w:r>
      <w:r>
        <w:rPr>
          <w:sz w:val="24"/>
        </w:rPr>
        <w:t>money numbers</w:t>
      </w:r>
      <w:r>
        <w:rPr>
          <w:spacing w:val="-5"/>
          <w:sz w:val="24"/>
        </w:rPr>
        <w:t> </w:t>
      </w:r>
      <w:r>
        <w:rPr>
          <w:sz w:val="24"/>
        </w:rPr>
        <w:t>as</w:t>
      </w:r>
      <w:r>
        <w:rPr>
          <w:spacing w:val="-4"/>
          <w:sz w:val="24"/>
        </w:rPr>
        <w:t> </w:t>
      </w:r>
      <w:r>
        <w:rPr>
          <w:sz w:val="24"/>
        </w:rPr>
        <w:t>a</w:t>
      </w:r>
      <w:r>
        <w:rPr>
          <w:spacing w:val="-4"/>
          <w:sz w:val="24"/>
        </w:rPr>
        <w:t> </w:t>
      </w:r>
      <w:r>
        <w:rPr>
          <w:sz w:val="24"/>
        </w:rPr>
        <w:t>possible</w:t>
      </w:r>
      <w:r>
        <w:rPr>
          <w:spacing w:val="-4"/>
          <w:sz w:val="24"/>
        </w:rPr>
        <w:t> </w:t>
      </w:r>
      <w:r>
        <w:rPr>
          <w:sz w:val="24"/>
        </w:rPr>
        <w:t>indication</w:t>
      </w:r>
      <w:r>
        <w:rPr>
          <w:spacing w:val="-11"/>
          <w:sz w:val="24"/>
        </w:rPr>
        <w:t> </w:t>
      </w:r>
      <w:r>
        <w:rPr>
          <w:sz w:val="24"/>
        </w:rPr>
        <w:t>of </w:t>
      </w:r>
      <w:r>
        <w:rPr>
          <w:spacing w:val="2"/>
          <w:sz w:val="24"/>
        </w:rPr>
        <w:t>longer-term</w:t>
      </w:r>
      <w:r>
        <w:rPr>
          <w:spacing w:val="-29"/>
          <w:sz w:val="24"/>
        </w:rPr>
        <w:t> </w:t>
      </w:r>
      <w:r>
        <w:rPr>
          <w:sz w:val="24"/>
        </w:rPr>
        <w:t>inflationary pressures.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58" w:firstLine="0"/>
        <w:jc w:val="left"/>
        <w:rPr>
          <w:sz w:val="24"/>
        </w:rPr>
      </w:pPr>
      <w:r>
        <w:rPr>
          <w:sz w:val="24"/>
        </w:rPr>
        <w:t>Over the previous four years, CPI inflation had been gradually picking up and had reached</w:t>
      </w:r>
      <w:r>
        <w:rPr>
          <w:spacing w:val="-33"/>
          <w:sz w:val="24"/>
        </w:rPr>
        <w:t> </w:t>
      </w:r>
      <w:r>
        <w:rPr>
          <w:sz w:val="24"/>
        </w:rPr>
        <w:t>2.5% in </w:t>
      </w:r>
      <w:r>
        <w:rPr>
          <w:spacing w:val="-3"/>
          <w:sz w:val="24"/>
        </w:rPr>
        <w:t>June. </w:t>
      </w:r>
      <w:r>
        <w:rPr>
          <w:sz w:val="24"/>
        </w:rPr>
        <w:t>During the remainder of 2006, inflation was likely to rise further above the target rate of 2.0%, before falling back through 2007. The Committee noted </w:t>
      </w:r>
      <w:r>
        <w:rPr>
          <w:spacing w:val="-6"/>
          <w:sz w:val="24"/>
        </w:rPr>
        <w:t>that </w:t>
      </w:r>
      <w:r>
        <w:rPr>
          <w:sz w:val="24"/>
        </w:rPr>
        <w:t>the market yield curve implied a modest rise in interest rates over the next two years, and that under that assumption the central projection for inflation remained above 2% over the forecast</w:t>
      </w:r>
      <w:r>
        <w:rPr>
          <w:spacing w:val="-7"/>
          <w:sz w:val="24"/>
        </w:rPr>
        <w:t> </w:t>
      </w:r>
      <w:r>
        <w:rPr>
          <w:sz w:val="24"/>
        </w:rPr>
        <w:t>period.</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481" w:firstLine="0"/>
        <w:jc w:val="left"/>
        <w:rPr>
          <w:sz w:val="24"/>
        </w:rPr>
      </w:pPr>
      <w:r>
        <w:rPr>
          <w:sz w:val="24"/>
        </w:rPr>
        <w:t>The Committee concluded that it was most likely that interest rates needed to rise in order to bring inflation back to target in the medium term. The question was whether an immediate</w:t>
      </w:r>
      <w:r>
        <w:rPr>
          <w:spacing w:val="-15"/>
          <w:sz w:val="24"/>
        </w:rPr>
        <w:t> </w:t>
      </w:r>
      <w:r>
        <w:rPr>
          <w:sz w:val="24"/>
        </w:rPr>
        <w:t>increase was justified or whether there was a case for</w:t>
      </w:r>
      <w:r>
        <w:rPr>
          <w:spacing w:val="-11"/>
          <w:sz w:val="24"/>
        </w:rPr>
        <w:t> </w:t>
      </w:r>
      <w:r>
        <w:rPr>
          <w:sz w:val="24"/>
        </w:rPr>
        <w:t>delay.</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41" w:firstLine="0"/>
        <w:jc w:val="left"/>
        <w:rPr>
          <w:sz w:val="24"/>
        </w:rPr>
      </w:pPr>
      <w:r>
        <w:rPr>
          <w:sz w:val="24"/>
        </w:rPr>
        <w:t>The </w:t>
      </w:r>
      <w:r>
        <w:rPr>
          <w:spacing w:val="-3"/>
          <w:sz w:val="24"/>
        </w:rPr>
        <w:t>Committee </w:t>
      </w:r>
      <w:r>
        <w:rPr>
          <w:sz w:val="24"/>
        </w:rPr>
        <w:t>considered what information it could expect </w:t>
      </w:r>
      <w:r>
        <w:rPr>
          <w:spacing w:val="-12"/>
          <w:sz w:val="24"/>
        </w:rPr>
        <w:t>to </w:t>
      </w:r>
      <w:r>
        <w:rPr>
          <w:sz w:val="24"/>
        </w:rPr>
        <w:t>receive in the near term relating to the main uncertainties. Most of the risks identified in the August forecast would take some considerable time to resolve. For example, the uncertainties about the </w:t>
      </w:r>
      <w:r>
        <w:rPr>
          <w:spacing w:val="-7"/>
          <w:sz w:val="24"/>
        </w:rPr>
        <w:t>margin </w:t>
      </w:r>
      <w:r>
        <w:rPr>
          <w:sz w:val="24"/>
        </w:rPr>
        <w:t>of spare capacity in </w:t>
      </w:r>
      <w:r>
        <w:rPr>
          <w:spacing w:val="-3"/>
          <w:sz w:val="24"/>
        </w:rPr>
        <w:t>firms, </w:t>
      </w:r>
      <w:r>
        <w:rPr>
          <w:sz w:val="24"/>
        </w:rPr>
        <w:t>or pricing dynamics as energy and import price inflation abated, would not become clear until </w:t>
      </w:r>
      <w:r>
        <w:rPr>
          <w:spacing w:val="-3"/>
          <w:sz w:val="24"/>
        </w:rPr>
        <w:t>2007 </w:t>
      </w:r>
      <w:r>
        <w:rPr>
          <w:sz w:val="24"/>
        </w:rPr>
        <w:t>or beyond. There would be more information on the labour </w:t>
      </w:r>
      <w:r>
        <w:rPr>
          <w:spacing w:val="-3"/>
          <w:sz w:val="24"/>
        </w:rPr>
        <w:t>market, </w:t>
      </w:r>
      <w:r>
        <w:rPr>
          <w:sz w:val="24"/>
        </w:rPr>
        <w:t>but that currently seemed </w:t>
      </w:r>
      <w:r>
        <w:rPr>
          <w:spacing w:val="-4"/>
          <w:sz w:val="24"/>
        </w:rPr>
        <w:t>likely </w:t>
      </w:r>
      <w:r>
        <w:rPr>
          <w:sz w:val="24"/>
        </w:rPr>
        <w:t>to be a lagging indicator of inflationary pressures, although there were differences of view on this point. </w:t>
      </w:r>
      <w:r>
        <w:rPr>
          <w:spacing w:val="-4"/>
          <w:sz w:val="24"/>
        </w:rPr>
        <w:t>It </w:t>
      </w:r>
      <w:r>
        <w:rPr>
          <w:sz w:val="24"/>
        </w:rPr>
        <w:t>was unlikely that the medium-term outlook for inflation would become any clearer in </w:t>
      </w:r>
      <w:r>
        <w:rPr>
          <w:spacing w:val="-2"/>
          <w:sz w:val="24"/>
        </w:rPr>
        <w:t>the </w:t>
      </w:r>
      <w:r>
        <w:rPr>
          <w:spacing w:val="-3"/>
          <w:sz w:val="24"/>
        </w:rPr>
        <w:t>next few</w:t>
      </w:r>
      <w:r>
        <w:rPr>
          <w:spacing w:val="18"/>
          <w:sz w:val="24"/>
        </w:rPr>
        <w:t> </w:t>
      </w:r>
      <w:r>
        <w:rPr>
          <w:sz w:val="24"/>
        </w:rPr>
        <w:t>months.</w:t>
      </w:r>
    </w:p>
    <w:p>
      <w:pPr>
        <w:pStyle w:val="BodyText"/>
        <w:spacing w:before="6"/>
        <w:rPr>
          <w:sz w:val="36"/>
        </w:rPr>
      </w:pPr>
    </w:p>
    <w:p>
      <w:pPr>
        <w:pStyle w:val="ListParagraph"/>
        <w:numPr>
          <w:ilvl w:val="0"/>
          <w:numId w:val="1"/>
        </w:numPr>
        <w:tabs>
          <w:tab w:pos="931" w:val="left" w:leader="none"/>
          <w:tab w:pos="932" w:val="left" w:leader="none"/>
        </w:tabs>
        <w:spacing w:line="360" w:lineRule="auto" w:before="1" w:after="0"/>
        <w:ind w:left="368" w:right="278" w:firstLine="0"/>
        <w:jc w:val="left"/>
        <w:rPr>
          <w:sz w:val="24"/>
        </w:rPr>
      </w:pPr>
      <w:r>
        <w:rPr>
          <w:sz w:val="24"/>
        </w:rPr>
        <w:t>There were reasons to suppose that an immediate increase in rates would not significantly exacerbate the downside risks. Consumption growth had recovered from its post-Christmas dip. Output </w:t>
      </w:r>
      <w:r>
        <w:rPr>
          <w:spacing w:val="-4"/>
          <w:sz w:val="24"/>
        </w:rPr>
        <w:t>growth </w:t>
      </w:r>
      <w:r>
        <w:rPr>
          <w:sz w:val="24"/>
        </w:rPr>
        <w:t>overall had been robust and, according to surveys, looked set to remain so in the near term. Most members thought that increasing interest rates </w:t>
      </w:r>
      <w:r>
        <w:rPr>
          <w:spacing w:val="-5"/>
          <w:sz w:val="24"/>
        </w:rPr>
        <w:t>to </w:t>
      </w:r>
      <w:r>
        <w:rPr>
          <w:sz w:val="24"/>
        </w:rPr>
        <w:t>4.75% would most likely remove a degree</w:t>
      </w:r>
      <w:r>
        <w:rPr>
          <w:spacing w:val="-3"/>
          <w:sz w:val="24"/>
        </w:rPr>
        <w:t> </w:t>
      </w:r>
      <w:r>
        <w:rPr>
          <w:sz w:val="24"/>
        </w:rPr>
        <w:t>of</w:t>
      </w:r>
      <w:r>
        <w:rPr>
          <w:spacing w:val="-3"/>
          <w:sz w:val="24"/>
        </w:rPr>
        <w:t> </w:t>
      </w:r>
      <w:r>
        <w:rPr>
          <w:sz w:val="24"/>
        </w:rPr>
        <w:t>monetary</w:t>
      </w:r>
      <w:r>
        <w:rPr>
          <w:spacing w:val="-3"/>
          <w:sz w:val="24"/>
        </w:rPr>
        <w:t> </w:t>
      </w:r>
      <w:r>
        <w:rPr>
          <w:sz w:val="24"/>
        </w:rPr>
        <w:t>accommodation,</w:t>
      </w:r>
      <w:r>
        <w:rPr>
          <w:spacing w:val="-3"/>
          <w:sz w:val="24"/>
        </w:rPr>
        <w:t> </w:t>
      </w:r>
      <w:r>
        <w:rPr>
          <w:sz w:val="24"/>
        </w:rPr>
        <w:t>without</w:t>
      </w:r>
      <w:r>
        <w:rPr>
          <w:spacing w:val="-2"/>
          <w:sz w:val="24"/>
        </w:rPr>
        <w:t> </w:t>
      </w:r>
      <w:r>
        <w:rPr>
          <w:sz w:val="24"/>
        </w:rPr>
        <w:t>restraining</w:t>
      </w:r>
      <w:r>
        <w:rPr>
          <w:spacing w:val="-3"/>
          <w:sz w:val="24"/>
        </w:rPr>
        <w:t> </w:t>
      </w:r>
      <w:r>
        <w:rPr>
          <w:sz w:val="24"/>
        </w:rPr>
        <w:t>demand</w:t>
      </w:r>
      <w:r>
        <w:rPr>
          <w:spacing w:val="-3"/>
          <w:sz w:val="24"/>
        </w:rPr>
        <w:t> </w:t>
      </w:r>
      <w:r>
        <w:rPr>
          <w:sz w:val="24"/>
        </w:rPr>
        <w:t>unduly;</w:t>
      </w:r>
      <w:r>
        <w:rPr>
          <w:spacing w:val="-11"/>
          <w:sz w:val="24"/>
        </w:rPr>
        <w:t> </w:t>
      </w:r>
      <w:r>
        <w:rPr>
          <w:sz w:val="24"/>
        </w:rPr>
        <w:t>and</w:t>
      </w:r>
      <w:r>
        <w:rPr>
          <w:spacing w:val="-5"/>
          <w:sz w:val="24"/>
        </w:rPr>
        <w:t> </w:t>
      </w:r>
      <w:r>
        <w:rPr>
          <w:sz w:val="24"/>
        </w:rPr>
        <w:t>that</w:t>
      </w:r>
      <w:r>
        <w:rPr>
          <w:spacing w:val="-4"/>
          <w:sz w:val="24"/>
        </w:rPr>
        <w:t> </w:t>
      </w:r>
      <w:r>
        <w:rPr>
          <w:sz w:val="24"/>
        </w:rPr>
        <w:t>there</w:t>
      </w:r>
      <w:r>
        <w:rPr>
          <w:spacing w:val="-7"/>
          <w:sz w:val="24"/>
        </w:rPr>
        <w:t> </w:t>
      </w:r>
      <w:r>
        <w:rPr>
          <w:sz w:val="24"/>
        </w:rPr>
        <w:t>would</w:t>
      </w:r>
      <w:r>
        <w:rPr>
          <w:spacing w:val="-6"/>
          <w:sz w:val="24"/>
        </w:rPr>
        <w:t> </w:t>
      </w:r>
      <w:r>
        <w:rPr>
          <w:sz w:val="24"/>
        </w:rPr>
        <w:t>be</w:t>
      </w:r>
      <w:r>
        <w:rPr>
          <w:spacing w:val="-7"/>
          <w:sz w:val="24"/>
        </w:rPr>
        <w:t> </w:t>
      </w:r>
      <w:r>
        <w:rPr>
          <w:sz w:val="24"/>
        </w:rPr>
        <w:t>time to reverse any increase should </w:t>
      </w:r>
      <w:r>
        <w:rPr>
          <w:spacing w:val="4"/>
          <w:sz w:val="24"/>
        </w:rPr>
        <w:t>that </w:t>
      </w:r>
      <w:r>
        <w:rPr>
          <w:sz w:val="24"/>
        </w:rPr>
        <w:t>prove necessary once the medium-term paths of demand growth </w:t>
      </w:r>
      <w:r>
        <w:rPr>
          <w:spacing w:val="-3"/>
          <w:sz w:val="24"/>
        </w:rPr>
        <w:t>and </w:t>
      </w:r>
      <w:r>
        <w:rPr>
          <w:sz w:val="24"/>
        </w:rPr>
        <w:t>inflation became</w:t>
      </w:r>
      <w:r>
        <w:rPr>
          <w:spacing w:val="-1"/>
          <w:sz w:val="24"/>
        </w:rPr>
        <w:t> </w:t>
      </w:r>
      <w:r>
        <w:rPr>
          <w:sz w:val="24"/>
        </w:rPr>
        <w:t>clearer.</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4" w:lineRule="auto" w:before="90" w:after="0"/>
        <w:ind w:left="367" w:right="372" w:firstLine="0"/>
        <w:jc w:val="left"/>
        <w:rPr>
          <w:sz w:val="24"/>
        </w:rPr>
      </w:pPr>
      <w:r>
        <w:rPr>
          <w:sz w:val="24"/>
        </w:rPr>
        <w:t>The</w:t>
      </w:r>
      <w:r>
        <w:rPr>
          <w:spacing w:val="-5"/>
          <w:sz w:val="24"/>
        </w:rPr>
        <w:t> </w:t>
      </w:r>
      <w:r>
        <w:rPr>
          <w:sz w:val="24"/>
        </w:rPr>
        <w:t>Committee</w:t>
      </w:r>
      <w:r>
        <w:rPr>
          <w:spacing w:val="-5"/>
          <w:sz w:val="24"/>
        </w:rPr>
        <w:t> </w:t>
      </w:r>
      <w:r>
        <w:rPr>
          <w:sz w:val="24"/>
        </w:rPr>
        <w:t>also</w:t>
      </w:r>
      <w:r>
        <w:rPr>
          <w:spacing w:val="-3"/>
          <w:sz w:val="24"/>
        </w:rPr>
        <w:t> </w:t>
      </w:r>
      <w:r>
        <w:rPr>
          <w:sz w:val="24"/>
        </w:rPr>
        <w:t>considered</w:t>
      </w:r>
      <w:r>
        <w:rPr>
          <w:spacing w:val="-4"/>
          <w:sz w:val="24"/>
        </w:rPr>
        <w:t> </w:t>
      </w:r>
      <w:r>
        <w:rPr>
          <w:sz w:val="24"/>
        </w:rPr>
        <w:t>whether</w:t>
      </w:r>
      <w:r>
        <w:rPr>
          <w:spacing w:val="-3"/>
          <w:sz w:val="24"/>
        </w:rPr>
        <w:t> </w:t>
      </w:r>
      <w:r>
        <w:rPr>
          <w:sz w:val="24"/>
        </w:rPr>
        <w:t>there</w:t>
      </w:r>
      <w:r>
        <w:rPr>
          <w:spacing w:val="-6"/>
          <w:sz w:val="24"/>
        </w:rPr>
        <w:t> </w:t>
      </w:r>
      <w:r>
        <w:rPr>
          <w:sz w:val="24"/>
        </w:rPr>
        <w:t>could</w:t>
      </w:r>
      <w:r>
        <w:rPr>
          <w:spacing w:val="-5"/>
          <w:sz w:val="24"/>
        </w:rPr>
        <w:t> </w:t>
      </w:r>
      <w:r>
        <w:rPr>
          <w:sz w:val="24"/>
        </w:rPr>
        <w:t>be</w:t>
      </w:r>
      <w:r>
        <w:rPr>
          <w:spacing w:val="-6"/>
          <w:sz w:val="24"/>
        </w:rPr>
        <w:t> </w:t>
      </w:r>
      <w:r>
        <w:rPr>
          <w:sz w:val="24"/>
        </w:rPr>
        <w:t>increased</w:t>
      </w:r>
      <w:r>
        <w:rPr>
          <w:spacing w:val="-5"/>
          <w:sz w:val="24"/>
        </w:rPr>
        <w:t> </w:t>
      </w:r>
      <w:r>
        <w:rPr>
          <w:sz w:val="24"/>
        </w:rPr>
        <w:t>upside</w:t>
      </w:r>
      <w:r>
        <w:rPr>
          <w:spacing w:val="-6"/>
          <w:sz w:val="24"/>
        </w:rPr>
        <w:t> </w:t>
      </w:r>
      <w:r>
        <w:rPr>
          <w:sz w:val="24"/>
        </w:rPr>
        <w:t>risks</w:t>
      </w:r>
      <w:r>
        <w:rPr>
          <w:spacing w:val="-5"/>
          <w:sz w:val="24"/>
        </w:rPr>
        <w:t> </w:t>
      </w:r>
      <w:r>
        <w:rPr>
          <w:sz w:val="24"/>
        </w:rPr>
        <w:t>from</w:t>
      </w:r>
      <w:r>
        <w:rPr>
          <w:spacing w:val="-6"/>
          <w:sz w:val="24"/>
        </w:rPr>
        <w:t> </w:t>
      </w:r>
      <w:r>
        <w:rPr>
          <w:sz w:val="24"/>
        </w:rPr>
        <w:t>delaying</w:t>
      </w:r>
      <w:r>
        <w:rPr>
          <w:spacing w:val="-5"/>
          <w:sz w:val="24"/>
        </w:rPr>
        <w:t> </w:t>
      </w:r>
      <w:r>
        <w:rPr>
          <w:sz w:val="24"/>
        </w:rPr>
        <w:t>an increase in rates. CPI inflation was likely to rise further above the target in the </w:t>
      </w:r>
      <w:r>
        <w:rPr>
          <w:spacing w:val="-3"/>
          <w:sz w:val="24"/>
        </w:rPr>
        <w:t>next </w:t>
      </w:r>
      <w:r>
        <w:rPr>
          <w:sz w:val="24"/>
        </w:rPr>
        <w:t>few</w:t>
      </w:r>
      <w:r>
        <w:rPr>
          <w:spacing w:val="-16"/>
          <w:sz w:val="24"/>
        </w:rPr>
        <w:t> </w:t>
      </w:r>
      <w:r>
        <w:rPr>
          <w:spacing w:val="-3"/>
          <w:sz w:val="24"/>
        </w:rPr>
        <w:t>months.</w:t>
      </w:r>
    </w:p>
    <w:p>
      <w:pPr>
        <w:pStyle w:val="BodyText"/>
        <w:spacing w:line="360" w:lineRule="auto"/>
        <w:ind w:left="367" w:right="156"/>
      </w:pPr>
      <w:r>
        <w:rPr/>
        <w:t>There was a risk that the short-term increase might dislodge inflation expectations, making it more difficult to bring inflation back to target subsequently. One specific factor was that inflation was likely to be rising in the period just before the majority of next year’s pay settlements. An early increase in rates would reduce the risk that a sharper rise would be needed later. Although most commentators were not expecting an increase at this meeting, such an increase would not be hard to explain.</w:t>
      </w:r>
    </w:p>
    <w:p>
      <w:pPr>
        <w:pStyle w:val="BodyText"/>
        <w:rPr>
          <w:sz w:val="35"/>
        </w:rPr>
      </w:pPr>
    </w:p>
    <w:p>
      <w:pPr>
        <w:pStyle w:val="ListParagraph"/>
        <w:numPr>
          <w:ilvl w:val="0"/>
          <w:numId w:val="1"/>
        </w:numPr>
        <w:tabs>
          <w:tab w:pos="931" w:val="left" w:leader="none"/>
          <w:tab w:pos="932" w:val="left" w:leader="none"/>
        </w:tabs>
        <w:spacing w:line="362" w:lineRule="auto" w:before="1" w:after="0"/>
        <w:ind w:left="367" w:right="196" w:firstLine="0"/>
        <w:jc w:val="left"/>
        <w:rPr>
          <w:sz w:val="24"/>
        </w:rPr>
      </w:pPr>
      <w:r>
        <w:rPr>
          <w:spacing w:val="-4"/>
          <w:sz w:val="24"/>
        </w:rPr>
        <w:t>Against </w:t>
      </w:r>
      <w:r>
        <w:rPr>
          <w:spacing w:val="-3"/>
          <w:sz w:val="24"/>
        </w:rPr>
        <w:t>the </w:t>
      </w:r>
      <w:r>
        <w:rPr>
          <w:sz w:val="24"/>
        </w:rPr>
        <w:t>background of </w:t>
      </w:r>
      <w:r>
        <w:rPr>
          <w:spacing w:val="3"/>
          <w:sz w:val="24"/>
        </w:rPr>
        <w:t>firm </w:t>
      </w:r>
      <w:r>
        <w:rPr>
          <w:sz w:val="24"/>
        </w:rPr>
        <w:t>growth, limited spare capacity, rapid growth of broad money and credit, and with inflation likely to remain above the target for some while, the Committee judged that an increase in the official Bank rate was necessary to bring CPI inflation back to the target in </w:t>
      </w:r>
      <w:r>
        <w:rPr>
          <w:spacing w:val="-2"/>
          <w:sz w:val="24"/>
        </w:rPr>
        <w:t>the </w:t>
      </w:r>
      <w:r>
        <w:rPr>
          <w:spacing w:val="-4"/>
          <w:sz w:val="24"/>
        </w:rPr>
        <w:t>medium term. </w:t>
      </w:r>
      <w:r>
        <w:rPr>
          <w:sz w:val="24"/>
        </w:rPr>
        <w:t>Most members favoured an immediate increase of 0.25 percentage points to</w:t>
      </w:r>
      <w:r>
        <w:rPr>
          <w:spacing w:val="10"/>
          <w:sz w:val="24"/>
        </w:rPr>
        <w:t> </w:t>
      </w:r>
      <w:r>
        <w:rPr>
          <w:sz w:val="24"/>
        </w:rPr>
        <w:t>4.75%.</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448" w:firstLine="0"/>
        <w:jc w:val="left"/>
        <w:rPr>
          <w:sz w:val="24"/>
        </w:rPr>
      </w:pPr>
      <w:r>
        <w:rPr>
          <w:sz w:val="24"/>
        </w:rPr>
        <w:t>For one </w:t>
      </w:r>
      <w:r>
        <w:rPr>
          <w:spacing w:val="-3"/>
          <w:sz w:val="24"/>
        </w:rPr>
        <w:t>member, </w:t>
      </w:r>
      <w:r>
        <w:rPr>
          <w:sz w:val="24"/>
        </w:rPr>
        <w:t>the uncertainty over demand and price pressures, the mixed evidence on </w:t>
      </w:r>
      <w:r>
        <w:rPr>
          <w:spacing w:val="-2"/>
          <w:sz w:val="24"/>
        </w:rPr>
        <w:t>the </w:t>
      </w:r>
      <w:r>
        <w:rPr>
          <w:sz w:val="24"/>
        </w:rPr>
        <w:t>tightening</w:t>
      </w:r>
      <w:r>
        <w:rPr>
          <w:spacing w:val="-6"/>
          <w:sz w:val="24"/>
        </w:rPr>
        <w:t> </w:t>
      </w:r>
      <w:r>
        <w:rPr>
          <w:sz w:val="24"/>
        </w:rPr>
        <w:t>of</w:t>
      </w:r>
      <w:r>
        <w:rPr>
          <w:spacing w:val="-5"/>
          <w:sz w:val="24"/>
        </w:rPr>
        <w:t> </w:t>
      </w:r>
      <w:r>
        <w:rPr>
          <w:sz w:val="24"/>
        </w:rPr>
        <w:t>capacity</w:t>
      </w:r>
      <w:r>
        <w:rPr>
          <w:spacing w:val="-5"/>
          <w:sz w:val="24"/>
        </w:rPr>
        <w:t> </w:t>
      </w:r>
      <w:r>
        <w:rPr>
          <w:sz w:val="24"/>
        </w:rPr>
        <w:t>within</w:t>
      </w:r>
      <w:r>
        <w:rPr>
          <w:spacing w:val="-5"/>
          <w:sz w:val="24"/>
        </w:rPr>
        <w:t> </w:t>
      </w:r>
      <w:r>
        <w:rPr>
          <w:sz w:val="24"/>
        </w:rPr>
        <w:t>firms,</w:t>
      </w:r>
      <w:r>
        <w:rPr>
          <w:spacing w:val="-5"/>
          <w:sz w:val="24"/>
        </w:rPr>
        <w:t> </w:t>
      </w:r>
      <w:r>
        <w:rPr>
          <w:sz w:val="24"/>
        </w:rPr>
        <w:t>together</w:t>
      </w:r>
      <w:r>
        <w:rPr>
          <w:spacing w:val="-7"/>
          <w:sz w:val="24"/>
        </w:rPr>
        <w:t> </w:t>
      </w:r>
      <w:r>
        <w:rPr>
          <w:sz w:val="24"/>
        </w:rPr>
        <w:t>with</w:t>
      </w:r>
      <w:r>
        <w:rPr>
          <w:spacing w:val="-7"/>
          <w:sz w:val="24"/>
        </w:rPr>
        <w:t> </w:t>
      </w:r>
      <w:r>
        <w:rPr>
          <w:sz w:val="24"/>
        </w:rPr>
        <w:t>labour</w:t>
      </w:r>
      <w:r>
        <w:rPr>
          <w:spacing w:val="-2"/>
          <w:sz w:val="24"/>
        </w:rPr>
        <w:t> </w:t>
      </w:r>
      <w:r>
        <w:rPr>
          <w:sz w:val="24"/>
        </w:rPr>
        <w:t>market</w:t>
      </w:r>
      <w:r>
        <w:rPr>
          <w:spacing w:val="-3"/>
          <w:sz w:val="24"/>
        </w:rPr>
        <w:t> </w:t>
      </w:r>
      <w:r>
        <w:rPr>
          <w:sz w:val="24"/>
        </w:rPr>
        <w:t>conditions,</w:t>
      </w:r>
      <w:r>
        <w:rPr>
          <w:spacing w:val="-2"/>
          <w:sz w:val="24"/>
        </w:rPr>
        <w:t> </w:t>
      </w:r>
      <w:r>
        <w:rPr>
          <w:sz w:val="24"/>
        </w:rPr>
        <w:t>was</w:t>
      </w:r>
      <w:r>
        <w:rPr>
          <w:spacing w:val="-4"/>
          <w:sz w:val="24"/>
        </w:rPr>
        <w:t> </w:t>
      </w:r>
      <w:r>
        <w:rPr>
          <w:sz w:val="24"/>
        </w:rPr>
        <w:t>sufficient</w:t>
      </w:r>
      <w:r>
        <w:rPr>
          <w:spacing w:val="-4"/>
          <w:sz w:val="24"/>
        </w:rPr>
        <w:t> </w:t>
      </w:r>
      <w:r>
        <w:rPr>
          <w:sz w:val="24"/>
        </w:rPr>
        <w:t>to</w:t>
      </w:r>
      <w:r>
        <w:rPr>
          <w:spacing w:val="-5"/>
          <w:sz w:val="24"/>
        </w:rPr>
        <w:t> </w:t>
      </w:r>
      <w:r>
        <w:rPr>
          <w:sz w:val="24"/>
        </w:rPr>
        <w:t>make</w:t>
      </w:r>
      <w:r>
        <w:rPr>
          <w:spacing w:val="-4"/>
          <w:sz w:val="24"/>
        </w:rPr>
        <w:t> </w:t>
      </w:r>
      <w:r>
        <w:rPr>
          <w:sz w:val="24"/>
        </w:rPr>
        <w:t>a case for not changi ng interest rates this month. In particular, the rise in the LFS measure of unemployment and subdued wage pressures could be consistent with a loosening of labour market conditions that would imply a greater degree of slack in the economy overall than inherent in the central projection of the forecast. Although finely balanced, the risk of greater slack in the labour market</w:t>
      </w:r>
      <w:r>
        <w:rPr>
          <w:spacing w:val="-5"/>
          <w:sz w:val="24"/>
        </w:rPr>
        <w:t> </w:t>
      </w:r>
      <w:r>
        <w:rPr>
          <w:sz w:val="24"/>
        </w:rPr>
        <w:t>was</w:t>
      </w:r>
      <w:r>
        <w:rPr>
          <w:spacing w:val="-4"/>
          <w:sz w:val="24"/>
        </w:rPr>
        <w:t> </w:t>
      </w:r>
      <w:r>
        <w:rPr>
          <w:sz w:val="24"/>
        </w:rPr>
        <w:t>sufficient</w:t>
      </w:r>
      <w:r>
        <w:rPr>
          <w:spacing w:val="-4"/>
          <w:sz w:val="24"/>
        </w:rPr>
        <w:t> </w:t>
      </w:r>
      <w:r>
        <w:rPr>
          <w:sz w:val="24"/>
        </w:rPr>
        <w:t>to</w:t>
      </w:r>
      <w:r>
        <w:rPr>
          <w:spacing w:val="-4"/>
          <w:sz w:val="24"/>
        </w:rPr>
        <w:t> </w:t>
      </w:r>
      <w:r>
        <w:rPr>
          <w:sz w:val="24"/>
        </w:rPr>
        <w:t>offset</w:t>
      </w:r>
      <w:r>
        <w:rPr>
          <w:spacing w:val="-4"/>
          <w:sz w:val="24"/>
        </w:rPr>
        <w:t> </w:t>
      </w:r>
      <w:r>
        <w:rPr>
          <w:sz w:val="24"/>
        </w:rPr>
        <w:t>such</w:t>
      </w:r>
      <w:r>
        <w:rPr>
          <w:spacing w:val="-4"/>
          <w:sz w:val="24"/>
        </w:rPr>
        <w:t> </w:t>
      </w:r>
      <w:r>
        <w:rPr>
          <w:sz w:val="24"/>
        </w:rPr>
        <w:t>inflationary</w:t>
      </w:r>
      <w:r>
        <w:rPr>
          <w:spacing w:val="-4"/>
          <w:sz w:val="24"/>
        </w:rPr>
        <w:t> </w:t>
      </w:r>
      <w:r>
        <w:rPr>
          <w:sz w:val="24"/>
        </w:rPr>
        <w:t>pressures</w:t>
      </w:r>
      <w:r>
        <w:rPr>
          <w:spacing w:val="-4"/>
          <w:sz w:val="24"/>
        </w:rPr>
        <w:t> </w:t>
      </w:r>
      <w:r>
        <w:rPr>
          <w:sz w:val="24"/>
        </w:rPr>
        <w:t>as</w:t>
      </w:r>
      <w:r>
        <w:rPr>
          <w:spacing w:val="-4"/>
          <w:sz w:val="24"/>
        </w:rPr>
        <w:t> </w:t>
      </w:r>
      <w:r>
        <w:rPr>
          <w:sz w:val="24"/>
        </w:rPr>
        <w:t>observed</w:t>
      </w:r>
      <w:r>
        <w:rPr>
          <w:spacing w:val="-4"/>
          <w:sz w:val="24"/>
        </w:rPr>
        <w:t> </w:t>
      </w:r>
      <w:r>
        <w:rPr>
          <w:sz w:val="24"/>
        </w:rPr>
        <w:t>elsewhere</w:t>
      </w:r>
      <w:r>
        <w:rPr>
          <w:spacing w:val="-6"/>
          <w:sz w:val="24"/>
        </w:rPr>
        <w:t> </w:t>
      </w:r>
      <w:r>
        <w:rPr>
          <w:sz w:val="24"/>
        </w:rPr>
        <w:t>in</w:t>
      </w:r>
      <w:r>
        <w:rPr>
          <w:spacing w:val="-6"/>
          <w:sz w:val="24"/>
        </w:rPr>
        <w:t> </w:t>
      </w:r>
      <w:r>
        <w:rPr>
          <w:sz w:val="24"/>
        </w:rPr>
        <w:t>the</w:t>
      </w:r>
      <w:r>
        <w:rPr>
          <w:spacing w:val="-5"/>
          <w:sz w:val="24"/>
        </w:rPr>
        <w:t> </w:t>
      </w:r>
      <w:r>
        <w:rPr>
          <w:sz w:val="24"/>
        </w:rPr>
        <w:t>economy.</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7" w:right="220"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the</w:t>
      </w:r>
      <w:r>
        <w:rPr>
          <w:spacing w:val="-3"/>
          <w:sz w:val="24"/>
        </w:rPr>
        <w:t> </w:t>
      </w:r>
      <w:r>
        <w:rPr>
          <w:sz w:val="24"/>
        </w:rPr>
        <w:t>Committee</w:t>
      </w:r>
      <w:r>
        <w:rPr>
          <w:spacing w:val="-4"/>
          <w:sz w:val="24"/>
        </w:rPr>
        <w:t> </w:t>
      </w:r>
      <w:r>
        <w:rPr>
          <w:sz w:val="24"/>
        </w:rPr>
        <w:t>to</w:t>
      </w:r>
      <w:r>
        <w:rPr>
          <w:spacing w:val="-3"/>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official</w:t>
      </w:r>
      <w:r>
        <w:rPr>
          <w:spacing w:val="-3"/>
          <w:sz w:val="24"/>
        </w:rPr>
        <w:t> </w:t>
      </w:r>
      <w:r>
        <w:rPr>
          <w:sz w:val="24"/>
        </w:rPr>
        <w:t>Bank</w:t>
      </w:r>
      <w:r>
        <w:rPr>
          <w:spacing w:val="-3"/>
          <w:sz w:val="24"/>
        </w:rPr>
        <w:t> </w:t>
      </w:r>
      <w:r>
        <w:rPr>
          <w:sz w:val="24"/>
        </w:rPr>
        <w:t>rate</w:t>
      </w:r>
      <w:r>
        <w:rPr>
          <w:spacing w:val="-4"/>
          <w:sz w:val="24"/>
        </w:rPr>
        <w:t> </w:t>
      </w:r>
      <w:r>
        <w:rPr>
          <w:sz w:val="24"/>
        </w:rPr>
        <w:t>should be increased by 25 basis points to 4.75%. Six members of the Committee (the Governor, Rachel Lomax, John Gieve, Kate Barker, Charles Bean and Paul Tucker) voted in favour of the proposition. One member (David Blanchflower) voted against, preferring to maintain the Bank rate at</w:t>
      </w:r>
      <w:r>
        <w:rPr>
          <w:spacing w:val="-9"/>
          <w:sz w:val="24"/>
        </w:rPr>
        <w:t> </w:t>
      </w:r>
      <w:r>
        <w:rPr>
          <w:sz w:val="24"/>
        </w:rPr>
        <w:t>4.5%.</w:t>
      </w:r>
    </w:p>
    <w:p>
      <w:pPr>
        <w:pStyle w:val="ListParagraph"/>
        <w:numPr>
          <w:ilvl w:val="0"/>
          <w:numId w:val="1"/>
        </w:numPr>
        <w:tabs>
          <w:tab w:pos="931" w:val="left" w:leader="none"/>
          <w:tab w:pos="932" w:val="left" w:leader="none"/>
        </w:tabs>
        <w:spacing w:line="550" w:lineRule="atLeast" w:before="134" w:after="0"/>
        <w:ind w:left="367" w:right="413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367" w:right="3521"/>
      </w:pPr>
      <w:r>
        <w:rPr/>
        <w:t>Rachel Lomax, Deputy Governor responsible for monetary policy John Gieve, Deputy Governor responsible for financial stability Kate Barker</w:t>
      </w:r>
    </w:p>
    <w:p>
      <w:pPr>
        <w:pStyle w:val="BodyText"/>
        <w:ind w:left="367"/>
      </w:pPr>
      <w:r>
        <w:rPr/>
        <w:t>Charles Bean</w:t>
      </w:r>
    </w:p>
    <w:p>
      <w:pPr>
        <w:pStyle w:val="BodyText"/>
        <w:ind w:left="367" w:right="8100"/>
      </w:pPr>
      <w:r>
        <w:rPr/>
        <w:t>David Blanchflower Paul Tucker</w:t>
      </w:r>
    </w:p>
    <w:p>
      <w:pPr>
        <w:pStyle w:val="BodyText"/>
      </w:pPr>
    </w:p>
    <w:p>
      <w:pPr>
        <w:pStyle w:val="BodyText"/>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26"/>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367"/>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19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 </dc:creator>
  <dc:subject>Held on 2 &amp; 3 August 2006</dc:subject>
  <dc:title>Minutes of the Monetary Policy Committe Meeting </dc:title>
  <dcterms:created xsi:type="dcterms:W3CDTF">2020-06-01T02:08:02Z</dcterms:created>
  <dcterms:modified xsi:type="dcterms:W3CDTF">2020-06-01T02:08:02Z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2006-08-15T00:00:00Z</vt:filetime>
  </property>
  <property fmtid="{D5CDD505-2E9C-101B-9397-08002B2CF9AE}" pid="3" name="Creator">
    <vt:lpwstr>minutes - August 15th - final - Microsoft Word</vt:lpwstr>
  </property>
  <property fmtid="{D5CDD505-2E9C-101B-9397-08002B2CF9AE}" pid="4" name="LastSaved">
    <vt:filetime>2020-06-01T00:00:00Z</vt:filetime>
  </property>
</Properties>
</file>