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14 January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5" w:right="1825"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570" w:right="2564" w:firstLine="0"/>
        <w:jc w:val="center"/>
        <w:rPr>
          <w:rFonts w:ascii="Palatino Linotype"/>
          <w:b/>
          <w:sz w:val="48"/>
        </w:rPr>
      </w:pPr>
      <w:r>
        <w:rPr>
          <w:rFonts w:ascii="Palatino Linotype"/>
          <w:b/>
          <w:sz w:val="48"/>
        </w:rPr>
        <w:t>3 and 4 December 1997</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7" w:right="1464" w:hanging="1"/>
        <w:jc w:val="left"/>
        <w:rPr>
          <w:rFonts w:ascii="Palatino Linotype"/>
          <w:sz w:val="26"/>
        </w:rPr>
      </w:pPr>
      <w:r>
        <w:rPr>
          <w:rFonts w:ascii="Palatino Linotype"/>
          <w:sz w:val="26"/>
        </w:rPr>
        <w:t>These are the minutes of the Monetary Policy Committee meeting held on 3 and 4 December 1997.</w:t>
      </w:r>
    </w:p>
    <w:p>
      <w:pPr>
        <w:spacing w:line="348" w:lineRule="exact" w:before="0"/>
        <w:ind w:left="105"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05" w:right="0" w:firstLine="2"/>
        <w:jc w:val="left"/>
        <w:rPr>
          <w:rFonts w:ascii="Palatino Linotype" w:hAnsi="Palatino Linotype"/>
          <w:sz w:val="26"/>
        </w:rPr>
      </w:pPr>
      <w:r>
        <w:rPr>
          <w:rFonts w:ascii="Palatino Linotype" w:hAnsi="Palatino Linotype"/>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w:t>
      </w:r>
      <w:r>
        <w:rPr>
          <w:rFonts w:ascii="Palatino Linotype" w:hAnsi="Palatino Linotype"/>
          <w:spacing w:val="53"/>
          <w:sz w:val="26"/>
        </w:rPr>
        <w:t> </w:t>
      </w:r>
      <w:r>
        <w:rPr>
          <w:rFonts w:ascii="Palatino Linotype" w:hAnsi="Palatino Linotype"/>
          <w:sz w:val="26"/>
        </w:rPr>
        <w:t>meeting.</w:t>
      </w:r>
    </w:p>
    <w:p>
      <w:pPr>
        <w:spacing w:line="247" w:lineRule="auto" w:before="0"/>
        <w:ind w:left="109" w:right="0" w:firstLine="0"/>
        <w:jc w:val="left"/>
        <w:rPr>
          <w:rFonts w:ascii="Palatino Linotype"/>
          <w:sz w:val="26"/>
        </w:rPr>
      </w:pPr>
      <w:r>
        <w:rPr>
          <w:rFonts w:ascii="Palatino Linotype"/>
          <w:sz w:val="26"/>
        </w:rPr>
        <w:t>Accordingly, the minutes of the Committee meeting held on 7 and 8 January will be published on 11 February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pStyle w:val="BodyText"/>
        <w:rPr>
          <w:rFonts w:ascii="Palatino Linotype"/>
          <w:sz w:val="20"/>
        </w:rPr>
      </w:pPr>
    </w:p>
    <w:p>
      <w:pPr>
        <w:pStyle w:val="BodyText"/>
        <w:spacing w:before="2"/>
        <w:rPr>
          <w:rFonts w:ascii="Palatino Linotype"/>
          <w:sz w:val="16"/>
        </w:rPr>
      </w:pPr>
    </w:p>
    <w:p>
      <w:pPr>
        <w:pStyle w:val="Heading1"/>
        <w:spacing w:line="247" w:lineRule="auto" w:before="90"/>
        <w:ind w:right="2580"/>
      </w:pPr>
      <w:r>
        <w:rPr/>
        <w:t>MINUTES OF THE MONETARY POLICY COMMITTEE MEETING ON 3-4 DECEMBER 1997</w:t>
      </w:r>
    </w:p>
    <w:p>
      <w:pPr>
        <w:pStyle w:val="BodyText"/>
        <w:spacing w:before="7"/>
        <w:rPr>
          <w:b/>
          <w:sz w:val="36"/>
        </w:rPr>
      </w:pPr>
    </w:p>
    <w:p>
      <w:pPr>
        <w:pStyle w:val="ListParagraph"/>
        <w:numPr>
          <w:ilvl w:val="0"/>
          <w:numId w:val="1"/>
        </w:numPr>
        <w:tabs>
          <w:tab w:pos="839" w:val="left" w:leader="none"/>
          <w:tab w:pos="840" w:val="left" w:leader="none"/>
        </w:tabs>
        <w:spacing w:line="372" w:lineRule="auto" w:before="0" w:after="0"/>
        <w:ind w:left="272" w:right="252" w:firstLine="0"/>
        <w:jc w:val="left"/>
        <w:rPr>
          <w:sz w:val="24"/>
        </w:rPr>
      </w:pPr>
      <w:r>
        <w:rPr>
          <w:sz w:val="24"/>
        </w:rPr>
        <w:t>The</w:t>
      </w:r>
      <w:r>
        <w:rPr>
          <w:spacing w:val="-7"/>
          <w:sz w:val="24"/>
        </w:rPr>
        <w:t> </w:t>
      </w:r>
      <w:r>
        <w:rPr>
          <w:sz w:val="24"/>
        </w:rPr>
        <w:t>meeting</w:t>
      </w:r>
      <w:r>
        <w:rPr>
          <w:spacing w:val="-6"/>
          <w:sz w:val="24"/>
        </w:rPr>
        <w:t> </w:t>
      </w:r>
      <w:r>
        <w:rPr>
          <w:sz w:val="24"/>
        </w:rPr>
        <w:t>was</w:t>
      </w:r>
      <w:r>
        <w:rPr>
          <w:spacing w:val="-6"/>
          <w:sz w:val="24"/>
        </w:rPr>
        <w:t> </w:t>
      </w:r>
      <w:r>
        <w:rPr>
          <w:sz w:val="24"/>
        </w:rPr>
        <w:t>preceded</w:t>
      </w:r>
      <w:r>
        <w:rPr>
          <w:spacing w:val="-6"/>
          <w:sz w:val="24"/>
        </w:rPr>
        <w:t> </w:t>
      </w:r>
      <w:r>
        <w:rPr>
          <w:sz w:val="24"/>
        </w:rPr>
        <w:t>by</w:t>
      </w:r>
      <w:r>
        <w:rPr>
          <w:spacing w:val="-6"/>
          <w:sz w:val="24"/>
        </w:rPr>
        <w:t> </w:t>
      </w:r>
      <w:r>
        <w:rPr>
          <w:sz w:val="24"/>
        </w:rPr>
        <w:t>a</w:t>
      </w:r>
      <w:r>
        <w:rPr>
          <w:spacing w:val="-7"/>
          <w:sz w:val="24"/>
        </w:rPr>
        <w:t> </w:t>
      </w:r>
      <w:r>
        <w:rPr>
          <w:sz w:val="24"/>
        </w:rPr>
        <w:t>presentation</w:t>
      </w:r>
      <w:r>
        <w:rPr>
          <w:spacing w:val="-6"/>
          <w:sz w:val="24"/>
        </w:rPr>
        <w:t> </w:t>
      </w:r>
      <w:r>
        <w:rPr>
          <w:sz w:val="24"/>
        </w:rPr>
        <w:t>by</w:t>
      </w:r>
      <w:r>
        <w:rPr>
          <w:spacing w:val="-6"/>
          <w:sz w:val="24"/>
        </w:rPr>
        <w:t> </w:t>
      </w:r>
      <w:r>
        <w:rPr>
          <w:sz w:val="24"/>
        </w:rPr>
        <w:t>Bank</w:t>
      </w:r>
      <w:r>
        <w:rPr>
          <w:spacing w:val="-6"/>
          <w:sz w:val="24"/>
        </w:rPr>
        <w:t> </w:t>
      </w:r>
      <w:r>
        <w:rPr>
          <w:sz w:val="24"/>
        </w:rPr>
        <w:t>staff</w:t>
      </w:r>
      <w:r>
        <w:rPr>
          <w:spacing w:val="-6"/>
          <w:sz w:val="24"/>
        </w:rPr>
        <w:t> </w:t>
      </w:r>
      <w:r>
        <w:rPr>
          <w:sz w:val="24"/>
        </w:rPr>
        <w:t>of</w:t>
      </w:r>
      <w:r>
        <w:rPr>
          <w:spacing w:val="-7"/>
          <w:sz w:val="24"/>
        </w:rPr>
        <w:t> </w:t>
      </w:r>
      <w:r>
        <w:rPr>
          <w:sz w:val="24"/>
        </w:rPr>
        <w:t>the</w:t>
      </w:r>
      <w:r>
        <w:rPr>
          <w:spacing w:val="-6"/>
          <w:sz w:val="24"/>
        </w:rPr>
        <w:t> </w:t>
      </w:r>
      <w:r>
        <w:rPr>
          <w:sz w:val="24"/>
        </w:rPr>
        <w:t>most</w:t>
      </w:r>
      <w:r>
        <w:rPr>
          <w:spacing w:val="-6"/>
          <w:sz w:val="24"/>
        </w:rPr>
        <w:t> </w:t>
      </w:r>
      <w:r>
        <w:rPr>
          <w:sz w:val="24"/>
        </w:rPr>
        <w:t>recent</w:t>
      </w:r>
      <w:r>
        <w:rPr>
          <w:spacing w:val="-6"/>
          <w:sz w:val="24"/>
        </w:rPr>
        <w:t> </w:t>
      </w:r>
      <w:r>
        <w:rPr>
          <w:sz w:val="24"/>
        </w:rPr>
        <w:t>data</w:t>
      </w:r>
      <w:r>
        <w:rPr>
          <w:spacing w:val="-6"/>
          <w:sz w:val="24"/>
        </w:rPr>
        <w:t> </w:t>
      </w:r>
      <w:r>
        <w:rPr>
          <w:sz w:val="24"/>
        </w:rPr>
        <w:t>on</w:t>
      </w:r>
      <w:r>
        <w:rPr>
          <w:spacing w:val="-6"/>
          <w:sz w:val="24"/>
        </w:rPr>
        <w:t> </w:t>
      </w:r>
      <w:r>
        <w:rPr>
          <w:sz w:val="24"/>
        </w:rPr>
        <w:t>monetary and economic conditions. The staff presentation is summarised in the Annex to these minutes; it </w:t>
      </w:r>
      <w:r>
        <w:rPr>
          <w:spacing w:val="-2"/>
          <w:sz w:val="24"/>
        </w:rPr>
        <w:t>has </w:t>
      </w:r>
      <w:r>
        <w:rPr>
          <w:sz w:val="24"/>
        </w:rPr>
        <w:t>been updated to incorporate data that subsequently became available to the Monetary </w:t>
      </w:r>
      <w:r>
        <w:rPr>
          <w:spacing w:val="-2"/>
          <w:sz w:val="24"/>
        </w:rPr>
        <w:t>Policy </w:t>
      </w:r>
      <w:r>
        <w:rPr>
          <w:sz w:val="24"/>
        </w:rPr>
        <w:t>Committee before its</w:t>
      </w:r>
      <w:r>
        <w:rPr>
          <w:spacing w:val="-2"/>
          <w:sz w:val="24"/>
        </w:rPr>
        <w:t> </w:t>
      </w:r>
      <w:r>
        <w:rPr>
          <w:sz w:val="24"/>
        </w:rPr>
        <w:t>meeting.</w:t>
      </w:r>
    </w:p>
    <w:p>
      <w:pPr>
        <w:pStyle w:val="BodyText"/>
        <w:spacing w:before="11"/>
        <w:rPr>
          <w:sz w:val="36"/>
        </w:rPr>
      </w:pPr>
    </w:p>
    <w:p>
      <w:pPr>
        <w:pStyle w:val="ListParagraph"/>
        <w:numPr>
          <w:ilvl w:val="0"/>
          <w:numId w:val="1"/>
        </w:numPr>
        <w:tabs>
          <w:tab w:pos="839" w:val="left" w:leader="none"/>
          <w:tab w:pos="840" w:val="left" w:leader="none"/>
        </w:tabs>
        <w:spacing w:line="372" w:lineRule="auto" w:before="0" w:after="0"/>
        <w:ind w:left="272" w:right="238" w:firstLine="0"/>
        <w:jc w:val="left"/>
        <w:rPr>
          <w:sz w:val="24"/>
        </w:rPr>
      </w:pPr>
      <w:r>
        <w:rPr>
          <w:sz w:val="24"/>
        </w:rPr>
        <w:t>The</w:t>
      </w:r>
      <w:r>
        <w:rPr>
          <w:spacing w:val="-10"/>
          <w:sz w:val="24"/>
        </w:rPr>
        <w:t> </w:t>
      </w:r>
      <w:r>
        <w:rPr>
          <w:sz w:val="24"/>
        </w:rPr>
        <w:t>Committee</w:t>
      </w:r>
      <w:r>
        <w:rPr>
          <w:spacing w:val="-9"/>
          <w:sz w:val="24"/>
        </w:rPr>
        <w:t> </w:t>
      </w:r>
      <w:r>
        <w:rPr>
          <w:sz w:val="24"/>
        </w:rPr>
        <w:t>began</w:t>
      </w:r>
      <w:r>
        <w:rPr>
          <w:spacing w:val="-9"/>
          <w:sz w:val="24"/>
        </w:rPr>
        <w:t> </w:t>
      </w:r>
      <w:r>
        <w:rPr>
          <w:sz w:val="24"/>
        </w:rPr>
        <w:t>by</w:t>
      </w:r>
      <w:r>
        <w:rPr>
          <w:spacing w:val="-9"/>
          <w:sz w:val="24"/>
        </w:rPr>
        <w:t> </w:t>
      </w:r>
      <w:r>
        <w:rPr>
          <w:sz w:val="24"/>
        </w:rPr>
        <w:t>discussing</w:t>
      </w:r>
      <w:r>
        <w:rPr>
          <w:spacing w:val="-9"/>
          <w:sz w:val="24"/>
        </w:rPr>
        <w:t> </w:t>
      </w:r>
      <w:r>
        <w:rPr>
          <w:sz w:val="24"/>
        </w:rPr>
        <w:t>the</w:t>
      </w:r>
      <w:r>
        <w:rPr>
          <w:spacing w:val="-9"/>
          <w:sz w:val="24"/>
        </w:rPr>
        <w:t> </w:t>
      </w:r>
      <w:r>
        <w:rPr>
          <w:sz w:val="24"/>
        </w:rPr>
        <w:t>importance</w:t>
      </w:r>
      <w:r>
        <w:rPr>
          <w:spacing w:val="-9"/>
          <w:sz w:val="24"/>
        </w:rPr>
        <w:t> </w:t>
      </w:r>
      <w:r>
        <w:rPr>
          <w:sz w:val="24"/>
        </w:rPr>
        <w:t>to</w:t>
      </w:r>
      <w:r>
        <w:rPr>
          <w:spacing w:val="-9"/>
          <w:sz w:val="24"/>
        </w:rPr>
        <w:t> </w:t>
      </w:r>
      <w:r>
        <w:rPr>
          <w:sz w:val="24"/>
        </w:rPr>
        <w:t>its</w:t>
      </w:r>
      <w:r>
        <w:rPr>
          <w:spacing w:val="-9"/>
          <w:sz w:val="24"/>
        </w:rPr>
        <w:t> </w:t>
      </w:r>
      <w:r>
        <w:rPr>
          <w:sz w:val="24"/>
        </w:rPr>
        <w:t>assessment</w:t>
      </w:r>
      <w:r>
        <w:rPr>
          <w:spacing w:val="-10"/>
          <w:sz w:val="24"/>
        </w:rPr>
        <w:t> </w:t>
      </w:r>
      <w:r>
        <w:rPr>
          <w:sz w:val="24"/>
        </w:rPr>
        <w:t>of</w:t>
      </w:r>
      <w:r>
        <w:rPr>
          <w:spacing w:val="-9"/>
          <w:sz w:val="24"/>
        </w:rPr>
        <w:t> </w:t>
      </w:r>
      <w:r>
        <w:rPr>
          <w:sz w:val="24"/>
        </w:rPr>
        <w:t>the</w:t>
      </w:r>
      <w:r>
        <w:rPr>
          <w:spacing w:val="-9"/>
          <w:sz w:val="24"/>
        </w:rPr>
        <w:t> </w:t>
      </w:r>
      <w:r>
        <w:rPr>
          <w:sz w:val="24"/>
        </w:rPr>
        <w:t>inflation</w:t>
      </w:r>
      <w:r>
        <w:rPr>
          <w:spacing w:val="-9"/>
          <w:sz w:val="24"/>
        </w:rPr>
        <w:t> </w:t>
      </w:r>
      <w:r>
        <w:rPr>
          <w:sz w:val="24"/>
        </w:rPr>
        <w:t>outlook</w:t>
      </w:r>
      <w:r>
        <w:rPr>
          <w:spacing w:val="-9"/>
          <w:sz w:val="24"/>
        </w:rPr>
        <w:t> </w:t>
      </w:r>
      <w:r>
        <w:rPr>
          <w:sz w:val="24"/>
        </w:rPr>
        <w:t>of levels of economic variables as well as their growth rates. It then discussed monetary growth, consumption, external developments and the prospects for net trade, and the labour market. After reviewing key differences between the Bank’s November inflation forecast and other forecasts, it turned to the immediate policy</w:t>
      </w:r>
      <w:r>
        <w:rPr>
          <w:spacing w:val="-3"/>
          <w:sz w:val="24"/>
        </w:rPr>
        <w:t> </w:t>
      </w:r>
      <w:r>
        <w:rPr>
          <w:sz w:val="24"/>
        </w:rPr>
        <w:t>decision.</w:t>
      </w:r>
    </w:p>
    <w:p>
      <w:pPr>
        <w:pStyle w:val="BodyText"/>
        <w:spacing w:before="3"/>
        <w:rPr>
          <w:sz w:val="37"/>
        </w:rPr>
      </w:pPr>
    </w:p>
    <w:p>
      <w:pPr>
        <w:pStyle w:val="Heading1"/>
      </w:pPr>
      <w:r>
        <w:rPr/>
        <w:t>Levels versus growth rates</w:t>
      </w:r>
    </w:p>
    <w:p>
      <w:pPr>
        <w:pStyle w:val="BodyText"/>
        <w:rPr>
          <w:b/>
          <w:sz w:val="26"/>
        </w:rPr>
      </w:pPr>
    </w:p>
    <w:p>
      <w:pPr>
        <w:pStyle w:val="BodyText"/>
        <w:spacing w:before="10"/>
        <w:rPr>
          <w:b/>
          <w:sz w:val="23"/>
        </w:rPr>
      </w:pPr>
    </w:p>
    <w:p>
      <w:pPr>
        <w:pStyle w:val="ListParagraph"/>
        <w:numPr>
          <w:ilvl w:val="0"/>
          <w:numId w:val="1"/>
        </w:numPr>
        <w:tabs>
          <w:tab w:pos="839" w:val="left" w:leader="none"/>
          <w:tab w:pos="840" w:val="left" w:leader="none"/>
        </w:tabs>
        <w:spacing w:line="372" w:lineRule="auto" w:before="1" w:after="0"/>
        <w:ind w:left="272" w:right="147" w:firstLine="0"/>
        <w:jc w:val="left"/>
        <w:rPr>
          <w:sz w:val="24"/>
        </w:rPr>
      </w:pPr>
      <w:r>
        <w:rPr>
          <w:sz w:val="24"/>
        </w:rPr>
        <w:t>The Committee discussed the importance of focusing not only on growth rates of economic variables</w:t>
      </w:r>
      <w:r>
        <w:rPr>
          <w:spacing w:val="-7"/>
          <w:sz w:val="24"/>
        </w:rPr>
        <w:t> </w:t>
      </w:r>
      <w:r>
        <w:rPr>
          <w:sz w:val="24"/>
        </w:rPr>
        <w:t>but</w:t>
      </w:r>
      <w:r>
        <w:rPr>
          <w:spacing w:val="-7"/>
          <w:sz w:val="24"/>
        </w:rPr>
        <w:t> </w:t>
      </w:r>
      <w:r>
        <w:rPr>
          <w:sz w:val="24"/>
        </w:rPr>
        <w:t>also</w:t>
      </w:r>
      <w:r>
        <w:rPr>
          <w:spacing w:val="-7"/>
          <w:sz w:val="24"/>
        </w:rPr>
        <w:t> </w:t>
      </w:r>
      <w:r>
        <w:rPr>
          <w:sz w:val="24"/>
        </w:rPr>
        <w:t>on</w:t>
      </w:r>
      <w:r>
        <w:rPr>
          <w:spacing w:val="-6"/>
          <w:sz w:val="24"/>
        </w:rPr>
        <w:t> </w:t>
      </w:r>
      <w:r>
        <w:rPr>
          <w:sz w:val="24"/>
        </w:rPr>
        <w:t>their</w:t>
      </w:r>
      <w:r>
        <w:rPr>
          <w:spacing w:val="-7"/>
          <w:sz w:val="24"/>
        </w:rPr>
        <w:t> </w:t>
      </w:r>
      <w:r>
        <w:rPr>
          <w:sz w:val="24"/>
        </w:rPr>
        <w:t>levels.</w:t>
      </w:r>
      <w:r>
        <w:rPr>
          <w:spacing w:val="47"/>
          <w:sz w:val="24"/>
        </w:rPr>
        <w:t> </w:t>
      </w:r>
      <w:r>
        <w:rPr>
          <w:sz w:val="24"/>
        </w:rPr>
        <w:t>Above-trend</w:t>
      </w:r>
      <w:r>
        <w:rPr>
          <w:spacing w:val="-6"/>
          <w:sz w:val="24"/>
        </w:rPr>
        <w:t> </w:t>
      </w:r>
      <w:r>
        <w:rPr>
          <w:sz w:val="24"/>
        </w:rPr>
        <w:t>growth</w:t>
      </w:r>
      <w:r>
        <w:rPr>
          <w:spacing w:val="-7"/>
          <w:sz w:val="24"/>
        </w:rPr>
        <w:t> </w:t>
      </w:r>
      <w:r>
        <w:rPr>
          <w:sz w:val="24"/>
        </w:rPr>
        <w:t>rates</w:t>
      </w:r>
      <w:r>
        <w:rPr>
          <w:spacing w:val="-7"/>
          <w:sz w:val="24"/>
        </w:rPr>
        <w:t> </w:t>
      </w:r>
      <w:r>
        <w:rPr>
          <w:sz w:val="24"/>
        </w:rPr>
        <w:t>of</w:t>
      </w:r>
      <w:r>
        <w:rPr>
          <w:spacing w:val="-7"/>
          <w:sz w:val="24"/>
        </w:rPr>
        <w:t> </w:t>
      </w:r>
      <w:r>
        <w:rPr>
          <w:sz w:val="24"/>
        </w:rPr>
        <w:t>output</w:t>
      </w:r>
      <w:r>
        <w:rPr>
          <w:spacing w:val="-6"/>
          <w:sz w:val="24"/>
        </w:rPr>
        <w:t> </w:t>
      </w:r>
      <w:r>
        <w:rPr>
          <w:sz w:val="24"/>
        </w:rPr>
        <w:t>and</w:t>
      </w:r>
      <w:r>
        <w:rPr>
          <w:spacing w:val="-7"/>
          <w:sz w:val="24"/>
        </w:rPr>
        <w:t> </w:t>
      </w:r>
      <w:r>
        <w:rPr>
          <w:sz w:val="24"/>
        </w:rPr>
        <w:t>employment</w:t>
      </w:r>
      <w:r>
        <w:rPr>
          <w:spacing w:val="-7"/>
          <w:sz w:val="24"/>
        </w:rPr>
        <w:t> </w:t>
      </w:r>
      <w:r>
        <w:rPr>
          <w:sz w:val="24"/>
        </w:rPr>
        <w:t>need</w:t>
      </w:r>
      <w:r>
        <w:rPr>
          <w:spacing w:val="-7"/>
          <w:sz w:val="24"/>
        </w:rPr>
        <w:t> </w:t>
      </w:r>
      <w:r>
        <w:rPr>
          <w:sz w:val="24"/>
        </w:rPr>
        <w:t>not</w:t>
      </w:r>
      <w:r>
        <w:rPr>
          <w:spacing w:val="-6"/>
          <w:sz w:val="24"/>
        </w:rPr>
        <w:t> </w:t>
      </w:r>
      <w:r>
        <w:rPr>
          <w:spacing w:val="-2"/>
          <w:sz w:val="24"/>
        </w:rPr>
        <w:t>entail </w:t>
      </w:r>
      <w:r>
        <w:rPr>
          <w:sz w:val="24"/>
        </w:rPr>
        <w:t>short-run inflationary pressures when there was plenty of spare capacity, as was typically the case when the economy was coming out of a prolonged recession. But as spare capacity was used </w:t>
      </w:r>
      <w:r>
        <w:rPr>
          <w:spacing w:val="-2"/>
          <w:sz w:val="24"/>
        </w:rPr>
        <w:t>up, </w:t>
      </w:r>
      <w:r>
        <w:rPr>
          <w:spacing w:val="-3"/>
          <w:sz w:val="24"/>
        </w:rPr>
        <w:t>underlying inflationary pressures would increase. Once </w:t>
      </w:r>
      <w:r>
        <w:rPr>
          <w:sz w:val="24"/>
        </w:rPr>
        <w:t>the </w:t>
      </w:r>
      <w:r>
        <w:rPr>
          <w:spacing w:val="-3"/>
          <w:sz w:val="24"/>
        </w:rPr>
        <w:t>level </w:t>
      </w:r>
      <w:r>
        <w:rPr>
          <w:sz w:val="24"/>
        </w:rPr>
        <w:t>of </w:t>
      </w:r>
      <w:r>
        <w:rPr>
          <w:spacing w:val="-3"/>
          <w:sz w:val="24"/>
        </w:rPr>
        <w:t>economic activity </w:t>
      </w:r>
      <w:r>
        <w:rPr>
          <w:sz w:val="24"/>
        </w:rPr>
        <w:t>was </w:t>
      </w:r>
      <w:r>
        <w:rPr>
          <w:spacing w:val="-3"/>
          <w:sz w:val="24"/>
        </w:rPr>
        <w:t>above trend and/or </w:t>
      </w:r>
      <w:r>
        <w:rPr>
          <w:sz w:val="24"/>
        </w:rPr>
        <w:t>the </w:t>
      </w:r>
      <w:r>
        <w:rPr>
          <w:spacing w:val="-3"/>
          <w:sz w:val="24"/>
        </w:rPr>
        <w:t>level </w:t>
      </w:r>
      <w:r>
        <w:rPr>
          <w:sz w:val="24"/>
        </w:rPr>
        <w:t>of </w:t>
      </w:r>
      <w:r>
        <w:rPr>
          <w:spacing w:val="-3"/>
          <w:sz w:val="24"/>
        </w:rPr>
        <w:t>unemployment below </w:t>
      </w:r>
      <w:r>
        <w:rPr>
          <w:sz w:val="24"/>
        </w:rPr>
        <w:t>the </w:t>
      </w:r>
      <w:r>
        <w:rPr>
          <w:spacing w:val="-3"/>
          <w:sz w:val="24"/>
        </w:rPr>
        <w:t>natural rate, increasing inflation would generally</w:t>
      </w:r>
      <w:r>
        <w:rPr>
          <w:spacing w:val="37"/>
          <w:sz w:val="24"/>
        </w:rPr>
        <w:t> </w:t>
      </w:r>
      <w:r>
        <w:rPr>
          <w:spacing w:val="-3"/>
          <w:sz w:val="24"/>
        </w:rPr>
        <w:t>result.</w:t>
      </w:r>
    </w:p>
    <w:p>
      <w:pPr>
        <w:pStyle w:val="BodyText"/>
        <w:spacing w:line="372" w:lineRule="auto"/>
        <w:ind w:left="272" w:right="519"/>
      </w:pPr>
      <w:r>
        <w:rPr/>
        <w:t>If</w:t>
      </w:r>
      <w:r>
        <w:rPr>
          <w:spacing w:val="-10"/>
        </w:rPr>
        <w:t> </w:t>
      </w:r>
      <w:r>
        <w:rPr/>
        <w:t>the</w:t>
      </w:r>
      <w:r>
        <w:rPr>
          <w:spacing w:val="-10"/>
        </w:rPr>
        <w:t> </w:t>
      </w:r>
      <w:r>
        <w:rPr/>
        <w:t>levels</w:t>
      </w:r>
      <w:r>
        <w:rPr>
          <w:spacing w:val="-9"/>
        </w:rPr>
        <w:t> </w:t>
      </w:r>
      <w:r>
        <w:rPr/>
        <w:t>of</w:t>
      </w:r>
      <w:r>
        <w:rPr>
          <w:spacing w:val="-10"/>
        </w:rPr>
        <w:t> </w:t>
      </w:r>
      <w:r>
        <w:rPr/>
        <w:t>output</w:t>
      </w:r>
      <w:r>
        <w:rPr>
          <w:spacing w:val="-10"/>
        </w:rPr>
        <w:t> </w:t>
      </w:r>
      <w:r>
        <w:rPr/>
        <w:t>and</w:t>
      </w:r>
      <w:r>
        <w:rPr>
          <w:spacing w:val="-9"/>
        </w:rPr>
        <w:t> </w:t>
      </w:r>
      <w:r>
        <w:rPr/>
        <w:t>employment</w:t>
      </w:r>
      <w:r>
        <w:rPr>
          <w:spacing w:val="-10"/>
        </w:rPr>
        <w:t> </w:t>
      </w:r>
      <w:r>
        <w:rPr/>
        <w:t>then</w:t>
      </w:r>
      <w:r>
        <w:rPr>
          <w:spacing w:val="-9"/>
        </w:rPr>
        <w:t> </w:t>
      </w:r>
      <w:r>
        <w:rPr/>
        <w:t>remained</w:t>
      </w:r>
      <w:r>
        <w:rPr>
          <w:spacing w:val="-10"/>
        </w:rPr>
        <w:t> </w:t>
      </w:r>
      <w:r>
        <w:rPr/>
        <w:t>above</w:t>
      </w:r>
      <w:r>
        <w:rPr>
          <w:spacing w:val="-10"/>
        </w:rPr>
        <w:t> </w:t>
      </w:r>
      <w:r>
        <w:rPr/>
        <w:t>trend,</w:t>
      </w:r>
      <w:r>
        <w:rPr>
          <w:spacing w:val="-9"/>
        </w:rPr>
        <w:t> </w:t>
      </w:r>
      <w:r>
        <w:rPr/>
        <w:t>inflationary</w:t>
      </w:r>
      <w:r>
        <w:rPr>
          <w:spacing w:val="-10"/>
        </w:rPr>
        <w:t> </w:t>
      </w:r>
      <w:r>
        <w:rPr/>
        <w:t>pressures</w:t>
      </w:r>
      <w:r>
        <w:rPr>
          <w:spacing w:val="-9"/>
        </w:rPr>
        <w:t> </w:t>
      </w:r>
      <w:r>
        <w:rPr/>
        <w:t>would</w:t>
      </w:r>
      <w:r>
        <w:rPr>
          <w:spacing w:val="-10"/>
        </w:rPr>
        <w:t> </w:t>
      </w:r>
      <w:r>
        <w:rPr/>
        <w:t>be exacerbated, requiring a more severe or prolonged slowdown to bring them back to trend</w:t>
      </w:r>
      <w:r>
        <w:rPr>
          <w:spacing w:val="-40"/>
        </w:rPr>
        <w:t> </w:t>
      </w:r>
      <w:r>
        <w:rPr/>
        <w:t>levels.</w:t>
      </w:r>
    </w:p>
    <w:p>
      <w:pPr>
        <w:pStyle w:val="BodyText"/>
        <w:spacing w:before="8"/>
        <w:rPr>
          <w:sz w:val="36"/>
        </w:rPr>
      </w:pPr>
    </w:p>
    <w:p>
      <w:pPr>
        <w:pStyle w:val="ListParagraph"/>
        <w:numPr>
          <w:ilvl w:val="0"/>
          <w:numId w:val="1"/>
        </w:numPr>
        <w:tabs>
          <w:tab w:pos="839" w:val="left" w:leader="none"/>
          <w:tab w:pos="840" w:val="left" w:leader="none"/>
        </w:tabs>
        <w:spacing w:line="372" w:lineRule="auto" w:before="0" w:after="0"/>
        <w:ind w:left="272" w:right="171" w:firstLine="0"/>
        <w:jc w:val="left"/>
        <w:rPr>
          <w:sz w:val="24"/>
        </w:rPr>
      </w:pPr>
      <w:r>
        <w:rPr>
          <w:sz w:val="24"/>
        </w:rPr>
        <w:t>The Committee agreed with the importance of this general analysis. It was particularly relevant at the current stage of the cycle given the need to judge whether the economy was already above full capacity after the prolonged period of above trend growth rates. The costs of an over-expansionary monetary</w:t>
      </w:r>
      <w:r>
        <w:rPr>
          <w:spacing w:val="-8"/>
          <w:sz w:val="24"/>
        </w:rPr>
        <w:t> </w:t>
      </w:r>
      <w:r>
        <w:rPr>
          <w:sz w:val="24"/>
        </w:rPr>
        <w:t>policy</w:t>
      </w:r>
      <w:r>
        <w:rPr>
          <w:spacing w:val="-8"/>
          <w:sz w:val="24"/>
        </w:rPr>
        <w:t> </w:t>
      </w:r>
      <w:r>
        <w:rPr>
          <w:sz w:val="24"/>
        </w:rPr>
        <w:t>were</w:t>
      </w:r>
      <w:r>
        <w:rPr>
          <w:spacing w:val="-7"/>
          <w:sz w:val="24"/>
        </w:rPr>
        <w:t> </w:t>
      </w:r>
      <w:r>
        <w:rPr>
          <w:sz w:val="24"/>
        </w:rPr>
        <w:t>likely</w:t>
      </w:r>
      <w:r>
        <w:rPr>
          <w:spacing w:val="-8"/>
          <w:sz w:val="24"/>
        </w:rPr>
        <w:t> </w:t>
      </w:r>
      <w:r>
        <w:rPr>
          <w:sz w:val="24"/>
        </w:rPr>
        <w:t>to</w:t>
      </w:r>
      <w:r>
        <w:rPr>
          <w:spacing w:val="-7"/>
          <w:sz w:val="24"/>
        </w:rPr>
        <w:t> </w:t>
      </w:r>
      <w:r>
        <w:rPr>
          <w:sz w:val="24"/>
        </w:rPr>
        <w:t>be</w:t>
      </w:r>
      <w:r>
        <w:rPr>
          <w:spacing w:val="-8"/>
          <w:sz w:val="24"/>
        </w:rPr>
        <w:t> </w:t>
      </w:r>
      <w:r>
        <w:rPr>
          <w:sz w:val="24"/>
        </w:rPr>
        <w:t>greater</w:t>
      </w:r>
      <w:r>
        <w:rPr>
          <w:spacing w:val="-7"/>
          <w:sz w:val="24"/>
        </w:rPr>
        <w:t> </w:t>
      </w:r>
      <w:r>
        <w:rPr>
          <w:sz w:val="24"/>
        </w:rPr>
        <w:t>than</w:t>
      </w:r>
      <w:r>
        <w:rPr>
          <w:spacing w:val="-8"/>
          <w:sz w:val="24"/>
        </w:rPr>
        <w:t> </w:t>
      </w:r>
      <w:r>
        <w:rPr>
          <w:sz w:val="24"/>
        </w:rPr>
        <w:t>when</w:t>
      </w:r>
      <w:r>
        <w:rPr>
          <w:spacing w:val="-7"/>
          <w:sz w:val="24"/>
        </w:rPr>
        <w:t> </w:t>
      </w:r>
      <w:r>
        <w:rPr>
          <w:sz w:val="24"/>
        </w:rPr>
        <w:t>the</w:t>
      </w:r>
      <w:r>
        <w:rPr>
          <w:spacing w:val="-8"/>
          <w:sz w:val="24"/>
        </w:rPr>
        <w:t> </w:t>
      </w:r>
      <w:r>
        <w:rPr>
          <w:sz w:val="24"/>
        </w:rPr>
        <w:t>economy</w:t>
      </w:r>
      <w:r>
        <w:rPr>
          <w:spacing w:val="-7"/>
          <w:sz w:val="24"/>
        </w:rPr>
        <w:t> </w:t>
      </w:r>
      <w:r>
        <w:rPr>
          <w:sz w:val="24"/>
        </w:rPr>
        <w:t>had</w:t>
      </w:r>
      <w:r>
        <w:rPr>
          <w:spacing w:val="-8"/>
          <w:sz w:val="24"/>
        </w:rPr>
        <w:t> </w:t>
      </w:r>
      <w:r>
        <w:rPr>
          <w:sz w:val="24"/>
        </w:rPr>
        <w:t>been</w:t>
      </w:r>
      <w:r>
        <w:rPr>
          <w:spacing w:val="-7"/>
          <w:sz w:val="24"/>
        </w:rPr>
        <w:t> </w:t>
      </w:r>
      <w:r>
        <w:rPr>
          <w:sz w:val="24"/>
        </w:rPr>
        <w:t>coming</w:t>
      </w:r>
      <w:r>
        <w:rPr>
          <w:spacing w:val="-8"/>
          <w:sz w:val="24"/>
        </w:rPr>
        <w:t> </w:t>
      </w:r>
      <w:r>
        <w:rPr>
          <w:sz w:val="24"/>
        </w:rPr>
        <w:t>out</w:t>
      </w:r>
      <w:r>
        <w:rPr>
          <w:spacing w:val="-7"/>
          <w:sz w:val="24"/>
        </w:rPr>
        <w:t> </w:t>
      </w:r>
      <w:r>
        <w:rPr>
          <w:sz w:val="24"/>
        </w:rPr>
        <w:t>of</w:t>
      </w:r>
      <w:r>
        <w:rPr>
          <w:spacing w:val="-8"/>
          <w:sz w:val="24"/>
        </w:rPr>
        <w:t> </w:t>
      </w:r>
      <w:r>
        <w:rPr>
          <w:sz w:val="24"/>
        </w:rPr>
        <w:t>recession</w:t>
      </w:r>
      <w:r>
        <w:rPr>
          <w:spacing w:val="-7"/>
          <w:sz w:val="24"/>
        </w:rPr>
        <w:t> </w:t>
      </w:r>
      <w:r>
        <w:rPr>
          <w:sz w:val="24"/>
        </w:rPr>
        <w:t>in the early-to-mid</w:t>
      </w:r>
      <w:r>
        <w:rPr>
          <w:spacing w:val="1"/>
          <w:sz w:val="24"/>
        </w:rPr>
        <w:t> </w:t>
      </w:r>
      <w:r>
        <w:rPr>
          <w:spacing w:val="-2"/>
          <w:sz w:val="24"/>
        </w:rPr>
        <w:t>1990s.</w:t>
      </w:r>
    </w:p>
    <w:p>
      <w:pPr>
        <w:pStyle w:val="BodyText"/>
        <w:spacing w:before="11"/>
        <w:rPr>
          <w:sz w:val="36"/>
        </w:rPr>
      </w:pPr>
    </w:p>
    <w:p>
      <w:pPr>
        <w:pStyle w:val="ListParagraph"/>
        <w:numPr>
          <w:ilvl w:val="0"/>
          <w:numId w:val="1"/>
        </w:numPr>
        <w:tabs>
          <w:tab w:pos="839" w:val="left" w:leader="none"/>
          <w:tab w:pos="840" w:val="left" w:leader="none"/>
        </w:tabs>
        <w:spacing w:line="372" w:lineRule="auto" w:before="0" w:after="0"/>
        <w:ind w:left="272" w:right="137" w:firstLine="0"/>
        <w:jc w:val="left"/>
        <w:rPr>
          <w:sz w:val="24"/>
        </w:rPr>
      </w:pPr>
      <w:r>
        <w:rPr>
          <w:sz w:val="24"/>
        </w:rPr>
        <w:t>It was, however, very difficult to assess whether levels of activity were currently at, above or below</w:t>
      </w:r>
      <w:r>
        <w:rPr>
          <w:spacing w:val="-10"/>
          <w:sz w:val="24"/>
        </w:rPr>
        <w:t> </w:t>
      </w:r>
      <w:r>
        <w:rPr>
          <w:sz w:val="24"/>
        </w:rPr>
        <w:t>the</w:t>
      </w:r>
      <w:r>
        <w:rPr>
          <w:spacing w:val="-9"/>
          <w:sz w:val="24"/>
        </w:rPr>
        <w:t> </w:t>
      </w:r>
      <w:r>
        <w:rPr>
          <w:sz w:val="24"/>
        </w:rPr>
        <w:t>sustainable</w:t>
      </w:r>
      <w:r>
        <w:rPr>
          <w:spacing w:val="-10"/>
          <w:sz w:val="24"/>
        </w:rPr>
        <w:t> </w:t>
      </w:r>
      <w:r>
        <w:rPr>
          <w:sz w:val="24"/>
        </w:rPr>
        <w:t>trend.</w:t>
      </w:r>
      <w:r>
        <w:rPr>
          <w:spacing w:val="-9"/>
          <w:sz w:val="24"/>
        </w:rPr>
        <w:t> </w:t>
      </w:r>
      <w:r>
        <w:rPr>
          <w:sz w:val="24"/>
        </w:rPr>
        <w:t>Some</w:t>
      </w:r>
      <w:r>
        <w:rPr>
          <w:spacing w:val="-10"/>
          <w:sz w:val="24"/>
        </w:rPr>
        <w:t> </w:t>
      </w:r>
      <w:r>
        <w:rPr>
          <w:sz w:val="24"/>
        </w:rPr>
        <w:t>collateral</w:t>
      </w:r>
      <w:r>
        <w:rPr>
          <w:spacing w:val="-9"/>
          <w:sz w:val="24"/>
        </w:rPr>
        <w:t> </w:t>
      </w:r>
      <w:r>
        <w:rPr>
          <w:sz w:val="24"/>
        </w:rPr>
        <w:t>evidence</w:t>
      </w:r>
      <w:r>
        <w:rPr>
          <w:spacing w:val="-10"/>
          <w:sz w:val="24"/>
        </w:rPr>
        <w:t> </w:t>
      </w:r>
      <w:r>
        <w:rPr>
          <w:sz w:val="24"/>
        </w:rPr>
        <w:t>was</w:t>
      </w:r>
      <w:r>
        <w:rPr>
          <w:spacing w:val="-9"/>
          <w:sz w:val="24"/>
        </w:rPr>
        <w:t> </w:t>
      </w:r>
      <w:r>
        <w:rPr>
          <w:sz w:val="24"/>
        </w:rPr>
        <w:t>provided</w:t>
      </w:r>
      <w:r>
        <w:rPr>
          <w:spacing w:val="-10"/>
          <w:sz w:val="24"/>
        </w:rPr>
        <w:t> </w:t>
      </w:r>
      <w:r>
        <w:rPr>
          <w:sz w:val="24"/>
        </w:rPr>
        <w:t>by</w:t>
      </w:r>
      <w:r>
        <w:rPr>
          <w:spacing w:val="-9"/>
          <w:sz w:val="24"/>
        </w:rPr>
        <w:t> </w:t>
      </w:r>
      <w:r>
        <w:rPr>
          <w:sz w:val="24"/>
        </w:rPr>
        <w:t>surveys</w:t>
      </w:r>
      <w:r>
        <w:rPr>
          <w:spacing w:val="-9"/>
          <w:sz w:val="24"/>
        </w:rPr>
        <w:t> </w:t>
      </w:r>
      <w:r>
        <w:rPr>
          <w:sz w:val="24"/>
        </w:rPr>
        <w:t>of</w:t>
      </w:r>
      <w:r>
        <w:rPr>
          <w:spacing w:val="-10"/>
          <w:sz w:val="24"/>
        </w:rPr>
        <w:t> </w:t>
      </w:r>
      <w:r>
        <w:rPr>
          <w:sz w:val="24"/>
        </w:rPr>
        <w:t>capacity</w:t>
      </w:r>
      <w:r>
        <w:rPr>
          <w:spacing w:val="-9"/>
          <w:sz w:val="24"/>
        </w:rPr>
        <w:t> </w:t>
      </w:r>
      <w:r>
        <w:rPr>
          <w:spacing w:val="-2"/>
          <w:sz w:val="24"/>
        </w:rPr>
        <w:t>constraints,</w:t>
      </w:r>
    </w:p>
    <w:p>
      <w:pPr>
        <w:spacing w:after="0" w:line="372" w:lineRule="auto"/>
        <w:jc w:val="left"/>
        <w:rPr>
          <w:sz w:val="24"/>
        </w:rPr>
        <w:sectPr>
          <w:headerReference w:type="default" r:id="rId6"/>
          <w:pgSz w:w="11900" w:h="16840"/>
          <w:pgMar w:header="1146" w:footer="0" w:top="1400" w:bottom="280" w:left="860" w:right="880"/>
        </w:sectPr>
      </w:pPr>
    </w:p>
    <w:p>
      <w:pPr>
        <w:pStyle w:val="BodyText"/>
        <w:rPr>
          <w:sz w:val="20"/>
        </w:rPr>
      </w:pPr>
    </w:p>
    <w:p>
      <w:pPr>
        <w:pStyle w:val="BodyText"/>
        <w:rPr>
          <w:sz w:val="22"/>
        </w:rPr>
      </w:pPr>
    </w:p>
    <w:p>
      <w:pPr>
        <w:pStyle w:val="BodyText"/>
        <w:spacing w:line="372" w:lineRule="auto" w:before="90"/>
        <w:ind w:left="272" w:right="262"/>
      </w:pPr>
      <w:r>
        <w:rPr>
          <w:spacing w:val="-3"/>
        </w:rPr>
        <w:t>skill shortages etc, </w:t>
      </w:r>
      <w:r>
        <w:rPr/>
        <w:t>but it was </w:t>
      </w:r>
      <w:r>
        <w:rPr>
          <w:spacing w:val="-3"/>
        </w:rPr>
        <w:t>inevitably inconclusive. There was, </w:t>
      </w:r>
      <w:r>
        <w:rPr/>
        <w:t>for </w:t>
      </w:r>
      <w:r>
        <w:rPr>
          <w:spacing w:val="-3"/>
        </w:rPr>
        <w:t>example, considerable </w:t>
      </w:r>
      <w:r>
        <w:rPr/>
        <w:t>uncertainty</w:t>
      </w:r>
      <w:r>
        <w:rPr>
          <w:spacing w:val="-9"/>
        </w:rPr>
        <w:t> </w:t>
      </w:r>
      <w:r>
        <w:rPr/>
        <w:t>about</w:t>
      </w:r>
      <w:r>
        <w:rPr>
          <w:spacing w:val="-9"/>
        </w:rPr>
        <w:t> </w:t>
      </w:r>
      <w:r>
        <w:rPr/>
        <w:t>the</w:t>
      </w:r>
      <w:r>
        <w:rPr>
          <w:spacing w:val="-9"/>
        </w:rPr>
        <w:t> </w:t>
      </w:r>
      <w:r>
        <w:rPr/>
        <w:t>effect</w:t>
      </w:r>
      <w:r>
        <w:rPr>
          <w:spacing w:val="-9"/>
        </w:rPr>
        <w:t> </w:t>
      </w:r>
      <w:r>
        <w:rPr/>
        <w:t>of</w:t>
      </w:r>
      <w:r>
        <w:rPr>
          <w:spacing w:val="-8"/>
        </w:rPr>
        <w:t> </w:t>
      </w:r>
      <w:r>
        <w:rPr/>
        <w:t>continuing</w:t>
      </w:r>
      <w:r>
        <w:rPr>
          <w:spacing w:val="-9"/>
        </w:rPr>
        <w:t> </w:t>
      </w:r>
      <w:r>
        <w:rPr/>
        <w:t>labour</w:t>
      </w:r>
      <w:r>
        <w:rPr>
          <w:spacing w:val="-9"/>
        </w:rPr>
        <w:t> </w:t>
      </w:r>
      <w:r>
        <w:rPr/>
        <w:t>market</w:t>
      </w:r>
      <w:r>
        <w:rPr>
          <w:spacing w:val="-9"/>
        </w:rPr>
        <w:t> </w:t>
      </w:r>
      <w:r>
        <w:rPr/>
        <w:t>reform</w:t>
      </w:r>
      <w:r>
        <w:rPr>
          <w:spacing w:val="-8"/>
        </w:rPr>
        <w:t> </w:t>
      </w:r>
      <w:r>
        <w:rPr/>
        <w:t>on</w:t>
      </w:r>
      <w:r>
        <w:rPr>
          <w:spacing w:val="-9"/>
        </w:rPr>
        <w:t> </w:t>
      </w:r>
      <w:r>
        <w:rPr/>
        <w:t>the</w:t>
      </w:r>
      <w:r>
        <w:rPr>
          <w:spacing w:val="-9"/>
        </w:rPr>
        <w:t> </w:t>
      </w:r>
      <w:r>
        <w:rPr/>
        <w:t>natural</w:t>
      </w:r>
      <w:r>
        <w:rPr>
          <w:spacing w:val="-9"/>
        </w:rPr>
        <w:t> </w:t>
      </w:r>
      <w:r>
        <w:rPr/>
        <w:t>rate</w:t>
      </w:r>
      <w:r>
        <w:rPr>
          <w:spacing w:val="-8"/>
        </w:rPr>
        <w:t> </w:t>
      </w:r>
      <w:r>
        <w:rPr/>
        <w:t>of</w:t>
      </w:r>
      <w:r>
        <w:rPr>
          <w:spacing w:val="-9"/>
        </w:rPr>
        <w:t> </w:t>
      </w:r>
      <w:r>
        <w:rPr/>
        <w:t>unemployment. Thus while it seemed clear that the economy was close to capacity, it was difficult to be confident about</w:t>
      </w:r>
      <w:r>
        <w:rPr>
          <w:spacing w:val="-4"/>
        </w:rPr>
        <w:t> </w:t>
      </w:r>
      <w:r>
        <w:rPr/>
        <w:t>the</w:t>
      </w:r>
      <w:r>
        <w:rPr>
          <w:spacing w:val="-3"/>
        </w:rPr>
        <w:t> </w:t>
      </w:r>
      <w:r>
        <w:rPr/>
        <w:t>crucial</w:t>
      </w:r>
      <w:r>
        <w:rPr>
          <w:spacing w:val="-4"/>
        </w:rPr>
        <w:t> </w:t>
      </w:r>
      <w:r>
        <w:rPr/>
        <w:t>question</w:t>
      </w:r>
      <w:r>
        <w:rPr>
          <w:spacing w:val="-3"/>
        </w:rPr>
        <w:t> </w:t>
      </w:r>
      <w:r>
        <w:rPr/>
        <w:t>for</w:t>
      </w:r>
      <w:r>
        <w:rPr>
          <w:spacing w:val="-4"/>
        </w:rPr>
        <w:t> </w:t>
      </w:r>
      <w:r>
        <w:rPr/>
        <w:t>policy</w:t>
      </w:r>
      <w:r>
        <w:rPr>
          <w:spacing w:val="-3"/>
        </w:rPr>
        <w:t> </w:t>
      </w:r>
      <w:r>
        <w:rPr/>
        <w:t>of</w:t>
      </w:r>
      <w:r>
        <w:rPr>
          <w:spacing w:val="-3"/>
        </w:rPr>
        <w:t> </w:t>
      </w:r>
      <w:r>
        <w:rPr/>
        <w:t>whether</w:t>
      </w:r>
      <w:r>
        <w:rPr>
          <w:spacing w:val="-4"/>
        </w:rPr>
        <w:t> </w:t>
      </w:r>
      <w:r>
        <w:rPr/>
        <w:t>activity</w:t>
      </w:r>
      <w:r>
        <w:rPr>
          <w:spacing w:val="-3"/>
        </w:rPr>
        <w:t> </w:t>
      </w:r>
      <w:r>
        <w:rPr/>
        <w:t>levels</w:t>
      </w:r>
      <w:r>
        <w:rPr>
          <w:spacing w:val="-4"/>
        </w:rPr>
        <w:t> </w:t>
      </w:r>
      <w:r>
        <w:rPr/>
        <w:t>were</w:t>
      </w:r>
      <w:r>
        <w:rPr>
          <w:spacing w:val="-3"/>
        </w:rPr>
        <w:t> </w:t>
      </w:r>
      <w:r>
        <w:rPr/>
        <w:t>already</w:t>
      </w:r>
      <w:r>
        <w:rPr>
          <w:spacing w:val="-4"/>
        </w:rPr>
        <w:t> </w:t>
      </w:r>
      <w:r>
        <w:rPr/>
        <w:t>above</w:t>
      </w:r>
      <w:r>
        <w:rPr>
          <w:spacing w:val="-3"/>
        </w:rPr>
        <w:t> </w:t>
      </w:r>
      <w:r>
        <w:rPr>
          <w:spacing w:val="-2"/>
        </w:rPr>
        <w:t>trend.</w:t>
      </w:r>
    </w:p>
    <w:p>
      <w:pPr>
        <w:pStyle w:val="BodyText"/>
        <w:rPr>
          <w:sz w:val="37"/>
        </w:rPr>
      </w:pPr>
    </w:p>
    <w:p>
      <w:pPr>
        <w:pStyle w:val="ListParagraph"/>
        <w:numPr>
          <w:ilvl w:val="0"/>
          <w:numId w:val="1"/>
        </w:numPr>
        <w:tabs>
          <w:tab w:pos="839" w:val="left" w:leader="none"/>
          <w:tab w:pos="840" w:val="left" w:leader="none"/>
        </w:tabs>
        <w:spacing w:line="372" w:lineRule="auto" w:before="0" w:after="0"/>
        <w:ind w:left="272" w:right="161" w:firstLine="0"/>
        <w:jc w:val="left"/>
        <w:rPr>
          <w:sz w:val="24"/>
        </w:rPr>
      </w:pPr>
      <w:r>
        <w:rPr>
          <w:sz w:val="24"/>
        </w:rPr>
        <w:t>The</w:t>
      </w:r>
      <w:r>
        <w:rPr>
          <w:spacing w:val="-8"/>
          <w:sz w:val="24"/>
        </w:rPr>
        <w:t> </w:t>
      </w:r>
      <w:r>
        <w:rPr>
          <w:sz w:val="24"/>
        </w:rPr>
        <w:t>same</w:t>
      </w:r>
      <w:r>
        <w:rPr>
          <w:spacing w:val="-8"/>
          <w:sz w:val="24"/>
        </w:rPr>
        <w:t> </w:t>
      </w:r>
      <w:r>
        <w:rPr>
          <w:sz w:val="24"/>
        </w:rPr>
        <w:t>general</w:t>
      </w:r>
      <w:r>
        <w:rPr>
          <w:spacing w:val="-8"/>
          <w:sz w:val="24"/>
        </w:rPr>
        <w:t> </w:t>
      </w:r>
      <w:r>
        <w:rPr>
          <w:sz w:val="24"/>
        </w:rPr>
        <w:t>principles</w:t>
      </w:r>
      <w:r>
        <w:rPr>
          <w:spacing w:val="-8"/>
          <w:sz w:val="24"/>
        </w:rPr>
        <w:t> </w:t>
      </w:r>
      <w:r>
        <w:rPr>
          <w:sz w:val="24"/>
        </w:rPr>
        <w:t>could</w:t>
      </w:r>
      <w:r>
        <w:rPr>
          <w:spacing w:val="-8"/>
          <w:sz w:val="24"/>
        </w:rPr>
        <w:t> </w:t>
      </w:r>
      <w:r>
        <w:rPr>
          <w:sz w:val="24"/>
        </w:rPr>
        <w:t>be</w:t>
      </w:r>
      <w:r>
        <w:rPr>
          <w:spacing w:val="-7"/>
          <w:sz w:val="24"/>
        </w:rPr>
        <w:t> </w:t>
      </w:r>
      <w:r>
        <w:rPr>
          <w:sz w:val="24"/>
        </w:rPr>
        <w:t>applied</w:t>
      </w:r>
      <w:r>
        <w:rPr>
          <w:spacing w:val="-8"/>
          <w:sz w:val="24"/>
        </w:rPr>
        <w:t> </w:t>
      </w:r>
      <w:r>
        <w:rPr>
          <w:sz w:val="24"/>
        </w:rPr>
        <w:t>to</w:t>
      </w:r>
      <w:r>
        <w:rPr>
          <w:spacing w:val="-8"/>
          <w:sz w:val="24"/>
        </w:rPr>
        <w:t> </w:t>
      </w:r>
      <w:r>
        <w:rPr>
          <w:sz w:val="24"/>
        </w:rPr>
        <w:t>the</w:t>
      </w:r>
      <w:r>
        <w:rPr>
          <w:spacing w:val="-8"/>
          <w:sz w:val="24"/>
        </w:rPr>
        <w:t> </w:t>
      </w:r>
      <w:r>
        <w:rPr>
          <w:sz w:val="24"/>
        </w:rPr>
        <w:t>monetary</w:t>
      </w:r>
      <w:r>
        <w:rPr>
          <w:spacing w:val="-8"/>
          <w:sz w:val="24"/>
        </w:rPr>
        <w:t> </w:t>
      </w:r>
      <w:r>
        <w:rPr>
          <w:sz w:val="24"/>
        </w:rPr>
        <w:t>data,</w:t>
      </w:r>
      <w:r>
        <w:rPr>
          <w:spacing w:val="-7"/>
          <w:sz w:val="24"/>
        </w:rPr>
        <w:t> </w:t>
      </w:r>
      <w:r>
        <w:rPr>
          <w:sz w:val="24"/>
        </w:rPr>
        <w:t>but</w:t>
      </w:r>
      <w:r>
        <w:rPr>
          <w:spacing w:val="-8"/>
          <w:sz w:val="24"/>
        </w:rPr>
        <w:t> </w:t>
      </w:r>
      <w:r>
        <w:rPr>
          <w:sz w:val="24"/>
        </w:rPr>
        <w:t>the</w:t>
      </w:r>
      <w:r>
        <w:rPr>
          <w:spacing w:val="-8"/>
          <w:sz w:val="24"/>
        </w:rPr>
        <w:t> </w:t>
      </w:r>
      <w:r>
        <w:rPr>
          <w:sz w:val="24"/>
        </w:rPr>
        <w:t>conclusions</w:t>
      </w:r>
      <w:r>
        <w:rPr>
          <w:spacing w:val="-8"/>
          <w:sz w:val="24"/>
        </w:rPr>
        <w:t> </w:t>
      </w:r>
      <w:r>
        <w:rPr>
          <w:sz w:val="24"/>
        </w:rPr>
        <w:t>were</w:t>
      </w:r>
      <w:r>
        <w:rPr>
          <w:spacing w:val="-8"/>
          <w:sz w:val="24"/>
        </w:rPr>
        <w:t> </w:t>
      </w:r>
      <w:r>
        <w:rPr>
          <w:spacing w:val="-2"/>
          <w:sz w:val="24"/>
        </w:rPr>
        <w:t>not </w:t>
      </w:r>
      <w:r>
        <w:rPr>
          <w:sz w:val="24"/>
        </w:rPr>
        <w:t>clear. Cumulatively strong money growth would in general be a cause for concern unless reasons </w:t>
      </w:r>
      <w:r>
        <w:rPr>
          <w:spacing w:val="-2"/>
          <w:sz w:val="24"/>
        </w:rPr>
        <w:t>for </w:t>
      </w:r>
      <w:r>
        <w:rPr>
          <w:sz w:val="24"/>
        </w:rPr>
        <w:t>a </w:t>
      </w:r>
      <w:r>
        <w:rPr>
          <w:spacing w:val="-3"/>
          <w:sz w:val="24"/>
        </w:rPr>
        <w:t>change </w:t>
      </w:r>
      <w:r>
        <w:rPr>
          <w:sz w:val="24"/>
        </w:rPr>
        <w:t>in the </w:t>
      </w:r>
      <w:r>
        <w:rPr>
          <w:spacing w:val="-3"/>
          <w:sz w:val="24"/>
        </w:rPr>
        <w:t>velocity </w:t>
      </w:r>
      <w:r>
        <w:rPr>
          <w:sz w:val="24"/>
        </w:rPr>
        <w:t>of </w:t>
      </w:r>
      <w:r>
        <w:rPr>
          <w:spacing w:val="-3"/>
          <w:sz w:val="24"/>
        </w:rPr>
        <w:t>circulation could </w:t>
      </w:r>
      <w:r>
        <w:rPr>
          <w:sz w:val="24"/>
        </w:rPr>
        <w:t>be </w:t>
      </w:r>
      <w:r>
        <w:rPr>
          <w:spacing w:val="-3"/>
          <w:sz w:val="24"/>
        </w:rPr>
        <w:t>identified, </w:t>
      </w:r>
      <w:r>
        <w:rPr>
          <w:sz w:val="24"/>
        </w:rPr>
        <w:t>as for </w:t>
      </w:r>
      <w:r>
        <w:rPr>
          <w:spacing w:val="-3"/>
          <w:sz w:val="24"/>
        </w:rPr>
        <w:t>example </w:t>
      </w:r>
      <w:r>
        <w:rPr>
          <w:sz w:val="24"/>
        </w:rPr>
        <w:t>had </w:t>
      </w:r>
      <w:r>
        <w:rPr>
          <w:spacing w:val="-3"/>
          <w:sz w:val="24"/>
        </w:rPr>
        <w:t>been </w:t>
      </w:r>
      <w:r>
        <w:rPr>
          <w:sz w:val="24"/>
        </w:rPr>
        <w:t>the </w:t>
      </w:r>
      <w:r>
        <w:rPr>
          <w:spacing w:val="-3"/>
          <w:sz w:val="24"/>
        </w:rPr>
        <w:t>case with financial sector liberalisation </w:t>
      </w:r>
      <w:r>
        <w:rPr>
          <w:sz w:val="24"/>
        </w:rPr>
        <w:t>in the</w:t>
      </w:r>
      <w:r>
        <w:rPr>
          <w:spacing w:val="4"/>
          <w:sz w:val="24"/>
        </w:rPr>
        <w:t> </w:t>
      </w:r>
      <w:r>
        <w:rPr>
          <w:spacing w:val="-3"/>
          <w:sz w:val="24"/>
        </w:rPr>
        <w:t>1980s.</w:t>
      </w:r>
    </w:p>
    <w:p>
      <w:pPr>
        <w:pStyle w:val="BodyText"/>
        <w:spacing w:before="11"/>
        <w:rPr>
          <w:sz w:val="36"/>
        </w:rPr>
      </w:pPr>
    </w:p>
    <w:p>
      <w:pPr>
        <w:pStyle w:val="ListParagraph"/>
        <w:numPr>
          <w:ilvl w:val="0"/>
          <w:numId w:val="1"/>
        </w:numPr>
        <w:tabs>
          <w:tab w:pos="839" w:val="left" w:leader="none"/>
          <w:tab w:pos="840" w:val="left" w:leader="none"/>
        </w:tabs>
        <w:spacing w:line="372" w:lineRule="auto" w:before="0" w:after="0"/>
        <w:ind w:left="272" w:right="161" w:firstLine="0"/>
        <w:jc w:val="left"/>
        <w:rPr>
          <w:sz w:val="24"/>
        </w:rPr>
      </w:pPr>
      <w:r>
        <w:rPr>
          <w:sz w:val="24"/>
        </w:rPr>
        <w:t>On one view, it was also important to look at levels of money demand relative to long-run equilibrium. On another interpretation, assessing the monetary data along these lines was difficult. The</w:t>
      </w:r>
      <w:r>
        <w:rPr>
          <w:spacing w:val="-5"/>
          <w:sz w:val="24"/>
        </w:rPr>
        <w:t> </w:t>
      </w:r>
      <w:r>
        <w:rPr>
          <w:sz w:val="24"/>
        </w:rPr>
        <w:t>monetary</w:t>
      </w:r>
      <w:r>
        <w:rPr>
          <w:spacing w:val="-4"/>
          <w:sz w:val="24"/>
        </w:rPr>
        <w:t> </w:t>
      </w:r>
      <w:r>
        <w:rPr>
          <w:sz w:val="24"/>
        </w:rPr>
        <w:t>authorities</w:t>
      </w:r>
      <w:r>
        <w:rPr>
          <w:spacing w:val="-5"/>
          <w:sz w:val="24"/>
        </w:rPr>
        <w:t> </w:t>
      </w:r>
      <w:r>
        <w:rPr>
          <w:sz w:val="24"/>
        </w:rPr>
        <w:t>operated</w:t>
      </w:r>
      <w:r>
        <w:rPr>
          <w:spacing w:val="-4"/>
          <w:sz w:val="24"/>
        </w:rPr>
        <w:t> </w:t>
      </w:r>
      <w:r>
        <w:rPr>
          <w:sz w:val="24"/>
        </w:rPr>
        <w:t>by</w:t>
      </w:r>
      <w:r>
        <w:rPr>
          <w:spacing w:val="-4"/>
          <w:sz w:val="24"/>
        </w:rPr>
        <w:t> </w:t>
      </w:r>
      <w:r>
        <w:rPr>
          <w:sz w:val="24"/>
        </w:rPr>
        <w:t>setting</w:t>
      </w:r>
      <w:r>
        <w:rPr>
          <w:spacing w:val="-5"/>
          <w:sz w:val="24"/>
        </w:rPr>
        <w:t> </w:t>
      </w:r>
      <w:r>
        <w:rPr>
          <w:sz w:val="24"/>
        </w:rPr>
        <w:t>interest</w:t>
      </w:r>
      <w:r>
        <w:rPr>
          <w:spacing w:val="-4"/>
          <w:sz w:val="24"/>
        </w:rPr>
        <w:t> </w:t>
      </w:r>
      <w:r>
        <w:rPr>
          <w:sz w:val="24"/>
        </w:rPr>
        <w:t>rates,</w:t>
      </w:r>
      <w:r>
        <w:rPr>
          <w:spacing w:val="-4"/>
          <w:sz w:val="24"/>
        </w:rPr>
        <w:t> </w:t>
      </w:r>
      <w:r>
        <w:rPr>
          <w:sz w:val="24"/>
        </w:rPr>
        <w:t>so</w:t>
      </w:r>
      <w:r>
        <w:rPr>
          <w:spacing w:val="-5"/>
          <w:sz w:val="24"/>
        </w:rPr>
        <w:t> </w:t>
      </w:r>
      <w:r>
        <w:rPr>
          <w:sz w:val="24"/>
        </w:rPr>
        <w:t>that</w:t>
      </w:r>
      <w:r>
        <w:rPr>
          <w:spacing w:val="-4"/>
          <w:sz w:val="24"/>
        </w:rPr>
        <w:t> </w:t>
      </w:r>
      <w:r>
        <w:rPr>
          <w:sz w:val="24"/>
        </w:rPr>
        <w:t>monetary</w:t>
      </w:r>
      <w:r>
        <w:rPr>
          <w:spacing w:val="-4"/>
          <w:sz w:val="24"/>
        </w:rPr>
        <w:t> </w:t>
      </w:r>
      <w:r>
        <w:rPr>
          <w:sz w:val="24"/>
        </w:rPr>
        <w:t>growth</w:t>
      </w:r>
      <w:r>
        <w:rPr>
          <w:spacing w:val="-5"/>
          <w:sz w:val="24"/>
        </w:rPr>
        <w:t> </w:t>
      </w:r>
      <w:r>
        <w:rPr>
          <w:sz w:val="24"/>
        </w:rPr>
        <w:t>was</w:t>
      </w:r>
      <w:r>
        <w:rPr>
          <w:spacing w:val="-4"/>
          <w:sz w:val="24"/>
        </w:rPr>
        <w:t> </w:t>
      </w:r>
      <w:r>
        <w:rPr>
          <w:sz w:val="24"/>
        </w:rPr>
        <w:t>endogenous. And, in contrast to goods and labour markets, financial markets probably cleared more or less continuously. On this view, there was no reason why the economy in aggregate or any sector </w:t>
      </w:r>
      <w:r>
        <w:rPr>
          <w:spacing w:val="-2"/>
          <w:sz w:val="24"/>
        </w:rPr>
        <w:t>should </w:t>
      </w:r>
      <w:r>
        <w:rPr>
          <w:sz w:val="24"/>
        </w:rPr>
        <w:t>hold more money than desired; if so, then as a matter of principle there could not be a monetary overhang. Against this it could be argued that the costs of monitoring and adjusting money holdings </w:t>
      </w:r>
      <w:r>
        <w:rPr>
          <w:spacing w:val="-3"/>
          <w:sz w:val="24"/>
        </w:rPr>
        <w:t>might lead individuals </w:t>
      </w:r>
      <w:r>
        <w:rPr>
          <w:sz w:val="24"/>
        </w:rPr>
        <w:t>or </w:t>
      </w:r>
      <w:r>
        <w:rPr>
          <w:spacing w:val="-3"/>
          <w:sz w:val="24"/>
        </w:rPr>
        <w:t>companies temporarily </w:t>
      </w:r>
      <w:r>
        <w:rPr>
          <w:sz w:val="24"/>
        </w:rPr>
        <w:t>to </w:t>
      </w:r>
      <w:r>
        <w:rPr>
          <w:spacing w:val="-3"/>
          <w:sz w:val="24"/>
        </w:rPr>
        <w:t>hold more </w:t>
      </w:r>
      <w:r>
        <w:rPr>
          <w:sz w:val="24"/>
        </w:rPr>
        <w:t>(or </w:t>
      </w:r>
      <w:r>
        <w:rPr>
          <w:spacing w:val="-3"/>
          <w:sz w:val="24"/>
        </w:rPr>
        <w:t>less) than their desired level of money balances, </w:t>
      </w:r>
      <w:r>
        <w:rPr>
          <w:sz w:val="24"/>
        </w:rPr>
        <w:t>to </w:t>
      </w:r>
      <w:r>
        <w:rPr>
          <w:spacing w:val="-3"/>
          <w:sz w:val="24"/>
        </w:rPr>
        <w:t>which </w:t>
      </w:r>
      <w:r>
        <w:rPr>
          <w:sz w:val="24"/>
        </w:rPr>
        <w:t>in </w:t>
      </w:r>
      <w:r>
        <w:rPr>
          <w:spacing w:val="-3"/>
          <w:sz w:val="24"/>
        </w:rPr>
        <w:t>principle they would eventually seek </w:t>
      </w:r>
      <w:r>
        <w:rPr>
          <w:sz w:val="24"/>
        </w:rPr>
        <w:t>to </w:t>
      </w:r>
      <w:r>
        <w:rPr>
          <w:spacing w:val="-3"/>
          <w:sz w:val="24"/>
        </w:rPr>
        <w:t>return. </w:t>
      </w:r>
      <w:r>
        <w:rPr>
          <w:sz w:val="24"/>
        </w:rPr>
        <w:t>But </w:t>
      </w:r>
      <w:r>
        <w:rPr>
          <w:spacing w:val="-3"/>
          <w:sz w:val="24"/>
        </w:rPr>
        <w:t>even </w:t>
      </w:r>
      <w:r>
        <w:rPr>
          <w:sz w:val="24"/>
        </w:rPr>
        <w:t>if </w:t>
      </w:r>
      <w:r>
        <w:rPr>
          <w:spacing w:val="-3"/>
          <w:sz w:val="24"/>
        </w:rPr>
        <w:t>this view of  </w:t>
      </w:r>
      <w:r>
        <w:rPr>
          <w:sz w:val="24"/>
        </w:rPr>
        <w:t>the process were correct, it left open the important issue of how quickly economic agents adjusted their money holdings and how they did so, whether by spending on goods or services, investment in </w:t>
      </w:r>
      <w:r>
        <w:rPr>
          <w:spacing w:val="-3"/>
          <w:sz w:val="24"/>
        </w:rPr>
        <w:t>financial assets, </w:t>
      </w:r>
      <w:r>
        <w:rPr>
          <w:sz w:val="24"/>
        </w:rPr>
        <w:t>or </w:t>
      </w:r>
      <w:r>
        <w:rPr>
          <w:spacing w:val="-3"/>
          <w:sz w:val="24"/>
        </w:rPr>
        <w:t>repayment </w:t>
      </w:r>
      <w:r>
        <w:rPr>
          <w:sz w:val="24"/>
        </w:rPr>
        <w:t>of </w:t>
      </w:r>
      <w:r>
        <w:rPr>
          <w:spacing w:val="-3"/>
          <w:sz w:val="24"/>
        </w:rPr>
        <w:t>bank</w:t>
      </w:r>
      <w:r>
        <w:rPr>
          <w:spacing w:val="9"/>
          <w:sz w:val="24"/>
        </w:rPr>
        <w:t> </w:t>
      </w:r>
      <w:r>
        <w:rPr>
          <w:spacing w:val="-3"/>
          <w:sz w:val="24"/>
        </w:rPr>
        <w:t>loans.</w:t>
      </w:r>
    </w:p>
    <w:p>
      <w:pPr>
        <w:pStyle w:val="BodyText"/>
        <w:spacing w:before="6"/>
        <w:rPr>
          <w:sz w:val="36"/>
        </w:rPr>
      </w:pPr>
    </w:p>
    <w:p>
      <w:pPr>
        <w:pStyle w:val="ListParagraph"/>
        <w:numPr>
          <w:ilvl w:val="0"/>
          <w:numId w:val="1"/>
        </w:numPr>
        <w:tabs>
          <w:tab w:pos="839" w:val="left" w:leader="none"/>
          <w:tab w:pos="840" w:val="left" w:leader="none"/>
        </w:tabs>
        <w:spacing w:line="372" w:lineRule="auto" w:before="0" w:after="0"/>
        <w:ind w:left="272" w:right="228" w:firstLine="0"/>
        <w:jc w:val="left"/>
        <w:rPr>
          <w:sz w:val="24"/>
        </w:rPr>
      </w:pPr>
      <w:r>
        <w:rPr>
          <w:sz w:val="24"/>
        </w:rPr>
        <w:t>The</w:t>
      </w:r>
      <w:r>
        <w:rPr>
          <w:spacing w:val="-11"/>
          <w:sz w:val="24"/>
        </w:rPr>
        <w:t> </w:t>
      </w:r>
      <w:r>
        <w:rPr>
          <w:sz w:val="24"/>
        </w:rPr>
        <w:t>Committee</w:t>
      </w:r>
      <w:r>
        <w:rPr>
          <w:spacing w:val="-11"/>
          <w:sz w:val="24"/>
        </w:rPr>
        <w:t> </w:t>
      </w:r>
      <w:r>
        <w:rPr>
          <w:sz w:val="24"/>
        </w:rPr>
        <w:t>agreed</w:t>
      </w:r>
      <w:r>
        <w:rPr>
          <w:spacing w:val="-11"/>
          <w:sz w:val="24"/>
        </w:rPr>
        <w:t> </w:t>
      </w:r>
      <w:r>
        <w:rPr>
          <w:sz w:val="24"/>
        </w:rPr>
        <w:t>that</w:t>
      </w:r>
      <w:r>
        <w:rPr>
          <w:spacing w:val="-11"/>
          <w:sz w:val="24"/>
        </w:rPr>
        <w:t> </w:t>
      </w:r>
      <w:r>
        <w:rPr>
          <w:sz w:val="24"/>
        </w:rPr>
        <w:t>money</w:t>
      </w:r>
      <w:r>
        <w:rPr>
          <w:spacing w:val="-11"/>
          <w:sz w:val="24"/>
        </w:rPr>
        <w:t> </w:t>
      </w:r>
      <w:r>
        <w:rPr>
          <w:sz w:val="24"/>
        </w:rPr>
        <w:t>growth</w:t>
      </w:r>
      <w:r>
        <w:rPr>
          <w:spacing w:val="-11"/>
          <w:sz w:val="24"/>
        </w:rPr>
        <w:t> </w:t>
      </w:r>
      <w:r>
        <w:rPr>
          <w:sz w:val="24"/>
        </w:rPr>
        <w:t>needed</w:t>
      </w:r>
      <w:r>
        <w:rPr>
          <w:spacing w:val="-10"/>
          <w:sz w:val="24"/>
        </w:rPr>
        <w:t> </w:t>
      </w:r>
      <w:r>
        <w:rPr>
          <w:sz w:val="24"/>
        </w:rPr>
        <w:t>to</w:t>
      </w:r>
      <w:r>
        <w:rPr>
          <w:spacing w:val="-11"/>
          <w:sz w:val="24"/>
        </w:rPr>
        <w:t> </w:t>
      </w:r>
      <w:r>
        <w:rPr>
          <w:sz w:val="24"/>
        </w:rPr>
        <w:t>slow</w:t>
      </w:r>
      <w:r>
        <w:rPr>
          <w:spacing w:val="-11"/>
          <w:sz w:val="24"/>
        </w:rPr>
        <w:t> </w:t>
      </w:r>
      <w:r>
        <w:rPr>
          <w:sz w:val="24"/>
        </w:rPr>
        <w:t>considerably</w:t>
      </w:r>
      <w:r>
        <w:rPr>
          <w:spacing w:val="-11"/>
          <w:sz w:val="24"/>
        </w:rPr>
        <w:t> </w:t>
      </w:r>
      <w:r>
        <w:rPr>
          <w:sz w:val="24"/>
        </w:rPr>
        <w:t>if</w:t>
      </w:r>
      <w:r>
        <w:rPr>
          <w:spacing w:val="-11"/>
          <w:sz w:val="24"/>
        </w:rPr>
        <w:t> </w:t>
      </w:r>
      <w:r>
        <w:rPr>
          <w:sz w:val="24"/>
        </w:rPr>
        <w:t>inflationary</w:t>
      </w:r>
      <w:r>
        <w:rPr>
          <w:spacing w:val="-11"/>
          <w:sz w:val="24"/>
        </w:rPr>
        <w:t> </w:t>
      </w:r>
      <w:r>
        <w:rPr>
          <w:sz w:val="24"/>
        </w:rPr>
        <w:t>pressures were to</w:t>
      </w:r>
      <w:r>
        <w:rPr>
          <w:spacing w:val="6"/>
          <w:sz w:val="24"/>
        </w:rPr>
        <w:t> </w:t>
      </w:r>
      <w:r>
        <w:rPr>
          <w:sz w:val="24"/>
        </w:rPr>
        <w:t>abate.</w:t>
      </w:r>
    </w:p>
    <w:p>
      <w:pPr>
        <w:spacing w:after="0" w:line="372" w:lineRule="auto"/>
        <w:jc w:val="left"/>
        <w:rPr>
          <w:sz w:val="24"/>
        </w:rPr>
        <w:sectPr>
          <w:headerReference w:type="default" r:id="rId7"/>
          <w:pgSz w:w="11900" w:h="16840"/>
          <w:pgMar w:header="863" w:footer="0" w:top="1120" w:bottom="280" w:left="860" w:right="880"/>
          <w:pgNumType w:start="2"/>
        </w:sect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Heading1"/>
        <w:spacing w:before="90"/>
      </w:pPr>
      <w:r>
        <w:rPr/>
        <w:t>Recent developments in monetary conditions</w:t>
      </w:r>
    </w:p>
    <w:p>
      <w:pPr>
        <w:pStyle w:val="BodyText"/>
        <w:rPr>
          <w:b/>
          <w:sz w:val="26"/>
        </w:rPr>
      </w:pPr>
    </w:p>
    <w:p>
      <w:pPr>
        <w:pStyle w:val="BodyText"/>
        <w:spacing w:before="10"/>
        <w:rPr>
          <w:b/>
          <w:sz w:val="23"/>
        </w:rPr>
      </w:pPr>
    </w:p>
    <w:p>
      <w:pPr>
        <w:pStyle w:val="ListParagraph"/>
        <w:numPr>
          <w:ilvl w:val="0"/>
          <w:numId w:val="1"/>
        </w:numPr>
        <w:tabs>
          <w:tab w:pos="839" w:val="left" w:leader="none"/>
          <w:tab w:pos="840" w:val="left" w:leader="none"/>
        </w:tabs>
        <w:spacing w:line="372" w:lineRule="auto" w:before="0" w:after="0"/>
        <w:ind w:left="272" w:right="132" w:firstLine="0"/>
        <w:jc w:val="left"/>
        <w:rPr>
          <w:sz w:val="24"/>
        </w:rPr>
      </w:pPr>
      <w:r>
        <w:rPr>
          <w:sz w:val="24"/>
        </w:rPr>
        <w:t>Turning to the most recent monetary data, the Committee observed that the growth of notes and coin had picked up again after the dip earlier in the year. Taken together with continuing rapid, </w:t>
      </w:r>
      <w:r>
        <w:rPr>
          <w:spacing w:val="-2"/>
          <w:sz w:val="24"/>
        </w:rPr>
        <w:t>albeit </w:t>
      </w:r>
      <w:r>
        <w:rPr>
          <w:sz w:val="24"/>
        </w:rPr>
        <w:t>slightly</w:t>
      </w:r>
      <w:r>
        <w:rPr>
          <w:spacing w:val="-4"/>
          <w:sz w:val="24"/>
        </w:rPr>
        <w:t> </w:t>
      </w:r>
      <w:r>
        <w:rPr>
          <w:sz w:val="24"/>
        </w:rPr>
        <w:t>lower,</w:t>
      </w:r>
      <w:r>
        <w:rPr>
          <w:spacing w:val="-3"/>
          <w:sz w:val="24"/>
        </w:rPr>
        <w:t> </w:t>
      </w:r>
      <w:r>
        <w:rPr>
          <w:sz w:val="24"/>
        </w:rPr>
        <w:t>growth</w:t>
      </w:r>
      <w:r>
        <w:rPr>
          <w:spacing w:val="-4"/>
          <w:sz w:val="24"/>
        </w:rPr>
        <w:t> </w:t>
      </w:r>
      <w:r>
        <w:rPr>
          <w:sz w:val="24"/>
        </w:rPr>
        <w:t>in</w:t>
      </w:r>
      <w:r>
        <w:rPr>
          <w:spacing w:val="-3"/>
          <w:sz w:val="24"/>
        </w:rPr>
        <w:t> </w:t>
      </w:r>
      <w:r>
        <w:rPr>
          <w:sz w:val="24"/>
        </w:rPr>
        <w:t>consumer</w:t>
      </w:r>
      <w:r>
        <w:rPr>
          <w:spacing w:val="-4"/>
          <w:sz w:val="24"/>
        </w:rPr>
        <w:t> </w:t>
      </w:r>
      <w:r>
        <w:rPr>
          <w:sz w:val="24"/>
        </w:rPr>
        <w:t>credit,</w:t>
      </w:r>
      <w:r>
        <w:rPr>
          <w:spacing w:val="-3"/>
          <w:sz w:val="24"/>
        </w:rPr>
        <w:t> </w:t>
      </w:r>
      <w:r>
        <w:rPr>
          <w:sz w:val="24"/>
        </w:rPr>
        <w:t>there</w:t>
      </w:r>
      <w:r>
        <w:rPr>
          <w:spacing w:val="-3"/>
          <w:sz w:val="24"/>
        </w:rPr>
        <w:t> </w:t>
      </w:r>
      <w:r>
        <w:rPr>
          <w:sz w:val="24"/>
        </w:rPr>
        <w:t>was</w:t>
      </w:r>
      <w:r>
        <w:rPr>
          <w:spacing w:val="-4"/>
          <w:sz w:val="24"/>
        </w:rPr>
        <w:t> </w:t>
      </w:r>
      <w:r>
        <w:rPr>
          <w:sz w:val="24"/>
        </w:rPr>
        <w:t>not</w:t>
      </w:r>
      <w:r>
        <w:rPr>
          <w:spacing w:val="-3"/>
          <w:sz w:val="24"/>
        </w:rPr>
        <w:t> </w:t>
      </w:r>
      <w:r>
        <w:rPr>
          <w:sz w:val="24"/>
        </w:rPr>
        <w:t>much</w:t>
      </w:r>
      <w:r>
        <w:rPr>
          <w:spacing w:val="-4"/>
          <w:sz w:val="24"/>
        </w:rPr>
        <w:t> </w:t>
      </w:r>
      <w:r>
        <w:rPr>
          <w:sz w:val="24"/>
        </w:rPr>
        <w:t>comfort</w:t>
      </w:r>
      <w:r>
        <w:rPr>
          <w:spacing w:val="-3"/>
          <w:sz w:val="24"/>
        </w:rPr>
        <w:t> </w:t>
      </w:r>
      <w:r>
        <w:rPr>
          <w:sz w:val="24"/>
        </w:rPr>
        <w:t>from</w:t>
      </w:r>
      <w:r>
        <w:rPr>
          <w:spacing w:val="-3"/>
          <w:sz w:val="24"/>
        </w:rPr>
        <w:t> </w:t>
      </w:r>
      <w:r>
        <w:rPr>
          <w:sz w:val="24"/>
        </w:rPr>
        <w:t>this</w:t>
      </w:r>
      <w:r>
        <w:rPr>
          <w:spacing w:val="-4"/>
          <w:sz w:val="24"/>
        </w:rPr>
        <w:t> </w:t>
      </w:r>
      <w:r>
        <w:rPr>
          <w:sz w:val="24"/>
        </w:rPr>
        <w:t>source</w:t>
      </w:r>
      <w:r>
        <w:rPr>
          <w:spacing w:val="-3"/>
          <w:sz w:val="24"/>
        </w:rPr>
        <w:t> </w:t>
      </w:r>
      <w:r>
        <w:rPr>
          <w:sz w:val="24"/>
        </w:rPr>
        <w:t>for</w:t>
      </w:r>
      <w:r>
        <w:rPr>
          <w:spacing w:val="-4"/>
          <w:sz w:val="24"/>
        </w:rPr>
        <w:t> </w:t>
      </w:r>
      <w:r>
        <w:rPr>
          <w:spacing w:val="-2"/>
          <w:sz w:val="24"/>
        </w:rPr>
        <w:t>the</w:t>
      </w:r>
    </w:p>
    <w:p>
      <w:pPr>
        <w:pStyle w:val="BodyText"/>
        <w:spacing w:line="274" w:lineRule="exact"/>
        <w:ind w:left="272"/>
      </w:pPr>
      <w:r>
        <w:rPr/>
        <w:t>short-run outlook for consumption.</w:t>
      </w:r>
    </w:p>
    <w:p>
      <w:pPr>
        <w:pStyle w:val="BodyText"/>
        <w:rPr>
          <w:sz w:val="26"/>
        </w:rPr>
      </w:pPr>
    </w:p>
    <w:p>
      <w:pPr>
        <w:pStyle w:val="BodyText"/>
        <w:spacing w:before="3"/>
      </w:pPr>
    </w:p>
    <w:p>
      <w:pPr>
        <w:pStyle w:val="ListParagraph"/>
        <w:numPr>
          <w:ilvl w:val="0"/>
          <w:numId w:val="1"/>
        </w:numPr>
        <w:tabs>
          <w:tab w:pos="839" w:val="left" w:leader="none"/>
          <w:tab w:pos="840" w:val="left" w:leader="none"/>
        </w:tabs>
        <w:spacing w:line="372" w:lineRule="auto" w:before="1" w:after="0"/>
        <w:ind w:left="272" w:right="160" w:firstLine="0"/>
        <w:jc w:val="left"/>
        <w:rPr>
          <w:sz w:val="24"/>
        </w:rPr>
      </w:pPr>
      <w:r>
        <w:rPr>
          <w:sz w:val="24"/>
        </w:rPr>
        <w:t>However,</w:t>
      </w:r>
      <w:r>
        <w:rPr>
          <w:spacing w:val="-7"/>
          <w:sz w:val="24"/>
        </w:rPr>
        <w:t> </w:t>
      </w:r>
      <w:r>
        <w:rPr>
          <w:sz w:val="24"/>
        </w:rPr>
        <w:t>aggregate</w:t>
      </w:r>
      <w:r>
        <w:rPr>
          <w:spacing w:val="-7"/>
          <w:sz w:val="24"/>
        </w:rPr>
        <w:t> </w:t>
      </w:r>
      <w:r>
        <w:rPr>
          <w:sz w:val="24"/>
        </w:rPr>
        <w:t>M4</w:t>
      </w:r>
      <w:r>
        <w:rPr>
          <w:spacing w:val="-7"/>
          <w:sz w:val="24"/>
        </w:rPr>
        <w:t> </w:t>
      </w:r>
      <w:r>
        <w:rPr>
          <w:sz w:val="24"/>
        </w:rPr>
        <w:t>bank</w:t>
      </w:r>
      <w:r>
        <w:rPr>
          <w:spacing w:val="-6"/>
          <w:sz w:val="24"/>
        </w:rPr>
        <w:t> </w:t>
      </w:r>
      <w:r>
        <w:rPr>
          <w:sz w:val="24"/>
        </w:rPr>
        <w:t>lending</w:t>
      </w:r>
      <w:r>
        <w:rPr>
          <w:spacing w:val="-7"/>
          <w:sz w:val="24"/>
        </w:rPr>
        <w:t> </w:t>
      </w:r>
      <w:r>
        <w:rPr>
          <w:sz w:val="24"/>
        </w:rPr>
        <w:t>had</w:t>
      </w:r>
      <w:r>
        <w:rPr>
          <w:spacing w:val="-7"/>
          <w:sz w:val="24"/>
        </w:rPr>
        <w:t> </w:t>
      </w:r>
      <w:r>
        <w:rPr>
          <w:sz w:val="24"/>
        </w:rPr>
        <w:t>continued</w:t>
      </w:r>
      <w:r>
        <w:rPr>
          <w:spacing w:val="-6"/>
          <w:sz w:val="24"/>
        </w:rPr>
        <w:t> </w:t>
      </w:r>
      <w:r>
        <w:rPr>
          <w:sz w:val="24"/>
        </w:rPr>
        <w:t>to</w:t>
      </w:r>
      <w:r>
        <w:rPr>
          <w:spacing w:val="-7"/>
          <w:sz w:val="24"/>
        </w:rPr>
        <w:t> </w:t>
      </w:r>
      <w:r>
        <w:rPr>
          <w:sz w:val="24"/>
        </w:rPr>
        <w:t>slow,</w:t>
      </w:r>
      <w:r>
        <w:rPr>
          <w:spacing w:val="-7"/>
          <w:sz w:val="24"/>
        </w:rPr>
        <w:t> </w:t>
      </w:r>
      <w:r>
        <w:rPr>
          <w:sz w:val="24"/>
        </w:rPr>
        <w:t>and</w:t>
      </w:r>
      <w:r>
        <w:rPr>
          <w:spacing w:val="-7"/>
          <w:sz w:val="24"/>
        </w:rPr>
        <w:t> </w:t>
      </w:r>
      <w:r>
        <w:rPr>
          <w:sz w:val="24"/>
        </w:rPr>
        <w:t>there</w:t>
      </w:r>
      <w:r>
        <w:rPr>
          <w:spacing w:val="-6"/>
          <w:sz w:val="24"/>
        </w:rPr>
        <w:t> </w:t>
      </w:r>
      <w:r>
        <w:rPr>
          <w:sz w:val="24"/>
        </w:rPr>
        <w:t>were</w:t>
      </w:r>
      <w:r>
        <w:rPr>
          <w:spacing w:val="-7"/>
          <w:sz w:val="24"/>
        </w:rPr>
        <w:t> </w:t>
      </w:r>
      <w:r>
        <w:rPr>
          <w:sz w:val="24"/>
        </w:rPr>
        <w:t>tentative</w:t>
      </w:r>
      <w:r>
        <w:rPr>
          <w:spacing w:val="-7"/>
          <w:sz w:val="24"/>
        </w:rPr>
        <w:t> </w:t>
      </w:r>
      <w:r>
        <w:rPr>
          <w:sz w:val="24"/>
        </w:rPr>
        <w:t>signs</w:t>
      </w:r>
      <w:r>
        <w:rPr>
          <w:spacing w:val="-6"/>
          <w:sz w:val="24"/>
        </w:rPr>
        <w:t> </w:t>
      </w:r>
      <w:r>
        <w:rPr>
          <w:sz w:val="24"/>
        </w:rPr>
        <w:t>of</w:t>
      </w:r>
      <w:r>
        <w:rPr>
          <w:spacing w:val="-7"/>
          <w:sz w:val="24"/>
        </w:rPr>
        <w:t> </w:t>
      </w:r>
      <w:r>
        <w:rPr>
          <w:sz w:val="24"/>
        </w:rPr>
        <w:t>a slowdown in broad money growth, although the twelve-month rate of 10.7% remained</w:t>
      </w:r>
      <w:r>
        <w:rPr>
          <w:spacing w:val="-41"/>
          <w:sz w:val="24"/>
        </w:rPr>
        <w:t> </w:t>
      </w:r>
      <w:r>
        <w:rPr>
          <w:sz w:val="24"/>
        </w:rPr>
        <w:t>high.</w:t>
      </w:r>
    </w:p>
    <w:p>
      <w:pPr>
        <w:pStyle w:val="BodyText"/>
        <w:rPr>
          <w:sz w:val="37"/>
        </w:rPr>
      </w:pPr>
    </w:p>
    <w:p>
      <w:pPr>
        <w:pStyle w:val="ListParagraph"/>
        <w:numPr>
          <w:ilvl w:val="0"/>
          <w:numId w:val="1"/>
        </w:numPr>
        <w:tabs>
          <w:tab w:pos="839" w:val="left" w:leader="none"/>
          <w:tab w:pos="840" w:val="left" w:leader="none"/>
        </w:tabs>
        <w:spacing w:line="372" w:lineRule="auto" w:before="0" w:after="0"/>
        <w:ind w:left="272" w:right="243" w:firstLine="0"/>
        <w:jc w:val="left"/>
        <w:rPr>
          <w:sz w:val="24"/>
        </w:rPr>
      </w:pPr>
      <w:r>
        <w:rPr>
          <w:sz w:val="24"/>
        </w:rPr>
        <w:t>The </w:t>
      </w:r>
      <w:r>
        <w:rPr>
          <w:spacing w:val="-3"/>
          <w:sz w:val="24"/>
        </w:rPr>
        <w:t>slowdown </w:t>
      </w:r>
      <w:r>
        <w:rPr>
          <w:sz w:val="24"/>
        </w:rPr>
        <w:t>in </w:t>
      </w:r>
      <w:r>
        <w:rPr>
          <w:spacing w:val="-3"/>
          <w:sz w:val="24"/>
        </w:rPr>
        <w:t>bank lending </w:t>
      </w:r>
      <w:r>
        <w:rPr>
          <w:sz w:val="24"/>
        </w:rPr>
        <w:t>in </w:t>
      </w:r>
      <w:r>
        <w:rPr>
          <w:spacing w:val="-3"/>
          <w:sz w:val="24"/>
        </w:rPr>
        <w:t>October </w:t>
      </w:r>
      <w:r>
        <w:rPr>
          <w:sz w:val="24"/>
        </w:rPr>
        <w:t>was attributable largely to a fall in reverse repo activity with OFIs, which was volatile from month to month. There had also been a progressive slowdown</w:t>
      </w:r>
      <w:r>
        <w:rPr>
          <w:spacing w:val="-10"/>
          <w:sz w:val="24"/>
        </w:rPr>
        <w:t> </w:t>
      </w:r>
      <w:r>
        <w:rPr>
          <w:sz w:val="24"/>
        </w:rPr>
        <w:t>over</w:t>
      </w:r>
      <w:r>
        <w:rPr>
          <w:spacing w:val="-9"/>
          <w:sz w:val="24"/>
        </w:rPr>
        <w:t> </w:t>
      </w:r>
      <w:r>
        <w:rPr>
          <w:sz w:val="24"/>
        </w:rPr>
        <w:t>the</w:t>
      </w:r>
      <w:r>
        <w:rPr>
          <w:spacing w:val="-9"/>
          <w:sz w:val="24"/>
        </w:rPr>
        <w:t> </w:t>
      </w:r>
      <w:r>
        <w:rPr>
          <w:sz w:val="24"/>
        </w:rPr>
        <w:t>year</w:t>
      </w:r>
      <w:r>
        <w:rPr>
          <w:spacing w:val="-9"/>
          <w:sz w:val="24"/>
        </w:rPr>
        <w:t> </w:t>
      </w:r>
      <w:r>
        <w:rPr>
          <w:sz w:val="24"/>
        </w:rPr>
        <w:t>in</w:t>
      </w:r>
      <w:r>
        <w:rPr>
          <w:spacing w:val="-9"/>
          <w:sz w:val="24"/>
        </w:rPr>
        <w:t> </w:t>
      </w:r>
      <w:r>
        <w:rPr>
          <w:sz w:val="24"/>
        </w:rPr>
        <w:t>bank</w:t>
      </w:r>
      <w:r>
        <w:rPr>
          <w:spacing w:val="-9"/>
          <w:sz w:val="24"/>
        </w:rPr>
        <w:t> </w:t>
      </w:r>
      <w:r>
        <w:rPr>
          <w:sz w:val="24"/>
        </w:rPr>
        <w:t>lending</w:t>
      </w:r>
      <w:r>
        <w:rPr>
          <w:spacing w:val="-9"/>
          <w:sz w:val="24"/>
        </w:rPr>
        <w:t> </w:t>
      </w:r>
      <w:r>
        <w:rPr>
          <w:sz w:val="24"/>
        </w:rPr>
        <w:t>to</w:t>
      </w:r>
      <w:r>
        <w:rPr>
          <w:spacing w:val="-9"/>
          <w:sz w:val="24"/>
        </w:rPr>
        <w:t> </w:t>
      </w:r>
      <w:r>
        <w:rPr>
          <w:sz w:val="24"/>
        </w:rPr>
        <w:t>non-financial</w:t>
      </w:r>
      <w:r>
        <w:rPr>
          <w:spacing w:val="-9"/>
          <w:sz w:val="24"/>
        </w:rPr>
        <w:t> </w:t>
      </w:r>
      <w:r>
        <w:rPr>
          <w:sz w:val="24"/>
        </w:rPr>
        <w:t>companies.</w:t>
      </w:r>
      <w:r>
        <w:rPr>
          <w:spacing w:val="45"/>
          <w:sz w:val="24"/>
        </w:rPr>
        <w:t> </w:t>
      </w:r>
      <w:r>
        <w:rPr>
          <w:sz w:val="24"/>
        </w:rPr>
        <w:t>Even</w:t>
      </w:r>
      <w:r>
        <w:rPr>
          <w:spacing w:val="-10"/>
          <w:sz w:val="24"/>
        </w:rPr>
        <w:t> </w:t>
      </w:r>
      <w:r>
        <w:rPr>
          <w:sz w:val="24"/>
        </w:rPr>
        <w:t>here,</w:t>
      </w:r>
      <w:r>
        <w:rPr>
          <w:spacing w:val="-9"/>
          <w:sz w:val="24"/>
        </w:rPr>
        <w:t> </w:t>
      </w:r>
      <w:r>
        <w:rPr>
          <w:sz w:val="24"/>
        </w:rPr>
        <w:t>however,</w:t>
      </w:r>
      <w:r>
        <w:rPr>
          <w:spacing w:val="-9"/>
          <w:sz w:val="24"/>
        </w:rPr>
        <w:t> </w:t>
      </w:r>
      <w:r>
        <w:rPr>
          <w:sz w:val="24"/>
        </w:rPr>
        <w:t>the</w:t>
      </w:r>
      <w:r>
        <w:rPr>
          <w:spacing w:val="-9"/>
          <w:sz w:val="24"/>
        </w:rPr>
        <w:t> </w:t>
      </w:r>
      <w:r>
        <w:rPr>
          <w:sz w:val="24"/>
        </w:rPr>
        <w:t>picture was not completely clear, as up to Q3 ICC’s foreign currency borrowing from UK banks and </w:t>
      </w:r>
      <w:r>
        <w:rPr>
          <w:spacing w:val="-2"/>
          <w:sz w:val="24"/>
        </w:rPr>
        <w:t>via </w:t>
      </w:r>
      <w:r>
        <w:rPr>
          <w:sz w:val="24"/>
        </w:rPr>
        <w:t>capital markets had been increasing and the proceeds might have been swapped into sterling </w:t>
      </w:r>
      <w:r>
        <w:rPr>
          <w:spacing w:val="-2"/>
          <w:sz w:val="24"/>
        </w:rPr>
        <w:t>for </w:t>
      </w:r>
      <w:r>
        <w:rPr>
          <w:sz w:val="24"/>
        </w:rPr>
        <w:t>domestic</w:t>
      </w:r>
      <w:r>
        <w:rPr>
          <w:spacing w:val="-1"/>
          <w:sz w:val="24"/>
        </w:rPr>
        <w:t> </w:t>
      </w:r>
      <w:r>
        <w:rPr>
          <w:sz w:val="24"/>
        </w:rPr>
        <w:t>spending.</w:t>
      </w:r>
    </w:p>
    <w:p>
      <w:pPr>
        <w:pStyle w:val="BodyText"/>
        <w:spacing w:before="3"/>
        <w:rPr>
          <w:sz w:val="37"/>
        </w:rPr>
      </w:pPr>
    </w:p>
    <w:p>
      <w:pPr>
        <w:pStyle w:val="Heading1"/>
      </w:pPr>
      <w:r>
        <w:rPr/>
        <w:t>Consumption</w:t>
      </w:r>
    </w:p>
    <w:p>
      <w:pPr>
        <w:pStyle w:val="BodyText"/>
        <w:rPr>
          <w:b/>
          <w:sz w:val="26"/>
        </w:rPr>
      </w:pPr>
    </w:p>
    <w:p>
      <w:pPr>
        <w:pStyle w:val="BodyText"/>
        <w:spacing w:before="10"/>
        <w:rPr>
          <w:b/>
          <w:sz w:val="23"/>
        </w:rPr>
      </w:pPr>
    </w:p>
    <w:p>
      <w:pPr>
        <w:pStyle w:val="ListParagraph"/>
        <w:numPr>
          <w:ilvl w:val="0"/>
          <w:numId w:val="1"/>
        </w:numPr>
        <w:tabs>
          <w:tab w:pos="839" w:val="left" w:leader="none"/>
          <w:tab w:pos="840" w:val="left" w:leader="none"/>
        </w:tabs>
        <w:spacing w:line="372" w:lineRule="auto" w:before="0" w:after="0"/>
        <w:ind w:left="272" w:right="166" w:firstLine="0"/>
        <w:jc w:val="left"/>
        <w:rPr>
          <w:sz w:val="24"/>
        </w:rPr>
      </w:pPr>
      <w:r>
        <w:rPr>
          <w:sz w:val="24"/>
        </w:rPr>
        <w:t>The Committee discussed the ONS’s first estimate for consumption growth in Q3 which, at 1.2%, was below the Bank’s central projection in the November </w:t>
      </w:r>
      <w:r>
        <w:rPr>
          <w:i/>
          <w:sz w:val="24"/>
        </w:rPr>
        <w:t>Inflation Report</w:t>
      </w:r>
      <w:r>
        <w:rPr>
          <w:sz w:val="24"/>
        </w:rPr>
        <w:t>. </w:t>
      </w:r>
      <w:r>
        <w:rPr>
          <w:spacing w:val="-3"/>
          <w:sz w:val="24"/>
        </w:rPr>
        <w:t>This figure, </w:t>
      </w:r>
      <w:r>
        <w:rPr>
          <w:sz w:val="24"/>
        </w:rPr>
        <w:t>however, might be revised. The ONS had only incomplete data and, as normal, had had to estimate a part of the services sector. They had assumed that service sector sales had been affected by the death of Diana, Princess of Wales to a similar extent as spending on</w:t>
      </w:r>
      <w:r>
        <w:rPr>
          <w:spacing w:val="-15"/>
          <w:sz w:val="24"/>
        </w:rPr>
        <w:t> </w:t>
      </w:r>
      <w:r>
        <w:rPr>
          <w:spacing w:val="-2"/>
          <w:sz w:val="24"/>
        </w:rPr>
        <w:t>goods.</w:t>
      </w:r>
    </w:p>
    <w:p>
      <w:pPr>
        <w:pStyle w:val="BodyText"/>
        <w:spacing w:before="11"/>
        <w:rPr>
          <w:sz w:val="36"/>
        </w:rPr>
      </w:pPr>
    </w:p>
    <w:p>
      <w:pPr>
        <w:pStyle w:val="ListParagraph"/>
        <w:numPr>
          <w:ilvl w:val="0"/>
          <w:numId w:val="1"/>
        </w:numPr>
        <w:tabs>
          <w:tab w:pos="839" w:val="left" w:leader="none"/>
          <w:tab w:pos="840" w:val="left" w:leader="none"/>
        </w:tabs>
        <w:spacing w:line="372" w:lineRule="auto" w:before="0" w:after="0"/>
        <w:ind w:left="272" w:right="281" w:firstLine="0"/>
        <w:jc w:val="left"/>
        <w:rPr>
          <w:sz w:val="24"/>
        </w:rPr>
      </w:pPr>
      <w:r>
        <w:rPr>
          <w:sz w:val="24"/>
        </w:rPr>
        <w:t>The</w:t>
      </w:r>
      <w:r>
        <w:rPr>
          <w:spacing w:val="-5"/>
          <w:sz w:val="24"/>
        </w:rPr>
        <w:t> </w:t>
      </w:r>
      <w:r>
        <w:rPr>
          <w:sz w:val="24"/>
        </w:rPr>
        <w:t>Committee</w:t>
      </w:r>
      <w:r>
        <w:rPr>
          <w:spacing w:val="-5"/>
          <w:sz w:val="24"/>
        </w:rPr>
        <w:t> </w:t>
      </w:r>
      <w:r>
        <w:rPr>
          <w:sz w:val="24"/>
        </w:rPr>
        <w:t>noted</w:t>
      </w:r>
      <w:r>
        <w:rPr>
          <w:spacing w:val="-5"/>
          <w:sz w:val="24"/>
        </w:rPr>
        <w:t> </w:t>
      </w:r>
      <w:r>
        <w:rPr>
          <w:sz w:val="24"/>
        </w:rPr>
        <w:t>two</w:t>
      </w:r>
      <w:r>
        <w:rPr>
          <w:spacing w:val="-5"/>
          <w:sz w:val="24"/>
        </w:rPr>
        <w:t> </w:t>
      </w:r>
      <w:r>
        <w:rPr>
          <w:sz w:val="24"/>
        </w:rPr>
        <w:t>developments</w:t>
      </w:r>
      <w:r>
        <w:rPr>
          <w:spacing w:val="-4"/>
          <w:sz w:val="24"/>
        </w:rPr>
        <w:t> </w:t>
      </w:r>
      <w:r>
        <w:rPr>
          <w:sz w:val="24"/>
        </w:rPr>
        <w:t>that</w:t>
      </w:r>
      <w:r>
        <w:rPr>
          <w:spacing w:val="-5"/>
          <w:sz w:val="24"/>
        </w:rPr>
        <w:t> </w:t>
      </w:r>
      <w:r>
        <w:rPr>
          <w:sz w:val="24"/>
        </w:rPr>
        <w:t>might</w:t>
      </w:r>
      <w:r>
        <w:rPr>
          <w:spacing w:val="-5"/>
          <w:sz w:val="24"/>
        </w:rPr>
        <w:t> </w:t>
      </w:r>
      <w:r>
        <w:rPr>
          <w:sz w:val="24"/>
        </w:rPr>
        <w:t>suggest</w:t>
      </w:r>
      <w:r>
        <w:rPr>
          <w:spacing w:val="-5"/>
          <w:sz w:val="24"/>
        </w:rPr>
        <w:t> </w:t>
      </w:r>
      <w:r>
        <w:rPr>
          <w:sz w:val="24"/>
        </w:rPr>
        <w:t>consumption</w:t>
      </w:r>
      <w:r>
        <w:rPr>
          <w:spacing w:val="-4"/>
          <w:sz w:val="24"/>
        </w:rPr>
        <w:t> </w:t>
      </w:r>
      <w:r>
        <w:rPr>
          <w:sz w:val="24"/>
        </w:rPr>
        <w:t>growth</w:t>
      </w:r>
      <w:r>
        <w:rPr>
          <w:spacing w:val="-5"/>
          <w:sz w:val="24"/>
        </w:rPr>
        <w:t> </w:t>
      </w:r>
      <w:r>
        <w:rPr>
          <w:sz w:val="24"/>
        </w:rPr>
        <w:t>was</w:t>
      </w:r>
      <w:r>
        <w:rPr>
          <w:spacing w:val="-5"/>
          <w:sz w:val="24"/>
        </w:rPr>
        <w:t> </w:t>
      </w:r>
      <w:r>
        <w:rPr>
          <w:sz w:val="24"/>
        </w:rPr>
        <w:t>peaking. </w:t>
      </w:r>
      <w:r>
        <w:rPr>
          <w:spacing w:val="-3"/>
          <w:sz w:val="24"/>
        </w:rPr>
        <w:t>First, consumer confidence </w:t>
      </w:r>
      <w:r>
        <w:rPr>
          <w:sz w:val="24"/>
        </w:rPr>
        <w:t>had </w:t>
      </w:r>
      <w:r>
        <w:rPr>
          <w:spacing w:val="-3"/>
          <w:sz w:val="24"/>
        </w:rPr>
        <w:t>fallen back, albeit from </w:t>
      </w:r>
      <w:r>
        <w:rPr>
          <w:sz w:val="24"/>
        </w:rPr>
        <w:t>a </w:t>
      </w:r>
      <w:r>
        <w:rPr>
          <w:spacing w:val="-3"/>
          <w:sz w:val="24"/>
        </w:rPr>
        <w:t>relatively high level. Secondly, the Nationwide </w:t>
      </w:r>
      <w:r>
        <w:rPr>
          <w:sz w:val="24"/>
        </w:rPr>
        <w:t>and </w:t>
      </w:r>
      <w:r>
        <w:rPr>
          <w:spacing w:val="-3"/>
          <w:sz w:val="24"/>
        </w:rPr>
        <w:t>Land Registry measures </w:t>
      </w:r>
      <w:r>
        <w:rPr>
          <w:sz w:val="24"/>
        </w:rPr>
        <w:t>of </w:t>
      </w:r>
      <w:r>
        <w:rPr>
          <w:spacing w:val="-3"/>
          <w:sz w:val="24"/>
        </w:rPr>
        <w:t>house price increases </w:t>
      </w:r>
      <w:r>
        <w:rPr>
          <w:sz w:val="24"/>
        </w:rPr>
        <w:t>had </w:t>
      </w:r>
      <w:r>
        <w:rPr>
          <w:spacing w:val="-3"/>
          <w:sz w:val="24"/>
        </w:rPr>
        <w:t>fallen slightly, </w:t>
      </w:r>
      <w:r>
        <w:rPr>
          <w:sz w:val="24"/>
        </w:rPr>
        <w:t>and the </w:t>
      </w:r>
      <w:r>
        <w:rPr>
          <w:spacing w:val="-3"/>
          <w:sz w:val="24"/>
        </w:rPr>
        <w:t>Bank’s </w:t>
      </w:r>
      <w:r>
        <w:rPr>
          <w:sz w:val="24"/>
        </w:rPr>
        <w:t>regional Agents had also reported cooling in the housing</w:t>
      </w:r>
      <w:r>
        <w:rPr>
          <w:spacing w:val="-4"/>
          <w:sz w:val="24"/>
        </w:rPr>
        <w:t> </w:t>
      </w:r>
      <w:r>
        <w:rPr>
          <w:sz w:val="24"/>
        </w:rPr>
        <w:t>market.</w:t>
      </w:r>
    </w:p>
    <w:p>
      <w:pPr>
        <w:spacing w:after="0" w:line="372" w:lineRule="auto"/>
        <w:jc w:val="left"/>
        <w:rPr>
          <w:sz w:val="24"/>
        </w:rPr>
        <w:sectPr>
          <w:pgSz w:w="11900" w:h="16840"/>
          <w:pgMar w:header="863" w:footer="0" w:top="1120" w:bottom="280" w:left="860" w:right="880"/>
        </w:sectPr>
      </w:pPr>
    </w:p>
    <w:p>
      <w:pPr>
        <w:pStyle w:val="BodyText"/>
        <w:rPr>
          <w:sz w:val="20"/>
        </w:rPr>
      </w:pPr>
    </w:p>
    <w:p>
      <w:pPr>
        <w:pStyle w:val="BodyText"/>
        <w:rPr>
          <w:sz w:val="22"/>
        </w:rPr>
      </w:pPr>
    </w:p>
    <w:p>
      <w:pPr>
        <w:pStyle w:val="ListParagraph"/>
        <w:numPr>
          <w:ilvl w:val="0"/>
          <w:numId w:val="1"/>
        </w:numPr>
        <w:tabs>
          <w:tab w:pos="839" w:val="left" w:leader="none"/>
          <w:tab w:pos="840" w:val="left" w:leader="none"/>
        </w:tabs>
        <w:spacing w:line="372" w:lineRule="auto" w:before="90" w:after="0"/>
        <w:ind w:left="272" w:right="190" w:firstLine="0"/>
        <w:jc w:val="left"/>
        <w:rPr>
          <w:sz w:val="24"/>
        </w:rPr>
      </w:pPr>
      <w:r>
        <w:rPr>
          <w:sz w:val="24"/>
        </w:rPr>
        <w:t>The</w:t>
      </w:r>
      <w:r>
        <w:rPr>
          <w:spacing w:val="-4"/>
          <w:sz w:val="24"/>
        </w:rPr>
        <w:t> </w:t>
      </w:r>
      <w:r>
        <w:rPr>
          <w:sz w:val="24"/>
        </w:rPr>
        <w:t>Committee</w:t>
      </w:r>
      <w:r>
        <w:rPr>
          <w:spacing w:val="-3"/>
          <w:sz w:val="24"/>
        </w:rPr>
        <w:t> </w:t>
      </w:r>
      <w:r>
        <w:rPr>
          <w:sz w:val="24"/>
        </w:rPr>
        <w:t>agreed</w:t>
      </w:r>
      <w:r>
        <w:rPr>
          <w:spacing w:val="-3"/>
          <w:sz w:val="24"/>
        </w:rPr>
        <w:t> </w:t>
      </w:r>
      <w:r>
        <w:rPr>
          <w:sz w:val="24"/>
        </w:rPr>
        <w:t>that</w:t>
      </w:r>
      <w:r>
        <w:rPr>
          <w:spacing w:val="-4"/>
          <w:sz w:val="24"/>
        </w:rPr>
        <w:t> </w:t>
      </w:r>
      <w:r>
        <w:rPr>
          <w:sz w:val="24"/>
        </w:rPr>
        <w:t>consumption</w:t>
      </w:r>
      <w:r>
        <w:rPr>
          <w:spacing w:val="-3"/>
          <w:sz w:val="24"/>
        </w:rPr>
        <w:t> </w:t>
      </w:r>
      <w:r>
        <w:rPr>
          <w:sz w:val="24"/>
        </w:rPr>
        <w:t>growth</w:t>
      </w:r>
      <w:r>
        <w:rPr>
          <w:spacing w:val="-3"/>
          <w:sz w:val="24"/>
        </w:rPr>
        <w:t> </w:t>
      </w:r>
      <w:r>
        <w:rPr>
          <w:sz w:val="24"/>
        </w:rPr>
        <w:t>needed</w:t>
      </w:r>
      <w:r>
        <w:rPr>
          <w:spacing w:val="-4"/>
          <w:sz w:val="24"/>
        </w:rPr>
        <w:t> </w:t>
      </w:r>
      <w:r>
        <w:rPr>
          <w:sz w:val="24"/>
        </w:rPr>
        <w:t>to</w:t>
      </w:r>
      <w:r>
        <w:rPr>
          <w:spacing w:val="-3"/>
          <w:sz w:val="24"/>
        </w:rPr>
        <w:t> </w:t>
      </w:r>
      <w:r>
        <w:rPr>
          <w:sz w:val="24"/>
        </w:rPr>
        <w:t>moderate</w:t>
      </w:r>
      <w:r>
        <w:rPr>
          <w:spacing w:val="-3"/>
          <w:sz w:val="24"/>
        </w:rPr>
        <w:t> </w:t>
      </w:r>
      <w:r>
        <w:rPr>
          <w:sz w:val="24"/>
        </w:rPr>
        <w:t>further</w:t>
      </w:r>
      <w:r>
        <w:rPr>
          <w:spacing w:val="-4"/>
          <w:sz w:val="24"/>
        </w:rPr>
        <w:t> </w:t>
      </w:r>
      <w:r>
        <w:rPr>
          <w:sz w:val="24"/>
        </w:rPr>
        <w:t>for</w:t>
      </w:r>
      <w:r>
        <w:rPr>
          <w:spacing w:val="-3"/>
          <w:sz w:val="24"/>
        </w:rPr>
        <w:t> </w:t>
      </w:r>
      <w:r>
        <w:rPr>
          <w:sz w:val="24"/>
        </w:rPr>
        <w:t>policy</w:t>
      </w:r>
      <w:r>
        <w:rPr>
          <w:spacing w:val="-3"/>
          <w:sz w:val="24"/>
        </w:rPr>
        <w:t> </w:t>
      </w:r>
      <w:r>
        <w:rPr>
          <w:sz w:val="24"/>
        </w:rPr>
        <w:t>to</w:t>
      </w:r>
      <w:r>
        <w:rPr>
          <w:spacing w:val="-4"/>
          <w:sz w:val="24"/>
        </w:rPr>
        <w:t> </w:t>
      </w:r>
      <w:r>
        <w:rPr>
          <w:sz w:val="24"/>
        </w:rPr>
        <w:t>be</w:t>
      </w:r>
      <w:r>
        <w:rPr>
          <w:spacing w:val="-3"/>
          <w:sz w:val="24"/>
        </w:rPr>
        <w:t> </w:t>
      </w:r>
      <w:r>
        <w:rPr>
          <w:sz w:val="24"/>
        </w:rPr>
        <w:t>on course to achieve the inflation</w:t>
      </w:r>
      <w:r>
        <w:rPr>
          <w:spacing w:val="3"/>
          <w:sz w:val="24"/>
        </w:rPr>
        <w:t> </w:t>
      </w:r>
      <w:r>
        <w:rPr>
          <w:sz w:val="24"/>
        </w:rPr>
        <w:t>target.</w:t>
      </w:r>
    </w:p>
    <w:p>
      <w:pPr>
        <w:pStyle w:val="BodyText"/>
        <w:spacing w:before="6"/>
        <w:rPr>
          <w:sz w:val="37"/>
        </w:rPr>
      </w:pPr>
    </w:p>
    <w:p>
      <w:pPr>
        <w:pStyle w:val="Heading1"/>
      </w:pPr>
      <w:r>
        <w:rPr/>
        <w:t>External developments and the outlook for net trade</w:t>
      </w:r>
    </w:p>
    <w:p>
      <w:pPr>
        <w:pStyle w:val="BodyText"/>
        <w:rPr>
          <w:b/>
          <w:sz w:val="26"/>
        </w:rPr>
      </w:pPr>
    </w:p>
    <w:p>
      <w:pPr>
        <w:pStyle w:val="BodyText"/>
        <w:spacing w:before="10"/>
        <w:rPr>
          <w:b/>
          <w:sz w:val="23"/>
        </w:rPr>
      </w:pPr>
    </w:p>
    <w:p>
      <w:pPr>
        <w:pStyle w:val="ListParagraph"/>
        <w:numPr>
          <w:ilvl w:val="0"/>
          <w:numId w:val="1"/>
        </w:numPr>
        <w:tabs>
          <w:tab w:pos="992" w:val="left" w:leader="none"/>
          <w:tab w:pos="993" w:val="left" w:leader="none"/>
        </w:tabs>
        <w:spacing w:line="372" w:lineRule="auto" w:before="0" w:after="0"/>
        <w:ind w:left="272" w:right="161" w:firstLine="0"/>
        <w:jc w:val="left"/>
        <w:rPr>
          <w:sz w:val="24"/>
        </w:rPr>
      </w:pPr>
      <w:r>
        <w:rPr>
          <w:sz w:val="24"/>
        </w:rPr>
        <w:t>The ONS’s first estimate of the breakdown of the Q3 GDP statistics had </w:t>
      </w:r>
      <w:r>
        <w:rPr>
          <w:spacing w:val="-3"/>
          <w:sz w:val="24"/>
        </w:rPr>
        <w:t>contained some signs </w:t>
      </w:r>
      <w:r>
        <w:rPr>
          <w:sz w:val="24"/>
        </w:rPr>
        <w:t>that net trade was beginning to slow, once erratic items were excluded. The Committee noted that since its previous meeting sterling had appreciated further. Analysis by Bank staff suggested that changed expectations for monetary policy in the UK or overseas were not the prime cause of </w:t>
      </w:r>
      <w:r>
        <w:rPr>
          <w:spacing w:val="-2"/>
          <w:sz w:val="24"/>
        </w:rPr>
        <w:t>the </w:t>
      </w:r>
      <w:r>
        <w:rPr>
          <w:sz w:val="24"/>
        </w:rPr>
        <w:t>appreciation. A possible explanation of the recent appreciation against continental European currencies was a further ‘safe haven’ effect brought about by continuing uncertainty about EMU, including about the level of interest rates on which the EMU ‘Ins’ would converge in late 1998/early </w:t>
      </w:r>
      <w:r>
        <w:rPr>
          <w:spacing w:val="-3"/>
          <w:sz w:val="24"/>
        </w:rPr>
        <w:t>1999. Sterling </w:t>
      </w:r>
      <w:r>
        <w:rPr>
          <w:sz w:val="24"/>
        </w:rPr>
        <w:t>may </w:t>
      </w:r>
      <w:r>
        <w:rPr>
          <w:spacing w:val="-3"/>
          <w:sz w:val="24"/>
        </w:rPr>
        <w:t>also have been affected, alongside </w:t>
      </w:r>
      <w:r>
        <w:rPr>
          <w:sz w:val="24"/>
        </w:rPr>
        <w:t>the </w:t>
      </w:r>
      <w:r>
        <w:rPr>
          <w:spacing w:val="-3"/>
          <w:sz w:val="24"/>
        </w:rPr>
        <w:t>dollar, </w:t>
      </w:r>
      <w:r>
        <w:rPr>
          <w:sz w:val="24"/>
        </w:rPr>
        <w:t>by a </w:t>
      </w:r>
      <w:r>
        <w:rPr>
          <w:spacing w:val="-3"/>
          <w:sz w:val="24"/>
        </w:rPr>
        <w:t>‘safe haven’ effect </w:t>
      </w:r>
      <w:r>
        <w:rPr>
          <w:sz w:val="24"/>
        </w:rPr>
        <w:t>in </w:t>
      </w:r>
      <w:r>
        <w:rPr>
          <w:spacing w:val="-3"/>
          <w:sz w:val="24"/>
        </w:rPr>
        <w:t>relation to </w:t>
      </w:r>
      <w:r>
        <w:rPr>
          <w:sz w:val="24"/>
        </w:rPr>
        <w:t>East Asian</w:t>
      </w:r>
      <w:r>
        <w:rPr>
          <w:spacing w:val="-1"/>
          <w:sz w:val="24"/>
        </w:rPr>
        <w:t> </w:t>
      </w:r>
      <w:r>
        <w:rPr>
          <w:sz w:val="24"/>
        </w:rPr>
        <w:t>currencies.</w:t>
      </w:r>
    </w:p>
    <w:p>
      <w:pPr>
        <w:pStyle w:val="BodyText"/>
        <w:spacing w:before="8"/>
        <w:rPr>
          <w:sz w:val="36"/>
        </w:rPr>
      </w:pPr>
    </w:p>
    <w:p>
      <w:pPr>
        <w:pStyle w:val="ListParagraph"/>
        <w:numPr>
          <w:ilvl w:val="0"/>
          <w:numId w:val="1"/>
        </w:numPr>
        <w:tabs>
          <w:tab w:pos="992" w:val="left" w:leader="none"/>
          <w:tab w:pos="993" w:val="left" w:leader="none"/>
        </w:tabs>
        <w:spacing w:line="372" w:lineRule="auto" w:before="0" w:after="0"/>
        <w:ind w:left="272" w:right="151" w:firstLine="0"/>
        <w:jc w:val="left"/>
        <w:rPr>
          <w:sz w:val="24"/>
        </w:rPr>
      </w:pPr>
      <w:r>
        <w:rPr>
          <w:sz w:val="24"/>
        </w:rPr>
        <w:t>The Committee discussed the implications of the East Asian developments. The world economic outlook was plainly different from six months ago. Improved prospects in the US </w:t>
      </w:r>
      <w:r>
        <w:rPr>
          <w:spacing w:val="-2"/>
          <w:sz w:val="24"/>
        </w:rPr>
        <w:t>and </w:t>
      </w:r>
      <w:r>
        <w:rPr>
          <w:sz w:val="24"/>
        </w:rPr>
        <w:t>continental Europe might to some extent offset reduced demand from Asia, but it was too early to judge. There was anecdotal evidence that returns from the growth of markets in Asia and other developing regions had helped UK exporters to maintain trade with continental Europe by cutting </w:t>
      </w:r>
      <w:r>
        <w:rPr>
          <w:spacing w:val="-3"/>
          <w:sz w:val="24"/>
        </w:rPr>
        <w:t>margins following sterling’s appreciation </w:t>
      </w:r>
      <w:r>
        <w:rPr>
          <w:sz w:val="24"/>
        </w:rPr>
        <w:t>in </w:t>
      </w:r>
      <w:r>
        <w:rPr>
          <w:spacing w:val="-3"/>
          <w:sz w:val="24"/>
        </w:rPr>
        <w:t>1996. Demand from Asia </w:t>
      </w:r>
      <w:r>
        <w:rPr>
          <w:sz w:val="24"/>
        </w:rPr>
        <w:t>had </w:t>
      </w:r>
      <w:r>
        <w:rPr>
          <w:spacing w:val="-3"/>
          <w:sz w:val="24"/>
        </w:rPr>
        <w:t>also been </w:t>
      </w:r>
      <w:r>
        <w:rPr>
          <w:sz w:val="24"/>
        </w:rPr>
        <w:t>an </w:t>
      </w:r>
      <w:r>
        <w:rPr>
          <w:spacing w:val="-3"/>
          <w:sz w:val="24"/>
        </w:rPr>
        <w:t>important </w:t>
      </w:r>
      <w:r>
        <w:rPr>
          <w:sz w:val="24"/>
        </w:rPr>
        <w:t>source of growth in exports for the G7 as a whole in recent years. It was possible that a slowdown in </w:t>
      </w:r>
      <w:r>
        <w:rPr>
          <w:spacing w:val="-3"/>
          <w:sz w:val="24"/>
        </w:rPr>
        <w:t>Asian markets would combine with sterling’s continuing appreciation </w:t>
      </w:r>
      <w:r>
        <w:rPr>
          <w:sz w:val="24"/>
        </w:rPr>
        <w:t>to </w:t>
      </w:r>
      <w:r>
        <w:rPr>
          <w:spacing w:val="-3"/>
          <w:sz w:val="24"/>
        </w:rPr>
        <w:t>bring about </w:t>
      </w:r>
      <w:r>
        <w:rPr>
          <w:sz w:val="24"/>
        </w:rPr>
        <w:t>a </w:t>
      </w:r>
      <w:r>
        <w:rPr>
          <w:spacing w:val="-3"/>
          <w:sz w:val="24"/>
        </w:rPr>
        <w:t>fall </w:t>
      </w:r>
      <w:r>
        <w:rPr>
          <w:sz w:val="24"/>
        </w:rPr>
        <w:t>in </w:t>
      </w:r>
      <w:r>
        <w:rPr>
          <w:spacing w:val="-3"/>
          <w:sz w:val="24"/>
        </w:rPr>
        <w:t>net </w:t>
      </w:r>
      <w:r>
        <w:rPr>
          <w:sz w:val="24"/>
        </w:rPr>
        <w:t>exports</w:t>
      </w:r>
      <w:r>
        <w:rPr>
          <w:spacing w:val="-4"/>
          <w:sz w:val="24"/>
        </w:rPr>
        <w:t> </w:t>
      </w:r>
      <w:r>
        <w:rPr>
          <w:sz w:val="24"/>
        </w:rPr>
        <w:t>in</w:t>
      </w:r>
      <w:r>
        <w:rPr>
          <w:spacing w:val="-4"/>
          <w:sz w:val="24"/>
        </w:rPr>
        <w:t> </w:t>
      </w:r>
      <w:r>
        <w:rPr>
          <w:sz w:val="24"/>
        </w:rPr>
        <w:t>1998,</w:t>
      </w:r>
      <w:r>
        <w:rPr>
          <w:spacing w:val="-3"/>
          <w:sz w:val="24"/>
        </w:rPr>
        <w:t> </w:t>
      </w:r>
      <w:r>
        <w:rPr>
          <w:sz w:val="24"/>
        </w:rPr>
        <w:t>as</w:t>
      </w:r>
      <w:r>
        <w:rPr>
          <w:spacing w:val="-4"/>
          <w:sz w:val="24"/>
        </w:rPr>
        <w:t> </w:t>
      </w:r>
      <w:r>
        <w:rPr>
          <w:sz w:val="24"/>
        </w:rPr>
        <w:t>expected</w:t>
      </w:r>
      <w:r>
        <w:rPr>
          <w:spacing w:val="-4"/>
          <w:sz w:val="24"/>
        </w:rPr>
        <w:t> </w:t>
      </w:r>
      <w:r>
        <w:rPr>
          <w:sz w:val="24"/>
        </w:rPr>
        <w:t>–</w:t>
      </w:r>
      <w:r>
        <w:rPr>
          <w:spacing w:val="-3"/>
          <w:sz w:val="24"/>
        </w:rPr>
        <w:t> </w:t>
      </w:r>
      <w:r>
        <w:rPr>
          <w:sz w:val="24"/>
        </w:rPr>
        <w:t>or</w:t>
      </w:r>
      <w:r>
        <w:rPr>
          <w:spacing w:val="-4"/>
          <w:sz w:val="24"/>
        </w:rPr>
        <w:t> </w:t>
      </w:r>
      <w:r>
        <w:rPr>
          <w:sz w:val="24"/>
        </w:rPr>
        <w:t>possibly</w:t>
      </w:r>
      <w:r>
        <w:rPr>
          <w:spacing w:val="-3"/>
          <w:sz w:val="24"/>
        </w:rPr>
        <w:t> </w:t>
      </w:r>
      <w:r>
        <w:rPr>
          <w:sz w:val="24"/>
        </w:rPr>
        <w:t>more</w:t>
      </w:r>
      <w:r>
        <w:rPr>
          <w:spacing w:val="-4"/>
          <w:sz w:val="24"/>
        </w:rPr>
        <w:t> </w:t>
      </w:r>
      <w:r>
        <w:rPr>
          <w:sz w:val="24"/>
        </w:rPr>
        <w:t>than</w:t>
      </w:r>
      <w:r>
        <w:rPr>
          <w:spacing w:val="-4"/>
          <w:sz w:val="24"/>
        </w:rPr>
        <w:t> </w:t>
      </w:r>
      <w:r>
        <w:rPr>
          <w:sz w:val="24"/>
        </w:rPr>
        <w:t>expected</w:t>
      </w:r>
      <w:r>
        <w:rPr>
          <w:spacing w:val="-3"/>
          <w:sz w:val="24"/>
        </w:rPr>
        <w:t> </w:t>
      </w:r>
      <w:r>
        <w:rPr>
          <w:sz w:val="24"/>
        </w:rPr>
        <w:t>–</w:t>
      </w:r>
      <w:r>
        <w:rPr>
          <w:spacing w:val="-4"/>
          <w:sz w:val="24"/>
        </w:rPr>
        <w:t> </w:t>
      </w:r>
      <w:r>
        <w:rPr>
          <w:sz w:val="24"/>
        </w:rPr>
        <w:t>in</w:t>
      </w:r>
      <w:r>
        <w:rPr>
          <w:spacing w:val="-4"/>
          <w:sz w:val="24"/>
        </w:rPr>
        <w:t> </w:t>
      </w:r>
      <w:r>
        <w:rPr>
          <w:sz w:val="24"/>
        </w:rPr>
        <w:t>the</w:t>
      </w:r>
      <w:r>
        <w:rPr>
          <w:spacing w:val="-3"/>
          <w:sz w:val="24"/>
        </w:rPr>
        <w:t> </w:t>
      </w:r>
      <w:r>
        <w:rPr>
          <w:sz w:val="24"/>
        </w:rPr>
        <w:t>November</w:t>
      </w:r>
      <w:r>
        <w:rPr>
          <w:spacing w:val="-4"/>
          <w:sz w:val="24"/>
        </w:rPr>
        <w:t> </w:t>
      </w:r>
      <w:r>
        <w:rPr>
          <w:i/>
          <w:sz w:val="24"/>
        </w:rPr>
        <w:t>Inflation</w:t>
      </w:r>
      <w:r>
        <w:rPr>
          <w:i/>
          <w:spacing w:val="-3"/>
          <w:sz w:val="24"/>
        </w:rPr>
        <w:t> </w:t>
      </w:r>
      <w:r>
        <w:rPr>
          <w:i/>
          <w:sz w:val="24"/>
        </w:rPr>
        <w:t>Report</w:t>
      </w:r>
      <w:r>
        <w:rPr>
          <w:sz w:val="24"/>
        </w:rPr>
        <w:t>.</w:t>
      </w:r>
    </w:p>
    <w:p>
      <w:pPr>
        <w:pStyle w:val="BodyText"/>
        <w:spacing w:before="8"/>
        <w:rPr>
          <w:sz w:val="36"/>
        </w:rPr>
      </w:pPr>
    </w:p>
    <w:p>
      <w:pPr>
        <w:pStyle w:val="ListParagraph"/>
        <w:numPr>
          <w:ilvl w:val="0"/>
          <w:numId w:val="1"/>
        </w:numPr>
        <w:tabs>
          <w:tab w:pos="992" w:val="left" w:leader="none"/>
          <w:tab w:pos="993" w:val="left" w:leader="none"/>
        </w:tabs>
        <w:spacing w:line="372" w:lineRule="auto" w:before="0" w:after="0"/>
        <w:ind w:left="272" w:right="233" w:firstLine="0"/>
        <w:jc w:val="left"/>
        <w:rPr>
          <w:sz w:val="24"/>
        </w:rPr>
      </w:pPr>
      <w:r>
        <w:rPr>
          <w:sz w:val="24"/>
        </w:rPr>
        <w:t>A </w:t>
      </w:r>
      <w:r>
        <w:rPr>
          <w:spacing w:val="-3"/>
          <w:sz w:val="24"/>
        </w:rPr>
        <w:t>second question </w:t>
      </w:r>
      <w:r>
        <w:rPr>
          <w:sz w:val="24"/>
        </w:rPr>
        <w:t>was </w:t>
      </w:r>
      <w:r>
        <w:rPr>
          <w:spacing w:val="-3"/>
          <w:sz w:val="24"/>
        </w:rPr>
        <w:t>whether Asian problems threatened </w:t>
      </w:r>
      <w:r>
        <w:rPr>
          <w:sz w:val="24"/>
        </w:rPr>
        <w:t>a </w:t>
      </w:r>
      <w:r>
        <w:rPr>
          <w:spacing w:val="-3"/>
          <w:sz w:val="24"/>
        </w:rPr>
        <w:t>more global financial crisis. </w:t>
      </w:r>
      <w:r>
        <w:rPr>
          <w:sz w:val="24"/>
        </w:rPr>
        <w:t>Recent news had, on balance, offered encouragement on this score. Some countries outside Asia </w:t>
      </w:r>
      <w:r>
        <w:rPr>
          <w:spacing w:val="-2"/>
          <w:sz w:val="24"/>
        </w:rPr>
        <w:t>had </w:t>
      </w:r>
      <w:r>
        <w:rPr>
          <w:sz w:val="24"/>
        </w:rPr>
        <w:t>implemented austerity packages as a protective measure; and the IMF appeared to have reached agreement with Korea on the conditions for support. Nevertheless the situation needed to be monitored carefully. The Committee’s judgment remained that on the evidence so far the changing external</w:t>
      </w:r>
      <w:r>
        <w:rPr>
          <w:spacing w:val="-6"/>
          <w:sz w:val="24"/>
        </w:rPr>
        <w:t> </w:t>
      </w:r>
      <w:r>
        <w:rPr>
          <w:sz w:val="24"/>
        </w:rPr>
        <w:t>environment</w:t>
      </w:r>
      <w:r>
        <w:rPr>
          <w:spacing w:val="-5"/>
          <w:sz w:val="24"/>
        </w:rPr>
        <w:t> </w:t>
      </w:r>
      <w:r>
        <w:rPr>
          <w:sz w:val="24"/>
        </w:rPr>
        <w:t>did</w:t>
      </w:r>
      <w:r>
        <w:rPr>
          <w:spacing w:val="-6"/>
          <w:sz w:val="24"/>
        </w:rPr>
        <w:t> </w:t>
      </w:r>
      <w:r>
        <w:rPr>
          <w:sz w:val="24"/>
        </w:rPr>
        <w:t>not</w:t>
      </w:r>
      <w:r>
        <w:rPr>
          <w:spacing w:val="-5"/>
          <w:sz w:val="24"/>
        </w:rPr>
        <w:t> </w:t>
      </w:r>
      <w:r>
        <w:rPr>
          <w:sz w:val="24"/>
        </w:rPr>
        <w:t>of</w:t>
      </w:r>
      <w:r>
        <w:rPr>
          <w:spacing w:val="-5"/>
          <w:sz w:val="24"/>
        </w:rPr>
        <w:t> </w:t>
      </w:r>
      <w:r>
        <w:rPr>
          <w:sz w:val="24"/>
        </w:rPr>
        <w:t>itself</w:t>
      </w:r>
      <w:r>
        <w:rPr>
          <w:spacing w:val="-6"/>
          <w:sz w:val="24"/>
        </w:rPr>
        <w:t> </w:t>
      </w:r>
      <w:r>
        <w:rPr>
          <w:sz w:val="24"/>
        </w:rPr>
        <w:t>either</w:t>
      </w:r>
      <w:r>
        <w:rPr>
          <w:spacing w:val="-5"/>
          <w:sz w:val="24"/>
        </w:rPr>
        <w:t> </w:t>
      </w:r>
      <w:r>
        <w:rPr>
          <w:sz w:val="24"/>
        </w:rPr>
        <w:t>require</w:t>
      </w:r>
      <w:r>
        <w:rPr>
          <w:spacing w:val="-5"/>
          <w:sz w:val="24"/>
        </w:rPr>
        <w:t> </w:t>
      </w:r>
      <w:r>
        <w:rPr>
          <w:sz w:val="24"/>
        </w:rPr>
        <w:t>or</w:t>
      </w:r>
      <w:r>
        <w:rPr>
          <w:spacing w:val="-6"/>
          <w:sz w:val="24"/>
        </w:rPr>
        <w:t> </w:t>
      </w:r>
      <w:r>
        <w:rPr>
          <w:sz w:val="24"/>
        </w:rPr>
        <w:t>prevent</w:t>
      </w:r>
      <w:r>
        <w:rPr>
          <w:spacing w:val="-5"/>
          <w:sz w:val="24"/>
        </w:rPr>
        <w:t> </w:t>
      </w:r>
      <w:r>
        <w:rPr>
          <w:sz w:val="24"/>
        </w:rPr>
        <w:t>a</w:t>
      </w:r>
      <w:r>
        <w:rPr>
          <w:spacing w:val="-5"/>
          <w:sz w:val="24"/>
        </w:rPr>
        <w:t> </w:t>
      </w:r>
      <w:r>
        <w:rPr>
          <w:sz w:val="24"/>
        </w:rPr>
        <w:t>change</w:t>
      </w:r>
      <w:r>
        <w:rPr>
          <w:spacing w:val="-6"/>
          <w:sz w:val="24"/>
        </w:rPr>
        <w:t> </w:t>
      </w:r>
      <w:r>
        <w:rPr>
          <w:sz w:val="24"/>
        </w:rPr>
        <w:t>in</w:t>
      </w:r>
      <w:r>
        <w:rPr>
          <w:spacing w:val="-5"/>
          <w:sz w:val="24"/>
        </w:rPr>
        <w:t> </w:t>
      </w:r>
      <w:r>
        <w:rPr>
          <w:sz w:val="24"/>
        </w:rPr>
        <w:t>UK</w:t>
      </w:r>
      <w:r>
        <w:rPr>
          <w:spacing w:val="-6"/>
          <w:sz w:val="24"/>
        </w:rPr>
        <w:t> </w:t>
      </w:r>
      <w:r>
        <w:rPr>
          <w:sz w:val="24"/>
        </w:rPr>
        <w:t>monetary</w:t>
      </w:r>
      <w:r>
        <w:rPr>
          <w:spacing w:val="-5"/>
          <w:sz w:val="24"/>
        </w:rPr>
        <w:t> </w:t>
      </w:r>
      <w:r>
        <w:rPr>
          <w:sz w:val="24"/>
        </w:rPr>
        <w:t>policy.</w:t>
      </w:r>
    </w:p>
    <w:p>
      <w:pPr>
        <w:spacing w:after="0" w:line="372" w:lineRule="auto"/>
        <w:jc w:val="left"/>
        <w:rPr>
          <w:sz w:val="24"/>
        </w:rPr>
        <w:sectPr>
          <w:pgSz w:w="11900" w:h="16840"/>
          <w:pgMar w:header="863" w:footer="0" w:top="1120" w:bottom="280" w:left="860" w:right="880"/>
        </w:sectPr>
      </w:pPr>
    </w:p>
    <w:p>
      <w:pPr>
        <w:pStyle w:val="BodyText"/>
        <w:rPr>
          <w:sz w:val="20"/>
        </w:rPr>
      </w:pPr>
    </w:p>
    <w:p>
      <w:pPr>
        <w:pStyle w:val="BodyText"/>
        <w:spacing w:before="5"/>
        <w:rPr>
          <w:sz w:val="22"/>
        </w:rPr>
      </w:pPr>
    </w:p>
    <w:p>
      <w:pPr>
        <w:pStyle w:val="Heading1"/>
        <w:spacing w:before="90"/>
      </w:pPr>
      <w:r>
        <w:rPr/>
        <w:t>Labour market developments</w:t>
      </w:r>
    </w:p>
    <w:p>
      <w:pPr>
        <w:pStyle w:val="BodyText"/>
        <w:rPr>
          <w:b/>
          <w:sz w:val="26"/>
        </w:rPr>
      </w:pPr>
    </w:p>
    <w:p>
      <w:pPr>
        <w:pStyle w:val="BodyText"/>
        <w:spacing w:before="10"/>
        <w:rPr>
          <w:b/>
          <w:sz w:val="23"/>
        </w:rPr>
      </w:pPr>
    </w:p>
    <w:p>
      <w:pPr>
        <w:pStyle w:val="ListParagraph"/>
        <w:numPr>
          <w:ilvl w:val="0"/>
          <w:numId w:val="1"/>
        </w:numPr>
        <w:tabs>
          <w:tab w:pos="992" w:val="left" w:leader="none"/>
          <w:tab w:pos="993" w:val="left" w:leader="none"/>
        </w:tabs>
        <w:spacing w:line="372" w:lineRule="auto" w:before="0" w:after="0"/>
        <w:ind w:left="272" w:right="151" w:firstLine="0"/>
        <w:jc w:val="left"/>
        <w:rPr>
          <w:sz w:val="24"/>
        </w:rPr>
      </w:pPr>
      <w:r>
        <w:rPr>
          <w:sz w:val="24"/>
        </w:rPr>
        <w:t>The Committee agreed that there was not much news on the labour market. Underlying earnings growth had ticked down slightly, but unemployment continued to fall, concerns about skill shortages persisted, and the Agents reported concerns around the country of emerging wage pressures. The reported settlement at Ford seemed high and would be a source of concern if, as in </w:t>
      </w:r>
      <w:r>
        <w:rPr>
          <w:spacing w:val="-2"/>
          <w:sz w:val="24"/>
        </w:rPr>
        <w:t>the </w:t>
      </w:r>
      <w:r>
        <w:rPr>
          <w:sz w:val="24"/>
        </w:rPr>
        <w:t>1970s and early 1980s, it set an economy-wide norm, but it had not done so in recent</w:t>
      </w:r>
      <w:r>
        <w:rPr>
          <w:spacing w:val="-34"/>
          <w:sz w:val="24"/>
        </w:rPr>
        <w:t> </w:t>
      </w:r>
      <w:r>
        <w:rPr>
          <w:spacing w:val="-2"/>
          <w:sz w:val="24"/>
        </w:rPr>
        <w:t>years.</w:t>
      </w:r>
    </w:p>
    <w:p>
      <w:pPr>
        <w:pStyle w:val="BodyText"/>
        <w:spacing w:before="4"/>
        <w:rPr>
          <w:sz w:val="37"/>
        </w:rPr>
      </w:pPr>
    </w:p>
    <w:p>
      <w:pPr>
        <w:pStyle w:val="Heading1"/>
      </w:pPr>
      <w:r>
        <w:rPr/>
        <w:t>Comparison of the Bank’s forecast with outside forecasts</w:t>
      </w:r>
    </w:p>
    <w:p>
      <w:pPr>
        <w:pStyle w:val="BodyText"/>
        <w:rPr>
          <w:b/>
          <w:sz w:val="26"/>
        </w:rPr>
      </w:pPr>
    </w:p>
    <w:p>
      <w:pPr>
        <w:pStyle w:val="BodyText"/>
        <w:spacing w:before="10"/>
        <w:rPr>
          <w:b/>
          <w:sz w:val="23"/>
        </w:rPr>
      </w:pPr>
    </w:p>
    <w:p>
      <w:pPr>
        <w:pStyle w:val="ListParagraph"/>
        <w:numPr>
          <w:ilvl w:val="0"/>
          <w:numId w:val="1"/>
        </w:numPr>
        <w:tabs>
          <w:tab w:pos="992" w:val="left" w:leader="none"/>
          <w:tab w:pos="993" w:val="left" w:leader="none"/>
        </w:tabs>
        <w:spacing w:line="372" w:lineRule="auto" w:before="0" w:after="0"/>
        <w:ind w:left="272" w:right="151" w:firstLine="0"/>
        <w:jc w:val="left"/>
        <w:rPr>
          <w:sz w:val="24"/>
        </w:rPr>
      </w:pPr>
      <w:r>
        <w:rPr>
          <w:sz w:val="24"/>
        </w:rPr>
        <w:t>The Committee discussed the main reasons why the November </w:t>
      </w:r>
      <w:r>
        <w:rPr>
          <w:i/>
          <w:sz w:val="24"/>
        </w:rPr>
        <w:t>Inflation Report </w:t>
      </w:r>
      <w:r>
        <w:rPr>
          <w:sz w:val="24"/>
        </w:rPr>
        <w:t>central projection</w:t>
      </w:r>
      <w:r>
        <w:rPr>
          <w:spacing w:val="-8"/>
          <w:sz w:val="24"/>
        </w:rPr>
        <w:t> </w:t>
      </w:r>
      <w:r>
        <w:rPr>
          <w:sz w:val="24"/>
        </w:rPr>
        <w:t>for</w:t>
      </w:r>
      <w:r>
        <w:rPr>
          <w:spacing w:val="-8"/>
          <w:sz w:val="24"/>
        </w:rPr>
        <w:t> </w:t>
      </w:r>
      <w:r>
        <w:rPr>
          <w:sz w:val="24"/>
        </w:rPr>
        <w:t>inflation</w:t>
      </w:r>
      <w:r>
        <w:rPr>
          <w:spacing w:val="-8"/>
          <w:sz w:val="24"/>
        </w:rPr>
        <w:t> </w:t>
      </w:r>
      <w:r>
        <w:rPr>
          <w:sz w:val="24"/>
        </w:rPr>
        <w:t>in</w:t>
      </w:r>
      <w:r>
        <w:rPr>
          <w:spacing w:val="-7"/>
          <w:sz w:val="24"/>
        </w:rPr>
        <w:t> </w:t>
      </w:r>
      <w:r>
        <w:rPr>
          <w:sz w:val="24"/>
        </w:rPr>
        <w:t>the</w:t>
      </w:r>
      <w:r>
        <w:rPr>
          <w:spacing w:val="-8"/>
          <w:sz w:val="24"/>
        </w:rPr>
        <w:t> </w:t>
      </w:r>
      <w:r>
        <w:rPr>
          <w:sz w:val="24"/>
        </w:rPr>
        <w:t>year</w:t>
      </w:r>
      <w:r>
        <w:rPr>
          <w:spacing w:val="-8"/>
          <w:sz w:val="24"/>
        </w:rPr>
        <w:t> </w:t>
      </w:r>
      <w:r>
        <w:rPr>
          <w:sz w:val="24"/>
        </w:rPr>
        <w:t>to</w:t>
      </w:r>
      <w:r>
        <w:rPr>
          <w:spacing w:val="-8"/>
          <w:sz w:val="24"/>
        </w:rPr>
        <w:t> </w:t>
      </w:r>
      <w:r>
        <w:rPr>
          <w:sz w:val="24"/>
        </w:rPr>
        <w:t>Q4</w:t>
      </w:r>
      <w:r>
        <w:rPr>
          <w:spacing w:val="-7"/>
          <w:sz w:val="24"/>
        </w:rPr>
        <w:t> </w:t>
      </w:r>
      <w:r>
        <w:rPr>
          <w:sz w:val="24"/>
        </w:rPr>
        <w:t>1998</w:t>
      </w:r>
      <w:r>
        <w:rPr>
          <w:spacing w:val="-8"/>
          <w:sz w:val="24"/>
        </w:rPr>
        <w:t> </w:t>
      </w:r>
      <w:r>
        <w:rPr>
          <w:sz w:val="24"/>
        </w:rPr>
        <w:t>was</w:t>
      </w:r>
      <w:r>
        <w:rPr>
          <w:spacing w:val="-8"/>
          <w:sz w:val="24"/>
        </w:rPr>
        <w:t> </w:t>
      </w:r>
      <w:r>
        <w:rPr>
          <w:sz w:val="24"/>
        </w:rPr>
        <w:t>below</w:t>
      </w:r>
      <w:r>
        <w:rPr>
          <w:spacing w:val="-8"/>
          <w:sz w:val="24"/>
        </w:rPr>
        <w:t> </w:t>
      </w:r>
      <w:r>
        <w:rPr>
          <w:sz w:val="24"/>
        </w:rPr>
        <w:t>virtually</w:t>
      </w:r>
      <w:r>
        <w:rPr>
          <w:spacing w:val="-7"/>
          <w:sz w:val="24"/>
        </w:rPr>
        <w:t> </w:t>
      </w:r>
      <w:r>
        <w:rPr>
          <w:sz w:val="24"/>
        </w:rPr>
        <w:t>all</w:t>
      </w:r>
      <w:r>
        <w:rPr>
          <w:spacing w:val="-8"/>
          <w:sz w:val="24"/>
        </w:rPr>
        <w:t> </w:t>
      </w:r>
      <w:r>
        <w:rPr>
          <w:sz w:val="24"/>
        </w:rPr>
        <w:t>outside</w:t>
      </w:r>
      <w:r>
        <w:rPr>
          <w:spacing w:val="-8"/>
          <w:sz w:val="24"/>
        </w:rPr>
        <w:t> </w:t>
      </w:r>
      <w:r>
        <w:rPr>
          <w:sz w:val="24"/>
        </w:rPr>
        <w:t>forecasts</w:t>
      </w:r>
      <w:r>
        <w:rPr>
          <w:spacing w:val="-8"/>
          <w:sz w:val="24"/>
        </w:rPr>
        <w:t> </w:t>
      </w:r>
      <w:r>
        <w:rPr>
          <w:sz w:val="24"/>
        </w:rPr>
        <w:t>even</w:t>
      </w:r>
      <w:r>
        <w:rPr>
          <w:spacing w:val="-7"/>
          <w:sz w:val="24"/>
        </w:rPr>
        <w:t> </w:t>
      </w:r>
      <w:r>
        <w:rPr>
          <w:sz w:val="24"/>
        </w:rPr>
        <w:t>though</w:t>
      </w:r>
      <w:r>
        <w:rPr>
          <w:spacing w:val="-8"/>
          <w:sz w:val="24"/>
        </w:rPr>
        <w:t> </w:t>
      </w:r>
      <w:r>
        <w:rPr>
          <w:spacing w:val="-2"/>
          <w:sz w:val="24"/>
        </w:rPr>
        <w:t>its </w:t>
      </w:r>
      <w:r>
        <w:rPr>
          <w:sz w:val="24"/>
        </w:rPr>
        <w:t>forecast for output growth was around their mean. These related to the effects of sterling’s appreciation. The Bank’s central projection assumed that some of the fall in import prices would be passed through to retail prices, unwinding some of the recent increase in retail margins; and that although delayed, there would still be a significant, and in 1998 quite sharp, slowdown in net </w:t>
      </w:r>
      <w:r>
        <w:rPr>
          <w:spacing w:val="-2"/>
          <w:sz w:val="24"/>
        </w:rPr>
        <w:t>trade. </w:t>
      </w:r>
      <w:r>
        <w:rPr>
          <w:sz w:val="24"/>
        </w:rPr>
        <w:t>The Committee agreed that qualitatively this was the most likely outcome but, as reflected in </w:t>
      </w:r>
      <w:r>
        <w:rPr>
          <w:spacing w:val="-2"/>
          <w:sz w:val="24"/>
        </w:rPr>
        <w:t>the </w:t>
      </w:r>
      <w:r>
        <w:rPr>
          <w:sz w:val="24"/>
        </w:rPr>
        <w:t>November forecast, there was considerable uncertainty about its timing and magnitude. The </w:t>
      </w:r>
      <w:r>
        <w:rPr>
          <w:spacing w:val="-2"/>
          <w:sz w:val="24"/>
        </w:rPr>
        <w:t>slower </w:t>
      </w:r>
      <w:r>
        <w:rPr>
          <w:sz w:val="24"/>
        </w:rPr>
        <w:t>the net trade effect was to come through, the greater the risks to the inflation target. It was also the case that recent inflation outturns had been above the Bank’s recent</w:t>
      </w:r>
      <w:r>
        <w:rPr>
          <w:spacing w:val="-2"/>
          <w:sz w:val="24"/>
        </w:rPr>
        <w:t> </w:t>
      </w:r>
      <w:r>
        <w:rPr>
          <w:sz w:val="24"/>
        </w:rPr>
        <w:t>forecasts.</w:t>
      </w:r>
    </w:p>
    <w:p>
      <w:pPr>
        <w:pStyle w:val="BodyText"/>
        <w:spacing w:before="1"/>
        <w:rPr>
          <w:sz w:val="37"/>
        </w:rPr>
      </w:pPr>
    </w:p>
    <w:p>
      <w:pPr>
        <w:pStyle w:val="Heading1"/>
      </w:pPr>
      <w:r>
        <w:rPr/>
        <w:t>Policy conclusions</w:t>
      </w:r>
    </w:p>
    <w:p>
      <w:pPr>
        <w:pStyle w:val="BodyText"/>
        <w:rPr>
          <w:b/>
          <w:sz w:val="26"/>
        </w:rPr>
      </w:pPr>
    </w:p>
    <w:p>
      <w:pPr>
        <w:pStyle w:val="BodyText"/>
        <w:spacing w:before="10"/>
        <w:rPr>
          <w:b/>
          <w:sz w:val="23"/>
        </w:rPr>
      </w:pPr>
    </w:p>
    <w:p>
      <w:pPr>
        <w:pStyle w:val="ListParagraph"/>
        <w:numPr>
          <w:ilvl w:val="0"/>
          <w:numId w:val="1"/>
        </w:numPr>
        <w:tabs>
          <w:tab w:pos="992" w:val="left" w:leader="none"/>
          <w:tab w:pos="993" w:val="left" w:leader="none"/>
        </w:tabs>
        <w:spacing w:line="372" w:lineRule="auto" w:before="0" w:after="0"/>
        <w:ind w:left="272" w:right="132" w:firstLine="0"/>
        <w:jc w:val="left"/>
        <w:rPr>
          <w:sz w:val="24"/>
        </w:rPr>
      </w:pPr>
      <w:r>
        <w:rPr>
          <w:sz w:val="24"/>
        </w:rPr>
        <w:t>The Committee identified a range of possible views on the outlook for inflation. One was that the level of activity was already above trend, perhaps materially so. In that case output growth would need to slow sharply in order to avoid a marked increase in inflation. If instead growth </w:t>
      </w:r>
      <w:r>
        <w:rPr>
          <w:spacing w:val="-2"/>
          <w:sz w:val="24"/>
        </w:rPr>
        <w:t>slowed </w:t>
      </w:r>
      <w:r>
        <w:rPr>
          <w:sz w:val="24"/>
        </w:rPr>
        <w:t>gradually</w:t>
      </w:r>
      <w:r>
        <w:rPr>
          <w:spacing w:val="-10"/>
          <w:sz w:val="24"/>
        </w:rPr>
        <w:t> </w:t>
      </w:r>
      <w:r>
        <w:rPr>
          <w:sz w:val="24"/>
        </w:rPr>
        <w:t>so</w:t>
      </w:r>
      <w:r>
        <w:rPr>
          <w:spacing w:val="-10"/>
          <w:sz w:val="24"/>
        </w:rPr>
        <w:t> </w:t>
      </w:r>
      <w:r>
        <w:rPr>
          <w:sz w:val="24"/>
        </w:rPr>
        <w:t>that</w:t>
      </w:r>
      <w:r>
        <w:rPr>
          <w:spacing w:val="-9"/>
          <w:sz w:val="24"/>
        </w:rPr>
        <w:t> </w:t>
      </w:r>
      <w:r>
        <w:rPr>
          <w:sz w:val="24"/>
        </w:rPr>
        <w:t>activity</w:t>
      </w:r>
      <w:r>
        <w:rPr>
          <w:spacing w:val="-10"/>
          <w:sz w:val="24"/>
        </w:rPr>
        <w:t> </w:t>
      </w:r>
      <w:r>
        <w:rPr>
          <w:sz w:val="24"/>
        </w:rPr>
        <w:t>levels</w:t>
      </w:r>
      <w:r>
        <w:rPr>
          <w:spacing w:val="-9"/>
          <w:sz w:val="24"/>
        </w:rPr>
        <w:t> </w:t>
      </w:r>
      <w:r>
        <w:rPr>
          <w:sz w:val="24"/>
        </w:rPr>
        <w:t>remained</w:t>
      </w:r>
      <w:r>
        <w:rPr>
          <w:spacing w:val="-10"/>
          <w:sz w:val="24"/>
        </w:rPr>
        <w:t> </w:t>
      </w:r>
      <w:r>
        <w:rPr>
          <w:sz w:val="24"/>
        </w:rPr>
        <w:t>above</w:t>
      </w:r>
      <w:r>
        <w:rPr>
          <w:spacing w:val="-10"/>
          <w:sz w:val="24"/>
        </w:rPr>
        <w:t> </w:t>
      </w:r>
      <w:r>
        <w:rPr>
          <w:sz w:val="24"/>
        </w:rPr>
        <w:t>trend,</w:t>
      </w:r>
      <w:r>
        <w:rPr>
          <w:spacing w:val="-9"/>
          <w:sz w:val="24"/>
        </w:rPr>
        <w:t> </w:t>
      </w:r>
      <w:r>
        <w:rPr>
          <w:sz w:val="24"/>
        </w:rPr>
        <w:t>it</w:t>
      </w:r>
      <w:r>
        <w:rPr>
          <w:spacing w:val="-10"/>
          <w:sz w:val="24"/>
        </w:rPr>
        <w:t> </w:t>
      </w:r>
      <w:r>
        <w:rPr>
          <w:sz w:val="24"/>
        </w:rPr>
        <w:t>would</w:t>
      </w:r>
      <w:r>
        <w:rPr>
          <w:spacing w:val="-9"/>
          <w:sz w:val="24"/>
        </w:rPr>
        <w:t> </w:t>
      </w:r>
      <w:r>
        <w:rPr>
          <w:sz w:val="24"/>
        </w:rPr>
        <w:t>prove</w:t>
      </w:r>
      <w:r>
        <w:rPr>
          <w:spacing w:val="-10"/>
          <w:sz w:val="24"/>
        </w:rPr>
        <w:t> </w:t>
      </w:r>
      <w:r>
        <w:rPr>
          <w:sz w:val="24"/>
        </w:rPr>
        <w:t>necessary</w:t>
      </w:r>
      <w:r>
        <w:rPr>
          <w:spacing w:val="-9"/>
          <w:sz w:val="24"/>
        </w:rPr>
        <w:t> </w:t>
      </w:r>
      <w:r>
        <w:rPr>
          <w:sz w:val="24"/>
        </w:rPr>
        <w:t>to</w:t>
      </w:r>
      <w:r>
        <w:rPr>
          <w:spacing w:val="-10"/>
          <w:sz w:val="24"/>
        </w:rPr>
        <w:t> </w:t>
      </w:r>
      <w:r>
        <w:rPr>
          <w:sz w:val="24"/>
        </w:rPr>
        <w:t>tighten</w:t>
      </w:r>
      <w:r>
        <w:rPr>
          <w:spacing w:val="-10"/>
          <w:sz w:val="24"/>
        </w:rPr>
        <w:t> </w:t>
      </w:r>
      <w:r>
        <w:rPr>
          <w:sz w:val="24"/>
        </w:rPr>
        <w:t>policy</w:t>
      </w:r>
      <w:r>
        <w:rPr>
          <w:spacing w:val="-9"/>
          <w:sz w:val="24"/>
        </w:rPr>
        <w:t> </w:t>
      </w:r>
      <w:r>
        <w:rPr>
          <w:sz w:val="24"/>
        </w:rPr>
        <w:t>while output growth was falling. On such a view, policy might need to be tightened again quite soon if there</w:t>
      </w:r>
      <w:r>
        <w:rPr>
          <w:spacing w:val="-7"/>
          <w:sz w:val="24"/>
        </w:rPr>
        <w:t> </w:t>
      </w:r>
      <w:r>
        <w:rPr>
          <w:sz w:val="24"/>
        </w:rPr>
        <w:t>were</w:t>
      </w:r>
      <w:r>
        <w:rPr>
          <w:spacing w:val="-7"/>
          <w:sz w:val="24"/>
        </w:rPr>
        <w:t> </w:t>
      </w:r>
      <w:r>
        <w:rPr>
          <w:sz w:val="24"/>
        </w:rPr>
        <w:t>not</w:t>
      </w:r>
      <w:r>
        <w:rPr>
          <w:spacing w:val="-7"/>
          <w:sz w:val="24"/>
        </w:rPr>
        <w:t> </w:t>
      </w:r>
      <w:r>
        <w:rPr>
          <w:sz w:val="24"/>
        </w:rPr>
        <w:t>clear</w:t>
      </w:r>
      <w:r>
        <w:rPr>
          <w:spacing w:val="-7"/>
          <w:sz w:val="24"/>
        </w:rPr>
        <w:t> </w:t>
      </w:r>
      <w:r>
        <w:rPr>
          <w:sz w:val="24"/>
        </w:rPr>
        <w:t>evidence</w:t>
      </w:r>
      <w:r>
        <w:rPr>
          <w:spacing w:val="-7"/>
          <w:sz w:val="24"/>
        </w:rPr>
        <w:t> </w:t>
      </w:r>
      <w:r>
        <w:rPr>
          <w:sz w:val="24"/>
        </w:rPr>
        <w:t>in</w:t>
      </w:r>
      <w:r>
        <w:rPr>
          <w:spacing w:val="-7"/>
          <w:sz w:val="24"/>
        </w:rPr>
        <w:t> </w:t>
      </w:r>
      <w:r>
        <w:rPr>
          <w:sz w:val="24"/>
        </w:rPr>
        <w:t>the</w:t>
      </w:r>
      <w:r>
        <w:rPr>
          <w:spacing w:val="-7"/>
          <w:sz w:val="24"/>
        </w:rPr>
        <w:t> </w:t>
      </w:r>
      <w:r>
        <w:rPr>
          <w:sz w:val="24"/>
        </w:rPr>
        <w:t>early</w:t>
      </w:r>
      <w:r>
        <w:rPr>
          <w:spacing w:val="-6"/>
          <w:sz w:val="24"/>
        </w:rPr>
        <w:t> </w:t>
      </w:r>
      <w:r>
        <w:rPr>
          <w:sz w:val="24"/>
        </w:rPr>
        <w:t>part</w:t>
      </w:r>
      <w:r>
        <w:rPr>
          <w:spacing w:val="-7"/>
          <w:sz w:val="24"/>
        </w:rPr>
        <w:t> </w:t>
      </w:r>
      <w:r>
        <w:rPr>
          <w:sz w:val="24"/>
        </w:rPr>
        <w:t>of</w:t>
      </w:r>
      <w:r>
        <w:rPr>
          <w:spacing w:val="-7"/>
          <w:sz w:val="24"/>
        </w:rPr>
        <w:t> </w:t>
      </w:r>
      <w:r>
        <w:rPr>
          <w:sz w:val="24"/>
        </w:rPr>
        <w:t>the</w:t>
      </w:r>
      <w:r>
        <w:rPr>
          <w:spacing w:val="-7"/>
          <w:sz w:val="24"/>
        </w:rPr>
        <w:t> </w:t>
      </w:r>
      <w:r>
        <w:rPr>
          <w:sz w:val="24"/>
        </w:rPr>
        <w:t>New</w:t>
      </w:r>
      <w:r>
        <w:rPr>
          <w:spacing w:val="-7"/>
          <w:sz w:val="24"/>
        </w:rPr>
        <w:t> </w:t>
      </w:r>
      <w:r>
        <w:rPr>
          <w:sz w:val="24"/>
        </w:rPr>
        <w:t>Year</w:t>
      </w:r>
      <w:r>
        <w:rPr>
          <w:spacing w:val="-7"/>
          <w:sz w:val="24"/>
        </w:rPr>
        <w:t> </w:t>
      </w:r>
      <w:r>
        <w:rPr>
          <w:sz w:val="24"/>
        </w:rPr>
        <w:t>that</w:t>
      </w:r>
      <w:r>
        <w:rPr>
          <w:spacing w:val="-7"/>
          <w:sz w:val="24"/>
        </w:rPr>
        <w:t> </w:t>
      </w:r>
      <w:r>
        <w:rPr>
          <w:sz w:val="24"/>
        </w:rPr>
        <w:t>the</w:t>
      </w:r>
      <w:r>
        <w:rPr>
          <w:spacing w:val="-6"/>
          <w:sz w:val="24"/>
        </w:rPr>
        <w:t> </w:t>
      </w:r>
      <w:r>
        <w:rPr>
          <w:sz w:val="24"/>
        </w:rPr>
        <w:t>economy</w:t>
      </w:r>
      <w:r>
        <w:rPr>
          <w:spacing w:val="-7"/>
          <w:sz w:val="24"/>
        </w:rPr>
        <w:t> </w:t>
      </w:r>
      <w:r>
        <w:rPr>
          <w:sz w:val="24"/>
        </w:rPr>
        <w:t>was</w:t>
      </w:r>
      <w:r>
        <w:rPr>
          <w:spacing w:val="-7"/>
          <w:sz w:val="24"/>
        </w:rPr>
        <w:t> </w:t>
      </w:r>
      <w:r>
        <w:rPr>
          <w:sz w:val="24"/>
        </w:rPr>
        <w:t>slowing</w:t>
      </w:r>
      <w:r>
        <w:rPr>
          <w:spacing w:val="-7"/>
          <w:sz w:val="24"/>
        </w:rPr>
        <w:t> </w:t>
      </w:r>
      <w:r>
        <w:rPr>
          <w:sz w:val="24"/>
        </w:rPr>
        <w:t>sharply.</w:t>
      </w:r>
    </w:p>
    <w:p>
      <w:pPr>
        <w:pStyle w:val="BodyText"/>
        <w:spacing w:before="10"/>
        <w:rPr>
          <w:sz w:val="36"/>
        </w:rPr>
      </w:pPr>
    </w:p>
    <w:p>
      <w:pPr>
        <w:pStyle w:val="ListParagraph"/>
        <w:numPr>
          <w:ilvl w:val="0"/>
          <w:numId w:val="1"/>
        </w:numPr>
        <w:tabs>
          <w:tab w:pos="992" w:val="left" w:leader="none"/>
          <w:tab w:pos="993" w:val="left" w:leader="none"/>
        </w:tabs>
        <w:spacing w:line="372" w:lineRule="auto" w:before="0" w:after="0"/>
        <w:ind w:left="272" w:right="857" w:firstLine="0"/>
        <w:jc w:val="left"/>
        <w:rPr>
          <w:sz w:val="24"/>
        </w:rPr>
      </w:pPr>
      <w:r>
        <w:rPr>
          <w:sz w:val="24"/>
        </w:rPr>
        <w:t>Another possibility was that the economy was close to but not clearly above capacity, although still growing above trend. The economy was therefore delicately poised. Retail</w:t>
      </w:r>
      <w:r>
        <w:rPr>
          <w:spacing w:val="-7"/>
          <w:sz w:val="24"/>
        </w:rPr>
        <w:t> </w:t>
      </w:r>
      <w:r>
        <w:rPr>
          <w:sz w:val="24"/>
        </w:rPr>
        <w:t>price</w:t>
      </w:r>
    </w:p>
    <w:p>
      <w:pPr>
        <w:spacing w:after="0" w:line="372" w:lineRule="auto"/>
        <w:jc w:val="left"/>
        <w:rPr>
          <w:sz w:val="24"/>
        </w:rPr>
        <w:sectPr>
          <w:pgSz w:w="11900" w:h="16840"/>
          <w:pgMar w:header="863" w:footer="0" w:top="1120" w:bottom="280" w:left="860" w:right="880"/>
        </w:sectPr>
      </w:pPr>
    </w:p>
    <w:p>
      <w:pPr>
        <w:pStyle w:val="BodyText"/>
        <w:rPr>
          <w:sz w:val="20"/>
        </w:rPr>
      </w:pPr>
    </w:p>
    <w:p>
      <w:pPr>
        <w:pStyle w:val="BodyText"/>
        <w:rPr>
          <w:sz w:val="22"/>
        </w:rPr>
      </w:pPr>
    </w:p>
    <w:p>
      <w:pPr>
        <w:pStyle w:val="BodyText"/>
        <w:spacing w:line="372" w:lineRule="auto" w:before="90"/>
        <w:ind w:left="272" w:right="262"/>
      </w:pPr>
      <w:r>
        <w:rPr>
          <w:spacing w:val="-3"/>
        </w:rPr>
        <w:t>inflation </w:t>
      </w:r>
      <w:r>
        <w:rPr/>
        <w:t>was </w:t>
      </w:r>
      <w:r>
        <w:rPr>
          <w:spacing w:val="-3"/>
        </w:rPr>
        <w:t>higher than </w:t>
      </w:r>
      <w:r>
        <w:rPr/>
        <w:t>had </w:t>
      </w:r>
      <w:r>
        <w:rPr>
          <w:spacing w:val="-3"/>
        </w:rPr>
        <w:t>been expected </w:t>
      </w:r>
      <w:r>
        <w:rPr/>
        <w:t>in the </w:t>
      </w:r>
      <w:r>
        <w:rPr>
          <w:spacing w:val="-3"/>
        </w:rPr>
        <w:t>summer, remained stubbornly high, </w:t>
      </w:r>
      <w:r>
        <w:rPr/>
        <w:t>and </w:t>
      </w:r>
      <w:r>
        <w:rPr>
          <w:spacing w:val="-3"/>
        </w:rPr>
        <w:t>increased </w:t>
      </w:r>
      <w:r>
        <w:rPr/>
        <w:t>wage pressures were widely expected. On the other hand, domestic demand growth should slow </w:t>
      </w:r>
      <w:r>
        <w:rPr>
          <w:spacing w:val="-3"/>
        </w:rPr>
        <w:t>given </w:t>
      </w:r>
      <w:r>
        <w:rPr/>
        <w:t>the </w:t>
      </w:r>
      <w:r>
        <w:rPr>
          <w:spacing w:val="-3"/>
        </w:rPr>
        <w:t>tightening </w:t>
      </w:r>
      <w:r>
        <w:rPr/>
        <w:t>of </w:t>
      </w:r>
      <w:r>
        <w:rPr>
          <w:spacing w:val="-3"/>
        </w:rPr>
        <w:t>monetary </w:t>
      </w:r>
      <w:r>
        <w:rPr/>
        <w:t>and </w:t>
      </w:r>
      <w:r>
        <w:rPr>
          <w:spacing w:val="-3"/>
        </w:rPr>
        <w:t>fiscal policy. </w:t>
      </w:r>
      <w:r>
        <w:rPr/>
        <w:t>And the </w:t>
      </w:r>
      <w:r>
        <w:rPr>
          <w:spacing w:val="-3"/>
        </w:rPr>
        <w:t>effects </w:t>
      </w:r>
      <w:r>
        <w:rPr/>
        <w:t>of </w:t>
      </w:r>
      <w:r>
        <w:rPr>
          <w:spacing w:val="-3"/>
        </w:rPr>
        <w:t>sterling’s appreciation on </w:t>
      </w:r>
      <w:r>
        <w:rPr/>
        <w:t>inflation was still expected to come through, via a slowdown in net trade and greater </w:t>
      </w:r>
      <w:r>
        <w:rPr>
          <w:spacing w:val="-2"/>
        </w:rPr>
        <w:t>pass-through </w:t>
      </w:r>
      <w:r>
        <w:rPr/>
        <w:t>into retail prices.</w:t>
      </w:r>
    </w:p>
    <w:p>
      <w:pPr>
        <w:pStyle w:val="BodyText"/>
        <w:spacing w:before="11"/>
        <w:rPr>
          <w:sz w:val="36"/>
        </w:rPr>
      </w:pPr>
    </w:p>
    <w:p>
      <w:pPr>
        <w:pStyle w:val="ListParagraph"/>
        <w:numPr>
          <w:ilvl w:val="0"/>
          <w:numId w:val="1"/>
        </w:numPr>
        <w:tabs>
          <w:tab w:pos="992" w:val="left" w:leader="none"/>
          <w:tab w:pos="993" w:val="left" w:leader="none"/>
        </w:tabs>
        <w:spacing w:line="372" w:lineRule="auto" w:before="0" w:after="0"/>
        <w:ind w:left="272" w:right="238" w:firstLine="0"/>
        <w:jc w:val="left"/>
        <w:rPr>
          <w:sz w:val="24"/>
        </w:rPr>
      </w:pPr>
      <w:r>
        <w:rPr>
          <w:sz w:val="24"/>
        </w:rPr>
        <w:t>A further possible view was to take encouragement for the inflation outlook from the most recent data. There were signs that output would peak in Q4, as the Bank had forecast, and that the economy would slow in the first half of 1998. Developments in Asia could mean that the slowdown in net trade would be more pronounced than forecast in the November </w:t>
      </w:r>
      <w:r>
        <w:rPr>
          <w:i/>
          <w:sz w:val="24"/>
        </w:rPr>
        <w:t>Inflation Report</w:t>
      </w:r>
      <w:r>
        <w:rPr>
          <w:sz w:val="24"/>
        </w:rPr>
        <w:t>. If uncertainty over EMU and other external developments continued, sterling might not depreciate in line with uncovered interest parity as had been assumed in the November forecast, which could improve</w:t>
      </w:r>
      <w:r>
        <w:rPr>
          <w:spacing w:val="-8"/>
          <w:sz w:val="24"/>
        </w:rPr>
        <w:t> </w:t>
      </w:r>
      <w:r>
        <w:rPr>
          <w:sz w:val="24"/>
        </w:rPr>
        <w:t>the</w:t>
      </w:r>
      <w:r>
        <w:rPr>
          <w:spacing w:val="-7"/>
          <w:sz w:val="24"/>
        </w:rPr>
        <w:t> </w:t>
      </w:r>
      <w:r>
        <w:rPr>
          <w:sz w:val="24"/>
        </w:rPr>
        <w:t>inflation</w:t>
      </w:r>
      <w:r>
        <w:rPr>
          <w:spacing w:val="-7"/>
          <w:sz w:val="24"/>
        </w:rPr>
        <w:t> </w:t>
      </w:r>
      <w:r>
        <w:rPr>
          <w:sz w:val="24"/>
        </w:rPr>
        <w:t>outlook.</w:t>
      </w:r>
      <w:r>
        <w:rPr>
          <w:spacing w:val="49"/>
          <w:sz w:val="24"/>
        </w:rPr>
        <w:t> </w:t>
      </w:r>
      <w:r>
        <w:rPr>
          <w:sz w:val="24"/>
        </w:rPr>
        <w:t>And</w:t>
      </w:r>
      <w:r>
        <w:rPr>
          <w:spacing w:val="-8"/>
          <w:sz w:val="24"/>
        </w:rPr>
        <w:t> </w:t>
      </w:r>
      <w:r>
        <w:rPr>
          <w:sz w:val="24"/>
        </w:rPr>
        <w:t>while</w:t>
      </w:r>
      <w:r>
        <w:rPr>
          <w:spacing w:val="-7"/>
          <w:sz w:val="24"/>
        </w:rPr>
        <w:t> </w:t>
      </w:r>
      <w:r>
        <w:rPr>
          <w:sz w:val="24"/>
        </w:rPr>
        <w:t>the</w:t>
      </w:r>
      <w:r>
        <w:rPr>
          <w:spacing w:val="-7"/>
          <w:sz w:val="24"/>
        </w:rPr>
        <w:t> </w:t>
      </w:r>
      <w:r>
        <w:rPr>
          <w:sz w:val="24"/>
        </w:rPr>
        <w:t>pace</w:t>
      </w:r>
      <w:r>
        <w:rPr>
          <w:spacing w:val="-7"/>
          <w:sz w:val="24"/>
        </w:rPr>
        <w:t> </w:t>
      </w:r>
      <w:r>
        <w:rPr>
          <w:sz w:val="24"/>
        </w:rPr>
        <w:t>of</w:t>
      </w:r>
      <w:r>
        <w:rPr>
          <w:spacing w:val="-7"/>
          <w:sz w:val="24"/>
        </w:rPr>
        <w:t> </w:t>
      </w:r>
      <w:r>
        <w:rPr>
          <w:sz w:val="24"/>
        </w:rPr>
        <w:t>slowdown</w:t>
      </w:r>
      <w:r>
        <w:rPr>
          <w:spacing w:val="-7"/>
          <w:sz w:val="24"/>
        </w:rPr>
        <w:t> </w:t>
      </w:r>
      <w:r>
        <w:rPr>
          <w:sz w:val="24"/>
        </w:rPr>
        <w:t>needed</w:t>
      </w:r>
      <w:r>
        <w:rPr>
          <w:spacing w:val="-7"/>
          <w:sz w:val="24"/>
        </w:rPr>
        <w:t> </w:t>
      </w:r>
      <w:r>
        <w:rPr>
          <w:sz w:val="24"/>
        </w:rPr>
        <w:t>to</w:t>
      </w:r>
      <w:r>
        <w:rPr>
          <w:spacing w:val="-8"/>
          <w:sz w:val="24"/>
        </w:rPr>
        <w:t> </w:t>
      </w:r>
      <w:r>
        <w:rPr>
          <w:sz w:val="24"/>
        </w:rPr>
        <w:t>avert</w:t>
      </w:r>
      <w:r>
        <w:rPr>
          <w:spacing w:val="-7"/>
          <w:sz w:val="24"/>
        </w:rPr>
        <w:t> </w:t>
      </w:r>
      <w:r>
        <w:rPr>
          <w:sz w:val="24"/>
        </w:rPr>
        <w:t>a</w:t>
      </w:r>
      <w:r>
        <w:rPr>
          <w:spacing w:val="-7"/>
          <w:sz w:val="24"/>
        </w:rPr>
        <w:t> </w:t>
      </w:r>
      <w:r>
        <w:rPr>
          <w:sz w:val="24"/>
        </w:rPr>
        <w:t>pick</w:t>
      </w:r>
      <w:r>
        <w:rPr>
          <w:spacing w:val="-7"/>
          <w:sz w:val="24"/>
        </w:rPr>
        <w:t> </w:t>
      </w:r>
      <w:r>
        <w:rPr>
          <w:sz w:val="24"/>
        </w:rPr>
        <w:t>up</w:t>
      </w:r>
      <w:r>
        <w:rPr>
          <w:spacing w:val="-7"/>
          <w:sz w:val="24"/>
        </w:rPr>
        <w:t> </w:t>
      </w:r>
      <w:r>
        <w:rPr>
          <w:sz w:val="24"/>
        </w:rPr>
        <w:t>in</w:t>
      </w:r>
      <w:r>
        <w:rPr>
          <w:spacing w:val="-7"/>
          <w:sz w:val="24"/>
        </w:rPr>
        <w:t> </w:t>
      </w:r>
      <w:r>
        <w:rPr>
          <w:sz w:val="24"/>
        </w:rPr>
        <w:t>inflation depended on whether there was any slack in the economy, some encouragement on this score might be taken from the persistence of muted producer input and output</w:t>
      </w:r>
      <w:r>
        <w:rPr>
          <w:spacing w:val="1"/>
          <w:sz w:val="24"/>
        </w:rPr>
        <w:t> </w:t>
      </w:r>
      <w:r>
        <w:rPr>
          <w:sz w:val="24"/>
        </w:rPr>
        <w:t>prices.</w:t>
      </w:r>
    </w:p>
    <w:p>
      <w:pPr>
        <w:pStyle w:val="BodyText"/>
        <w:spacing w:before="8"/>
        <w:rPr>
          <w:sz w:val="36"/>
        </w:rPr>
      </w:pPr>
    </w:p>
    <w:p>
      <w:pPr>
        <w:pStyle w:val="ListParagraph"/>
        <w:numPr>
          <w:ilvl w:val="0"/>
          <w:numId w:val="1"/>
        </w:numPr>
        <w:tabs>
          <w:tab w:pos="992" w:val="left" w:leader="none"/>
          <w:tab w:pos="993" w:val="left" w:leader="none"/>
        </w:tabs>
        <w:spacing w:line="372" w:lineRule="auto" w:before="0" w:after="0"/>
        <w:ind w:left="272" w:right="224" w:firstLine="0"/>
        <w:jc w:val="left"/>
        <w:rPr>
          <w:sz w:val="24"/>
        </w:rPr>
      </w:pPr>
      <w:r>
        <w:rPr>
          <w:sz w:val="24"/>
        </w:rPr>
        <w:t>The</w:t>
      </w:r>
      <w:r>
        <w:rPr>
          <w:spacing w:val="-4"/>
          <w:sz w:val="24"/>
        </w:rPr>
        <w:t> </w:t>
      </w:r>
      <w:r>
        <w:rPr>
          <w:sz w:val="24"/>
        </w:rPr>
        <w:t>Committee</w:t>
      </w:r>
      <w:r>
        <w:rPr>
          <w:spacing w:val="-3"/>
          <w:sz w:val="24"/>
        </w:rPr>
        <w:t> </w:t>
      </w:r>
      <w:r>
        <w:rPr>
          <w:sz w:val="24"/>
        </w:rPr>
        <w:t>agreed</w:t>
      </w:r>
      <w:r>
        <w:rPr>
          <w:spacing w:val="-3"/>
          <w:sz w:val="24"/>
        </w:rPr>
        <w:t> </w:t>
      </w:r>
      <w:r>
        <w:rPr>
          <w:sz w:val="24"/>
        </w:rPr>
        <w:t>that</w:t>
      </w:r>
      <w:r>
        <w:rPr>
          <w:spacing w:val="-3"/>
          <w:sz w:val="24"/>
        </w:rPr>
        <w:t> </w:t>
      </w:r>
      <w:r>
        <w:rPr>
          <w:sz w:val="24"/>
        </w:rPr>
        <w:t>there</w:t>
      </w:r>
      <w:r>
        <w:rPr>
          <w:spacing w:val="-3"/>
          <w:sz w:val="24"/>
        </w:rPr>
        <w:t> </w:t>
      </w:r>
      <w:r>
        <w:rPr>
          <w:sz w:val="24"/>
        </w:rPr>
        <w:t>was</w:t>
      </w:r>
      <w:r>
        <w:rPr>
          <w:spacing w:val="-3"/>
          <w:sz w:val="24"/>
        </w:rPr>
        <w:t> </w:t>
      </w:r>
      <w:r>
        <w:rPr>
          <w:sz w:val="24"/>
        </w:rPr>
        <w:t>uncertainty</w:t>
      </w:r>
      <w:r>
        <w:rPr>
          <w:spacing w:val="-4"/>
          <w:sz w:val="24"/>
        </w:rPr>
        <w:t> </w:t>
      </w:r>
      <w:r>
        <w:rPr>
          <w:sz w:val="24"/>
        </w:rPr>
        <w:t>about</w:t>
      </w:r>
      <w:r>
        <w:rPr>
          <w:spacing w:val="-3"/>
          <w:sz w:val="24"/>
        </w:rPr>
        <w:t> </w:t>
      </w:r>
      <w:r>
        <w:rPr>
          <w:sz w:val="24"/>
        </w:rPr>
        <w:t>where</w:t>
      </w:r>
      <w:r>
        <w:rPr>
          <w:spacing w:val="-3"/>
          <w:sz w:val="24"/>
        </w:rPr>
        <w:t> </w:t>
      </w:r>
      <w:r>
        <w:rPr>
          <w:sz w:val="24"/>
        </w:rPr>
        <w:t>the</w:t>
      </w:r>
      <w:r>
        <w:rPr>
          <w:spacing w:val="-3"/>
          <w:sz w:val="24"/>
        </w:rPr>
        <w:t> </w:t>
      </w:r>
      <w:r>
        <w:rPr>
          <w:sz w:val="24"/>
        </w:rPr>
        <w:t>economy</w:t>
      </w:r>
      <w:r>
        <w:rPr>
          <w:spacing w:val="-3"/>
          <w:sz w:val="24"/>
        </w:rPr>
        <w:t> </w:t>
      </w:r>
      <w:r>
        <w:rPr>
          <w:sz w:val="24"/>
        </w:rPr>
        <w:t>was</w:t>
      </w:r>
      <w:r>
        <w:rPr>
          <w:spacing w:val="-3"/>
          <w:sz w:val="24"/>
        </w:rPr>
        <w:t> </w:t>
      </w:r>
      <w:r>
        <w:rPr>
          <w:sz w:val="24"/>
        </w:rPr>
        <w:t>in</w:t>
      </w:r>
      <w:r>
        <w:rPr>
          <w:spacing w:val="-3"/>
          <w:sz w:val="24"/>
        </w:rPr>
        <w:t> </w:t>
      </w:r>
      <w:r>
        <w:rPr>
          <w:sz w:val="24"/>
        </w:rPr>
        <w:t>relation</w:t>
      </w:r>
      <w:r>
        <w:rPr>
          <w:spacing w:val="-4"/>
          <w:sz w:val="24"/>
        </w:rPr>
        <w:t> </w:t>
      </w:r>
      <w:r>
        <w:rPr>
          <w:spacing w:val="-7"/>
          <w:sz w:val="24"/>
        </w:rPr>
        <w:t>to </w:t>
      </w:r>
      <w:r>
        <w:rPr>
          <w:spacing w:val="-3"/>
          <w:sz w:val="24"/>
        </w:rPr>
        <w:t>capacity </w:t>
      </w:r>
      <w:r>
        <w:rPr>
          <w:sz w:val="24"/>
        </w:rPr>
        <w:t>and </w:t>
      </w:r>
      <w:r>
        <w:rPr>
          <w:spacing w:val="-3"/>
          <w:sz w:val="24"/>
        </w:rPr>
        <w:t>that this made </w:t>
      </w:r>
      <w:r>
        <w:rPr>
          <w:sz w:val="24"/>
        </w:rPr>
        <w:t>the </w:t>
      </w:r>
      <w:r>
        <w:rPr>
          <w:spacing w:val="-3"/>
          <w:sz w:val="24"/>
        </w:rPr>
        <w:t>policy judgment very difficult. There </w:t>
      </w:r>
      <w:r>
        <w:rPr>
          <w:sz w:val="24"/>
        </w:rPr>
        <w:t>had </w:t>
      </w:r>
      <w:r>
        <w:rPr>
          <w:spacing w:val="-3"/>
          <w:sz w:val="24"/>
        </w:rPr>
        <w:t>been relatively little news in </w:t>
      </w:r>
      <w:r>
        <w:rPr>
          <w:sz w:val="24"/>
        </w:rPr>
        <w:t>the last month’s data that helped to resolve this question, given that the Committee had already been expecting a strong Q4. That being so, there was a case for waiting to see further developments. It was</w:t>
      </w:r>
      <w:r>
        <w:rPr>
          <w:spacing w:val="-8"/>
          <w:sz w:val="24"/>
        </w:rPr>
        <w:t> </w:t>
      </w:r>
      <w:r>
        <w:rPr>
          <w:sz w:val="24"/>
        </w:rPr>
        <w:t>also</w:t>
      </w:r>
      <w:r>
        <w:rPr>
          <w:spacing w:val="-7"/>
          <w:sz w:val="24"/>
        </w:rPr>
        <w:t> </w:t>
      </w:r>
      <w:r>
        <w:rPr>
          <w:sz w:val="24"/>
        </w:rPr>
        <w:t>possible</w:t>
      </w:r>
      <w:r>
        <w:rPr>
          <w:spacing w:val="-8"/>
          <w:sz w:val="24"/>
        </w:rPr>
        <w:t> </w:t>
      </w:r>
      <w:r>
        <w:rPr>
          <w:sz w:val="24"/>
        </w:rPr>
        <w:t>that</w:t>
      </w:r>
      <w:r>
        <w:rPr>
          <w:spacing w:val="-7"/>
          <w:sz w:val="24"/>
        </w:rPr>
        <w:t> </w:t>
      </w:r>
      <w:r>
        <w:rPr>
          <w:sz w:val="24"/>
        </w:rPr>
        <w:t>the</w:t>
      </w:r>
      <w:r>
        <w:rPr>
          <w:spacing w:val="-8"/>
          <w:sz w:val="24"/>
        </w:rPr>
        <w:t> </w:t>
      </w:r>
      <w:r>
        <w:rPr>
          <w:sz w:val="24"/>
        </w:rPr>
        <w:t>exchange</w:t>
      </w:r>
      <w:r>
        <w:rPr>
          <w:spacing w:val="-7"/>
          <w:sz w:val="24"/>
        </w:rPr>
        <w:t> </w:t>
      </w:r>
      <w:r>
        <w:rPr>
          <w:sz w:val="24"/>
        </w:rPr>
        <w:t>rate</w:t>
      </w:r>
      <w:r>
        <w:rPr>
          <w:spacing w:val="-8"/>
          <w:sz w:val="24"/>
        </w:rPr>
        <w:t> </w:t>
      </w:r>
      <w:r>
        <w:rPr>
          <w:sz w:val="24"/>
        </w:rPr>
        <w:t>would</w:t>
      </w:r>
      <w:r>
        <w:rPr>
          <w:spacing w:val="-7"/>
          <w:sz w:val="24"/>
        </w:rPr>
        <w:t> </w:t>
      </w:r>
      <w:r>
        <w:rPr>
          <w:sz w:val="24"/>
        </w:rPr>
        <w:t>prove</w:t>
      </w:r>
      <w:r>
        <w:rPr>
          <w:spacing w:val="-7"/>
          <w:sz w:val="24"/>
        </w:rPr>
        <w:t> </w:t>
      </w:r>
      <w:r>
        <w:rPr>
          <w:sz w:val="24"/>
        </w:rPr>
        <w:t>especially</w:t>
      </w:r>
      <w:r>
        <w:rPr>
          <w:spacing w:val="-8"/>
          <w:sz w:val="24"/>
        </w:rPr>
        <w:t> </w:t>
      </w:r>
      <w:r>
        <w:rPr>
          <w:sz w:val="24"/>
        </w:rPr>
        <w:t>sensitive</w:t>
      </w:r>
      <w:r>
        <w:rPr>
          <w:spacing w:val="-7"/>
          <w:sz w:val="24"/>
        </w:rPr>
        <w:t> </w:t>
      </w:r>
      <w:r>
        <w:rPr>
          <w:sz w:val="24"/>
        </w:rPr>
        <w:t>to</w:t>
      </w:r>
      <w:r>
        <w:rPr>
          <w:spacing w:val="-8"/>
          <w:sz w:val="24"/>
        </w:rPr>
        <w:t> </w:t>
      </w:r>
      <w:r>
        <w:rPr>
          <w:sz w:val="24"/>
        </w:rPr>
        <w:t>an</w:t>
      </w:r>
      <w:r>
        <w:rPr>
          <w:spacing w:val="-7"/>
          <w:sz w:val="24"/>
        </w:rPr>
        <w:t> </w:t>
      </w:r>
      <w:r>
        <w:rPr>
          <w:sz w:val="24"/>
        </w:rPr>
        <w:t>interest</w:t>
      </w:r>
      <w:r>
        <w:rPr>
          <w:spacing w:val="-8"/>
          <w:sz w:val="24"/>
        </w:rPr>
        <w:t> </w:t>
      </w:r>
      <w:r>
        <w:rPr>
          <w:sz w:val="24"/>
        </w:rPr>
        <w:t>rate</w:t>
      </w:r>
      <w:r>
        <w:rPr>
          <w:spacing w:val="-7"/>
          <w:sz w:val="24"/>
        </w:rPr>
        <w:t> </w:t>
      </w:r>
      <w:r>
        <w:rPr>
          <w:sz w:val="24"/>
        </w:rPr>
        <w:t>move</w:t>
      </w:r>
      <w:r>
        <w:rPr>
          <w:spacing w:val="-8"/>
          <w:sz w:val="24"/>
        </w:rPr>
        <w:t> </w:t>
      </w:r>
      <w:r>
        <w:rPr>
          <w:sz w:val="24"/>
        </w:rPr>
        <w:t>at</w:t>
      </w:r>
      <w:r>
        <w:rPr>
          <w:spacing w:val="-7"/>
          <w:sz w:val="24"/>
        </w:rPr>
        <w:t> </w:t>
      </w:r>
      <w:r>
        <w:rPr>
          <w:sz w:val="24"/>
        </w:rPr>
        <w:t>a </w:t>
      </w:r>
      <w:r>
        <w:rPr>
          <w:spacing w:val="-3"/>
          <w:sz w:val="24"/>
        </w:rPr>
        <w:t>time </w:t>
      </w:r>
      <w:r>
        <w:rPr>
          <w:sz w:val="24"/>
        </w:rPr>
        <w:t>of </w:t>
      </w:r>
      <w:r>
        <w:rPr>
          <w:spacing w:val="-3"/>
          <w:sz w:val="24"/>
        </w:rPr>
        <w:t>unusual uncertainty </w:t>
      </w:r>
      <w:r>
        <w:rPr>
          <w:sz w:val="24"/>
        </w:rPr>
        <w:t>in </w:t>
      </w:r>
      <w:r>
        <w:rPr>
          <w:spacing w:val="-3"/>
          <w:sz w:val="24"/>
        </w:rPr>
        <w:t>global financial</w:t>
      </w:r>
      <w:r>
        <w:rPr>
          <w:spacing w:val="5"/>
          <w:sz w:val="24"/>
        </w:rPr>
        <w:t> </w:t>
      </w:r>
      <w:r>
        <w:rPr>
          <w:spacing w:val="-3"/>
          <w:sz w:val="24"/>
        </w:rPr>
        <w:t>markets.</w:t>
      </w:r>
    </w:p>
    <w:p>
      <w:pPr>
        <w:pStyle w:val="BodyText"/>
        <w:spacing w:before="10"/>
        <w:rPr>
          <w:sz w:val="36"/>
        </w:rPr>
      </w:pPr>
    </w:p>
    <w:p>
      <w:pPr>
        <w:pStyle w:val="ListParagraph"/>
        <w:numPr>
          <w:ilvl w:val="0"/>
          <w:numId w:val="1"/>
        </w:numPr>
        <w:tabs>
          <w:tab w:pos="992" w:val="left" w:leader="none"/>
          <w:tab w:pos="993" w:val="left" w:leader="none"/>
        </w:tabs>
        <w:spacing w:line="240" w:lineRule="auto" w:before="0" w:after="0"/>
        <w:ind w:left="992" w:right="0" w:hanging="721"/>
        <w:jc w:val="left"/>
        <w:rPr>
          <w:sz w:val="24"/>
        </w:rPr>
      </w:pPr>
      <w:r>
        <w:rPr>
          <w:sz w:val="24"/>
        </w:rPr>
        <w:t>The</w:t>
      </w:r>
      <w:r>
        <w:rPr>
          <w:spacing w:val="-7"/>
          <w:sz w:val="24"/>
        </w:rPr>
        <w:t> </w:t>
      </w:r>
      <w:r>
        <w:rPr>
          <w:sz w:val="24"/>
        </w:rPr>
        <w:t>Committee</w:t>
      </w:r>
      <w:r>
        <w:rPr>
          <w:spacing w:val="-7"/>
          <w:sz w:val="24"/>
        </w:rPr>
        <w:t> </w:t>
      </w:r>
      <w:r>
        <w:rPr>
          <w:sz w:val="24"/>
        </w:rPr>
        <w:t>then</w:t>
      </w:r>
      <w:r>
        <w:rPr>
          <w:spacing w:val="-7"/>
          <w:sz w:val="24"/>
        </w:rPr>
        <w:t> </w:t>
      </w:r>
      <w:r>
        <w:rPr>
          <w:sz w:val="24"/>
        </w:rPr>
        <w:t>voted</w:t>
      </w:r>
      <w:r>
        <w:rPr>
          <w:spacing w:val="-7"/>
          <w:sz w:val="24"/>
        </w:rPr>
        <w:t> </w:t>
      </w:r>
      <w:r>
        <w:rPr>
          <w:sz w:val="24"/>
        </w:rPr>
        <w:t>unanimously</w:t>
      </w:r>
      <w:r>
        <w:rPr>
          <w:spacing w:val="-7"/>
          <w:sz w:val="24"/>
        </w:rPr>
        <w:t> </w:t>
      </w:r>
      <w:r>
        <w:rPr>
          <w:sz w:val="24"/>
        </w:rPr>
        <w:t>in</w:t>
      </w:r>
      <w:r>
        <w:rPr>
          <w:spacing w:val="-7"/>
          <w:sz w:val="24"/>
        </w:rPr>
        <w:t> </w:t>
      </w:r>
      <w:r>
        <w:rPr>
          <w:sz w:val="24"/>
        </w:rPr>
        <w:t>favour</w:t>
      </w:r>
      <w:r>
        <w:rPr>
          <w:spacing w:val="-7"/>
          <w:sz w:val="24"/>
        </w:rPr>
        <w:t> </w:t>
      </w:r>
      <w:r>
        <w:rPr>
          <w:sz w:val="24"/>
        </w:rPr>
        <w:t>of</w:t>
      </w:r>
      <w:r>
        <w:rPr>
          <w:spacing w:val="-7"/>
          <w:sz w:val="24"/>
        </w:rPr>
        <w:t> </w:t>
      </w:r>
      <w:r>
        <w:rPr>
          <w:sz w:val="24"/>
        </w:rPr>
        <w:t>leaving</w:t>
      </w:r>
      <w:r>
        <w:rPr>
          <w:spacing w:val="-7"/>
          <w:sz w:val="24"/>
        </w:rPr>
        <w:t> </w:t>
      </w:r>
      <w:r>
        <w:rPr>
          <w:sz w:val="24"/>
        </w:rPr>
        <w:t>the</w:t>
      </w:r>
      <w:r>
        <w:rPr>
          <w:spacing w:val="-7"/>
          <w:sz w:val="24"/>
        </w:rPr>
        <w:t> </w:t>
      </w:r>
      <w:r>
        <w:rPr>
          <w:sz w:val="24"/>
        </w:rPr>
        <w:t>Bank’s</w:t>
      </w:r>
      <w:r>
        <w:rPr>
          <w:spacing w:val="-7"/>
          <w:sz w:val="24"/>
        </w:rPr>
        <w:t> </w:t>
      </w:r>
      <w:r>
        <w:rPr>
          <w:sz w:val="24"/>
        </w:rPr>
        <w:t>repo</w:t>
      </w:r>
      <w:r>
        <w:rPr>
          <w:spacing w:val="-7"/>
          <w:sz w:val="24"/>
        </w:rPr>
        <w:t> </w:t>
      </w:r>
      <w:r>
        <w:rPr>
          <w:sz w:val="24"/>
        </w:rPr>
        <w:t>rate</w:t>
      </w:r>
      <w:r>
        <w:rPr>
          <w:spacing w:val="-7"/>
          <w:sz w:val="24"/>
        </w:rPr>
        <w:t> </w:t>
      </w:r>
      <w:r>
        <w:rPr>
          <w:sz w:val="24"/>
        </w:rPr>
        <w:t>unchanged.</w:t>
      </w:r>
    </w:p>
    <w:p>
      <w:pPr>
        <w:pStyle w:val="BodyText"/>
        <w:rPr>
          <w:sz w:val="26"/>
        </w:rPr>
      </w:pPr>
    </w:p>
    <w:p>
      <w:pPr>
        <w:pStyle w:val="BodyText"/>
        <w:spacing w:before="3"/>
      </w:pPr>
    </w:p>
    <w:p>
      <w:pPr>
        <w:pStyle w:val="ListParagraph"/>
        <w:numPr>
          <w:ilvl w:val="0"/>
          <w:numId w:val="1"/>
        </w:numPr>
        <w:tabs>
          <w:tab w:pos="992" w:val="left" w:leader="none"/>
          <w:tab w:pos="993" w:val="left" w:leader="none"/>
        </w:tabs>
        <w:spacing w:line="240" w:lineRule="auto" w:before="0" w:after="0"/>
        <w:ind w:left="992" w:right="0" w:hanging="721"/>
        <w:jc w:val="left"/>
        <w:rPr>
          <w:sz w:val="24"/>
        </w:rPr>
      </w:pPr>
      <w:r>
        <w:rPr>
          <w:sz w:val="24"/>
        </w:rPr>
        <w:t>The following members of the Committee were</w:t>
      </w:r>
      <w:r>
        <w:rPr>
          <w:spacing w:val="-8"/>
          <w:sz w:val="24"/>
        </w:rPr>
        <w:t> </w:t>
      </w:r>
      <w:r>
        <w:rPr>
          <w:sz w:val="24"/>
        </w:rPr>
        <w:t>present:</w:t>
      </w:r>
    </w:p>
    <w:p>
      <w:pPr>
        <w:pStyle w:val="BodyText"/>
        <w:rPr>
          <w:sz w:val="26"/>
        </w:rPr>
      </w:pPr>
    </w:p>
    <w:p>
      <w:pPr>
        <w:pStyle w:val="BodyText"/>
        <w:spacing w:before="4"/>
      </w:pPr>
    </w:p>
    <w:p>
      <w:pPr>
        <w:pStyle w:val="BodyText"/>
        <w:ind w:left="272"/>
      </w:pPr>
      <w:r>
        <w:rPr/>
        <w:t>Eddie George (Governor)</w:t>
      </w:r>
    </w:p>
    <w:p>
      <w:pPr>
        <w:pStyle w:val="BodyText"/>
        <w:spacing w:line="372" w:lineRule="auto" w:before="151"/>
        <w:ind w:left="272" w:right="6195"/>
      </w:pPr>
      <w:r>
        <w:rPr/>
        <w:t>David Clementi (Deputy Governor) Sir Alan Budd</w:t>
      </w:r>
    </w:p>
    <w:p>
      <w:pPr>
        <w:pStyle w:val="BodyText"/>
        <w:spacing w:line="372" w:lineRule="auto"/>
        <w:ind w:left="272" w:right="7795"/>
      </w:pPr>
      <w:r>
        <w:rPr/>
        <w:t>Willem Buiter Charles Goodhart</w:t>
      </w:r>
    </w:p>
    <w:p>
      <w:pPr>
        <w:spacing w:after="0" w:line="372" w:lineRule="auto"/>
        <w:sectPr>
          <w:pgSz w:w="11900" w:h="16840"/>
          <w:pgMar w:header="863" w:footer="0" w:top="1120" w:bottom="280" w:left="860" w:right="880"/>
        </w:sectPr>
      </w:pPr>
    </w:p>
    <w:p>
      <w:pPr>
        <w:pStyle w:val="BodyText"/>
        <w:rPr>
          <w:sz w:val="20"/>
        </w:rPr>
      </w:pPr>
    </w:p>
    <w:p>
      <w:pPr>
        <w:pStyle w:val="BodyText"/>
        <w:rPr>
          <w:sz w:val="22"/>
        </w:rPr>
      </w:pPr>
    </w:p>
    <w:p>
      <w:pPr>
        <w:pStyle w:val="BodyText"/>
        <w:spacing w:line="372" w:lineRule="auto" w:before="90"/>
        <w:ind w:left="272" w:right="8341"/>
      </w:pPr>
      <w:r>
        <w:rPr/>
        <w:t>DeAnne Julius Mervyn King Ian Plenderleith</w:t>
      </w:r>
    </w:p>
    <w:p>
      <w:pPr>
        <w:pStyle w:val="BodyText"/>
        <w:rPr>
          <w:sz w:val="37"/>
        </w:rPr>
      </w:pPr>
    </w:p>
    <w:p>
      <w:pPr>
        <w:pStyle w:val="ListParagraph"/>
        <w:numPr>
          <w:ilvl w:val="0"/>
          <w:numId w:val="1"/>
        </w:numPr>
        <w:tabs>
          <w:tab w:pos="992" w:val="left" w:leader="none"/>
          <w:tab w:pos="993" w:val="left" w:leader="none"/>
        </w:tabs>
        <w:spacing w:line="240" w:lineRule="auto" w:before="0" w:after="0"/>
        <w:ind w:left="992" w:right="0" w:hanging="721"/>
        <w:jc w:val="left"/>
        <w:rPr>
          <w:sz w:val="24"/>
        </w:rPr>
      </w:pPr>
      <w:r>
        <w:rPr>
          <w:sz w:val="24"/>
        </w:rPr>
        <w:t>Sir Terence Burns was also present as the Treasury’s</w:t>
      </w:r>
      <w:r>
        <w:rPr>
          <w:spacing w:val="-7"/>
          <w:sz w:val="24"/>
        </w:rPr>
        <w:t> </w:t>
      </w:r>
      <w:r>
        <w:rPr>
          <w:sz w:val="24"/>
        </w:rPr>
        <w:t>representative.</w:t>
      </w:r>
    </w:p>
    <w:p>
      <w:pPr>
        <w:spacing w:after="0" w:line="240" w:lineRule="auto"/>
        <w:jc w:val="left"/>
        <w:rPr>
          <w:sz w:val="24"/>
        </w:rPr>
        <w:sectPr>
          <w:pgSz w:w="11900" w:h="16840"/>
          <w:pgMar w:header="863" w:footer="0" w:top="1120" w:bottom="280" w:left="860" w:right="880"/>
        </w:sectPr>
      </w:pPr>
    </w:p>
    <w:p>
      <w:pPr>
        <w:pStyle w:val="BodyText"/>
        <w:spacing w:before="4"/>
        <w:rPr>
          <w:sz w:val="28"/>
        </w:rPr>
      </w:pPr>
    </w:p>
    <w:p>
      <w:pPr>
        <w:spacing w:line="247" w:lineRule="auto" w:before="89"/>
        <w:ind w:left="940" w:right="519" w:firstLine="0"/>
        <w:jc w:val="left"/>
        <w:rPr>
          <w:b/>
          <w:sz w:val="26"/>
        </w:rPr>
      </w:pPr>
      <w:r>
        <w:rPr>
          <w:b/>
          <w:sz w:val="26"/>
        </w:rPr>
        <w:t>ANNEX: SUMMARY OF DATA PRESENTED TO THE MONETARY POLICY COMMITTEE BY BANK STAFF</w:t>
      </w:r>
    </w:p>
    <w:p>
      <w:pPr>
        <w:pStyle w:val="BodyText"/>
        <w:spacing w:before="6"/>
        <w:rPr>
          <w:b/>
          <w:sz w:val="36"/>
        </w:rPr>
      </w:pPr>
    </w:p>
    <w:p>
      <w:pPr>
        <w:pStyle w:val="BodyText"/>
        <w:spacing w:line="372" w:lineRule="auto"/>
        <w:ind w:left="940" w:right="934"/>
      </w:pPr>
      <w:r>
        <w:rPr/>
        <w:t>A1  </w:t>
      </w:r>
      <w:r>
        <w:rPr>
          <w:spacing w:val="-3"/>
        </w:rPr>
        <w:t>This Annex summarises </w:t>
      </w:r>
      <w:r>
        <w:rPr/>
        <w:t>the </w:t>
      </w:r>
      <w:r>
        <w:rPr>
          <w:spacing w:val="-3"/>
        </w:rPr>
        <w:t>analysis presented </w:t>
      </w:r>
      <w:r>
        <w:rPr/>
        <w:t>by </w:t>
      </w:r>
      <w:r>
        <w:rPr>
          <w:spacing w:val="-3"/>
        </w:rPr>
        <w:t>Bank staff </w:t>
      </w:r>
      <w:r>
        <w:rPr/>
        <w:t>to the </w:t>
      </w:r>
      <w:r>
        <w:rPr>
          <w:spacing w:val="-3"/>
        </w:rPr>
        <w:t>Monetary </w:t>
      </w:r>
      <w:r>
        <w:rPr/>
        <w:t>Policy Committee on 28 November 1997, in advance of its meeting. At the start of </w:t>
      </w:r>
      <w:r>
        <w:rPr>
          <w:spacing w:val="-2"/>
        </w:rPr>
        <w:t>the </w:t>
      </w:r>
      <w:r>
        <w:rPr>
          <w:spacing w:val="-3"/>
        </w:rPr>
        <w:t>Committee meeting itself, members were made aware </w:t>
      </w:r>
      <w:r>
        <w:rPr/>
        <w:t>of </w:t>
      </w:r>
      <w:r>
        <w:rPr>
          <w:spacing w:val="-3"/>
        </w:rPr>
        <w:t>information that had subsequently become available, </w:t>
      </w:r>
      <w:r>
        <w:rPr/>
        <w:t>and </w:t>
      </w:r>
      <w:r>
        <w:rPr>
          <w:spacing w:val="-3"/>
        </w:rPr>
        <w:t>that information </w:t>
      </w:r>
      <w:r>
        <w:rPr/>
        <w:t>is </w:t>
      </w:r>
      <w:r>
        <w:rPr>
          <w:spacing w:val="-3"/>
        </w:rPr>
        <w:t>included </w:t>
      </w:r>
      <w:r>
        <w:rPr/>
        <w:t>in the</w:t>
      </w:r>
      <w:r>
        <w:rPr>
          <w:spacing w:val="8"/>
        </w:rPr>
        <w:t> </w:t>
      </w:r>
      <w:r>
        <w:rPr>
          <w:spacing w:val="-3"/>
        </w:rPr>
        <w:t>Annex.</w:t>
      </w:r>
    </w:p>
    <w:p>
      <w:pPr>
        <w:pStyle w:val="BodyText"/>
        <w:spacing w:before="11"/>
        <w:rPr>
          <w:sz w:val="36"/>
        </w:rPr>
      </w:pPr>
    </w:p>
    <w:p>
      <w:pPr>
        <w:pStyle w:val="ListParagraph"/>
        <w:numPr>
          <w:ilvl w:val="1"/>
          <w:numId w:val="1"/>
        </w:numPr>
        <w:tabs>
          <w:tab w:pos="1659" w:val="left" w:leader="none"/>
          <w:tab w:pos="1660" w:val="left" w:leader="none"/>
        </w:tabs>
        <w:spacing w:line="240" w:lineRule="auto" w:before="0" w:after="0"/>
        <w:ind w:left="1660" w:right="0" w:hanging="720"/>
        <w:jc w:val="left"/>
        <w:rPr>
          <w:sz w:val="24"/>
        </w:rPr>
      </w:pPr>
      <w:r>
        <w:rPr>
          <w:sz w:val="24"/>
          <w:u w:val="single"/>
        </w:rPr>
        <w:t>Monetary conditions</w:t>
      </w:r>
    </w:p>
    <w:p>
      <w:pPr>
        <w:pStyle w:val="BodyText"/>
        <w:rPr>
          <w:sz w:val="20"/>
        </w:rPr>
      </w:pPr>
    </w:p>
    <w:p>
      <w:pPr>
        <w:pStyle w:val="BodyText"/>
        <w:spacing w:before="5"/>
        <w:rPr>
          <w:sz w:val="22"/>
        </w:rPr>
      </w:pPr>
    </w:p>
    <w:p>
      <w:pPr>
        <w:pStyle w:val="BodyText"/>
        <w:spacing w:line="372" w:lineRule="auto" w:before="90"/>
        <w:ind w:left="940" w:right="1201"/>
      </w:pPr>
      <w:r>
        <w:rPr/>
        <w:t>A2 The introduction of the new 50p coin had again affected the monthly notes and coins numbers in November. But whereas in previous months it had inflated the growth rate, in the latest month there had been a net return of old 50p coins, depressing the monthly growth rate by an estimated 0.1pp. After adjustment for the 50p coin effect, the growth rate had been 0.8%.</w:t>
      </w:r>
    </w:p>
    <w:p>
      <w:pPr>
        <w:pStyle w:val="BodyText"/>
        <w:spacing w:before="11"/>
        <w:rPr>
          <w:sz w:val="36"/>
        </w:rPr>
      </w:pPr>
    </w:p>
    <w:p>
      <w:pPr>
        <w:pStyle w:val="BodyText"/>
        <w:spacing w:line="372" w:lineRule="auto"/>
        <w:ind w:left="940" w:right="935"/>
      </w:pPr>
      <w:r>
        <w:rPr/>
        <w:t>A3 Monthly M4 growth fell in October to 0.5%, considerably below the rate of growth seen in the previous five months. October’s data included for the first time an estimate of the monthly sectoral breakdown of M4; the weakness in the aggregate had been due to ICCs and OFIs, possibly reflecting strong tax payments and also probably OFIs drawing down deposits in order to buy shares from members of Northern Rock, which had been demutualised earlier in the month.</w:t>
      </w:r>
    </w:p>
    <w:p>
      <w:pPr>
        <w:pStyle w:val="BodyText"/>
        <w:spacing w:before="10"/>
        <w:rPr>
          <w:sz w:val="36"/>
        </w:rPr>
      </w:pPr>
    </w:p>
    <w:p>
      <w:pPr>
        <w:pStyle w:val="BodyText"/>
        <w:tabs>
          <w:tab w:pos="1434" w:val="left" w:leader="none"/>
        </w:tabs>
        <w:spacing w:line="372" w:lineRule="auto"/>
        <w:ind w:left="940" w:right="943"/>
      </w:pPr>
      <w:r>
        <w:rPr/>
        <w:t>A4</w:t>
        <w:tab/>
        <w:t>Personal sector M4 rose more rapidly in October, possibly due to the Northern </w:t>
      </w:r>
      <w:r>
        <w:rPr>
          <w:spacing w:val="-3"/>
        </w:rPr>
        <w:t>Rock </w:t>
      </w:r>
      <w:r>
        <w:rPr/>
        <w:t>and </w:t>
      </w:r>
      <w:r>
        <w:rPr>
          <w:spacing w:val="-3"/>
        </w:rPr>
        <w:t>Scottish Amicable windfalls. </w:t>
      </w:r>
      <w:r>
        <w:rPr/>
        <w:t>The </w:t>
      </w:r>
      <w:r>
        <w:rPr>
          <w:spacing w:val="-3"/>
        </w:rPr>
        <w:t>underlying strength </w:t>
      </w:r>
      <w:r>
        <w:rPr/>
        <w:t>of </w:t>
      </w:r>
      <w:r>
        <w:rPr>
          <w:spacing w:val="-3"/>
        </w:rPr>
        <w:t>persons’ </w:t>
      </w:r>
      <w:r>
        <w:rPr/>
        <w:t>M4 in </w:t>
      </w:r>
      <w:r>
        <w:rPr>
          <w:spacing w:val="-3"/>
        </w:rPr>
        <w:t>the </w:t>
      </w:r>
      <w:r>
        <w:rPr/>
        <w:t>month did not appear to be a function of a reallocation within savings portfolios, as PEP holdings had also grown relatively strongly in October. The estimated rise in personal sector M4 in Q3 had been revised up slightly, because of a reallocation of deposits from ICCs to unincorporated businesses, which are part of the personal sector.</w:t>
      </w:r>
      <w:r>
        <w:rPr>
          <w:spacing w:val="-8"/>
        </w:rPr>
        <w:t> </w:t>
      </w:r>
      <w:r>
        <w:rPr/>
        <w:t>Strong</w:t>
      </w:r>
      <w:r>
        <w:rPr>
          <w:spacing w:val="-8"/>
        </w:rPr>
        <w:t> </w:t>
      </w:r>
      <w:r>
        <w:rPr/>
        <w:t>flows</w:t>
      </w:r>
      <w:r>
        <w:rPr>
          <w:spacing w:val="-8"/>
        </w:rPr>
        <w:t> </w:t>
      </w:r>
      <w:r>
        <w:rPr/>
        <w:t>into</w:t>
      </w:r>
      <w:r>
        <w:rPr>
          <w:spacing w:val="-7"/>
        </w:rPr>
        <w:t> </w:t>
      </w:r>
      <w:r>
        <w:rPr/>
        <w:t>unincorporated</w:t>
      </w:r>
      <w:r>
        <w:rPr>
          <w:spacing w:val="-8"/>
        </w:rPr>
        <w:t> </w:t>
      </w:r>
      <w:r>
        <w:rPr/>
        <w:t>businesses</w:t>
      </w:r>
      <w:r>
        <w:rPr>
          <w:spacing w:val="-8"/>
        </w:rPr>
        <w:t> </w:t>
      </w:r>
      <w:r>
        <w:rPr/>
        <w:t>had</w:t>
      </w:r>
      <w:r>
        <w:rPr>
          <w:spacing w:val="-7"/>
        </w:rPr>
        <w:t> </w:t>
      </w:r>
      <w:r>
        <w:rPr/>
        <w:t>in</w:t>
      </w:r>
      <w:r>
        <w:rPr>
          <w:spacing w:val="-8"/>
        </w:rPr>
        <w:t> </w:t>
      </w:r>
      <w:r>
        <w:rPr/>
        <w:t>fact</w:t>
      </w:r>
      <w:r>
        <w:rPr>
          <w:spacing w:val="-8"/>
        </w:rPr>
        <w:t> </w:t>
      </w:r>
      <w:r>
        <w:rPr/>
        <w:t>been</w:t>
      </w:r>
      <w:r>
        <w:rPr>
          <w:spacing w:val="-7"/>
        </w:rPr>
        <w:t> </w:t>
      </w:r>
      <w:r>
        <w:rPr/>
        <w:t>behind</w:t>
      </w:r>
      <w:r>
        <w:rPr>
          <w:spacing w:val="-8"/>
        </w:rPr>
        <w:t> </w:t>
      </w:r>
      <w:r>
        <w:rPr/>
        <w:t>the</w:t>
      </w:r>
      <w:r>
        <w:rPr>
          <w:spacing w:val="-8"/>
        </w:rPr>
        <w:t> </w:t>
      </w:r>
      <w:r>
        <w:rPr>
          <w:spacing w:val="-2"/>
        </w:rPr>
        <w:t>growth </w:t>
      </w:r>
      <w:r>
        <w:rPr/>
        <w:t>in</w:t>
      </w:r>
      <w:r>
        <w:rPr>
          <w:spacing w:val="-6"/>
        </w:rPr>
        <w:t> </w:t>
      </w:r>
      <w:r>
        <w:rPr/>
        <w:t>personal</w:t>
      </w:r>
      <w:r>
        <w:rPr>
          <w:spacing w:val="-5"/>
        </w:rPr>
        <w:t> </w:t>
      </w:r>
      <w:r>
        <w:rPr/>
        <w:t>sector</w:t>
      </w:r>
      <w:r>
        <w:rPr>
          <w:spacing w:val="-6"/>
        </w:rPr>
        <w:t> </w:t>
      </w:r>
      <w:r>
        <w:rPr/>
        <w:t>deposits</w:t>
      </w:r>
      <w:r>
        <w:rPr>
          <w:spacing w:val="-5"/>
        </w:rPr>
        <w:t> </w:t>
      </w:r>
      <w:r>
        <w:rPr/>
        <w:t>in</w:t>
      </w:r>
      <w:r>
        <w:rPr>
          <w:spacing w:val="-5"/>
        </w:rPr>
        <w:t> </w:t>
      </w:r>
      <w:r>
        <w:rPr/>
        <w:t>Q3;</w:t>
      </w:r>
      <w:r>
        <w:rPr>
          <w:spacing w:val="-6"/>
        </w:rPr>
        <w:t> </w:t>
      </w:r>
      <w:r>
        <w:rPr/>
        <w:t>the</w:t>
      </w:r>
      <w:r>
        <w:rPr>
          <w:spacing w:val="-5"/>
        </w:rPr>
        <w:t> </w:t>
      </w:r>
      <w:r>
        <w:rPr/>
        <w:t>quarterly</w:t>
      </w:r>
      <w:r>
        <w:rPr>
          <w:spacing w:val="-6"/>
        </w:rPr>
        <w:t> </w:t>
      </w:r>
      <w:r>
        <w:rPr/>
        <w:t>growth</w:t>
      </w:r>
      <w:r>
        <w:rPr>
          <w:spacing w:val="-5"/>
        </w:rPr>
        <w:t> </w:t>
      </w:r>
      <w:r>
        <w:rPr/>
        <w:t>rate</w:t>
      </w:r>
      <w:r>
        <w:rPr>
          <w:spacing w:val="-5"/>
        </w:rPr>
        <w:t> </w:t>
      </w:r>
      <w:r>
        <w:rPr/>
        <w:t>of</w:t>
      </w:r>
      <w:r>
        <w:rPr>
          <w:spacing w:val="-6"/>
        </w:rPr>
        <w:t> </w:t>
      </w:r>
      <w:r>
        <w:rPr/>
        <w:t>individuals’</w:t>
      </w:r>
      <w:r>
        <w:rPr>
          <w:spacing w:val="-5"/>
        </w:rPr>
        <w:t> </w:t>
      </w:r>
      <w:r>
        <w:rPr/>
        <w:t>deposits</w:t>
      </w:r>
    </w:p>
    <w:p>
      <w:pPr>
        <w:spacing w:after="0" w:line="372" w:lineRule="auto"/>
        <w:sectPr>
          <w:headerReference w:type="default" r:id="rId8"/>
          <w:pgSz w:w="11900" w:h="16840"/>
          <w:pgMar w:header="0" w:footer="0" w:top="1600" w:bottom="280" w:left="860" w:right="880"/>
        </w:sectPr>
      </w:pPr>
    </w:p>
    <w:p>
      <w:pPr>
        <w:pStyle w:val="BodyText"/>
        <w:rPr>
          <w:sz w:val="20"/>
        </w:rPr>
      </w:pPr>
    </w:p>
    <w:p>
      <w:pPr>
        <w:pStyle w:val="BodyText"/>
        <w:spacing w:before="228"/>
        <w:ind w:left="940"/>
      </w:pPr>
      <w:r>
        <w:rPr/>
        <w:t>slowed from 1.5% to 0.7%.</w:t>
      </w:r>
    </w:p>
    <w:p>
      <w:pPr>
        <w:pStyle w:val="BodyText"/>
        <w:rPr>
          <w:sz w:val="26"/>
        </w:rPr>
      </w:pPr>
    </w:p>
    <w:p>
      <w:pPr>
        <w:pStyle w:val="BodyText"/>
        <w:spacing w:before="3"/>
      </w:pPr>
    </w:p>
    <w:p>
      <w:pPr>
        <w:pStyle w:val="BodyText"/>
        <w:spacing w:line="372" w:lineRule="auto" w:before="1"/>
        <w:ind w:left="940" w:right="988"/>
      </w:pPr>
      <w:r>
        <w:rPr/>
        <w:t>A5 Looking at a split of retail M4 deposits in October, bank deposit inflows had been </w:t>
      </w:r>
      <w:r>
        <w:rPr>
          <w:spacing w:val="-3"/>
        </w:rPr>
        <w:t>stronger than </w:t>
      </w:r>
      <w:r>
        <w:rPr/>
        <w:t>for </w:t>
      </w:r>
      <w:r>
        <w:rPr>
          <w:spacing w:val="-3"/>
        </w:rPr>
        <w:t>some time, possibly reflecting deposits made </w:t>
      </w:r>
      <w:r>
        <w:rPr/>
        <w:t>by </w:t>
      </w:r>
      <w:r>
        <w:rPr>
          <w:spacing w:val="-3"/>
        </w:rPr>
        <w:t>individuals </w:t>
      </w:r>
      <w:r>
        <w:rPr/>
        <w:t>who </w:t>
      </w:r>
      <w:r>
        <w:rPr>
          <w:spacing w:val="-3"/>
        </w:rPr>
        <w:t>had </w:t>
      </w:r>
      <w:r>
        <w:rPr/>
        <w:t>sold shares from the Northern Rock demutualisation and payments made when </w:t>
      </w:r>
      <w:r>
        <w:rPr>
          <w:spacing w:val="-3"/>
        </w:rPr>
        <w:t>Scottish Amicable demutualised. </w:t>
      </w:r>
      <w:r>
        <w:rPr/>
        <w:t>But the </w:t>
      </w:r>
      <w:r>
        <w:rPr>
          <w:spacing w:val="-3"/>
        </w:rPr>
        <w:t>flow into building society deposits had </w:t>
      </w:r>
      <w:r>
        <w:rPr/>
        <w:t>remained strong, perhaps reflecting speculation on future windfalls. (The </w:t>
      </w:r>
      <w:r>
        <w:rPr>
          <w:spacing w:val="-3"/>
        </w:rPr>
        <w:t>Nationwide’s decision </w:t>
      </w:r>
      <w:r>
        <w:rPr/>
        <w:t>to </w:t>
      </w:r>
      <w:r>
        <w:rPr>
          <w:spacing w:val="-3"/>
        </w:rPr>
        <w:t>prevent </w:t>
      </w:r>
      <w:r>
        <w:rPr/>
        <w:t>new </w:t>
      </w:r>
      <w:r>
        <w:rPr>
          <w:spacing w:val="-3"/>
        </w:rPr>
        <w:t>members benefiting from </w:t>
      </w:r>
      <w:r>
        <w:rPr/>
        <w:t>a </w:t>
      </w:r>
      <w:r>
        <w:rPr>
          <w:spacing w:val="-3"/>
        </w:rPr>
        <w:t>possible future </w:t>
      </w:r>
      <w:r>
        <w:rPr/>
        <w:t>demutualisation had not come into effect until 3 November.)</w:t>
      </w:r>
    </w:p>
    <w:p>
      <w:pPr>
        <w:pStyle w:val="BodyText"/>
        <w:spacing w:before="9"/>
        <w:rPr>
          <w:sz w:val="36"/>
        </w:rPr>
      </w:pPr>
    </w:p>
    <w:p>
      <w:pPr>
        <w:pStyle w:val="BodyText"/>
        <w:tabs>
          <w:tab w:pos="1434" w:val="left" w:leader="none"/>
        </w:tabs>
        <w:spacing w:line="372" w:lineRule="auto"/>
        <w:ind w:left="940" w:right="948"/>
      </w:pPr>
      <w:r>
        <w:rPr/>
        <w:t>A6</w:t>
        <w:tab/>
      </w:r>
      <w:r>
        <w:rPr>
          <w:spacing w:val="-3"/>
        </w:rPr>
        <w:t>Although OFIs’ deposits </w:t>
      </w:r>
      <w:r>
        <w:rPr/>
        <w:t>had </w:t>
      </w:r>
      <w:r>
        <w:rPr>
          <w:spacing w:val="-3"/>
        </w:rPr>
        <w:t>fallen </w:t>
      </w:r>
      <w:r>
        <w:rPr/>
        <w:t>in </w:t>
      </w:r>
      <w:r>
        <w:rPr>
          <w:spacing w:val="-3"/>
        </w:rPr>
        <w:t>October, they </w:t>
      </w:r>
      <w:r>
        <w:rPr/>
        <w:t>had </w:t>
      </w:r>
      <w:r>
        <w:rPr>
          <w:spacing w:val="-3"/>
        </w:rPr>
        <w:t>risen considerably </w:t>
      </w:r>
      <w:r>
        <w:rPr/>
        <w:t>between 1995 Q1 and 1997 Q3. Was this purely a function of structural changes in OFIs’ desired asset portfolios or did it represent a possible accumulation of </w:t>
      </w:r>
      <w:r>
        <w:rPr>
          <w:spacing w:val="-2"/>
        </w:rPr>
        <w:t>excess </w:t>
      </w:r>
      <w:r>
        <w:rPr/>
        <w:t>money balances? Several institutional or regulatory changes over recent years might </w:t>
      </w:r>
      <w:r>
        <w:rPr>
          <w:spacing w:val="-3"/>
        </w:rPr>
        <w:t>have affected pension funds’ portfolio behaviour. These included: </w:t>
      </w:r>
      <w:r>
        <w:rPr/>
        <w:t>the </w:t>
      </w:r>
      <w:r>
        <w:rPr>
          <w:spacing w:val="-3"/>
        </w:rPr>
        <w:t>increasing </w:t>
      </w:r>
      <w:r>
        <w:rPr/>
        <w:t>number of closed or maturing occupational pension schemes, which needed to match </w:t>
      </w:r>
      <w:r>
        <w:rPr>
          <w:spacing w:val="-4"/>
        </w:rPr>
        <w:t>their liabilities </w:t>
      </w:r>
      <w:r>
        <w:rPr>
          <w:spacing w:val="-3"/>
        </w:rPr>
        <w:t>with less </w:t>
      </w:r>
      <w:r>
        <w:rPr>
          <w:spacing w:val="-4"/>
        </w:rPr>
        <w:t>risky assets </w:t>
      </w:r>
      <w:r>
        <w:rPr/>
        <w:t>of </w:t>
      </w:r>
      <w:r>
        <w:rPr>
          <w:spacing w:val="-4"/>
        </w:rPr>
        <w:t>similar maturities; </w:t>
      </w:r>
      <w:r>
        <w:rPr>
          <w:spacing w:val="-3"/>
        </w:rPr>
        <w:t>the </w:t>
      </w:r>
      <w:r>
        <w:rPr>
          <w:spacing w:val="-4"/>
        </w:rPr>
        <w:t>Minimum Funding </w:t>
      </w:r>
      <w:r>
        <w:rPr/>
        <w:t>Requirement (introduced by the Pensions Act of 1995) which encouraged pension funds, close to their solvency margins, to switch out of equities; and the abolition of ACT rebates in the July Budget, which lowered the after-tax return on pension </w:t>
      </w:r>
      <w:r>
        <w:rPr>
          <w:spacing w:val="-2"/>
        </w:rPr>
        <w:t>funds’ </w:t>
      </w:r>
      <w:r>
        <w:rPr/>
        <w:t>UK</w:t>
      </w:r>
      <w:r>
        <w:rPr>
          <w:spacing w:val="-9"/>
        </w:rPr>
        <w:t> </w:t>
      </w:r>
      <w:r>
        <w:rPr/>
        <w:t>equity</w:t>
      </w:r>
      <w:r>
        <w:rPr>
          <w:spacing w:val="-8"/>
        </w:rPr>
        <w:t> </w:t>
      </w:r>
      <w:r>
        <w:rPr/>
        <w:t>holdings.</w:t>
      </w:r>
      <w:r>
        <w:rPr>
          <w:spacing w:val="45"/>
        </w:rPr>
        <w:t> </w:t>
      </w:r>
      <w:r>
        <w:rPr/>
        <w:t>These</w:t>
      </w:r>
      <w:r>
        <w:rPr>
          <w:spacing w:val="-8"/>
        </w:rPr>
        <w:t> </w:t>
      </w:r>
      <w:r>
        <w:rPr/>
        <w:t>factors</w:t>
      </w:r>
      <w:r>
        <w:rPr>
          <w:spacing w:val="-9"/>
        </w:rPr>
        <w:t> </w:t>
      </w:r>
      <w:r>
        <w:rPr/>
        <w:t>might</w:t>
      </w:r>
      <w:r>
        <w:rPr>
          <w:spacing w:val="-8"/>
        </w:rPr>
        <w:t> </w:t>
      </w:r>
      <w:r>
        <w:rPr/>
        <w:t>have</w:t>
      </w:r>
      <w:r>
        <w:rPr>
          <w:spacing w:val="-9"/>
        </w:rPr>
        <w:t> </w:t>
      </w:r>
      <w:r>
        <w:rPr/>
        <w:t>encouraged</w:t>
      </w:r>
      <w:r>
        <w:rPr>
          <w:spacing w:val="-8"/>
        </w:rPr>
        <w:t> </w:t>
      </w:r>
      <w:r>
        <w:rPr/>
        <w:t>pension</w:t>
      </w:r>
      <w:r>
        <w:rPr>
          <w:spacing w:val="-8"/>
        </w:rPr>
        <w:t> </w:t>
      </w:r>
      <w:r>
        <w:rPr/>
        <w:t>funds</w:t>
      </w:r>
      <w:r>
        <w:rPr>
          <w:spacing w:val="-9"/>
        </w:rPr>
        <w:t> </w:t>
      </w:r>
      <w:r>
        <w:rPr/>
        <w:t>to</w:t>
      </w:r>
      <w:r>
        <w:rPr>
          <w:spacing w:val="-8"/>
        </w:rPr>
        <w:t> </w:t>
      </w:r>
      <w:r>
        <w:rPr/>
        <w:t>hold</w:t>
      </w:r>
      <w:r>
        <w:rPr>
          <w:spacing w:val="-9"/>
        </w:rPr>
        <w:t> </w:t>
      </w:r>
      <w:r>
        <w:rPr/>
        <w:t>more assets</w:t>
      </w:r>
      <w:r>
        <w:rPr>
          <w:spacing w:val="-9"/>
        </w:rPr>
        <w:t> </w:t>
      </w:r>
      <w:r>
        <w:rPr/>
        <w:t>which</w:t>
      </w:r>
      <w:r>
        <w:rPr>
          <w:spacing w:val="-9"/>
        </w:rPr>
        <w:t> </w:t>
      </w:r>
      <w:r>
        <w:rPr/>
        <w:t>were</w:t>
      </w:r>
      <w:r>
        <w:rPr>
          <w:spacing w:val="-9"/>
        </w:rPr>
        <w:t> </w:t>
      </w:r>
      <w:r>
        <w:rPr/>
        <w:t>capital-certain</w:t>
      </w:r>
      <w:r>
        <w:rPr>
          <w:spacing w:val="-9"/>
        </w:rPr>
        <w:t> </w:t>
      </w:r>
      <w:r>
        <w:rPr/>
        <w:t>in</w:t>
      </w:r>
      <w:r>
        <w:rPr>
          <w:spacing w:val="-9"/>
        </w:rPr>
        <w:t> </w:t>
      </w:r>
      <w:r>
        <w:rPr/>
        <w:t>nominal</w:t>
      </w:r>
      <w:r>
        <w:rPr>
          <w:spacing w:val="-9"/>
        </w:rPr>
        <w:t> </w:t>
      </w:r>
      <w:r>
        <w:rPr/>
        <w:t>terms,</w:t>
      </w:r>
      <w:r>
        <w:rPr>
          <w:spacing w:val="-9"/>
        </w:rPr>
        <w:t> </w:t>
      </w:r>
      <w:r>
        <w:rPr/>
        <w:t>with</w:t>
      </w:r>
      <w:r>
        <w:rPr>
          <w:spacing w:val="-9"/>
        </w:rPr>
        <w:t> </w:t>
      </w:r>
      <w:r>
        <w:rPr/>
        <w:t>the</w:t>
      </w:r>
      <w:r>
        <w:rPr>
          <w:spacing w:val="-9"/>
        </w:rPr>
        <w:t> </w:t>
      </w:r>
      <w:r>
        <w:rPr/>
        <w:t>choice</w:t>
      </w:r>
      <w:r>
        <w:rPr>
          <w:spacing w:val="-9"/>
        </w:rPr>
        <w:t> </w:t>
      </w:r>
      <w:r>
        <w:rPr/>
        <w:t>between</w:t>
      </w:r>
      <w:r>
        <w:rPr>
          <w:spacing w:val="-9"/>
        </w:rPr>
        <w:t> </w:t>
      </w:r>
      <w:r>
        <w:rPr/>
        <w:t>bonds</w:t>
      </w:r>
      <w:r>
        <w:rPr>
          <w:spacing w:val="-9"/>
        </w:rPr>
        <w:t> </w:t>
      </w:r>
      <w:r>
        <w:rPr>
          <w:spacing w:val="-2"/>
        </w:rPr>
        <w:t>and </w:t>
      </w:r>
      <w:r>
        <w:rPr/>
        <w:t>M4 deposits depending on expected returns. Pension funds had, in fact, made an unprecedented switch out of UK equities over the past three years, but had moved</w:t>
      </w:r>
      <w:r>
        <w:rPr>
          <w:spacing w:val="-42"/>
        </w:rPr>
        <w:t> </w:t>
      </w:r>
      <w:r>
        <w:rPr/>
        <w:t>into </w:t>
      </w:r>
      <w:r>
        <w:rPr>
          <w:spacing w:val="-3"/>
        </w:rPr>
        <w:t>gilts </w:t>
      </w:r>
      <w:r>
        <w:rPr/>
        <w:t>as </w:t>
      </w:r>
      <w:r>
        <w:rPr>
          <w:spacing w:val="-3"/>
        </w:rPr>
        <w:t>well </w:t>
      </w:r>
      <w:r>
        <w:rPr/>
        <w:t>as M4 </w:t>
      </w:r>
      <w:r>
        <w:rPr>
          <w:spacing w:val="-3"/>
        </w:rPr>
        <w:t>balances. </w:t>
      </w:r>
      <w:r>
        <w:rPr/>
        <w:t>And the </w:t>
      </w:r>
      <w:r>
        <w:rPr>
          <w:spacing w:val="-3"/>
        </w:rPr>
        <w:t>rise </w:t>
      </w:r>
      <w:r>
        <w:rPr/>
        <w:t>in </w:t>
      </w:r>
      <w:r>
        <w:rPr>
          <w:spacing w:val="-3"/>
        </w:rPr>
        <w:t>OFIs’ </w:t>
      </w:r>
      <w:r>
        <w:rPr/>
        <w:t>M4 </w:t>
      </w:r>
      <w:r>
        <w:rPr>
          <w:spacing w:val="-3"/>
        </w:rPr>
        <w:t>holdings </w:t>
      </w:r>
      <w:r>
        <w:rPr/>
        <w:t>was due not </w:t>
      </w:r>
      <w:r>
        <w:rPr>
          <w:spacing w:val="-3"/>
        </w:rPr>
        <w:t>only to pension funds </w:t>
      </w:r>
      <w:r>
        <w:rPr/>
        <w:t>but </w:t>
      </w:r>
      <w:r>
        <w:rPr>
          <w:spacing w:val="-3"/>
        </w:rPr>
        <w:t>also </w:t>
      </w:r>
      <w:r>
        <w:rPr/>
        <w:t>to </w:t>
      </w:r>
      <w:r>
        <w:rPr>
          <w:spacing w:val="-3"/>
        </w:rPr>
        <w:t>life assurance funds, which </w:t>
      </w:r>
      <w:r>
        <w:rPr/>
        <w:t>had not </w:t>
      </w:r>
      <w:r>
        <w:rPr>
          <w:spacing w:val="-3"/>
        </w:rPr>
        <w:t>been affected </w:t>
      </w:r>
      <w:r>
        <w:rPr/>
        <w:t>by </w:t>
      </w:r>
      <w:r>
        <w:rPr>
          <w:spacing w:val="-3"/>
        </w:rPr>
        <w:t>the </w:t>
      </w:r>
      <w:r>
        <w:rPr/>
        <w:t>institutional changes described</w:t>
      </w:r>
      <w:r>
        <w:rPr>
          <w:spacing w:val="-2"/>
        </w:rPr>
        <w:t> above.</w:t>
      </w:r>
    </w:p>
    <w:p>
      <w:pPr>
        <w:pStyle w:val="BodyText"/>
        <w:spacing w:before="3"/>
        <w:rPr>
          <w:sz w:val="36"/>
        </w:rPr>
      </w:pPr>
    </w:p>
    <w:p>
      <w:pPr>
        <w:pStyle w:val="BodyText"/>
        <w:spacing w:line="372" w:lineRule="auto" w:before="1"/>
        <w:ind w:left="940" w:right="849"/>
      </w:pPr>
      <w:r>
        <w:rPr/>
        <w:t>A7 A number of other developments could have influenced both life assurance and pension fund portfolios. During 1995 and 1996, cash-financed mergers and acquisition activity, together with share buy-backs, might have contributed directly to higher holdings of M4. The downward slope of the yield curve may also have induced a substitution from bonds to bank deposits. And fears of a stockmarket downturn might</w:t>
      </w:r>
    </w:p>
    <w:p>
      <w:pPr>
        <w:spacing w:after="0" w:line="372" w:lineRule="auto"/>
        <w:sectPr>
          <w:headerReference w:type="default" r:id="rId9"/>
          <w:pgSz w:w="11900" w:h="16840"/>
          <w:pgMar w:header="719" w:footer="0" w:top="980" w:bottom="280" w:left="860" w:right="880"/>
          <w:pgNumType w:start="2"/>
        </w:sectPr>
      </w:pPr>
    </w:p>
    <w:p>
      <w:pPr>
        <w:pStyle w:val="BodyText"/>
        <w:rPr>
          <w:sz w:val="20"/>
        </w:rPr>
      </w:pPr>
    </w:p>
    <w:p>
      <w:pPr>
        <w:pStyle w:val="BodyText"/>
        <w:spacing w:before="228"/>
        <w:ind w:left="940"/>
      </w:pPr>
      <w:r>
        <w:rPr/>
        <w:t>have led some LAPFs to switch into M4 deposits.</w:t>
      </w:r>
    </w:p>
    <w:p>
      <w:pPr>
        <w:pStyle w:val="BodyText"/>
        <w:rPr>
          <w:sz w:val="26"/>
        </w:rPr>
      </w:pPr>
    </w:p>
    <w:p>
      <w:pPr>
        <w:pStyle w:val="BodyText"/>
        <w:spacing w:before="3"/>
      </w:pPr>
    </w:p>
    <w:p>
      <w:pPr>
        <w:pStyle w:val="BodyText"/>
        <w:spacing w:line="372" w:lineRule="auto" w:before="1"/>
        <w:ind w:left="940" w:right="1049"/>
      </w:pPr>
      <w:r>
        <w:rPr/>
        <w:t>A8 A further factor affecting OFIs’ M4 was the introduction of the gilt repo market in January 1996, and the more recent pick-up of activity in other types of repo business. Gilt repos had enabled OFIs and banks to mobilise gilts more easily as collateral for secured borrowing and lending, causing an increase in M4 and M4 lending. But repo business could simply be substituting for other forms of wholesale money market transactions. Even excluding repo activity, OFIs’ M4 growth had still been high.</w:t>
      </w:r>
    </w:p>
    <w:p>
      <w:pPr>
        <w:pStyle w:val="BodyText"/>
        <w:spacing w:before="9"/>
        <w:rPr>
          <w:sz w:val="36"/>
        </w:rPr>
      </w:pPr>
    </w:p>
    <w:p>
      <w:pPr>
        <w:pStyle w:val="BodyText"/>
        <w:spacing w:line="372" w:lineRule="auto"/>
        <w:ind w:left="940" w:right="1134"/>
      </w:pPr>
      <w:r>
        <w:rPr/>
        <w:t>A9 M4 lending increased by only 0.1% in October. The weakness was more than accounted for by a fall in reverse repos. Nevertheless, there did appear to be a weakening</w:t>
      </w:r>
      <w:r>
        <w:rPr>
          <w:spacing w:val="-11"/>
        </w:rPr>
        <w:t> </w:t>
      </w:r>
      <w:r>
        <w:rPr/>
        <w:t>trend</w:t>
      </w:r>
      <w:r>
        <w:rPr>
          <w:spacing w:val="-11"/>
        </w:rPr>
        <w:t> </w:t>
      </w:r>
      <w:r>
        <w:rPr/>
        <w:t>in</w:t>
      </w:r>
      <w:r>
        <w:rPr>
          <w:spacing w:val="-11"/>
        </w:rPr>
        <w:t> </w:t>
      </w:r>
      <w:r>
        <w:rPr/>
        <w:t>M4</w:t>
      </w:r>
      <w:r>
        <w:rPr>
          <w:spacing w:val="-10"/>
        </w:rPr>
        <w:t> </w:t>
      </w:r>
      <w:r>
        <w:rPr/>
        <w:t>lending,</w:t>
      </w:r>
      <w:r>
        <w:rPr>
          <w:spacing w:val="-11"/>
        </w:rPr>
        <w:t> </w:t>
      </w:r>
      <w:r>
        <w:rPr/>
        <w:t>with</w:t>
      </w:r>
      <w:r>
        <w:rPr>
          <w:spacing w:val="-11"/>
        </w:rPr>
        <w:t> </w:t>
      </w:r>
      <w:r>
        <w:rPr/>
        <w:t>the</w:t>
      </w:r>
      <w:r>
        <w:rPr>
          <w:spacing w:val="-11"/>
        </w:rPr>
        <w:t> </w:t>
      </w:r>
      <w:r>
        <w:rPr/>
        <w:t>six-month</w:t>
      </w:r>
      <w:r>
        <w:rPr>
          <w:spacing w:val="-10"/>
        </w:rPr>
        <w:t> </w:t>
      </w:r>
      <w:r>
        <w:rPr/>
        <w:t>and</w:t>
      </w:r>
      <w:r>
        <w:rPr>
          <w:spacing w:val="-11"/>
        </w:rPr>
        <w:t> </w:t>
      </w:r>
      <w:r>
        <w:rPr/>
        <w:t>three-month</w:t>
      </w:r>
      <w:r>
        <w:rPr>
          <w:spacing w:val="-11"/>
        </w:rPr>
        <w:t> </w:t>
      </w:r>
      <w:r>
        <w:rPr/>
        <w:t>annualised</w:t>
      </w:r>
      <w:r>
        <w:rPr>
          <w:spacing w:val="-11"/>
        </w:rPr>
        <w:t> </w:t>
      </w:r>
      <w:r>
        <w:rPr/>
        <w:t>rates of increase below the twelve-month rate since</w:t>
      </w:r>
      <w:r>
        <w:rPr>
          <w:spacing w:val="-9"/>
        </w:rPr>
        <w:t> </w:t>
      </w:r>
      <w:r>
        <w:rPr/>
        <w:t>July.</w:t>
      </w:r>
    </w:p>
    <w:p>
      <w:pPr>
        <w:pStyle w:val="BodyText"/>
        <w:spacing w:before="11"/>
        <w:rPr>
          <w:sz w:val="36"/>
        </w:rPr>
      </w:pPr>
    </w:p>
    <w:p>
      <w:pPr>
        <w:pStyle w:val="BodyText"/>
        <w:spacing w:line="372" w:lineRule="auto"/>
        <w:ind w:left="940" w:right="1395"/>
      </w:pPr>
      <w:r>
        <w:rPr/>
        <w:t>A10 The sectoral breakdown showed that the twelve-month growth rate of M4 lending to persons in October was steady. Unsecured lending remained robust, although the twelve-month rate fell back slightly in October; secured lending had continued to grow at around 6%.</w:t>
      </w:r>
    </w:p>
    <w:p>
      <w:pPr>
        <w:pStyle w:val="BodyText"/>
        <w:spacing w:before="11"/>
        <w:rPr>
          <w:sz w:val="36"/>
        </w:rPr>
      </w:pPr>
    </w:p>
    <w:p>
      <w:pPr>
        <w:pStyle w:val="BodyText"/>
        <w:tabs>
          <w:tab w:pos="1616" w:val="left" w:leader="none"/>
        </w:tabs>
        <w:spacing w:line="372" w:lineRule="auto"/>
        <w:ind w:left="940" w:right="964"/>
      </w:pPr>
      <w:r>
        <w:rPr/>
        <w:t>A11</w:t>
        <w:tab/>
        <w:t>M4 </w:t>
      </w:r>
      <w:r>
        <w:rPr>
          <w:spacing w:val="-3"/>
        </w:rPr>
        <w:t>lending </w:t>
      </w:r>
      <w:r>
        <w:rPr/>
        <w:t>to </w:t>
      </w:r>
      <w:r>
        <w:rPr>
          <w:spacing w:val="-3"/>
        </w:rPr>
        <w:t>ICCs grew </w:t>
      </w:r>
      <w:r>
        <w:rPr/>
        <w:t>by </w:t>
      </w:r>
      <w:r>
        <w:rPr>
          <w:spacing w:val="-3"/>
        </w:rPr>
        <w:t>0.3% </w:t>
      </w:r>
      <w:r>
        <w:rPr/>
        <w:t>in </w:t>
      </w:r>
      <w:r>
        <w:rPr>
          <w:spacing w:val="-3"/>
        </w:rPr>
        <w:t>October, after </w:t>
      </w:r>
      <w:r>
        <w:rPr/>
        <w:t>a </w:t>
      </w:r>
      <w:r>
        <w:rPr>
          <w:spacing w:val="-3"/>
        </w:rPr>
        <w:t>small fall </w:t>
      </w:r>
      <w:r>
        <w:rPr/>
        <w:t>in Q3, but </w:t>
      </w:r>
      <w:r>
        <w:rPr>
          <w:spacing w:val="-3"/>
        </w:rPr>
        <w:t>this </w:t>
      </w:r>
      <w:r>
        <w:rPr/>
        <w:t>was not enough to boost the twelve-month growth rate, which fell further in October to 2.4%. The general weakness of M4 lending to ICCs did not simply reflect their greater</w:t>
      </w:r>
      <w:r>
        <w:rPr>
          <w:spacing w:val="-8"/>
        </w:rPr>
        <w:t> </w:t>
      </w:r>
      <w:r>
        <w:rPr/>
        <w:t>use</w:t>
      </w:r>
      <w:r>
        <w:rPr>
          <w:spacing w:val="-7"/>
        </w:rPr>
        <w:t> </w:t>
      </w:r>
      <w:r>
        <w:rPr/>
        <w:t>of</w:t>
      </w:r>
      <w:r>
        <w:rPr>
          <w:spacing w:val="-7"/>
        </w:rPr>
        <w:t> </w:t>
      </w:r>
      <w:r>
        <w:rPr/>
        <w:t>the</w:t>
      </w:r>
      <w:r>
        <w:rPr>
          <w:spacing w:val="-8"/>
        </w:rPr>
        <w:t> </w:t>
      </w:r>
      <w:r>
        <w:rPr/>
        <w:t>sterling</w:t>
      </w:r>
      <w:r>
        <w:rPr>
          <w:spacing w:val="-7"/>
        </w:rPr>
        <w:t> </w:t>
      </w:r>
      <w:r>
        <w:rPr/>
        <w:t>capital</w:t>
      </w:r>
      <w:r>
        <w:rPr>
          <w:spacing w:val="-7"/>
        </w:rPr>
        <w:t> </w:t>
      </w:r>
      <w:r>
        <w:rPr/>
        <w:t>markets:</w:t>
      </w:r>
      <w:r>
        <w:rPr>
          <w:spacing w:val="-7"/>
        </w:rPr>
        <w:t> </w:t>
      </w:r>
      <w:r>
        <w:rPr/>
        <w:t>the</w:t>
      </w:r>
      <w:r>
        <w:rPr>
          <w:spacing w:val="-8"/>
        </w:rPr>
        <w:t> </w:t>
      </w:r>
      <w:r>
        <w:rPr/>
        <w:t>total</w:t>
      </w:r>
      <w:r>
        <w:rPr>
          <w:spacing w:val="-7"/>
        </w:rPr>
        <w:t> </w:t>
      </w:r>
      <w:r>
        <w:rPr/>
        <w:t>flow</w:t>
      </w:r>
      <w:r>
        <w:rPr>
          <w:spacing w:val="-7"/>
        </w:rPr>
        <w:t> </w:t>
      </w:r>
      <w:r>
        <w:rPr/>
        <w:t>of</w:t>
      </w:r>
      <w:r>
        <w:rPr>
          <w:spacing w:val="-7"/>
        </w:rPr>
        <w:t> </w:t>
      </w:r>
      <w:r>
        <w:rPr/>
        <w:t>sterling</w:t>
      </w:r>
      <w:r>
        <w:rPr>
          <w:spacing w:val="-8"/>
        </w:rPr>
        <w:t> </w:t>
      </w:r>
      <w:r>
        <w:rPr/>
        <w:t>borrowing</w:t>
      </w:r>
      <w:r>
        <w:rPr>
          <w:spacing w:val="-7"/>
        </w:rPr>
        <w:t> </w:t>
      </w:r>
      <w:r>
        <w:rPr/>
        <w:t>by</w:t>
      </w:r>
      <w:r>
        <w:rPr>
          <w:spacing w:val="-7"/>
        </w:rPr>
        <w:t> </w:t>
      </w:r>
      <w:r>
        <w:rPr/>
        <w:t>ICCs was </w:t>
      </w:r>
      <w:r>
        <w:rPr>
          <w:spacing w:val="-3"/>
        </w:rPr>
        <w:t>falling. </w:t>
      </w:r>
      <w:r>
        <w:rPr/>
        <w:t>The </w:t>
      </w:r>
      <w:r>
        <w:rPr>
          <w:spacing w:val="-3"/>
        </w:rPr>
        <w:t>flow </w:t>
      </w:r>
      <w:r>
        <w:rPr/>
        <w:t>of </w:t>
      </w:r>
      <w:r>
        <w:rPr>
          <w:spacing w:val="-3"/>
        </w:rPr>
        <w:t>ICCs’ internally generated finance </w:t>
      </w:r>
      <w:r>
        <w:rPr/>
        <w:t>had </w:t>
      </w:r>
      <w:r>
        <w:rPr>
          <w:spacing w:val="-3"/>
        </w:rPr>
        <w:t>been broadly</w:t>
      </w:r>
      <w:r>
        <w:rPr>
          <w:spacing w:val="17"/>
        </w:rPr>
        <w:t> </w:t>
      </w:r>
      <w:r>
        <w:rPr>
          <w:spacing w:val="-3"/>
        </w:rPr>
        <w:t>stable.</w:t>
      </w:r>
    </w:p>
    <w:p>
      <w:pPr>
        <w:pStyle w:val="BodyText"/>
        <w:spacing w:line="372" w:lineRule="auto"/>
        <w:ind w:left="940" w:right="914"/>
      </w:pPr>
      <w:r>
        <w:rPr/>
        <w:t>However, there had been a build-up in foreign currency capital issues during 1997, although</w:t>
      </w:r>
      <w:r>
        <w:rPr>
          <w:spacing w:val="-9"/>
        </w:rPr>
        <w:t> </w:t>
      </w:r>
      <w:r>
        <w:rPr/>
        <w:t>these</w:t>
      </w:r>
      <w:r>
        <w:rPr>
          <w:spacing w:val="-9"/>
        </w:rPr>
        <w:t> </w:t>
      </w:r>
      <w:r>
        <w:rPr/>
        <w:t>had</w:t>
      </w:r>
      <w:r>
        <w:rPr>
          <w:spacing w:val="-9"/>
        </w:rPr>
        <w:t> </w:t>
      </w:r>
      <w:r>
        <w:rPr/>
        <w:t>fallen</w:t>
      </w:r>
      <w:r>
        <w:rPr>
          <w:spacing w:val="-9"/>
        </w:rPr>
        <w:t> </w:t>
      </w:r>
      <w:r>
        <w:rPr/>
        <w:t>back</w:t>
      </w:r>
      <w:r>
        <w:rPr>
          <w:spacing w:val="-8"/>
        </w:rPr>
        <w:t> </w:t>
      </w:r>
      <w:r>
        <w:rPr/>
        <w:t>in</w:t>
      </w:r>
      <w:r>
        <w:rPr>
          <w:spacing w:val="-9"/>
        </w:rPr>
        <w:t> </w:t>
      </w:r>
      <w:r>
        <w:rPr/>
        <w:t>October.</w:t>
      </w:r>
      <w:r>
        <w:rPr>
          <w:spacing w:val="45"/>
        </w:rPr>
        <w:t> </w:t>
      </w:r>
      <w:r>
        <w:rPr/>
        <w:t>ICCs’</w:t>
      </w:r>
      <w:r>
        <w:rPr>
          <w:spacing w:val="-9"/>
        </w:rPr>
        <w:t> </w:t>
      </w:r>
      <w:r>
        <w:rPr/>
        <w:t>foreign</w:t>
      </w:r>
      <w:r>
        <w:rPr>
          <w:spacing w:val="-9"/>
        </w:rPr>
        <w:t> </w:t>
      </w:r>
      <w:r>
        <w:rPr/>
        <w:t>currency</w:t>
      </w:r>
      <w:r>
        <w:rPr>
          <w:spacing w:val="-8"/>
        </w:rPr>
        <w:t> </w:t>
      </w:r>
      <w:r>
        <w:rPr/>
        <w:t>borrowing</w:t>
      </w:r>
      <w:r>
        <w:rPr>
          <w:spacing w:val="-9"/>
        </w:rPr>
        <w:t> </w:t>
      </w:r>
      <w:r>
        <w:rPr/>
        <w:t>from</w:t>
      </w:r>
      <w:r>
        <w:rPr>
          <w:spacing w:val="-9"/>
        </w:rPr>
        <w:t> </w:t>
      </w:r>
      <w:r>
        <w:rPr/>
        <w:t>UK </w:t>
      </w:r>
      <w:r>
        <w:rPr>
          <w:spacing w:val="-3"/>
        </w:rPr>
        <w:t>banks </w:t>
      </w:r>
      <w:r>
        <w:rPr/>
        <w:t>had </w:t>
      </w:r>
      <w:r>
        <w:rPr>
          <w:spacing w:val="-3"/>
        </w:rPr>
        <w:t>also increased </w:t>
      </w:r>
      <w:r>
        <w:rPr/>
        <w:t>in Q3 </w:t>
      </w:r>
      <w:r>
        <w:rPr>
          <w:spacing w:val="-3"/>
        </w:rPr>
        <w:t>after slowing </w:t>
      </w:r>
      <w:r>
        <w:rPr/>
        <w:t>in Q2.  M4 </w:t>
      </w:r>
      <w:r>
        <w:rPr>
          <w:spacing w:val="-3"/>
        </w:rPr>
        <w:t>lending </w:t>
      </w:r>
      <w:r>
        <w:rPr/>
        <w:t>to </w:t>
      </w:r>
      <w:r>
        <w:rPr>
          <w:spacing w:val="-3"/>
        </w:rPr>
        <w:t>OFIs fell in </w:t>
      </w:r>
      <w:r>
        <w:rPr/>
        <w:t>October, on account of a fall in reverse repo activity: there were anecdotal suggestions that some OFIs had unwound positions financed by reverse repos, possibly because of </w:t>
      </w:r>
      <w:r>
        <w:rPr>
          <w:spacing w:val="-3"/>
        </w:rPr>
        <w:t>developments </w:t>
      </w:r>
      <w:r>
        <w:rPr/>
        <w:t>in </w:t>
      </w:r>
      <w:r>
        <w:rPr>
          <w:spacing w:val="-3"/>
        </w:rPr>
        <w:t>financial</w:t>
      </w:r>
      <w:r>
        <w:rPr/>
        <w:t> </w:t>
      </w:r>
      <w:r>
        <w:rPr>
          <w:spacing w:val="-3"/>
        </w:rPr>
        <w:t>markets.</w:t>
      </w:r>
    </w:p>
    <w:p>
      <w:pPr>
        <w:spacing w:after="0" w:line="372" w:lineRule="auto"/>
        <w:sectPr>
          <w:pgSz w:w="11900" w:h="16840"/>
          <w:pgMar w:header="719" w:footer="0" w:top="980" w:bottom="280" w:left="860" w:right="880"/>
        </w:sectPr>
      </w:pPr>
    </w:p>
    <w:p>
      <w:pPr>
        <w:pStyle w:val="BodyText"/>
        <w:rPr>
          <w:sz w:val="20"/>
        </w:rPr>
      </w:pPr>
    </w:p>
    <w:p>
      <w:pPr>
        <w:pStyle w:val="BodyText"/>
        <w:tabs>
          <w:tab w:pos="1554" w:val="left" w:leader="none"/>
        </w:tabs>
        <w:spacing w:line="372" w:lineRule="auto" w:before="228"/>
        <w:ind w:left="940" w:right="972"/>
      </w:pPr>
      <w:r>
        <w:rPr/>
        <w:t>A12</w:t>
        <w:tab/>
        <w:t>Net </w:t>
      </w:r>
      <w:r>
        <w:rPr>
          <w:spacing w:val="-3"/>
        </w:rPr>
        <w:t>sterling </w:t>
      </w:r>
      <w:r>
        <w:rPr/>
        <w:t>and </w:t>
      </w:r>
      <w:r>
        <w:rPr>
          <w:spacing w:val="-3"/>
        </w:rPr>
        <w:t>foreign currency lending overseas </w:t>
      </w:r>
      <w:r>
        <w:rPr/>
        <w:t>by UK </w:t>
      </w:r>
      <w:r>
        <w:rPr>
          <w:spacing w:val="-3"/>
        </w:rPr>
        <w:t>banks </w:t>
      </w:r>
      <w:r>
        <w:rPr/>
        <w:t>had </w:t>
      </w:r>
      <w:r>
        <w:rPr>
          <w:spacing w:val="-3"/>
        </w:rPr>
        <w:t>continued </w:t>
      </w:r>
      <w:r>
        <w:rPr/>
        <w:t>to drive a wedge between M4 and M4 lending in October. A slowdown in M4</w:t>
      </w:r>
      <w:r>
        <w:rPr>
          <w:spacing w:val="-35"/>
        </w:rPr>
        <w:t> </w:t>
      </w:r>
      <w:r>
        <w:rPr/>
        <w:t>lending would not inevitably bring M4 growth down if lending overseas remained strong </w:t>
      </w:r>
      <w:r>
        <w:rPr>
          <w:spacing w:val="-2"/>
        </w:rPr>
        <w:t>and </w:t>
      </w:r>
      <w:r>
        <w:rPr/>
        <w:t>flowed back into the UK as sterling deposits in the</w:t>
      </w:r>
      <w:r>
        <w:rPr>
          <w:spacing w:val="-14"/>
        </w:rPr>
        <w:t> </w:t>
      </w:r>
      <w:r>
        <w:rPr/>
        <w:t>future.</w:t>
      </w:r>
    </w:p>
    <w:p>
      <w:pPr>
        <w:pStyle w:val="BodyText"/>
        <w:spacing w:before="11"/>
        <w:rPr>
          <w:sz w:val="36"/>
        </w:rPr>
      </w:pPr>
    </w:p>
    <w:p>
      <w:pPr>
        <w:pStyle w:val="BodyText"/>
        <w:spacing w:line="372" w:lineRule="auto"/>
        <w:ind w:left="940" w:right="983"/>
      </w:pPr>
      <w:r>
        <w:rPr/>
        <w:t>A13 Since the previous MPC meeting, the short end of the yield curve had moved up as a result of the rise in the official repo rate. Estimated real rates had also risen at the short end. Short real rates had remained above the ten-year real forward rate, which was a possible proxy for an equilibrium short real rate.</w:t>
      </w:r>
    </w:p>
    <w:p>
      <w:pPr>
        <w:pStyle w:val="BodyText"/>
        <w:spacing w:before="11"/>
        <w:rPr>
          <w:sz w:val="36"/>
        </w:rPr>
      </w:pPr>
    </w:p>
    <w:p>
      <w:pPr>
        <w:pStyle w:val="BodyText"/>
        <w:spacing w:line="372" w:lineRule="auto"/>
        <w:ind w:left="940" w:right="934"/>
      </w:pPr>
      <w:r>
        <w:rPr/>
        <w:t>A14 There had been little pass-through of the latest official rate change to the retail market, except on unsecured loans. The opposite was true of the cumulative increases since May. Excluding the last rise, there had been almost complete pass-through of official rates into deposit accounts and standard variable rate mortgages, but little into unsecured lending. Around a quarter of mortgages had their rates reviewed annually, most of these were due at the year end. Five-year fixed mortgage rates had fallen as the yield curve had inverted, and reports suggested that new fixed-rate mortgage business was strong.</w:t>
      </w:r>
    </w:p>
    <w:p>
      <w:pPr>
        <w:pStyle w:val="BodyText"/>
        <w:spacing w:before="9"/>
        <w:rPr>
          <w:sz w:val="36"/>
        </w:rPr>
      </w:pPr>
    </w:p>
    <w:p>
      <w:pPr>
        <w:pStyle w:val="BodyText"/>
        <w:spacing w:line="372" w:lineRule="auto"/>
        <w:ind w:left="940" w:right="915"/>
      </w:pPr>
      <w:r>
        <w:rPr/>
        <w:t>A15 An examination of earlier interest rate cycles showed that pass-through had been quicker</w:t>
      </w:r>
      <w:r>
        <w:rPr>
          <w:spacing w:val="-6"/>
        </w:rPr>
        <w:t> </w:t>
      </w:r>
      <w:r>
        <w:rPr/>
        <w:t>this</w:t>
      </w:r>
      <w:r>
        <w:rPr>
          <w:spacing w:val="-6"/>
        </w:rPr>
        <w:t> </w:t>
      </w:r>
      <w:r>
        <w:rPr/>
        <w:t>time,</w:t>
      </w:r>
      <w:r>
        <w:rPr>
          <w:spacing w:val="-5"/>
        </w:rPr>
        <w:t> </w:t>
      </w:r>
      <w:r>
        <w:rPr/>
        <w:t>but</w:t>
      </w:r>
      <w:r>
        <w:rPr>
          <w:spacing w:val="-6"/>
        </w:rPr>
        <w:t> </w:t>
      </w:r>
      <w:r>
        <w:rPr/>
        <w:t>that</w:t>
      </w:r>
      <w:r>
        <w:rPr>
          <w:spacing w:val="-6"/>
        </w:rPr>
        <w:t> </w:t>
      </w:r>
      <w:r>
        <w:rPr/>
        <w:t>the</w:t>
      </w:r>
      <w:r>
        <w:rPr>
          <w:spacing w:val="-5"/>
        </w:rPr>
        <w:t> </w:t>
      </w:r>
      <w:r>
        <w:rPr/>
        <w:t>spread</w:t>
      </w:r>
      <w:r>
        <w:rPr>
          <w:spacing w:val="-6"/>
        </w:rPr>
        <w:t> </w:t>
      </w:r>
      <w:r>
        <w:rPr/>
        <w:t>of</w:t>
      </w:r>
      <w:r>
        <w:rPr>
          <w:spacing w:val="-5"/>
        </w:rPr>
        <w:t> </w:t>
      </w:r>
      <w:r>
        <w:rPr/>
        <w:t>retail</w:t>
      </w:r>
      <w:r>
        <w:rPr>
          <w:spacing w:val="-6"/>
        </w:rPr>
        <w:t> </w:t>
      </w:r>
      <w:r>
        <w:rPr/>
        <w:t>rates</w:t>
      </w:r>
      <w:r>
        <w:rPr>
          <w:spacing w:val="-6"/>
        </w:rPr>
        <w:t> </w:t>
      </w:r>
      <w:r>
        <w:rPr/>
        <w:t>over</w:t>
      </w:r>
      <w:r>
        <w:rPr>
          <w:spacing w:val="-5"/>
        </w:rPr>
        <w:t> </w:t>
      </w:r>
      <w:r>
        <w:rPr/>
        <w:t>the</w:t>
      </w:r>
      <w:r>
        <w:rPr>
          <w:spacing w:val="-6"/>
        </w:rPr>
        <w:t> </w:t>
      </w:r>
      <w:r>
        <w:rPr/>
        <w:t>official</w:t>
      </w:r>
      <w:r>
        <w:rPr>
          <w:spacing w:val="-5"/>
        </w:rPr>
        <w:t> </w:t>
      </w:r>
      <w:r>
        <w:rPr/>
        <w:t>rate</w:t>
      </w:r>
      <w:r>
        <w:rPr>
          <w:spacing w:val="-6"/>
        </w:rPr>
        <w:t> </w:t>
      </w:r>
      <w:r>
        <w:rPr/>
        <w:t>was</w:t>
      </w:r>
      <w:r>
        <w:rPr>
          <w:spacing w:val="-6"/>
        </w:rPr>
        <w:t> </w:t>
      </w:r>
      <w:r>
        <w:rPr/>
        <w:t>lower</w:t>
      </w:r>
      <w:r>
        <w:rPr>
          <w:spacing w:val="-5"/>
        </w:rPr>
        <w:t> </w:t>
      </w:r>
      <w:r>
        <w:rPr>
          <w:spacing w:val="-2"/>
        </w:rPr>
        <w:t>now </w:t>
      </w:r>
      <w:r>
        <w:rPr/>
        <w:t>than</w:t>
      </w:r>
      <w:r>
        <w:rPr>
          <w:spacing w:val="-8"/>
        </w:rPr>
        <w:t> </w:t>
      </w:r>
      <w:r>
        <w:rPr/>
        <w:t>it</w:t>
      </w:r>
      <w:r>
        <w:rPr>
          <w:spacing w:val="-8"/>
        </w:rPr>
        <w:t> </w:t>
      </w:r>
      <w:r>
        <w:rPr/>
        <w:t>had</w:t>
      </w:r>
      <w:r>
        <w:rPr>
          <w:spacing w:val="-7"/>
        </w:rPr>
        <w:t> </w:t>
      </w:r>
      <w:r>
        <w:rPr/>
        <w:t>been</w:t>
      </w:r>
      <w:r>
        <w:rPr>
          <w:spacing w:val="-8"/>
        </w:rPr>
        <w:t> </w:t>
      </w:r>
      <w:r>
        <w:rPr/>
        <w:t>at</w:t>
      </w:r>
      <w:r>
        <w:rPr>
          <w:spacing w:val="-8"/>
        </w:rPr>
        <w:t> </w:t>
      </w:r>
      <w:r>
        <w:rPr/>
        <w:t>the</w:t>
      </w:r>
      <w:r>
        <w:rPr>
          <w:spacing w:val="-7"/>
        </w:rPr>
        <w:t> </w:t>
      </w:r>
      <w:r>
        <w:rPr/>
        <w:t>peaks</w:t>
      </w:r>
      <w:r>
        <w:rPr>
          <w:spacing w:val="-8"/>
        </w:rPr>
        <w:t> </w:t>
      </w:r>
      <w:r>
        <w:rPr/>
        <w:t>of</w:t>
      </w:r>
      <w:r>
        <w:rPr>
          <w:spacing w:val="-8"/>
        </w:rPr>
        <w:t> </w:t>
      </w:r>
      <w:r>
        <w:rPr/>
        <w:t>previous</w:t>
      </w:r>
      <w:r>
        <w:rPr>
          <w:spacing w:val="-7"/>
        </w:rPr>
        <w:t> </w:t>
      </w:r>
      <w:r>
        <w:rPr/>
        <w:t>official</w:t>
      </w:r>
      <w:r>
        <w:rPr>
          <w:spacing w:val="-8"/>
        </w:rPr>
        <w:t> </w:t>
      </w:r>
      <w:r>
        <w:rPr/>
        <w:t>interest</w:t>
      </w:r>
      <w:r>
        <w:rPr>
          <w:spacing w:val="-8"/>
        </w:rPr>
        <w:t> </w:t>
      </w:r>
      <w:r>
        <w:rPr/>
        <w:t>rate</w:t>
      </w:r>
      <w:r>
        <w:rPr>
          <w:spacing w:val="-7"/>
        </w:rPr>
        <w:t> </w:t>
      </w:r>
      <w:r>
        <w:rPr/>
        <w:t>cycles.</w:t>
      </w:r>
      <w:r>
        <w:rPr>
          <w:spacing w:val="47"/>
        </w:rPr>
        <w:t> </w:t>
      </w:r>
      <w:r>
        <w:rPr/>
        <w:t>(The</w:t>
      </w:r>
      <w:r>
        <w:rPr>
          <w:spacing w:val="-8"/>
        </w:rPr>
        <w:t> </w:t>
      </w:r>
      <w:r>
        <w:rPr/>
        <w:t>comparisons were made between June 1988 - October 1989, September 1994 - February 1995 and May 1997 - November 1997).  Further comparisons showed that the two-year real spot rate was roughly the same now as it had been at the peak of previous interest rate cycles;</w:t>
      </w:r>
      <w:r>
        <w:rPr>
          <w:spacing w:val="-7"/>
        </w:rPr>
        <w:t> </w:t>
      </w:r>
      <w:r>
        <w:rPr/>
        <w:t>but</w:t>
      </w:r>
      <w:r>
        <w:rPr>
          <w:spacing w:val="-6"/>
        </w:rPr>
        <w:t> </w:t>
      </w:r>
      <w:r>
        <w:rPr/>
        <w:t>ten-year</w:t>
      </w:r>
      <w:r>
        <w:rPr>
          <w:spacing w:val="-7"/>
        </w:rPr>
        <w:t> </w:t>
      </w:r>
      <w:r>
        <w:rPr/>
        <w:t>real</w:t>
      </w:r>
      <w:r>
        <w:rPr>
          <w:spacing w:val="-6"/>
        </w:rPr>
        <w:t> </w:t>
      </w:r>
      <w:r>
        <w:rPr/>
        <w:t>forward</w:t>
      </w:r>
      <w:r>
        <w:rPr>
          <w:spacing w:val="-7"/>
        </w:rPr>
        <w:t> </w:t>
      </w:r>
      <w:r>
        <w:rPr/>
        <w:t>rates</w:t>
      </w:r>
      <w:r>
        <w:rPr>
          <w:spacing w:val="-6"/>
        </w:rPr>
        <w:t> </w:t>
      </w:r>
      <w:r>
        <w:rPr/>
        <w:t>were</w:t>
      </w:r>
      <w:r>
        <w:rPr>
          <w:spacing w:val="-7"/>
        </w:rPr>
        <w:t> </w:t>
      </w:r>
      <w:r>
        <w:rPr/>
        <w:t>lower:</w:t>
      </w:r>
      <w:r>
        <w:rPr>
          <w:spacing w:val="-6"/>
        </w:rPr>
        <w:t> </w:t>
      </w:r>
      <w:r>
        <w:rPr/>
        <w:t>it</w:t>
      </w:r>
      <w:r>
        <w:rPr>
          <w:spacing w:val="-6"/>
        </w:rPr>
        <w:t> </w:t>
      </w:r>
      <w:r>
        <w:rPr/>
        <w:t>was</w:t>
      </w:r>
      <w:r>
        <w:rPr>
          <w:spacing w:val="-7"/>
        </w:rPr>
        <w:t> </w:t>
      </w:r>
      <w:r>
        <w:rPr/>
        <w:t>difficult</w:t>
      </w:r>
      <w:r>
        <w:rPr>
          <w:spacing w:val="-6"/>
        </w:rPr>
        <w:t> </w:t>
      </w:r>
      <w:r>
        <w:rPr/>
        <w:t>to</w:t>
      </w:r>
      <w:r>
        <w:rPr>
          <w:spacing w:val="-7"/>
        </w:rPr>
        <w:t> </w:t>
      </w:r>
      <w:r>
        <w:rPr/>
        <w:t>judge</w:t>
      </w:r>
      <w:r>
        <w:rPr>
          <w:spacing w:val="-6"/>
        </w:rPr>
        <w:t> </w:t>
      </w:r>
      <w:r>
        <w:rPr/>
        <w:t>whether</w:t>
      </w:r>
      <w:r>
        <w:rPr>
          <w:spacing w:val="-7"/>
        </w:rPr>
        <w:t> </w:t>
      </w:r>
      <w:r>
        <w:rPr>
          <w:spacing w:val="-2"/>
        </w:rPr>
        <w:t>the </w:t>
      </w:r>
      <w:r>
        <w:rPr/>
        <w:t>ten-year forward rate had been affected by some of the institutional factors affecting pension funds referred to</w:t>
      </w:r>
      <w:r>
        <w:rPr>
          <w:spacing w:val="2"/>
        </w:rPr>
        <w:t> </w:t>
      </w:r>
      <w:r>
        <w:rPr>
          <w:spacing w:val="-2"/>
        </w:rPr>
        <w:t>above.</w:t>
      </w:r>
    </w:p>
    <w:p>
      <w:pPr>
        <w:pStyle w:val="BodyText"/>
        <w:spacing w:before="8"/>
        <w:rPr>
          <w:sz w:val="36"/>
        </w:rPr>
      </w:pPr>
    </w:p>
    <w:p>
      <w:pPr>
        <w:pStyle w:val="BodyText"/>
        <w:spacing w:line="372" w:lineRule="auto"/>
        <w:ind w:left="940" w:right="934"/>
      </w:pPr>
      <w:r>
        <w:rPr/>
        <w:t>A16 As at 3 </w:t>
      </w:r>
      <w:r>
        <w:rPr>
          <w:spacing w:val="-3"/>
        </w:rPr>
        <w:t>December, </w:t>
      </w:r>
      <w:r>
        <w:rPr/>
        <w:t>the </w:t>
      </w:r>
      <w:r>
        <w:rPr>
          <w:spacing w:val="-3"/>
        </w:rPr>
        <w:t>nominal effective exchange rate index </w:t>
      </w:r>
      <w:r>
        <w:rPr/>
        <w:t>had </w:t>
      </w:r>
      <w:r>
        <w:rPr>
          <w:spacing w:val="-3"/>
        </w:rPr>
        <w:t>appreciated by </w:t>
      </w:r>
      <w:r>
        <w:rPr/>
        <w:t>2.8% since the previous MPC meeting and by 3.2% from the level used in </w:t>
      </w:r>
      <w:r>
        <w:rPr>
          <w:spacing w:val="-2"/>
        </w:rPr>
        <w:t>the </w:t>
      </w:r>
      <w:r>
        <w:rPr/>
        <w:t>projections in the November </w:t>
      </w:r>
      <w:r>
        <w:rPr>
          <w:i/>
        </w:rPr>
        <w:t>Inflation Report </w:t>
      </w:r>
      <w:r>
        <w:rPr/>
        <w:t>forecast. The change could not be explained</w:t>
      </w:r>
      <w:r>
        <w:rPr>
          <w:spacing w:val="-12"/>
        </w:rPr>
        <w:t> </w:t>
      </w:r>
      <w:r>
        <w:rPr/>
        <w:t>by</w:t>
      </w:r>
      <w:r>
        <w:rPr>
          <w:spacing w:val="-11"/>
        </w:rPr>
        <w:t> </w:t>
      </w:r>
      <w:r>
        <w:rPr/>
        <w:t>reference</w:t>
      </w:r>
      <w:r>
        <w:rPr>
          <w:spacing w:val="-11"/>
        </w:rPr>
        <w:t> </w:t>
      </w:r>
      <w:r>
        <w:rPr/>
        <w:t>to</w:t>
      </w:r>
      <w:r>
        <w:rPr>
          <w:spacing w:val="-11"/>
        </w:rPr>
        <w:t> </w:t>
      </w:r>
      <w:r>
        <w:rPr/>
        <w:t>the</w:t>
      </w:r>
      <w:r>
        <w:rPr>
          <w:spacing w:val="-11"/>
        </w:rPr>
        <w:t> </w:t>
      </w:r>
      <w:r>
        <w:rPr/>
        <w:t>uncovered</w:t>
      </w:r>
      <w:r>
        <w:rPr>
          <w:spacing w:val="-11"/>
        </w:rPr>
        <w:t> </w:t>
      </w:r>
      <w:r>
        <w:rPr/>
        <w:t>interest</w:t>
      </w:r>
      <w:r>
        <w:rPr>
          <w:spacing w:val="-12"/>
        </w:rPr>
        <w:t> </w:t>
      </w:r>
      <w:r>
        <w:rPr/>
        <w:t>parity</w:t>
      </w:r>
      <w:r>
        <w:rPr>
          <w:spacing w:val="-11"/>
        </w:rPr>
        <w:t> </w:t>
      </w:r>
      <w:r>
        <w:rPr/>
        <w:t>condition</w:t>
      </w:r>
      <w:r>
        <w:rPr>
          <w:spacing w:val="-11"/>
        </w:rPr>
        <w:t> </w:t>
      </w:r>
      <w:r>
        <w:rPr/>
        <w:t>using</w:t>
      </w:r>
      <w:r>
        <w:rPr>
          <w:spacing w:val="-11"/>
        </w:rPr>
        <w:t> </w:t>
      </w:r>
      <w:r>
        <w:rPr/>
        <w:t>forward</w:t>
      </w:r>
      <w:r>
        <w:rPr>
          <w:spacing w:val="-11"/>
        </w:rPr>
        <w:t> </w:t>
      </w:r>
      <w:r>
        <w:rPr/>
        <w:t>interest</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938"/>
      </w:pPr>
      <w:r>
        <w:rPr>
          <w:spacing w:val="-3"/>
        </w:rPr>
        <w:t>rate differentials.  </w:t>
      </w:r>
      <w:r>
        <w:rPr/>
        <w:t>Nor </w:t>
      </w:r>
      <w:r>
        <w:rPr>
          <w:spacing w:val="-3"/>
        </w:rPr>
        <w:t>could </w:t>
      </w:r>
      <w:r>
        <w:rPr/>
        <w:t>it be </w:t>
      </w:r>
      <w:r>
        <w:rPr>
          <w:spacing w:val="-3"/>
        </w:rPr>
        <w:t>explained </w:t>
      </w:r>
      <w:r>
        <w:rPr/>
        <w:t>by </w:t>
      </w:r>
      <w:r>
        <w:rPr>
          <w:spacing w:val="-3"/>
        </w:rPr>
        <w:t>unexpected shifts </w:t>
      </w:r>
      <w:r>
        <w:rPr/>
        <w:t>in UK </w:t>
      </w:r>
      <w:r>
        <w:rPr>
          <w:spacing w:val="-3"/>
        </w:rPr>
        <w:t>monetary </w:t>
      </w:r>
      <w:r>
        <w:rPr/>
        <w:t>policy relative to the rest of the world. This left other unforeseen shocks: important among which were events in Japan; the appreciation of sterling against the yen </w:t>
      </w:r>
      <w:r>
        <w:rPr>
          <w:spacing w:val="-2"/>
        </w:rPr>
        <w:t>had </w:t>
      </w:r>
      <w:r>
        <w:rPr/>
        <w:t>accounted</w:t>
      </w:r>
      <w:r>
        <w:rPr>
          <w:spacing w:val="-9"/>
        </w:rPr>
        <w:t> </w:t>
      </w:r>
      <w:r>
        <w:rPr/>
        <w:t>for</w:t>
      </w:r>
      <w:r>
        <w:rPr>
          <w:spacing w:val="-9"/>
        </w:rPr>
        <w:t> </w:t>
      </w:r>
      <w:r>
        <w:rPr/>
        <w:t>around</w:t>
      </w:r>
      <w:r>
        <w:rPr>
          <w:spacing w:val="-8"/>
        </w:rPr>
        <w:t> </w:t>
      </w:r>
      <w:r>
        <w:rPr/>
        <w:t>0.6</w:t>
      </w:r>
      <w:r>
        <w:rPr>
          <w:spacing w:val="-9"/>
        </w:rPr>
        <w:t> </w:t>
      </w:r>
      <w:r>
        <w:rPr/>
        <w:t>percentage</w:t>
      </w:r>
      <w:r>
        <w:rPr>
          <w:spacing w:val="-8"/>
        </w:rPr>
        <w:t> </w:t>
      </w:r>
      <w:r>
        <w:rPr/>
        <w:t>points</w:t>
      </w:r>
      <w:r>
        <w:rPr>
          <w:spacing w:val="-9"/>
        </w:rPr>
        <w:t> </w:t>
      </w:r>
      <w:r>
        <w:rPr/>
        <w:t>of</w:t>
      </w:r>
      <w:r>
        <w:rPr>
          <w:spacing w:val="-9"/>
        </w:rPr>
        <w:t> </w:t>
      </w:r>
      <w:r>
        <w:rPr/>
        <w:t>the</w:t>
      </w:r>
      <w:r>
        <w:rPr>
          <w:spacing w:val="-8"/>
        </w:rPr>
        <w:t> </w:t>
      </w:r>
      <w:r>
        <w:rPr/>
        <w:t>appreciation</w:t>
      </w:r>
      <w:r>
        <w:rPr>
          <w:spacing w:val="-9"/>
        </w:rPr>
        <w:t> </w:t>
      </w:r>
      <w:r>
        <w:rPr/>
        <w:t>in</w:t>
      </w:r>
      <w:r>
        <w:rPr>
          <w:spacing w:val="-8"/>
        </w:rPr>
        <w:t> </w:t>
      </w:r>
      <w:r>
        <w:rPr/>
        <w:t>the</w:t>
      </w:r>
      <w:r>
        <w:rPr>
          <w:spacing w:val="-9"/>
        </w:rPr>
        <w:t> </w:t>
      </w:r>
      <w:r>
        <w:rPr/>
        <w:t>sterling</w:t>
      </w:r>
      <w:r>
        <w:rPr>
          <w:spacing w:val="-9"/>
        </w:rPr>
        <w:t> </w:t>
      </w:r>
      <w:r>
        <w:rPr/>
        <w:t>exchange rate index since the November </w:t>
      </w:r>
      <w:r>
        <w:rPr>
          <w:i/>
        </w:rPr>
        <w:t>Inflation Report</w:t>
      </w:r>
      <w:r>
        <w:rPr/>
        <w:t>, </w:t>
      </w:r>
      <w:r>
        <w:rPr>
          <w:spacing w:val="-3"/>
        </w:rPr>
        <w:t>and </w:t>
      </w:r>
      <w:r>
        <w:rPr>
          <w:spacing w:val="-4"/>
        </w:rPr>
        <w:t>might </w:t>
      </w:r>
      <w:r>
        <w:rPr/>
        <w:t>be </w:t>
      </w:r>
      <w:r>
        <w:rPr>
          <w:spacing w:val="-4"/>
        </w:rPr>
        <w:t>explained </w:t>
      </w:r>
      <w:r>
        <w:rPr/>
        <w:t>by a </w:t>
      </w:r>
      <w:r>
        <w:rPr>
          <w:spacing w:val="-4"/>
        </w:rPr>
        <w:t>change in </w:t>
      </w:r>
      <w:r>
        <w:rPr/>
        <w:t>the </w:t>
      </w:r>
      <w:r>
        <w:rPr>
          <w:spacing w:val="-3"/>
        </w:rPr>
        <w:t>foreign currency risk premium </w:t>
      </w:r>
      <w:r>
        <w:rPr/>
        <w:t>in </w:t>
      </w:r>
      <w:r>
        <w:rPr>
          <w:spacing w:val="-3"/>
        </w:rPr>
        <w:t>sterling’s favour given </w:t>
      </w:r>
      <w:r>
        <w:rPr/>
        <w:t>the </w:t>
      </w:r>
      <w:r>
        <w:rPr>
          <w:spacing w:val="-3"/>
        </w:rPr>
        <w:t>financial fragility </w:t>
      </w:r>
      <w:r>
        <w:rPr/>
        <w:t>concerns</w:t>
      </w:r>
      <w:r>
        <w:rPr>
          <w:spacing w:val="1"/>
        </w:rPr>
        <w:t> </w:t>
      </w:r>
      <w:r>
        <w:rPr/>
        <w:t>there.</w:t>
      </w:r>
    </w:p>
    <w:p>
      <w:pPr>
        <w:pStyle w:val="BodyText"/>
        <w:spacing w:before="9"/>
        <w:rPr>
          <w:sz w:val="36"/>
        </w:rPr>
      </w:pPr>
    </w:p>
    <w:p>
      <w:pPr>
        <w:pStyle w:val="ListParagraph"/>
        <w:numPr>
          <w:ilvl w:val="1"/>
          <w:numId w:val="1"/>
        </w:numPr>
        <w:tabs>
          <w:tab w:pos="1659" w:val="left" w:leader="none"/>
          <w:tab w:pos="1660" w:val="left" w:leader="none"/>
        </w:tabs>
        <w:spacing w:line="240" w:lineRule="auto" w:before="0" w:after="0"/>
        <w:ind w:left="1660" w:right="0" w:hanging="720"/>
        <w:jc w:val="left"/>
        <w:rPr>
          <w:sz w:val="24"/>
        </w:rPr>
      </w:pPr>
      <w:r>
        <w:rPr>
          <w:sz w:val="24"/>
          <w:u w:val="single"/>
        </w:rPr>
        <w:t>Demand and</w:t>
      </w:r>
      <w:r>
        <w:rPr>
          <w:spacing w:val="1"/>
          <w:sz w:val="24"/>
          <w:u w:val="single"/>
        </w:rPr>
        <w:t> </w:t>
      </w:r>
      <w:r>
        <w:rPr>
          <w:sz w:val="24"/>
          <w:u w:val="single"/>
        </w:rPr>
        <w:t>output</w:t>
      </w:r>
    </w:p>
    <w:p>
      <w:pPr>
        <w:pStyle w:val="BodyText"/>
        <w:rPr>
          <w:sz w:val="20"/>
        </w:rPr>
      </w:pPr>
    </w:p>
    <w:p>
      <w:pPr>
        <w:pStyle w:val="BodyText"/>
        <w:spacing w:before="6"/>
        <w:rPr>
          <w:sz w:val="22"/>
        </w:rPr>
      </w:pPr>
    </w:p>
    <w:p>
      <w:pPr>
        <w:pStyle w:val="BodyText"/>
        <w:spacing w:line="372" w:lineRule="auto" w:before="90"/>
        <w:ind w:left="940" w:right="934"/>
      </w:pPr>
      <w:r>
        <w:rPr/>
        <w:t>A17 The second estimate of GDP for 1997Q3 had been published in November. This provided the first estimates of GDP expenditure components. It was not clear how much weight to put on these components, as they were often revised significantly before the third GDP estimate - the main revisions to GDP growth tended to occur after the third estimate had been published. The new data showed domestic demand weakening considerably in Q3 as private consumption growth slowed and investment fell. Offsetting this, net trade made a positive contribution to GDP growth. The CIPS survey suggested that services output was continuing to grow rapidly, though less rapidly than in the Spring, and that manufacturing output was continuing to grow.</w:t>
      </w:r>
    </w:p>
    <w:p>
      <w:pPr>
        <w:pStyle w:val="BodyText"/>
        <w:spacing w:before="8"/>
        <w:rPr>
          <w:sz w:val="36"/>
        </w:rPr>
      </w:pPr>
    </w:p>
    <w:p>
      <w:pPr>
        <w:pStyle w:val="BodyText"/>
        <w:spacing w:line="372" w:lineRule="auto"/>
        <w:ind w:left="940" w:right="934"/>
      </w:pPr>
      <w:r>
        <w:rPr/>
        <w:t>A18 </w:t>
      </w:r>
      <w:r>
        <w:rPr>
          <w:spacing w:val="-3"/>
        </w:rPr>
        <w:t>Consumption, particularly </w:t>
      </w:r>
      <w:r>
        <w:rPr/>
        <w:t>of </w:t>
      </w:r>
      <w:r>
        <w:rPr>
          <w:spacing w:val="-3"/>
        </w:rPr>
        <w:t>services, </w:t>
      </w:r>
      <w:r>
        <w:rPr/>
        <w:t>now </w:t>
      </w:r>
      <w:r>
        <w:rPr>
          <w:spacing w:val="-3"/>
        </w:rPr>
        <w:t>seemed likely </w:t>
      </w:r>
      <w:r>
        <w:rPr/>
        <w:t>to </w:t>
      </w:r>
      <w:r>
        <w:rPr>
          <w:spacing w:val="-3"/>
        </w:rPr>
        <w:t>have been weaker </w:t>
      </w:r>
      <w:r>
        <w:rPr/>
        <w:t>than Bank staff had expected. The death of Diana, Princess of Wales, might have affected</w:t>
      </w:r>
      <w:r>
        <w:rPr>
          <w:spacing w:val="-8"/>
        </w:rPr>
        <w:t> </w:t>
      </w:r>
      <w:r>
        <w:rPr/>
        <w:t>spending</w:t>
      </w:r>
      <w:r>
        <w:rPr>
          <w:spacing w:val="-7"/>
        </w:rPr>
        <w:t> </w:t>
      </w:r>
      <w:r>
        <w:rPr/>
        <w:t>by</w:t>
      </w:r>
      <w:r>
        <w:rPr>
          <w:spacing w:val="-7"/>
        </w:rPr>
        <w:t> </w:t>
      </w:r>
      <w:r>
        <w:rPr/>
        <w:t>more</w:t>
      </w:r>
      <w:r>
        <w:rPr>
          <w:spacing w:val="-7"/>
        </w:rPr>
        <w:t> </w:t>
      </w:r>
      <w:r>
        <w:rPr/>
        <w:t>than</w:t>
      </w:r>
      <w:r>
        <w:rPr>
          <w:spacing w:val="-7"/>
        </w:rPr>
        <w:t> </w:t>
      </w:r>
      <w:r>
        <w:rPr/>
        <w:t>Bank</w:t>
      </w:r>
      <w:r>
        <w:rPr>
          <w:spacing w:val="-7"/>
        </w:rPr>
        <w:t> </w:t>
      </w:r>
      <w:r>
        <w:rPr/>
        <w:t>staff</w:t>
      </w:r>
      <w:r>
        <w:rPr>
          <w:spacing w:val="-7"/>
        </w:rPr>
        <w:t> </w:t>
      </w:r>
      <w:r>
        <w:rPr/>
        <w:t>had</w:t>
      </w:r>
      <w:r>
        <w:rPr>
          <w:spacing w:val="-7"/>
        </w:rPr>
        <w:t> </w:t>
      </w:r>
      <w:r>
        <w:rPr/>
        <w:t>assumed,</w:t>
      </w:r>
      <w:r>
        <w:rPr>
          <w:spacing w:val="-7"/>
        </w:rPr>
        <w:t> </w:t>
      </w:r>
      <w:r>
        <w:rPr/>
        <w:t>and</w:t>
      </w:r>
      <w:r>
        <w:rPr>
          <w:spacing w:val="-7"/>
        </w:rPr>
        <w:t> </w:t>
      </w:r>
      <w:r>
        <w:rPr/>
        <w:t>there</w:t>
      </w:r>
      <w:r>
        <w:rPr>
          <w:spacing w:val="-7"/>
        </w:rPr>
        <w:t> </w:t>
      </w:r>
      <w:r>
        <w:rPr/>
        <w:t>might</w:t>
      </w:r>
      <w:r>
        <w:rPr>
          <w:spacing w:val="-7"/>
        </w:rPr>
        <w:t> </w:t>
      </w:r>
      <w:r>
        <w:rPr/>
        <w:t>not</w:t>
      </w:r>
      <w:r>
        <w:rPr>
          <w:spacing w:val="-7"/>
        </w:rPr>
        <w:t> </w:t>
      </w:r>
      <w:r>
        <w:rPr/>
        <w:t>have</w:t>
      </w:r>
      <w:r>
        <w:rPr>
          <w:spacing w:val="-7"/>
        </w:rPr>
        <w:t> </w:t>
      </w:r>
      <w:r>
        <w:rPr>
          <w:spacing w:val="-6"/>
        </w:rPr>
        <w:t>been </w:t>
      </w:r>
      <w:r>
        <w:rPr/>
        <w:t>as </w:t>
      </w:r>
      <w:r>
        <w:rPr>
          <w:spacing w:val="-3"/>
        </w:rPr>
        <w:t>much windfall-related spending </w:t>
      </w:r>
      <w:r>
        <w:rPr/>
        <w:t>as </w:t>
      </w:r>
      <w:r>
        <w:rPr>
          <w:spacing w:val="-3"/>
        </w:rPr>
        <w:t>Bank staff </w:t>
      </w:r>
      <w:r>
        <w:rPr/>
        <w:t>had </w:t>
      </w:r>
      <w:r>
        <w:rPr>
          <w:spacing w:val="-3"/>
        </w:rPr>
        <w:t>expected </w:t>
      </w:r>
      <w:r>
        <w:rPr/>
        <w:t>on </w:t>
      </w:r>
      <w:r>
        <w:rPr>
          <w:spacing w:val="-3"/>
        </w:rPr>
        <w:t>services such as </w:t>
      </w:r>
      <w:r>
        <w:rPr/>
        <w:t>foreign holidays. At this stage, the data on both effects were probably</w:t>
      </w:r>
      <w:r>
        <w:rPr>
          <w:spacing w:val="-11"/>
        </w:rPr>
        <w:t> </w:t>
      </w:r>
      <w:r>
        <w:rPr/>
        <w:t>incomplete.</w:t>
      </w:r>
    </w:p>
    <w:p>
      <w:pPr>
        <w:pStyle w:val="BodyText"/>
        <w:spacing w:before="10"/>
        <w:rPr>
          <w:sz w:val="36"/>
        </w:rPr>
      </w:pPr>
    </w:p>
    <w:p>
      <w:pPr>
        <w:pStyle w:val="BodyText"/>
        <w:spacing w:line="372" w:lineRule="auto"/>
        <w:ind w:left="940" w:right="849"/>
      </w:pPr>
      <w:r>
        <w:rPr/>
        <w:t>A19 Retail sales increased by 2.8% in October - the largest monthly rise since April 1987. The increase was largely driven by sectors where sales had fallen most during September (household goods’ sales had been affected by the death of Diana, Princess of Wales and sales of clothing and footwear had also been depressed by the unusually warm September). Nevertheless, the large increase was probably an indication that goods consumption would grow strongly in Q4. Consumer confidence, though falling, remained high. The CBI distributive trades survey suggested some softening of retail</w:t>
      </w:r>
    </w:p>
    <w:p>
      <w:pPr>
        <w:spacing w:after="0" w:line="372" w:lineRule="auto"/>
        <w:sectPr>
          <w:pgSz w:w="11900" w:h="16840"/>
          <w:pgMar w:header="719" w:footer="0" w:top="980" w:bottom="280" w:left="860" w:right="880"/>
        </w:sectPr>
      </w:pPr>
    </w:p>
    <w:p>
      <w:pPr>
        <w:pStyle w:val="BodyText"/>
        <w:rPr>
          <w:sz w:val="20"/>
        </w:rPr>
      </w:pPr>
    </w:p>
    <w:p>
      <w:pPr>
        <w:pStyle w:val="BodyText"/>
        <w:spacing w:before="228"/>
        <w:ind w:left="940"/>
      </w:pPr>
      <w:r>
        <w:rPr/>
        <w:t>sales in November, though it was not expected to last.</w:t>
      </w:r>
    </w:p>
    <w:p>
      <w:pPr>
        <w:pStyle w:val="BodyText"/>
        <w:rPr>
          <w:sz w:val="26"/>
        </w:rPr>
      </w:pPr>
    </w:p>
    <w:p>
      <w:pPr>
        <w:pStyle w:val="BodyText"/>
        <w:spacing w:before="3"/>
      </w:pPr>
    </w:p>
    <w:p>
      <w:pPr>
        <w:pStyle w:val="BodyText"/>
        <w:spacing w:line="372" w:lineRule="auto" w:before="1"/>
        <w:ind w:left="940" w:right="1189"/>
      </w:pPr>
      <w:r>
        <w:rPr/>
        <w:t>A20 Investment fell by 1.2% in 1997Q3, but rose by 0.5% excluding the volatile vehicle, ships and aircraft component. Excluding vehicle, ships and aircraft, private service sector investment was essentially flat; manufacturing investment fell; and construction investment, though a small part of the total, remained strong. But upward revisions to total investment were likely.</w:t>
      </w:r>
    </w:p>
    <w:p>
      <w:pPr>
        <w:pStyle w:val="BodyText"/>
        <w:spacing w:before="10"/>
        <w:rPr>
          <w:sz w:val="36"/>
        </w:rPr>
      </w:pPr>
    </w:p>
    <w:p>
      <w:pPr>
        <w:pStyle w:val="BodyText"/>
        <w:spacing w:line="372" w:lineRule="auto"/>
        <w:ind w:left="940" w:right="1135"/>
        <w:jc w:val="both"/>
      </w:pPr>
      <w:r>
        <w:rPr/>
        <w:t>A21 Stocks rose by £1.1 billion at 1990 prices in Q3, including the ONS’ alignment adjustment - the largest rise since 1996 Q1. Nevertheless, the Bank’s estimate of the stock-output ratio continued to fall.</w:t>
      </w:r>
    </w:p>
    <w:p>
      <w:pPr>
        <w:pStyle w:val="BodyText"/>
        <w:rPr>
          <w:sz w:val="37"/>
        </w:rPr>
      </w:pPr>
    </w:p>
    <w:p>
      <w:pPr>
        <w:pStyle w:val="BodyText"/>
        <w:tabs>
          <w:tab w:pos="1554" w:val="left" w:leader="none"/>
        </w:tabs>
        <w:spacing w:line="372" w:lineRule="auto"/>
        <w:ind w:left="940" w:right="1049"/>
      </w:pPr>
      <w:r>
        <w:rPr/>
        <w:t>A22</w:t>
        <w:tab/>
        <w:t>There</w:t>
      </w:r>
      <w:r>
        <w:rPr>
          <w:spacing w:val="-7"/>
        </w:rPr>
        <w:t> </w:t>
      </w:r>
      <w:r>
        <w:rPr/>
        <w:t>was</w:t>
      </w:r>
      <w:r>
        <w:rPr>
          <w:spacing w:val="-7"/>
        </w:rPr>
        <w:t> </w:t>
      </w:r>
      <w:r>
        <w:rPr/>
        <w:t>no</w:t>
      </w:r>
      <w:r>
        <w:rPr>
          <w:spacing w:val="-6"/>
        </w:rPr>
        <w:t> </w:t>
      </w:r>
      <w:r>
        <w:rPr/>
        <w:t>clear</w:t>
      </w:r>
      <w:r>
        <w:rPr>
          <w:spacing w:val="-7"/>
        </w:rPr>
        <w:t> </w:t>
      </w:r>
      <w:r>
        <w:rPr/>
        <w:t>trend</w:t>
      </w:r>
      <w:r>
        <w:rPr>
          <w:spacing w:val="-6"/>
        </w:rPr>
        <w:t> </w:t>
      </w:r>
      <w:r>
        <w:rPr/>
        <w:t>in</w:t>
      </w:r>
      <w:r>
        <w:rPr>
          <w:spacing w:val="-7"/>
        </w:rPr>
        <w:t> </w:t>
      </w:r>
      <w:r>
        <w:rPr/>
        <w:t>the</w:t>
      </w:r>
      <w:r>
        <w:rPr>
          <w:spacing w:val="-7"/>
        </w:rPr>
        <w:t> </w:t>
      </w:r>
      <w:r>
        <w:rPr/>
        <w:t>aggregate</w:t>
      </w:r>
      <w:r>
        <w:rPr>
          <w:spacing w:val="-6"/>
        </w:rPr>
        <w:t> </w:t>
      </w:r>
      <w:r>
        <w:rPr/>
        <w:t>trade</w:t>
      </w:r>
      <w:r>
        <w:rPr>
          <w:spacing w:val="-7"/>
        </w:rPr>
        <w:t> </w:t>
      </w:r>
      <w:r>
        <w:rPr/>
        <w:t>numbers;</w:t>
      </w:r>
      <w:r>
        <w:rPr>
          <w:spacing w:val="-6"/>
        </w:rPr>
        <w:t> </w:t>
      </w:r>
      <w:r>
        <w:rPr/>
        <w:t>but</w:t>
      </w:r>
      <w:r>
        <w:rPr>
          <w:spacing w:val="-7"/>
        </w:rPr>
        <w:t> </w:t>
      </w:r>
      <w:r>
        <w:rPr/>
        <w:t>once</w:t>
      </w:r>
      <w:r>
        <w:rPr>
          <w:spacing w:val="-6"/>
        </w:rPr>
        <w:t> </w:t>
      </w:r>
      <w:r>
        <w:rPr/>
        <w:t>erratic</w:t>
      </w:r>
      <w:r>
        <w:rPr>
          <w:spacing w:val="-7"/>
        </w:rPr>
        <w:t> </w:t>
      </w:r>
      <w:r>
        <w:rPr/>
        <w:t>items were stripped away, there were signs of an underlying deterioration in Q3. In Q2, </w:t>
      </w:r>
      <w:r>
        <w:rPr>
          <w:spacing w:val="-2"/>
        </w:rPr>
        <w:t>oil </w:t>
      </w:r>
      <w:r>
        <w:rPr/>
        <w:t>and erratics had more than offset the positive contribution to GDP from net trade in other goods; this picture had been entirely reversed in Q3. The weakness of trade in Q3</w:t>
      </w:r>
      <w:r>
        <w:rPr>
          <w:spacing w:val="-9"/>
        </w:rPr>
        <w:t> </w:t>
      </w:r>
      <w:r>
        <w:rPr/>
        <w:t>was</w:t>
      </w:r>
      <w:r>
        <w:rPr>
          <w:spacing w:val="-8"/>
        </w:rPr>
        <w:t> </w:t>
      </w:r>
      <w:r>
        <w:rPr/>
        <w:t>mostly</w:t>
      </w:r>
      <w:r>
        <w:rPr>
          <w:spacing w:val="-8"/>
        </w:rPr>
        <w:t> </w:t>
      </w:r>
      <w:r>
        <w:rPr/>
        <w:t>an</w:t>
      </w:r>
      <w:r>
        <w:rPr>
          <w:spacing w:val="-8"/>
        </w:rPr>
        <w:t> </w:t>
      </w:r>
      <w:r>
        <w:rPr/>
        <w:t>export</w:t>
      </w:r>
      <w:r>
        <w:rPr>
          <w:spacing w:val="-8"/>
        </w:rPr>
        <w:t> </w:t>
      </w:r>
      <w:r>
        <w:rPr/>
        <w:t>story,</w:t>
      </w:r>
      <w:r>
        <w:rPr>
          <w:spacing w:val="-8"/>
        </w:rPr>
        <w:t> </w:t>
      </w:r>
      <w:r>
        <w:rPr/>
        <w:t>as</w:t>
      </w:r>
      <w:r>
        <w:rPr>
          <w:spacing w:val="-9"/>
        </w:rPr>
        <w:t> </w:t>
      </w:r>
      <w:r>
        <w:rPr/>
        <w:t>import</w:t>
      </w:r>
      <w:r>
        <w:rPr>
          <w:spacing w:val="-8"/>
        </w:rPr>
        <w:t> </w:t>
      </w:r>
      <w:r>
        <w:rPr/>
        <w:t>growth</w:t>
      </w:r>
      <w:r>
        <w:rPr>
          <w:spacing w:val="-8"/>
        </w:rPr>
        <w:t> </w:t>
      </w:r>
      <w:r>
        <w:rPr/>
        <w:t>was</w:t>
      </w:r>
      <w:r>
        <w:rPr>
          <w:spacing w:val="-8"/>
        </w:rPr>
        <w:t> </w:t>
      </w:r>
      <w:r>
        <w:rPr/>
        <w:t>still</w:t>
      </w:r>
      <w:r>
        <w:rPr>
          <w:spacing w:val="-8"/>
        </w:rPr>
        <w:t> </w:t>
      </w:r>
      <w:r>
        <w:rPr/>
        <w:t>surprisingly</w:t>
      </w:r>
      <w:r>
        <w:rPr>
          <w:spacing w:val="-8"/>
        </w:rPr>
        <w:t> </w:t>
      </w:r>
      <w:r>
        <w:rPr/>
        <w:t>subdued</w:t>
      </w:r>
      <w:r>
        <w:rPr>
          <w:spacing w:val="-8"/>
        </w:rPr>
        <w:t> </w:t>
      </w:r>
      <w:r>
        <w:rPr/>
        <w:t>given the strength of domestic demand. The recent revisions to the trade numbers had not yet been incorporated into GDP. But as exports and imports had both been revised, the net trade contribution to GDP had probably not changed much. The CIPS manufacturing survey suggested that export orders had been little changed in November, after having risen in</w:t>
      </w:r>
      <w:r>
        <w:rPr>
          <w:spacing w:val="-4"/>
        </w:rPr>
        <w:t> </w:t>
      </w:r>
      <w:r>
        <w:rPr/>
        <w:t>October.</w:t>
      </w:r>
    </w:p>
    <w:p>
      <w:pPr>
        <w:pStyle w:val="BodyText"/>
        <w:spacing w:before="7"/>
        <w:rPr>
          <w:sz w:val="36"/>
        </w:rPr>
      </w:pPr>
    </w:p>
    <w:p>
      <w:pPr>
        <w:pStyle w:val="BodyText"/>
        <w:spacing w:line="372" w:lineRule="auto" w:before="1"/>
        <w:ind w:left="940" w:right="910"/>
      </w:pPr>
      <w:r>
        <w:rPr/>
        <w:t>A23 Was there a threat to net trade from the Asian crisis? A comparison was drawn with</w:t>
      </w:r>
      <w:r>
        <w:rPr>
          <w:spacing w:val="-4"/>
        </w:rPr>
        <w:t> </w:t>
      </w:r>
      <w:r>
        <w:rPr/>
        <w:t>the</w:t>
      </w:r>
      <w:r>
        <w:rPr>
          <w:spacing w:val="-3"/>
        </w:rPr>
        <w:t> </w:t>
      </w:r>
      <w:r>
        <w:rPr/>
        <w:t>United</w:t>
      </w:r>
      <w:r>
        <w:rPr>
          <w:spacing w:val="-3"/>
        </w:rPr>
        <w:t> </w:t>
      </w:r>
      <w:r>
        <w:rPr/>
        <w:t>States,</w:t>
      </w:r>
      <w:r>
        <w:rPr>
          <w:spacing w:val="-4"/>
        </w:rPr>
        <w:t> </w:t>
      </w:r>
      <w:r>
        <w:rPr/>
        <w:t>where</w:t>
      </w:r>
      <w:r>
        <w:rPr>
          <w:spacing w:val="-3"/>
        </w:rPr>
        <w:t> </w:t>
      </w:r>
      <w:r>
        <w:rPr/>
        <w:t>there</w:t>
      </w:r>
      <w:r>
        <w:rPr>
          <w:spacing w:val="-3"/>
        </w:rPr>
        <w:t> </w:t>
      </w:r>
      <w:r>
        <w:rPr/>
        <w:t>had</w:t>
      </w:r>
      <w:r>
        <w:rPr>
          <w:spacing w:val="-3"/>
        </w:rPr>
        <w:t> </w:t>
      </w:r>
      <w:r>
        <w:rPr/>
        <w:t>not</w:t>
      </w:r>
      <w:r>
        <w:rPr>
          <w:spacing w:val="-4"/>
        </w:rPr>
        <w:t> </w:t>
      </w:r>
      <w:r>
        <w:rPr/>
        <w:t>been</w:t>
      </w:r>
      <w:r>
        <w:rPr>
          <w:spacing w:val="-3"/>
        </w:rPr>
        <w:t> </w:t>
      </w:r>
      <w:r>
        <w:rPr/>
        <w:t>a</w:t>
      </w:r>
      <w:r>
        <w:rPr>
          <w:spacing w:val="-3"/>
        </w:rPr>
        <w:t> </w:t>
      </w:r>
      <w:r>
        <w:rPr/>
        <w:t>substantial</w:t>
      </w:r>
      <w:r>
        <w:rPr>
          <w:spacing w:val="-3"/>
        </w:rPr>
        <w:t> </w:t>
      </w:r>
      <w:r>
        <w:rPr/>
        <w:t>deterioration</w:t>
      </w:r>
      <w:r>
        <w:rPr>
          <w:spacing w:val="-4"/>
        </w:rPr>
        <w:t> </w:t>
      </w:r>
      <w:r>
        <w:rPr/>
        <w:t>in</w:t>
      </w:r>
      <w:r>
        <w:rPr>
          <w:spacing w:val="-3"/>
        </w:rPr>
        <w:t> </w:t>
      </w:r>
      <w:r>
        <w:rPr/>
        <w:t>the</w:t>
      </w:r>
      <w:r>
        <w:rPr>
          <w:spacing w:val="-3"/>
        </w:rPr>
        <w:t> </w:t>
      </w:r>
      <w:r>
        <w:rPr/>
        <w:t>trade deficit since the dollar had started to rise in 1995 Q2. As in the UK until recently, US export volume growth had remained strong, because exporters had lowered their prices to offset the appreciation of the currency. Additionally, as in the UK, US exporters had benefited from strong demand in the non-OECD area. Around one fifth of US export growth since 1995 Q2 had been accounted for by East Asia, while Mexico and Brazil had accounted for another third - much larger than their respective shares of US exports. This meant that the Asian crisis and its contagion effects on Latin</w:t>
      </w:r>
      <w:r>
        <w:rPr>
          <w:spacing w:val="-6"/>
        </w:rPr>
        <w:t> </w:t>
      </w:r>
      <w:r>
        <w:rPr/>
        <w:t>America</w:t>
      </w:r>
      <w:r>
        <w:rPr>
          <w:spacing w:val="-5"/>
        </w:rPr>
        <w:t> </w:t>
      </w:r>
      <w:r>
        <w:rPr/>
        <w:t>could</w:t>
      </w:r>
      <w:r>
        <w:rPr>
          <w:spacing w:val="-5"/>
        </w:rPr>
        <w:t> </w:t>
      </w:r>
      <w:r>
        <w:rPr/>
        <w:t>have</w:t>
      </w:r>
      <w:r>
        <w:rPr>
          <w:spacing w:val="-5"/>
        </w:rPr>
        <w:t> </w:t>
      </w:r>
      <w:r>
        <w:rPr/>
        <w:t>a</w:t>
      </w:r>
      <w:r>
        <w:rPr>
          <w:spacing w:val="-5"/>
        </w:rPr>
        <w:t> </w:t>
      </w:r>
      <w:r>
        <w:rPr/>
        <w:t>more</w:t>
      </w:r>
      <w:r>
        <w:rPr>
          <w:spacing w:val="-6"/>
        </w:rPr>
        <w:t> </w:t>
      </w:r>
      <w:r>
        <w:rPr/>
        <w:t>damaging</w:t>
      </w:r>
      <w:r>
        <w:rPr>
          <w:spacing w:val="-5"/>
        </w:rPr>
        <w:t> </w:t>
      </w:r>
      <w:r>
        <w:rPr/>
        <w:t>impact</w:t>
      </w:r>
      <w:r>
        <w:rPr>
          <w:spacing w:val="-5"/>
        </w:rPr>
        <w:t> </w:t>
      </w:r>
      <w:r>
        <w:rPr/>
        <w:t>on</w:t>
      </w:r>
      <w:r>
        <w:rPr>
          <w:spacing w:val="-5"/>
        </w:rPr>
        <w:t> </w:t>
      </w:r>
      <w:r>
        <w:rPr/>
        <w:t>the</w:t>
      </w:r>
      <w:r>
        <w:rPr>
          <w:spacing w:val="-5"/>
        </w:rPr>
        <w:t> </w:t>
      </w:r>
      <w:r>
        <w:rPr/>
        <w:t>US</w:t>
      </w:r>
      <w:r>
        <w:rPr>
          <w:spacing w:val="-5"/>
        </w:rPr>
        <w:t> </w:t>
      </w:r>
      <w:r>
        <w:rPr/>
        <w:t>trade</w:t>
      </w:r>
      <w:r>
        <w:rPr>
          <w:spacing w:val="-6"/>
        </w:rPr>
        <w:t> </w:t>
      </w:r>
      <w:r>
        <w:rPr/>
        <w:t>balance</w:t>
      </w:r>
      <w:r>
        <w:rPr>
          <w:spacing w:val="-5"/>
        </w:rPr>
        <w:t> </w:t>
      </w:r>
      <w:r>
        <w:rPr/>
        <w:t>than</w:t>
      </w:r>
      <w:r>
        <w:rPr>
          <w:spacing w:val="-5"/>
        </w:rPr>
        <w:t> </w:t>
      </w:r>
      <w:r>
        <w:rPr>
          <w:spacing w:val="-2"/>
        </w:rPr>
        <w:t>the</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967"/>
      </w:pPr>
      <w:r>
        <w:rPr/>
        <w:t>simple shares of these countries in US exports would suggest. This also applied to the UK and, to a lesser extent, Germany and France.</w:t>
      </w:r>
    </w:p>
    <w:p>
      <w:pPr>
        <w:pStyle w:val="BodyText"/>
        <w:spacing w:before="1"/>
        <w:rPr>
          <w:sz w:val="37"/>
        </w:rPr>
      </w:pPr>
    </w:p>
    <w:p>
      <w:pPr>
        <w:pStyle w:val="BodyText"/>
        <w:spacing w:line="372" w:lineRule="auto"/>
        <w:ind w:left="940" w:right="967"/>
      </w:pPr>
      <w:r>
        <w:rPr/>
        <w:t>A24 The Bank’s Agents reported on a survey of their contacts, which had asked about the impact of sterling’s appreciation on orders and output. There had been a significant downward impact on sterling export prices. But this effect was likely to be </w:t>
      </w:r>
      <w:r>
        <w:rPr>
          <w:spacing w:val="-3"/>
        </w:rPr>
        <w:t>smaller </w:t>
      </w:r>
      <w:r>
        <w:rPr/>
        <w:t>in the </w:t>
      </w:r>
      <w:r>
        <w:rPr>
          <w:spacing w:val="-3"/>
        </w:rPr>
        <w:t>future, </w:t>
      </w:r>
      <w:r>
        <w:rPr/>
        <w:t>and if </w:t>
      </w:r>
      <w:r>
        <w:rPr>
          <w:spacing w:val="-3"/>
        </w:rPr>
        <w:t>sterling remained unchanged, </w:t>
      </w:r>
      <w:r>
        <w:rPr/>
        <w:t>the </w:t>
      </w:r>
      <w:r>
        <w:rPr>
          <w:spacing w:val="-3"/>
        </w:rPr>
        <w:t>future effect should come </w:t>
      </w:r>
      <w:r>
        <w:rPr/>
        <w:t>through quickly. A small number of contacts had commented that they would be prepared to raise prices in the future to restore their margins at the expense of</w:t>
      </w:r>
      <w:r>
        <w:rPr>
          <w:spacing w:val="-42"/>
        </w:rPr>
        <w:t> </w:t>
      </w:r>
      <w:r>
        <w:rPr/>
        <w:t>reduced </w:t>
      </w:r>
      <w:r>
        <w:rPr>
          <w:spacing w:val="-3"/>
        </w:rPr>
        <w:t>volumes.</w:t>
      </w:r>
    </w:p>
    <w:p>
      <w:pPr>
        <w:pStyle w:val="BodyText"/>
        <w:spacing w:before="9"/>
        <w:rPr>
          <w:sz w:val="36"/>
        </w:rPr>
      </w:pPr>
    </w:p>
    <w:p>
      <w:pPr>
        <w:pStyle w:val="BodyText"/>
        <w:spacing w:line="372" w:lineRule="auto"/>
        <w:ind w:left="940" w:right="934"/>
      </w:pPr>
      <w:r>
        <w:rPr/>
        <w:t>A25 But the effect on overseas sales so far had mostly been moderate or non-existent, and contacts expected this to continue into the future. Some smaller companies </w:t>
      </w:r>
      <w:r>
        <w:rPr>
          <w:spacing w:val="-2"/>
        </w:rPr>
        <w:t>had </w:t>
      </w:r>
      <w:r>
        <w:rPr>
          <w:spacing w:val="-3"/>
        </w:rPr>
        <w:t>been surprisingly resilient, probably because they were more flexible </w:t>
      </w:r>
      <w:r>
        <w:rPr/>
        <w:t>in </w:t>
      </w:r>
      <w:r>
        <w:rPr>
          <w:spacing w:val="-3"/>
        </w:rPr>
        <w:t>adapting </w:t>
      </w:r>
      <w:r>
        <w:rPr/>
        <w:t>to </w:t>
      </w:r>
      <w:r>
        <w:rPr>
          <w:spacing w:val="-3"/>
        </w:rPr>
        <w:t>the </w:t>
      </w:r>
      <w:r>
        <w:rPr/>
        <w:t>higher exchange rate. In a range of industries, particularly in the service sector, non- price factors had supported orders.</w:t>
      </w:r>
    </w:p>
    <w:p>
      <w:pPr>
        <w:pStyle w:val="BodyText"/>
        <w:spacing w:before="10"/>
        <w:rPr>
          <w:sz w:val="36"/>
        </w:rPr>
      </w:pPr>
    </w:p>
    <w:p>
      <w:pPr>
        <w:pStyle w:val="BodyText"/>
        <w:spacing w:line="372" w:lineRule="auto"/>
        <w:ind w:left="940" w:right="1029"/>
      </w:pPr>
      <w:r>
        <w:rPr/>
        <w:t>A26 The appreciation had not passed through fully into domestic prices. There had been some effect from cheaper import competition and imported inputs. But many overseas suppliers were taking advantage of the appreciation to build up margins and were not significantly reducing their sterling prices.</w:t>
      </w:r>
    </w:p>
    <w:p>
      <w:pPr>
        <w:pStyle w:val="BodyText"/>
        <w:rPr>
          <w:sz w:val="37"/>
        </w:rPr>
      </w:pPr>
    </w:p>
    <w:p>
      <w:pPr>
        <w:pStyle w:val="BodyText"/>
        <w:spacing w:line="372" w:lineRule="auto"/>
        <w:ind w:left="940" w:right="1188"/>
        <w:jc w:val="both"/>
      </w:pPr>
      <w:r>
        <w:rPr/>
        <w:t>A27 The </w:t>
      </w:r>
      <w:r>
        <w:rPr>
          <w:spacing w:val="-3"/>
        </w:rPr>
        <w:t>impact </w:t>
      </w:r>
      <w:r>
        <w:rPr/>
        <w:t>on </w:t>
      </w:r>
      <w:r>
        <w:rPr>
          <w:spacing w:val="-3"/>
        </w:rPr>
        <w:t>domestic sales </w:t>
      </w:r>
      <w:r>
        <w:rPr/>
        <w:t>had </w:t>
      </w:r>
      <w:r>
        <w:rPr>
          <w:spacing w:val="-3"/>
        </w:rPr>
        <w:t>been mostly invisible </w:t>
      </w:r>
      <w:r>
        <w:rPr/>
        <w:t>or </w:t>
      </w:r>
      <w:r>
        <w:rPr>
          <w:spacing w:val="-3"/>
        </w:rPr>
        <w:t>moderate </w:t>
      </w:r>
      <w:r>
        <w:rPr/>
        <w:t>so far </w:t>
      </w:r>
      <w:r>
        <w:rPr>
          <w:spacing w:val="-3"/>
        </w:rPr>
        <w:t>and </w:t>
      </w:r>
      <w:r>
        <w:rPr/>
        <w:t>this was expected to continue. The tourist industry had reported little effect to date, but it was concerned about prospects for 1998.</w:t>
      </w:r>
    </w:p>
    <w:p>
      <w:pPr>
        <w:pStyle w:val="BodyText"/>
        <w:rPr>
          <w:sz w:val="37"/>
        </w:rPr>
      </w:pPr>
    </w:p>
    <w:p>
      <w:pPr>
        <w:pStyle w:val="BodyText"/>
        <w:spacing w:line="372" w:lineRule="auto"/>
        <w:ind w:left="940" w:right="988"/>
      </w:pPr>
      <w:r>
        <w:rPr/>
        <w:t>A28 The overwhelming response to the appreciation had been to cut export margins or costs, as maintaining market share had been perceived to be important. Cutting </w:t>
      </w:r>
      <w:r>
        <w:rPr>
          <w:spacing w:val="-3"/>
        </w:rPr>
        <w:t>margins would continue, </w:t>
      </w:r>
      <w:r>
        <w:rPr/>
        <w:t>but </w:t>
      </w:r>
      <w:r>
        <w:rPr>
          <w:spacing w:val="-3"/>
        </w:rPr>
        <w:t>would become increasingly difficult, </w:t>
      </w:r>
      <w:r>
        <w:rPr/>
        <w:t>and </w:t>
      </w:r>
      <w:r>
        <w:rPr>
          <w:spacing w:val="-3"/>
        </w:rPr>
        <w:t>more companies </w:t>
      </w:r>
      <w:r>
        <w:rPr/>
        <w:t>would turn to cutting costs; reduced overtime and shedding labour would become more likely. Exploring new markets had been and would continue to be a response. Increased sourcing of raw materials and components abroad was likely as was </w:t>
      </w:r>
      <w:r>
        <w:rPr>
          <w:spacing w:val="-2"/>
        </w:rPr>
        <w:t>the</w:t>
      </w:r>
    </w:p>
    <w:p>
      <w:pPr>
        <w:spacing w:after="0" w:line="372" w:lineRule="auto"/>
        <w:sectPr>
          <w:pgSz w:w="11900" w:h="16840"/>
          <w:pgMar w:header="719" w:footer="0" w:top="980" w:bottom="280" w:left="860" w:right="880"/>
        </w:sectPr>
      </w:pPr>
    </w:p>
    <w:p>
      <w:pPr>
        <w:pStyle w:val="BodyText"/>
        <w:rPr>
          <w:sz w:val="20"/>
        </w:rPr>
      </w:pPr>
    </w:p>
    <w:p>
      <w:pPr>
        <w:pStyle w:val="BodyText"/>
        <w:spacing w:before="228"/>
        <w:ind w:left="940"/>
      </w:pPr>
      <w:r>
        <w:rPr/>
        <w:t>location of new investment abroad, particularly by multinationals.</w:t>
      </w:r>
    </w:p>
    <w:p>
      <w:pPr>
        <w:pStyle w:val="BodyText"/>
        <w:rPr>
          <w:sz w:val="26"/>
        </w:rPr>
      </w:pPr>
    </w:p>
    <w:p>
      <w:pPr>
        <w:pStyle w:val="BodyText"/>
        <w:spacing w:before="3"/>
      </w:pPr>
    </w:p>
    <w:p>
      <w:pPr>
        <w:pStyle w:val="BodyText"/>
        <w:tabs>
          <w:tab w:pos="1554" w:val="left" w:leader="none"/>
        </w:tabs>
        <w:spacing w:line="372" w:lineRule="auto" w:before="1"/>
        <w:ind w:left="940" w:right="1245"/>
      </w:pPr>
      <w:r>
        <w:rPr/>
        <w:t>A29</w:t>
        <w:tab/>
        <w:t>For those respondents who believed that their output growth had slowed as a result of the appreciation, the main channel had been exports rather than </w:t>
      </w:r>
      <w:r>
        <w:rPr>
          <w:spacing w:val="-2"/>
        </w:rPr>
        <w:t>import </w:t>
      </w:r>
      <w:r>
        <w:rPr/>
        <w:t>competition.</w:t>
      </w:r>
    </w:p>
    <w:p>
      <w:pPr>
        <w:pStyle w:val="BodyText"/>
        <w:spacing w:before="11"/>
        <w:rPr>
          <w:sz w:val="36"/>
        </w:rPr>
      </w:pPr>
    </w:p>
    <w:p>
      <w:pPr>
        <w:pStyle w:val="BodyText"/>
        <w:spacing w:line="372" w:lineRule="auto"/>
        <w:ind w:left="940" w:right="1082"/>
      </w:pPr>
      <w:r>
        <w:rPr/>
        <w:t>A30 House price inflation slowed in October according to both the Halifax and Nationwide indices to 5.4% and 12.2% respectively. But the divergence between the two indices had widened to its largest ever. The gap narrowed in November: the Nationwide showed 12 month house price inflation falling to 11.6%, but the Halifax estimate increased to 6.1%.</w:t>
      </w:r>
    </w:p>
    <w:p>
      <w:pPr>
        <w:pStyle w:val="BodyText"/>
        <w:spacing w:before="10"/>
        <w:rPr>
          <w:sz w:val="36"/>
        </w:rPr>
      </w:pPr>
    </w:p>
    <w:p>
      <w:pPr>
        <w:pStyle w:val="BodyText"/>
        <w:tabs>
          <w:tab w:pos="7553" w:val="left" w:leader="none"/>
        </w:tabs>
        <w:spacing w:line="372" w:lineRule="auto" w:before="1"/>
        <w:ind w:left="940" w:right="943"/>
      </w:pPr>
      <w:r>
        <w:rPr/>
        <w:t>A31 It was difficult to explain the difference between the two series. The Department of the Environment (DoE) index, based on a 5% sample of mortgage </w:t>
      </w:r>
      <w:r>
        <w:rPr>
          <w:spacing w:val="-2"/>
        </w:rPr>
        <w:t>transactions </w:t>
      </w:r>
      <w:r>
        <w:rPr/>
        <w:t>across all lenders had shown a rise of 10.6% in the year to 1997Q3. Land Registry data, which covered all transactions in England and Wales, indicated a rise of 7.7% in Q3. But the Land Registry did not adjust its series to allow for the composition of </w:t>
      </w:r>
      <w:r>
        <w:rPr>
          <w:spacing w:val="-2"/>
        </w:rPr>
        <w:t>the </w:t>
      </w:r>
      <w:r>
        <w:rPr/>
        <w:t>houses</w:t>
      </w:r>
      <w:r>
        <w:rPr>
          <w:spacing w:val="-7"/>
        </w:rPr>
        <w:t> </w:t>
      </w:r>
      <w:r>
        <w:rPr/>
        <w:t>sold,</w:t>
      </w:r>
      <w:r>
        <w:rPr>
          <w:spacing w:val="-6"/>
        </w:rPr>
        <w:t> </w:t>
      </w:r>
      <w:r>
        <w:rPr/>
        <w:t>in</w:t>
      </w:r>
      <w:r>
        <w:rPr>
          <w:spacing w:val="-6"/>
        </w:rPr>
        <w:t> </w:t>
      </w:r>
      <w:r>
        <w:rPr/>
        <w:t>the</w:t>
      </w:r>
      <w:r>
        <w:rPr>
          <w:spacing w:val="-7"/>
        </w:rPr>
        <w:t> </w:t>
      </w:r>
      <w:r>
        <w:rPr/>
        <w:t>way</w:t>
      </w:r>
      <w:r>
        <w:rPr>
          <w:spacing w:val="-6"/>
        </w:rPr>
        <w:t> </w:t>
      </w:r>
      <w:r>
        <w:rPr/>
        <w:t>that</w:t>
      </w:r>
      <w:r>
        <w:rPr>
          <w:spacing w:val="-6"/>
        </w:rPr>
        <w:t> </w:t>
      </w:r>
      <w:r>
        <w:rPr/>
        <w:t>the</w:t>
      </w:r>
      <w:r>
        <w:rPr>
          <w:spacing w:val="-7"/>
        </w:rPr>
        <w:t> </w:t>
      </w:r>
      <w:r>
        <w:rPr/>
        <w:t>Halifax,</w:t>
      </w:r>
      <w:r>
        <w:rPr>
          <w:spacing w:val="-6"/>
        </w:rPr>
        <w:t> </w:t>
      </w:r>
      <w:r>
        <w:rPr/>
        <w:t>Nationwide</w:t>
      </w:r>
      <w:r>
        <w:rPr>
          <w:spacing w:val="-6"/>
        </w:rPr>
        <w:t> </w:t>
      </w:r>
      <w:r>
        <w:rPr/>
        <w:t>and</w:t>
      </w:r>
      <w:r>
        <w:rPr>
          <w:spacing w:val="-7"/>
        </w:rPr>
        <w:t> </w:t>
      </w:r>
      <w:r>
        <w:rPr/>
        <w:t>DoE</w:t>
      </w:r>
      <w:r>
        <w:rPr>
          <w:spacing w:val="-6"/>
        </w:rPr>
        <w:t> </w:t>
      </w:r>
      <w:r>
        <w:rPr/>
        <w:t>did.</w:t>
        <w:tab/>
        <w:t>Bank economists had made such an adjustment to the Land Registry data. This showed that house prices had risen by 7.9% in the year to 1997 Q3. Late returns to the Land Registry </w:t>
      </w:r>
      <w:r>
        <w:rPr>
          <w:spacing w:val="-3"/>
        </w:rPr>
        <w:t>meant that this number could </w:t>
      </w:r>
      <w:r>
        <w:rPr/>
        <w:t>be </w:t>
      </w:r>
      <w:r>
        <w:rPr>
          <w:spacing w:val="-3"/>
        </w:rPr>
        <w:t>revised; </w:t>
      </w:r>
      <w:r>
        <w:rPr/>
        <w:t>and in a </w:t>
      </w:r>
      <w:r>
        <w:rPr>
          <w:spacing w:val="-3"/>
        </w:rPr>
        <w:t>rising market </w:t>
      </w:r>
      <w:r>
        <w:rPr/>
        <w:t>the </w:t>
      </w:r>
      <w:r>
        <w:rPr>
          <w:spacing w:val="-3"/>
        </w:rPr>
        <w:t>revision </w:t>
      </w:r>
      <w:r>
        <w:rPr/>
        <w:t>was </w:t>
      </w:r>
      <w:r>
        <w:rPr>
          <w:spacing w:val="-3"/>
        </w:rPr>
        <w:t>likely </w:t>
      </w:r>
      <w:r>
        <w:rPr/>
        <w:t>to be</w:t>
      </w:r>
      <w:r>
        <w:rPr>
          <w:spacing w:val="4"/>
        </w:rPr>
        <w:t> </w:t>
      </w:r>
      <w:r>
        <w:rPr/>
        <w:t>upwards.</w:t>
      </w:r>
    </w:p>
    <w:p>
      <w:pPr>
        <w:pStyle w:val="BodyText"/>
        <w:spacing w:before="7"/>
        <w:rPr>
          <w:sz w:val="36"/>
        </w:rPr>
      </w:pPr>
    </w:p>
    <w:p>
      <w:pPr>
        <w:pStyle w:val="BodyText"/>
        <w:spacing w:line="372" w:lineRule="auto"/>
        <w:ind w:left="940" w:right="934"/>
      </w:pPr>
      <w:r>
        <w:rPr/>
        <w:t>A32 The Chancellor had introduced his Pre-Budget Report in November. There had been little change from the July Budget in the fiscal stance, though no account had been taken in the Pre-Budget Report of any possible tax changes. The Control Total for public expenditure had remained unchanged, once reclassifications of some items had been taken into account. Central government tax revenues were expected to be marginally weaker than at Budget time, but the tax burden continued to rise - a combination of previous tax measures and real fiscal drag.</w:t>
      </w:r>
    </w:p>
    <w:p>
      <w:pPr>
        <w:pStyle w:val="BodyText"/>
        <w:spacing w:before="9"/>
        <w:rPr>
          <w:sz w:val="36"/>
        </w:rPr>
      </w:pPr>
    </w:p>
    <w:p>
      <w:pPr>
        <w:pStyle w:val="BodyText"/>
        <w:spacing w:line="372" w:lineRule="auto"/>
        <w:ind w:left="940" w:right="1008"/>
      </w:pPr>
      <w:r>
        <w:rPr/>
        <w:t>A33 Over the medium term, the ‘golden rule’ was expected to be achieved by 1998/99; the headline and structural PSBR were expected to balance by 1999/00 and,</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948"/>
      </w:pPr>
      <w:r>
        <w:rPr/>
        <w:t>on a more cautious assumption about the output gap, structural balance was expected in 2000/01. Net debt was expected to fall and net public sector wealth to increase, reflecting the outlook for the PSBR. But the improvement in the public sector balance sheet was small compared with the preceding deterioration.</w:t>
      </w:r>
    </w:p>
    <w:p>
      <w:pPr>
        <w:pStyle w:val="BodyText"/>
        <w:spacing w:before="11"/>
        <w:rPr>
          <w:sz w:val="36"/>
        </w:rPr>
      </w:pPr>
    </w:p>
    <w:p>
      <w:pPr>
        <w:pStyle w:val="BodyText"/>
        <w:spacing w:line="372" w:lineRule="auto"/>
        <w:ind w:left="940" w:right="901"/>
      </w:pPr>
      <w:r>
        <w:rPr/>
        <w:t>A34 In the report, the Chancellor had announced proposals for a fiscal </w:t>
      </w:r>
      <w:r>
        <w:rPr>
          <w:spacing w:val="-2"/>
        </w:rPr>
        <w:t>policy </w:t>
      </w:r>
      <w:r>
        <w:rPr>
          <w:spacing w:val="-3"/>
        </w:rPr>
        <w:t>framework, which aimed </w:t>
      </w:r>
      <w:r>
        <w:rPr/>
        <w:t>to </w:t>
      </w:r>
      <w:r>
        <w:rPr>
          <w:spacing w:val="-3"/>
        </w:rPr>
        <w:t>improve </w:t>
      </w:r>
      <w:r>
        <w:rPr/>
        <w:t>the </w:t>
      </w:r>
      <w:r>
        <w:rPr>
          <w:spacing w:val="-3"/>
        </w:rPr>
        <w:t>transparency </w:t>
      </w:r>
      <w:r>
        <w:rPr/>
        <w:t>and </w:t>
      </w:r>
      <w:r>
        <w:rPr>
          <w:spacing w:val="-3"/>
        </w:rPr>
        <w:t>credibility </w:t>
      </w:r>
      <w:r>
        <w:rPr/>
        <w:t>of </w:t>
      </w:r>
      <w:r>
        <w:rPr>
          <w:spacing w:val="-3"/>
        </w:rPr>
        <w:t>fiscal policy, in parallel with </w:t>
      </w:r>
      <w:r>
        <w:rPr/>
        <w:t>the </w:t>
      </w:r>
      <w:r>
        <w:rPr>
          <w:spacing w:val="-3"/>
        </w:rPr>
        <w:t>improvements </w:t>
      </w:r>
      <w:r>
        <w:rPr/>
        <w:t>in </w:t>
      </w:r>
      <w:r>
        <w:rPr>
          <w:spacing w:val="-3"/>
        </w:rPr>
        <w:t>monetary policy. </w:t>
      </w:r>
      <w:r>
        <w:rPr/>
        <w:t>The </w:t>
      </w:r>
      <w:r>
        <w:rPr>
          <w:spacing w:val="-3"/>
        </w:rPr>
        <w:t>government intended to </w:t>
      </w:r>
      <w:r>
        <w:rPr/>
        <w:t>introduce a ‘Code for Fiscal Stability’. This would require the government to state </w:t>
      </w:r>
      <w:r>
        <w:rPr>
          <w:spacing w:val="-2"/>
        </w:rPr>
        <w:t>and </w:t>
      </w:r>
      <w:r>
        <w:rPr/>
        <w:t>adhere to fiscal principles; to adopt best-practice public sector accounting; and to supply detailed reports and information on the fiscal outlook. Proposals to promote investment and improve the operation of the labour market had also been included in the Chancellor’s statement.</w:t>
      </w:r>
    </w:p>
    <w:p>
      <w:pPr>
        <w:pStyle w:val="BodyText"/>
        <w:rPr>
          <w:sz w:val="26"/>
        </w:rPr>
      </w:pPr>
    </w:p>
    <w:p>
      <w:pPr>
        <w:pStyle w:val="BodyText"/>
        <w:rPr>
          <w:sz w:val="26"/>
        </w:rPr>
      </w:pPr>
    </w:p>
    <w:p>
      <w:pPr>
        <w:pStyle w:val="BodyText"/>
        <w:spacing w:before="10"/>
        <w:rPr>
          <w:sz w:val="21"/>
        </w:rPr>
      </w:pPr>
    </w:p>
    <w:p>
      <w:pPr>
        <w:pStyle w:val="ListParagraph"/>
        <w:numPr>
          <w:ilvl w:val="1"/>
          <w:numId w:val="1"/>
        </w:numPr>
        <w:tabs>
          <w:tab w:pos="1659" w:val="left" w:leader="none"/>
          <w:tab w:pos="1660" w:val="left" w:leader="none"/>
        </w:tabs>
        <w:spacing w:line="240" w:lineRule="auto" w:before="1" w:after="0"/>
        <w:ind w:left="1660" w:right="0" w:hanging="720"/>
        <w:jc w:val="left"/>
        <w:rPr>
          <w:sz w:val="24"/>
        </w:rPr>
      </w:pPr>
      <w:r>
        <w:rPr>
          <w:sz w:val="24"/>
          <w:u w:val="single"/>
        </w:rPr>
        <w:t>Labour market</w:t>
      </w:r>
    </w:p>
    <w:p>
      <w:pPr>
        <w:pStyle w:val="BodyText"/>
        <w:rPr>
          <w:sz w:val="20"/>
        </w:rPr>
      </w:pPr>
    </w:p>
    <w:p>
      <w:pPr>
        <w:pStyle w:val="BodyText"/>
        <w:spacing w:before="5"/>
        <w:rPr>
          <w:sz w:val="22"/>
        </w:rPr>
      </w:pPr>
    </w:p>
    <w:p>
      <w:pPr>
        <w:pStyle w:val="BodyText"/>
        <w:spacing w:line="372" w:lineRule="auto" w:before="90"/>
        <w:ind w:left="940" w:right="995"/>
      </w:pPr>
      <w:r>
        <w:rPr/>
        <w:t>A35 </w:t>
      </w:r>
      <w:r>
        <w:rPr>
          <w:spacing w:val="-4"/>
        </w:rPr>
        <w:t>There </w:t>
      </w:r>
      <w:r>
        <w:rPr>
          <w:spacing w:val="-3"/>
        </w:rPr>
        <w:t>had been </w:t>
      </w:r>
      <w:r>
        <w:rPr/>
        <w:t>a </w:t>
      </w:r>
      <w:r>
        <w:rPr>
          <w:spacing w:val="-4"/>
        </w:rPr>
        <w:t>small seasonally adjusted </w:t>
      </w:r>
      <w:r>
        <w:rPr>
          <w:spacing w:val="-3"/>
        </w:rPr>
        <w:t>fall </w:t>
      </w:r>
      <w:r>
        <w:rPr/>
        <w:t>in </w:t>
      </w:r>
      <w:r>
        <w:rPr>
          <w:spacing w:val="-3"/>
        </w:rPr>
        <w:t>the </w:t>
      </w:r>
      <w:r>
        <w:rPr>
          <w:spacing w:val="-4"/>
        </w:rPr>
        <w:t>unemployment claimant </w:t>
      </w:r>
      <w:r>
        <w:rPr/>
        <w:t>count in October of 9,500 - the smallest decline since April 1996. But the seasonal adjustment</w:t>
      </w:r>
      <w:r>
        <w:rPr>
          <w:spacing w:val="-9"/>
        </w:rPr>
        <w:t> </w:t>
      </w:r>
      <w:r>
        <w:rPr/>
        <w:t>had</w:t>
      </w:r>
      <w:r>
        <w:rPr>
          <w:spacing w:val="-9"/>
        </w:rPr>
        <w:t> </w:t>
      </w:r>
      <w:r>
        <w:rPr/>
        <w:t>not</w:t>
      </w:r>
      <w:r>
        <w:rPr>
          <w:spacing w:val="-9"/>
        </w:rPr>
        <w:t> </w:t>
      </w:r>
      <w:r>
        <w:rPr/>
        <w:t>allowed</w:t>
      </w:r>
      <w:r>
        <w:rPr>
          <w:spacing w:val="-8"/>
        </w:rPr>
        <w:t> </w:t>
      </w:r>
      <w:r>
        <w:rPr/>
        <w:t>for</w:t>
      </w:r>
      <w:r>
        <w:rPr>
          <w:spacing w:val="-9"/>
        </w:rPr>
        <w:t> </w:t>
      </w:r>
      <w:r>
        <w:rPr/>
        <w:t>fewer</w:t>
      </w:r>
      <w:r>
        <w:rPr>
          <w:spacing w:val="-9"/>
        </w:rPr>
        <w:t> </w:t>
      </w:r>
      <w:r>
        <w:rPr/>
        <w:t>students</w:t>
      </w:r>
      <w:r>
        <w:rPr>
          <w:spacing w:val="-9"/>
        </w:rPr>
        <w:t> </w:t>
      </w:r>
      <w:r>
        <w:rPr/>
        <w:t>than</w:t>
      </w:r>
      <w:r>
        <w:rPr>
          <w:spacing w:val="-8"/>
        </w:rPr>
        <w:t> </w:t>
      </w:r>
      <w:r>
        <w:rPr/>
        <w:t>normal</w:t>
      </w:r>
      <w:r>
        <w:rPr>
          <w:spacing w:val="-9"/>
        </w:rPr>
        <w:t> </w:t>
      </w:r>
      <w:r>
        <w:rPr/>
        <w:t>leaving</w:t>
      </w:r>
      <w:r>
        <w:rPr>
          <w:spacing w:val="-9"/>
        </w:rPr>
        <w:t> </w:t>
      </w:r>
      <w:r>
        <w:rPr/>
        <w:t>the</w:t>
      </w:r>
      <w:r>
        <w:rPr>
          <w:spacing w:val="-9"/>
        </w:rPr>
        <w:t> </w:t>
      </w:r>
      <w:r>
        <w:rPr/>
        <w:t>claimant</w:t>
      </w:r>
      <w:r>
        <w:rPr>
          <w:spacing w:val="-8"/>
        </w:rPr>
        <w:t> </w:t>
      </w:r>
      <w:r>
        <w:rPr>
          <w:spacing w:val="-2"/>
        </w:rPr>
        <w:t>count. </w:t>
      </w:r>
      <w:r>
        <w:rPr/>
        <w:t>The ONS estimated that around 20,000 fewer students entered the claimant count in </w:t>
      </w:r>
      <w:r>
        <w:rPr>
          <w:spacing w:val="-3"/>
        </w:rPr>
        <w:t>July than </w:t>
      </w:r>
      <w:r>
        <w:rPr/>
        <w:t>in </w:t>
      </w:r>
      <w:r>
        <w:rPr>
          <w:spacing w:val="-3"/>
        </w:rPr>
        <w:t>previous years, probably because </w:t>
      </w:r>
      <w:r>
        <w:rPr/>
        <w:t>of </w:t>
      </w:r>
      <w:r>
        <w:rPr>
          <w:spacing w:val="-3"/>
        </w:rPr>
        <w:t>tighter eligibility rules following the </w:t>
      </w:r>
      <w:r>
        <w:rPr/>
        <w:t>introduction of the Jobseeker’s Allowance. So 20,000 fewer may have left the count in </w:t>
      </w:r>
      <w:r>
        <w:rPr>
          <w:spacing w:val="-3"/>
        </w:rPr>
        <w:t>October. This meant that </w:t>
      </w:r>
      <w:r>
        <w:rPr/>
        <w:t>the </w:t>
      </w:r>
      <w:r>
        <w:rPr>
          <w:spacing w:val="-3"/>
        </w:rPr>
        <w:t>underlying fall </w:t>
      </w:r>
      <w:r>
        <w:rPr/>
        <w:t>in </w:t>
      </w:r>
      <w:r>
        <w:rPr>
          <w:spacing w:val="-3"/>
        </w:rPr>
        <w:t>unemployment </w:t>
      </w:r>
      <w:r>
        <w:rPr/>
        <w:t>was </w:t>
      </w:r>
      <w:r>
        <w:rPr>
          <w:spacing w:val="-3"/>
        </w:rPr>
        <w:t>still probably </w:t>
      </w:r>
      <w:r>
        <w:rPr/>
        <w:t>around 25-30,000 per</w:t>
      </w:r>
      <w:r>
        <w:rPr>
          <w:spacing w:val="5"/>
        </w:rPr>
        <w:t> </w:t>
      </w:r>
      <w:r>
        <w:rPr/>
        <w:t>month.</w:t>
      </w:r>
    </w:p>
    <w:p>
      <w:pPr>
        <w:pStyle w:val="BodyText"/>
        <w:spacing w:before="9"/>
        <w:rPr>
          <w:sz w:val="36"/>
        </w:rPr>
      </w:pPr>
    </w:p>
    <w:p>
      <w:pPr>
        <w:pStyle w:val="BodyText"/>
        <w:spacing w:line="372" w:lineRule="auto"/>
        <w:ind w:left="940" w:right="988"/>
      </w:pPr>
      <w:r>
        <w:rPr/>
        <w:t>A36 Unfilled vacancies rose by 12,000 in October, to 312,000. One reason why </w:t>
      </w:r>
      <w:r>
        <w:rPr>
          <w:spacing w:val="-2"/>
        </w:rPr>
        <w:t>the </w:t>
      </w:r>
      <w:r>
        <w:rPr/>
        <w:t>stock</w:t>
      </w:r>
      <w:r>
        <w:rPr>
          <w:spacing w:val="-9"/>
        </w:rPr>
        <w:t> </w:t>
      </w:r>
      <w:r>
        <w:rPr/>
        <w:t>had</w:t>
      </w:r>
      <w:r>
        <w:rPr>
          <w:spacing w:val="-9"/>
        </w:rPr>
        <w:t> </w:t>
      </w:r>
      <w:r>
        <w:rPr/>
        <w:t>risen</w:t>
      </w:r>
      <w:r>
        <w:rPr>
          <w:spacing w:val="-9"/>
        </w:rPr>
        <w:t> </w:t>
      </w:r>
      <w:r>
        <w:rPr/>
        <w:t>in</w:t>
      </w:r>
      <w:r>
        <w:rPr>
          <w:spacing w:val="-9"/>
        </w:rPr>
        <w:t> </w:t>
      </w:r>
      <w:r>
        <w:rPr/>
        <w:t>recent</w:t>
      </w:r>
      <w:r>
        <w:rPr>
          <w:spacing w:val="-9"/>
        </w:rPr>
        <w:t> </w:t>
      </w:r>
      <w:r>
        <w:rPr/>
        <w:t>months</w:t>
      </w:r>
      <w:r>
        <w:rPr>
          <w:spacing w:val="-8"/>
        </w:rPr>
        <w:t> </w:t>
      </w:r>
      <w:r>
        <w:rPr/>
        <w:t>was</w:t>
      </w:r>
      <w:r>
        <w:rPr>
          <w:spacing w:val="-9"/>
        </w:rPr>
        <w:t> </w:t>
      </w:r>
      <w:r>
        <w:rPr/>
        <w:t>that</w:t>
      </w:r>
      <w:r>
        <w:rPr>
          <w:spacing w:val="-9"/>
        </w:rPr>
        <w:t> </w:t>
      </w:r>
      <w:r>
        <w:rPr/>
        <w:t>placings</w:t>
      </w:r>
      <w:r>
        <w:rPr>
          <w:spacing w:val="-9"/>
        </w:rPr>
        <w:t> </w:t>
      </w:r>
      <w:r>
        <w:rPr/>
        <w:t>had</w:t>
      </w:r>
      <w:r>
        <w:rPr>
          <w:spacing w:val="-9"/>
        </w:rPr>
        <w:t> </w:t>
      </w:r>
      <w:r>
        <w:rPr/>
        <w:t>fallen,</w:t>
      </w:r>
      <w:r>
        <w:rPr>
          <w:spacing w:val="-9"/>
        </w:rPr>
        <w:t> </w:t>
      </w:r>
      <w:r>
        <w:rPr/>
        <w:t>perhaps</w:t>
      </w:r>
      <w:r>
        <w:rPr>
          <w:spacing w:val="-8"/>
        </w:rPr>
        <w:t> </w:t>
      </w:r>
      <w:r>
        <w:rPr/>
        <w:t>suggesting</w:t>
      </w:r>
      <w:r>
        <w:rPr>
          <w:spacing w:val="-9"/>
        </w:rPr>
        <w:t> </w:t>
      </w:r>
      <w:r>
        <w:rPr/>
        <w:t>that vacancies were becoming harder to fill. The ONS had reduced the overstatement of the stock from 40,000 to</w:t>
      </w:r>
      <w:r>
        <w:rPr>
          <w:spacing w:val="10"/>
        </w:rPr>
        <w:t> </w:t>
      </w:r>
      <w:r>
        <w:rPr/>
        <w:t>25,000.</w:t>
      </w:r>
    </w:p>
    <w:p>
      <w:pPr>
        <w:pStyle w:val="BodyText"/>
        <w:spacing w:before="11"/>
        <w:rPr>
          <w:sz w:val="36"/>
        </w:rPr>
      </w:pPr>
    </w:p>
    <w:p>
      <w:pPr>
        <w:pStyle w:val="BodyText"/>
        <w:spacing w:line="372" w:lineRule="auto"/>
        <w:ind w:left="940" w:right="1204"/>
      </w:pPr>
      <w:r>
        <w:rPr/>
        <w:t>A37 According to the Bank’s Agents, there had been a few more signs of manufacturing</w:t>
      </w:r>
      <w:r>
        <w:rPr>
          <w:spacing w:val="-10"/>
        </w:rPr>
        <w:t> </w:t>
      </w:r>
      <w:r>
        <w:rPr/>
        <w:t>job</w:t>
      </w:r>
      <w:r>
        <w:rPr>
          <w:spacing w:val="-9"/>
        </w:rPr>
        <w:t> </w:t>
      </w:r>
      <w:r>
        <w:rPr/>
        <w:t>cuts</w:t>
      </w:r>
      <w:r>
        <w:rPr>
          <w:spacing w:val="-9"/>
        </w:rPr>
        <w:t> </w:t>
      </w:r>
      <w:r>
        <w:rPr/>
        <w:t>in</w:t>
      </w:r>
      <w:r>
        <w:rPr>
          <w:spacing w:val="-9"/>
        </w:rPr>
        <w:t> </w:t>
      </w:r>
      <w:r>
        <w:rPr/>
        <w:t>November,</w:t>
      </w:r>
      <w:r>
        <w:rPr>
          <w:spacing w:val="-9"/>
        </w:rPr>
        <w:t> </w:t>
      </w:r>
      <w:r>
        <w:rPr/>
        <w:t>though</w:t>
      </w:r>
      <w:r>
        <w:rPr>
          <w:spacing w:val="-9"/>
        </w:rPr>
        <w:t> </w:t>
      </w:r>
      <w:r>
        <w:rPr/>
        <w:t>they</w:t>
      </w:r>
      <w:r>
        <w:rPr>
          <w:spacing w:val="-10"/>
        </w:rPr>
        <w:t> </w:t>
      </w:r>
      <w:r>
        <w:rPr/>
        <w:t>were</w:t>
      </w:r>
      <w:r>
        <w:rPr>
          <w:spacing w:val="-9"/>
        </w:rPr>
        <w:t> </w:t>
      </w:r>
      <w:r>
        <w:rPr/>
        <w:t>still</w:t>
      </w:r>
      <w:r>
        <w:rPr>
          <w:spacing w:val="-9"/>
        </w:rPr>
        <w:t> </w:t>
      </w:r>
      <w:r>
        <w:rPr/>
        <w:t>reporting</w:t>
      </w:r>
      <w:r>
        <w:rPr>
          <w:spacing w:val="-9"/>
        </w:rPr>
        <w:t> </w:t>
      </w:r>
      <w:r>
        <w:rPr/>
        <w:t>a</w:t>
      </w:r>
      <w:r>
        <w:rPr>
          <w:spacing w:val="-9"/>
        </w:rPr>
        <w:t> </w:t>
      </w:r>
      <w:r>
        <w:rPr/>
        <w:t>marginal</w:t>
      </w:r>
      <w:r>
        <w:rPr>
          <w:spacing w:val="-9"/>
        </w:rPr>
        <w:t> </w:t>
      </w:r>
      <w:r>
        <w:rPr>
          <w:spacing w:val="-2"/>
        </w:rPr>
        <w:t>net</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995"/>
      </w:pPr>
      <w:r>
        <w:rPr/>
        <w:t>rise overall. Set against this, the ONS had reported a fall in manufacturing employees of 5,000 in September, taking the decline in 1997Q3 to 30,000. But this was a preliminary figure which might be revised.</w:t>
      </w:r>
    </w:p>
    <w:p>
      <w:pPr>
        <w:pStyle w:val="BodyText"/>
        <w:rPr>
          <w:sz w:val="37"/>
        </w:rPr>
      </w:pPr>
    </w:p>
    <w:p>
      <w:pPr>
        <w:pStyle w:val="BodyText"/>
        <w:spacing w:line="372" w:lineRule="auto"/>
        <w:ind w:left="940" w:right="849"/>
      </w:pPr>
      <w:r>
        <w:rPr/>
        <w:t>A38 Agents’ reports suggested that service sector firms were still actively recruiting, </w:t>
      </w:r>
      <w:r>
        <w:rPr>
          <w:spacing w:val="-3"/>
        </w:rPr>
        <w:t>though they were finding </w:t>
      </w:r>
      <w:r>
        <w:rPr/>
        <w:t>it </w:t>
      </w:r>
      <w:r>
        <w:rPr>
          <w:spacing w:val="-3"/>
        </w:rPr>
        <w:t>increasingly difficult </w:t>
      </w:r>
      <w:r>
        <w:rPr/>
        <w:t>to </w:t>
      </w:r>
      <w:r>
        <w:rPr>
          <w:spacing w:val="-3"/>
        </w:rPr>
        <w:t>find staff with suitable qualifications </w:t>
      </w:r>
      <w:r>
        <w:rPr/>
        <w:t>and skills. In some of the tighter labour market areas, such as the South, firms were looking to recruit from outside the region. Skill shortages were becoming </w:t>
      </w:r>
      <w:r>
        <w:rPr>
          <w:spacing w:val="-2"/>
        </w:rPr>
        <w:t>increasingly </w:t>
      </w:r>
      <w:r>
        <w:rPr/>
        <w:t>widespread, which led to more concerns from businesses about the forthcoming </w:t>
      </w:r>
      <w:r>
        <w:rPr>
          <w:spacing w:val="-2"/>
        </w:rPr>
        <w:t>pay </w:t>
      </w:r>
      <w:r>
        <w:rPr/>
        <w:t>round.</w:t>
      </w:r>
    </w:p>
    <w:p>
      <w:pPr>
        <w:pStyle w:val="BodyText"/>
        <w:spacing w:before="4"/>
        <w:rPr>
          <w:sz w:val="35"/>
        </w:rPr>
      </w:pPr>
    </w:p>
    <w:p>
      <w:pPr>
        <w:pStyle w:val="BodyText"/>
        <w:tabs>
          <w:tab w:pos="1554" w:val="left" w:leader="none"/>
        </w:tabs>
        <w:spacing w:line="357" w:lineRule="auto"/>
        <w:ind w:left="940" w:right="934"/>
      </w:pPr>
      <w:r>
        <w:rPr/>
        <w:t>A39</w:t>
        <w:tab/>
      </w:r>
      <w:r>
        <w:rPr>
          <w:spacing w:val="-3"/>
        </w:rPr>
        <w:t>Underlying earnings growth </w:t>
      </w:r>
      <w:r>
        <w:rPr/>
        <w:t>on a </w:t>
      </w:r>
      <w:r>
        <w:rPr>
          <w:spacing w:val="-3"/>
        </w:rPr>
        <w:t>year earlier fell </w:t>
      </w:r>
      <w:r>
        <w:rPr/>
        <w:t>in </w:t>
      </w:r>
      <w:r>
        <w:rPr>
          <w:spacing w:val="-3"/>
        </w:rPr>
        <w:t>September </w:t>
      </w:r>
      <w:r>
        <w:rPr/>
        <w:t>to 4 </w:t>
      </w:r>
      <w:r>
        <w:rPr>
          <w:rFonts w:ascii="Symbol" w:hAnsi="Symbol"/>
          <w:w w:val="115"/>
        </w:rPr>
        <w:t>凶</w:t>
      </w:r>
      <w:r>
        <w:rPr>
          <w:w w:val="115"/>
        </w:rPr>
        <w:t> </w:t>
      </w:r>
      <w:r>
        <w:rPr/>
        <w:t>% from 4</w:t>
      </w:r>
      <w:r>
        <w:rPr>
          <w:rFonts w:ascii="Symbol" w:hAnsi="Symbol"/>
        </w:rPr>
        <w:t></w:t>
      </w:r>
      <w:r>
        <w:rPr/>
        <w:t>%. This was caused by the manufacturing sector, where underlying growth fell </w:t>
      </w:r>
      <w:r>
        <w:rPr>
          <w:spacing w:val="-3"/>
        </w:rPr>
        <w:t>from 4 </w:t>
      </w:r>
      <w:r>
        <w:rPr>
          <w:rFonts w:ascii="Symbol" w:hAnsi="Symbol"/>
          <w:w w:val="115"/>
        </w:rPr>
        <w:t>凶</w:t>
      </w:r>
      <w:r>
        <w:rPr>
          <w:w w:val="115"/>
        </w:rPr>
        <w:t> </w:t>
      </w:r>
      <w:r>
        <w:rPr/>
        <w:t>% to 4%. Slower earnings growth was fairly widespread across the sector: earnings</w:t>
      </w:r>
      <w:r>
        <w:rPr>
          <w:spacing w:val="-10"/>
        </w:rPr>
        <w:t> </w:t>
      </w:r>
      <w:r>
        <w:rPr/>
        <w:t>growth</w:t>
      </w:r>
      <w:r>
        <w:rPr>
          <w:spacing w:val="-9"/>
        </w:rPr>
        <w:t> </w:t>
      </w:r>
      <w:r>
        <w:rPr/>
        <w:t>fell</w:t>
      </w:r>
      <w:r>
        <w:rPr>
          <w:spacing w:val="-9"/>
        </w:rPr>
        <w:t> </w:t>
      </w:r>
      <w:r>
        <w:rPr/>
        <w:t>in</w:t>
      </w:r>
      <w:r>
        <w:rPr>
          <w:spacing w:val="-9"/>
        </w:rPr>
        <w:t> </w:t>
      </w:r>
      <w:r>
        <w:rPr/>
        <w:t>eight</w:t>
      </w:r>
      <w:r>
        <w:rPr>
          <w:spacing w:val="-10"/>
        </w:rPr>
        <w:t> </w:t>
      </w:r>
      <w:r>
        <w:rPr/>
        <w:t>out</w:t>
      </w:r>
      <w:r>
        <w:rPr>
          <w:spacing w:val="-9"/>
        </w:rPr>
        <w:t> </w:t>
      </w:r>
      <w:r>
        <w:rPr/>
        <w:t>of</w:t>
      </w:r>
      <w:r>
        <w:rPr>
          <w:spacing w:val="-9"/>
        </w:rPr>
        <w:t> </w:t>
      </w:r>
      <w:r>
        <w:rPr/>
        <w:t>thirteen</w:t>
      </w:r>
      <w:r>
        <w:rPr>
          <w:spacing w:val="-9"/>
        </w:rPr>
        <w:t> </w:t>
      </w:r>
      <w:r>
        <w:rPr/>
        <w:t>industries</w:t>
      </w:r>
      <w:r>
        <w:rPr>
          <w:spacing w:val="22"/>
        </w:rPr>
        <w:t>. </w:t>
      </w:r>
      <w:r>
        <w:rPr/>
        <w:t>Lower</w:t>
      </w:r>
      <w:r>
        <w:rPr>
          <w:spacing w:val="-10"/>
        </w:rPr>
        <w:t> </w:t>
      </w:r>
      <w:r>
        <w:rPr/>
        <w:t>overtime</w:t>
      </w:r>
      <w:r>
        <w:rPr>
          <w:spacing w:val="-9"/>
        </w:rPr>
        <w:t> </w:t>
      </w:r>
      <w:r>
        <w:rPr/>
        <w:t>payments</w:t>
      </w:r>
      <w:r>
        <w:rPr>
          <w:spacing w:val="-9"/>
        </w:rPr>
        <w:t> </w:t>
      </w:r>
      <w:r>
        <w:rPr/>
        <w:t>seem to have been a factor. Whole-economy earnings growth, smoothed for the effects of </w:t>
      </w:r>
      <w:r>
        <w:rPr>
          <w:spacing w:val="-3"/>
        </w:rPr>
        <w:t>bonuses</w:t>
      </w:r>
      <w:r>
        <w:rPr>
          <w:spacing w:val="-1"/>
        </w:rPr>
        <w:t>, </w:t>
      </w:r>
      <w:r>
        <w:rPr>
          <w:spacing w:val="-3"/>
        </w:rPr>
        <w:t>probably</w:t>
      </w:r>
      <w:r>
        <w:rPr>
          <w:spacing w:val="2"/>
        </w:rPr>
        <w:t> </w:t>
      </w:r>
      <w:r>
        <w:rPr>
          <w:spacing w:val="-3"/>
        </w:rPr>
        <w:t>remained</w:t>
      </w:r>
      <w:r>
        <w:rPr>
          <w:spacing w:val="2"/>
        </w:rPr>
        <w:t> </w:t>
      </w:r>
      <w:r>
        <w:rPr/>
        <w:t>in</w:t>
      </w:r>
      <w:r>
        <w:rPr>
          <w:spacing w:val="2"/>
        </w:rPr>
        <w:t> </w:t>
      </w:r>
      <w:r>
        <w:rPr/>
        <w:t>the</w:t>
      </w:r>
      <w:r>
        <w:rPr>
          <w:spacing w:val="1"/>
        </w:rPr>
        <w:t> </w:t>
      </w:r>
      <w:r>
        <w:rPr>
          <w:spacing w:val="-3"/>
        </w:rPr>
        <w:t>range</w:t>
      </w:r>
      <w:r>
        <w:rPr>
          <w:spacing w:val="2"/>
        </w:rPr>
        <w:t> </w:t>
      </w:r>
      <w:r>
        <w:rPr/>
        <w:t>of</w:t>
      </w:r>
      <w:r>
        <w:rPr>
          <w:spacing w:val="6"/>
        </w:rPr>
        <w:t> </w:t>
      </w:r>
      <w:r>
        <w:rPr/>
        <w:t>4</w:t>
      </w:r>
      <w:r>
        <w:rPr>
          <w:rFonts w:ascii="Symbol" w:hAnsi="Symbol"/>
          <w:w w:val="115"/>
        </w:rPr>
        <w:t>凶</w:t>
      </w:r>
      <w:r>
        <w:rPr>
          <w:spacing w:val="3"/>
        </w:rPr>
        <w:t>% </w:t>
      </w:r>
      <w:r>
        <w:rPr/>
        <w:t>to</w:t>
      </w:r>
      <w:r>
        <w:rPr>
          <w:spacing w:val="7"/>
        </w:rPr>
        <w:t> </w:t>
      </w:r>
      <w:r>
        <w:rPr/>
        <w:t>4</w:t>
      </w:r>
      <w:r>
        <w:rPr>
          <w:rFonts w:ascii="Symbol" w:hAnsi="Symbol"/>
        </w:rPr>
        <w:t></w:t>
      </w:r>
      <w:r>
        <w:rPr/>
        <w:t>%.</w:t>
      </w:r>
    </w:p>
    <w:p>
      <w:pPr>
        <w:pStyle w:val="BodyText"/>
        <w:spacing w:before="7"/>
        <w:rPr>
          <w:sz w:val="37"/>
        </w:rPr>
      </w:pPr>
    </w:p>
    <w:p>
      <w:pPr>
        <w:pStyle w:val="BodyText"/>
        <w:spacing w:line="372" w:lineRule="auto" w:before="1"/>
        <w:ind w:left="940" w:right="934"/>
      </w:pPr>
      <w:r>
        <w:rPr/>
        <w:t>A40 There had been little news on settlements in October, which was in any case a quiet month. The twelve-month whole-economy mean had remained at 3.3%.</w:t>
      </w:r>
    </w:p>
    <w:p>
      <w:pPr>
        <w:pStyle w:val="BodyText"/>
        <w:rPr>
          <w:sz w:val="37"/>
        </w:rPr>
      </w:pPr>
    </w:p>
    <w:p>
      <w:pPr>
        <w:pStyle w:val="BodyText"/>
        <w:spacing w:line="372" w:lineRule="auto"/>
        <w:ind w:left="940" w:right="1095"/>
      </w:pPr>
      <w:r>
        <w:rPr/>
        <w:t>A41 The relationship between unemployment and earnings was then considered: in particular, did short-term unemployment exert more downward pressure on earnings than long-term unemployment?</w:t>
      </w:r>
    </w:p>
    <w:p>
      <w:pPr>
        <w:pStyle w:val="BodyText"/>
        <w:rPr>
          <w:sz w:val="37"/>
        </w:rPr>
      </w:pPr>
    </w:p>
    <w:p>
      <w:pPr>
        <w:pStyle w:val="BodyText"/>
        <w:spacing w:line="372" w:lineRule="auto"/>
        <w:ind w:left="940" w:right="836"/>
      </w:pPr>
      <w:r>
        <w:rPr/>
        <w:t>A42 According to the British Household Panel Survey, the short-term unemployed were more than twice as likely as the long-term unemployed to be employed a year later. There were two possible reasons why the probability of employment declined with unemployment duration. First, from any pool of unemployed workers, employers would tend to select those with the strongest skills and most relevant experience first. The long-term unemployed were thus less likely to have the most appropriate qualifications and skills and were less likely to find a job. Second, the length of the unemployment spell reduced the chances of becoming employed, because search effort</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1086"/>
      </w:pPr>
      <w:r>
        <w:rPr/>
        <w:t>fell;</w:t>
      </w:r>
      <w:r>
        <w:rPr>
          <w:spacing w:val="-12"/>
        </w:rPr>
        <w:t> </w:t>
      </w:r>
      <w:r>
        <w:rPr/>
        <w:t>or</w:t>
      </w:r>
      <w:r>
        <w:rPr>
          <w:spacing w:val="-11"/>
        </w:rPr>
        <w:t> </w:t>
      </w:r>
      <w:r>
        <w:rPr/>
        <w:t>because</w:t>
      </w:r>
      <w:r>
        <w:rPr>
          <w:spacing w:val="-11"/>
        </w:rPr>
        <w:t> </w:t>
      </w:r>
      <w:r>
        <w:rPr/>
        <w:t>skills,</w:t>
      </w:r>
      <w:r>
        <w:rPr>
          <w:spacing w:val="-11"/>
        </w:rPr>
        <w:t> </w:t>
      </w:r>
      <w:r>
        <w:rPr/>
        <w:t>morale</w:t>
      </w:r>
      <w:r>
        <w:rPr>
          <w:spacing w:val="-12"/>
        </w:rPr>
        <w:t> </w:t>
      </w:r>
      <w:r>
        <w:rPr/>
        <w:t>and</w:t>
      </w:r>
      <w:r>
        <w:rPr>
          <w:spacing w:val="-11"/>
        </w:rPr>
        <w:t> </w:t>
      </w:r>
      <w:r>
        <w:rPr/>
        <w:t>motivation</w:t>
      </w:r>
      <w:r>
        <w:rPr>
          <w:spacing w:val="-11"/>
        </w:rPr>
        <w:t> </w:t>
      </w:r>
      <w:r>
        <w:rPr/>
        <w:t>deteriorated;</w:t>
      </w:r>
      <w:r>
        <w:rPr>
          <w:spacing w:val="-11"/>
        </w:rPr>
        <w:t> </w:t>
      </w:r>
      <w:r>
        <w:rPr/>
        <w:t>or</w:t>
      </w:r>
      <w:r>
        <w:rPr>
          <w:spacing w:val="-12"/>
        </w:rPr>
        <w:t> </w:t>
      </w:r>
      <w:r>
        <w:rPr/>
        <w:t>because</w:t>
      </w:r>
      <w:r>
        <w:rPr>
          <w:spacing w:val="-11"/>
        </w:rPr>
        <w:t> </w:t>
      </w:r>
      <w:r>
        <w:rPr/>
        <w:t>employers</w:t>
      </w:r>
      <w:r>
        <w:rPr>
          <w:spacing w:val="-11"/>
        </w:rPr>
        <w:t> </w:t>
      </w:r>
      <w:r>
        <w:rPr/>
        <w:t>used </w:t>
      </w:r>
      <w:r>
        <w:rPr>
          <w:spacing w:val="-3"/>
        </w:rPr>
        <w:t>duration </w:t>
      </w:r>
      <w:r>
        <w:rPr/>
        <w:t>as a </w:t>
      </w:r>
      <w:r>
        <w:rPr>
          <w:spacing w:val="-3"/>
        </w:rPr>
        <w:t>screening device </w:t>
      </w:r>
      <w:r>
        <w:rPr/>
        <w:t>to </w:t>
      </w:r>
      <w:r>
        <w:rPr>
          <w:spacing w:val="-3"/>
        </w:rPr>
        <w:t>discriminate unfairly against </w:t>
      </w:r>
      <w:r>
        <w:rPr/>
        <w:t>the </w:t>
      </w:r>
      <w:r>
        <w:rPr>
          <w:spacing w:val="-3"/>
        </w:rPr>
        <w:t>long-term unemployed.</w:t>
      </w:r>
    </w:p>
    <w:p>
      <w:pPr>
        <w:pStyle w:val="BodyText"/>
        <w:rPr>
          <w:sz w:val="37"/>
        </w:rPr>
      </w:pPr>
    </w:p>
    <w:p>
      <w:pPr>
        <w:pStyle w:val="BodyText"/>
        <w:spacing w:line="372" w:lineRule="auto"/>
        <w:ind w:left="940" w:right="934"/>
      </w:pPr>
      <w:r>
        <w:rPr/>
        <w:t>A43 Whatever the reason, the implications for the effect of long-term unemployment on wage pressure were the same: when the proportion of long-term jobless was high, for a given level of total unemployment, workers would probably realise that they could not be replaced so easily, and hence that their bargaining strength was higher.</w:t>
      </w:r>
    </w:p>
    <w:p>
      <w:pPr>
        <w:pStyle w:val="BodyText"/>
        <w:spacing w:before="11"/>
        <w:rPr>
          <w:sz w:val="36"/>
        </w:rPr>
      </w:pPr>
    </w:p>
    <w:p>
      <w:pPr>
        <w:pStyle w:val="BodyText"/>
        <w:tabs>
          <w:tab w:pos="1554" w:val="left" w:leader="none"/>
        </w:tabs>
        <w:spacing w:line="372" w:lineRule="auto"/>
        <w:ind w:left="940" w:right="929"/>
      </w:pPr>
      <w:r>
        <w:rPr/>
        <w:t>A44</w:t>
        <w:tab/>
        <w:t>The</w:t>
      </w:r>
      <w:r>
        <w:rPr>
          <w:spacing w:val="-10"/>
        </w:rPr>
        <w:t> </w:t>
      </w:r>
      <w:r>
        <w:rPr/>
        <w:t>empirical</w:t>
      </w:r>
      <w:r>
        <w:rPr>
          <w:spacing w:val="-10"/>
        </w:rPr>
        <w:t> </w:t>
      </w:r>
      <w:r>
        <w:rPr/>
        <w:t>evidence</w:t>
      </w:r>
      <w:r>
        <w:rPr>
          <w:spacing w:val="-10"/>
        </w:rPr>
        <w:t> </w:t>
      </w:r>
      <w:r>
        <w:rPr/>
        <w:t>in</w:t>
      </w:r>
      <w:r>
        <w:rPr>
          <w:spacing w:val="-10"/>
        </w:rPr>
        <w:t> </w:t>
      </w:r>
      <w:r>
        <w:rPr/>
        <w:t>general</w:t>
      </w:r>
      <w:r>
        <w:rPr>
          <w:spacing w:val="-9"/>
        </w:rPr>
        <w:t> </w:t>
      </w:r>
      <w:r>
        <w:rPr/>
        <w:t>supported</w:t>
      </w:r>
      <w:r>
        <w:rPr>
          <w:spacing w:val="-10"/>
        </w:rPr>
        <w:t> </w:t>
      </w:r>
      <w:r>
        <w:rPr/>
        <w:t>a</w:t>
      </w:r>
      <w:r>
        <w:rPr>
          <w:spacing w:val="-10"/>
        </w:rPr>
        <w:t> </w:t>
      </w:r>
      <w:r>
        <w:rPr/>
        <w:t>more</w:t>
      </w:r>
      <w:r>
        <w:rPr>
          <w:spacing w:val="-10"/>
        </w:rPr>
        <w:t> </w:t>
      </w:r>
      <w:r>
        <w:rPr/>
        <w:t>powerful</w:t>
      </w:r>
      <w:r>
        <w:rPr>
          <w:spacing w:val="-9"/>
        </w:rPr>
        <w:t> </w:t>
      </w:r>
      <w:r>
        <w:rPr/>
        <w:t>role</w:t>
      </w:r>
      <w:r>
        <w:rPr>
          <w:spacing w:val="-10"/>
        </w:rPr>
        <w:t> </w:t>
      </w:r>
      <w:r>
        <w:rPr/>
        <w:t>for</w:t>
      </w:r>
      <w:r>
        <w:rPr>
          <w:spacing w:val="-10"/>
        </w:rPr>
        <w:t> </w:t>
      </w:r>
      <w:r>
        <w:rPr/>
        <w:t>short-term unemployment in putting downward pressure on wages. Some studies suggested that only short-term unemployment mattered. But recent Bank research had suggested that, although short-term unemployment was more important, the potential downward effect of long-term unemployment on wages should not be</w:t>
      </w:r>
      <w:r>
        <w:rPr>
          <w:spacing w:val="-20"/>
        </w:rPr>
        <w:t> </w:t>
      </w:r>
      <w:r>
        <w:rPr>
          <w:spacing w:val="-2"/>
        </w:rPr>
        <w:t>disregarded.</w:t>
      </w:r>
    </w:p>
    <w:p>
      <w:pPr>
        <w:pStyle w:val="BodyText"/>
        <w:spacing w:before="10"/>
        <w:rPr>
          <w:sz w:val="36"/>
        </w:rPr>
      </w:pPr>
    </w:p>
    <w:p>
      <w:pPr>
        <w:pStyle w:val="ListParagraph"/>
        <w:numPr>
          <w:ilvl w:val="1"/>
          <w:numId w:val="1"/>
        </w:numPr>
        <w:tabs>
          <w:tab w:pos="1257" w:val="left" w:leader="none"/>
        </w:tabs>
        <w:spacing w:line="240" w:lineRule="auto" w:before="1" w:after="0"/>
        <w:ind w:left="1256" w:right="0" w:hanging="317"/>
        <w:jc w:val="left"/>
        <w:rPr>
          <w:sz w:val="24"/>
        </w:rPr>
      </w:pPr>
      <w:r>
        <w:rPr>
          <w:spacing w:val="-2"/>
          <w:sz w:val="24"/>
          <w:u w:val="single"/>
        </w:rPr>
        <w:t>Prices</w:t>
      </w:r>
    </w:p>
    <w:p>
      <w:pPr>
        <w:pStyle w:val="BodyText"/>
        <w:rPr>
          <w:sz w:val="20"/>
        </w:rPr>
      </w:pPr>
    </w:p>
    <w:p>
      <w:pPr>
        <w:pStyle w:val="BodyText"/>
        <w:spacing w:before="5"/>
        <w:rPr>
          <w:sz w:val="22"/>
        </w:rPr>
      </w:pPr>
    </w:p>
    <w:p>
      <w:pPr>
        <w:pStyle w:val="BodyText"/>
        <w:tabs>
          <w:tab w:pos="1616" w:val="left" w:leader="none"/>
        </w:tabs>
        <w:spacing w:line="372" w:lineRule="auto" w:before="90"/>
        <w:ind w:left="940" w:right="988"/>
      </w:pPr>
      <w:r>
        <w:rPr/>
        <w:t>A45</w:t>
        <w:tab/>
        <w:t>There were no signs of any upward pressure from commodity prices; provisional estimates suggested that commodity prices rose by 1.1% in October, </w:t>
      </w:r>
      <w:r>
        <w:rPr>
          <w:spacing w:val="-2"/>
        </w:rPr>
        <w:t>but </w:t>
      </w:r>
      <w:r>
        <w:rPr>
          <w:spacing w:val="-3"/>
        </w:rPr>
        <w:t>this </w:t>
      </w:r>
      <w:r>
        <w:rPr/>
        <w:t>had </w:t>
      </w:r>
      <w:r>
        <w:rPr>
          <w:spacing w:val="-3"/>
        </w:rPr>
        <w:t>been entirely because </w:t>
      </w:r>
      <w:r>
        <w:rPr/>
        <w:t>of </w:t>
      </w:r>
      <w:r>
        <w:rPr>
          <w:spacing w:val="-3"/>
        </w:rPr>
        <w:t>oil. </w:t>
      </w:r>
      <w:r>
        <w:rPr/>
        <w:t>Oil </w:t>
      </w:r>
      <w:r>
        <w:rPr>
          <w:spacing w:val="-3"/>
        </w:rPr>
        <w:t>prices </w:t>
      </w:r>
      <w:r>
        <w:rPr/>
        <w:t>had </w:t>
      </w:r>
      <w:r>
        <w:rPr>
          <w:spacing w:val="-3"/>
        </w:rPr>
        <w:t>been stable </w:t>
      </w:r>
      <w:r>
        <w:rPr/>
        <w:t>in </w:t>
      </w:r>
      <w:r>
        <w:rPr>
          <w:spacing w:val="-3"/>
        </w:rPr>
        <w:t>November, although </w:t>
      </w:r>
      <w:r>
        <w:rPr/>
        <w:t>there had been some recent signs of softening as the Iraqi crisis had</w:t>
      </w:r>
      <w:r>
        <w:rPr>
          <w:spacing w:val="-35"/>
        </w:rPr>
        <w:t> </w:t>
      </w:r>
      <w:r>
        <w:rPr>
          <w:spacing w:val="-2"/>
        </w:rPr>
        <w:t>eased.</w:t>
      </w:r>
    </w:p>
    <w:p>
      <w:pPr>
        <w:pStyle w:val="BodyText"/>
        <w:spacing w:before="11"/>
        <w:rPr>
          <w:sz w:val="36"/>
        </w:rPr>
      </w:pPr>
    </w:p>
    <w:p>
      <w:pPr>
        <w:pStyle w:val="BodyText"/>
        <w:spacing w:line="372" w:lineRule="auto"/>
        <w:ind w:left="940" w:right="849"/>
      </w:pPr>
      <w:r>
        <w:rPr/>
        <w:t>A46 Input price deflation continued in October. Output price inflation was barely positive, and there were few signs of it turning up. The CBI price expectations balance had turned negative and the Agents were reporting increased pressure from import competition.</w:t>
      </w:r>
    </w:p>
    <w:p>
      <w:pPr>
        <w:pStyle w:val="BodyText"/>
        <w:spacing w:before="11"/>
        <w:rPr>
          <w:sz w:val="36"/>
        </w:rPr>
      </w:pPr>
    </w:p>
    <w:p>
      <w:pPr>
        <w:pStyle w:val="BodyText"/>
        <w:spacing w:line="372" w:lineRule="auto"/>
        <w:ind w:left="940" w:right="953"/>
        <w:jc w:val="both"/>
      </w:pPr>
      <w:r>
        <w:rPr/>
        <w:t>A47 Domestic manufacturers’ margins still appeared to be rising, because of</w:t>
      </w:r>
      <w:r>
        <w:rPr>
          <w:spacing w:val="-35"/>
        </w:rPr>
        <w:t> </w:t>
      </w:r>
      <w:r>
        <w:rPr/>
        <w:t>subdued costs,</w:t>
      </w:r>
      <w:r>
        <w:rPr>
          <w:spacing w:val="-9"/>
        </w:rPr>
        <w:t> </w:t>
      </w:r>
      <w:r>
        <w:rPr/>
        <w:t>although</w:t>
      </w:r>
      <w:r>
        <w:rPr>
          <w:spacing w:val="-9"/>
        </w:rPr>
        <w:t> </w:t>
      </w:r>
      <w:r>
        <w:rPr/>
        <w:t>export</w:t>
      </w:r>
      <w:r>
        <w:rPr>
          <w:spacing w:val="-9"/>
        </w:rPr>
        <w:t> </w:t>
      </w:r>
      <w:r>
        <w:rPr/>
        <w:t>margins</w:t>
      </w:r>
      <w:r>
        <w:rPr>
          <w:spacing w:val="-9"/>
        </w:rPr>
        <w:t> </w:t>
      </w:r>
      <w:r>
        <w:rPr/>
        <w:t>were</w:t>
      </w:r>
      <w:r>
        <w:rPr>
          <w:spacing w:val="-9"/>
        </w:rPr>
        <w:t> </w:t>
      </w:r>
      <w:r>
        <w:rPr/>
        <w:t>still</w:t>
      </w:r>
      <w:r>
        <w:rPr>
          <w:spacing w:val="-9"/>
        </w:rPr>
        <w:t> </w:t>
      </w:r>
      <w:r>
        <w:rPr/>
        <w:t>under</w:t>
      </w:r>
      <w:r>
        <w:rPr>
          <w:spacing w:val="-9"/>
        </w:rPr>
        <w:t> </w:t>
      </w:r>
      <w:r>
        <w:rPr/>
        <w:t>pressure,</w:t>
      </w:r>
      <w:r>
        <w:rPr>
          <w:spacing w:val="-9"/>
        </w:rPr>
        <w:t> </w:t>
      </w:r>
      <w:r>
        <w:rPr/>
        <w:t>despite</w:t>
      </w:r>
      <w:r>
        <w:rPr>
          <w:spacing w:val="-9"/>
        </w:rPr>
        <w:t> </w:t>
      </w:r>
      <w:r>
        <w:rPr/>
        <w:t>rising</w:t>
      </w:r>
      <w:r>
        <w:rPr>
          <w:spacing w:val="-9"/>
        </w:rPr>
        <w:t> </w:t>
      </w:r>
      <w:r>
        <w:rPr/>
        <w:t>export</w:t>
      </w:r>
      <w:r>
        <w:rPr>
          <w:spacing w:val="-9"/>
        </w:rPr>
        <w:t> </w:t>
      </w:r>
      <w:r>
        <w:rPr/>
        <w:t>prices</w:t>
      </w:r>
      <w:r>
        <w:rPr>
          <w:spacing w:val="-9"/>
        </w:rPr>
        <w:t> </w:t>
      </w:r>
      <w:r>
        <w:rPr/>
        <w:t>in September. Retailers’ margins were continuing to</w:t>
      </w:r>
      <w:r>
        <w:rPr>
          <w:spacing w:val="-8"/>
        </w:rPr>
        <w:t> </w:t>
      </w:r>
      <w:r>
        <w:rPr/>
        <w:t>rise.</w:t>
      </w:r>
    </w:p>
    <w:p>
      <w:pPr>
        <w:pStyle w:val="BodyText"/>
        <w:rPr>
          <w:sz w:val="37"/>
        </w:rPr>
      </w:pPr>
    </w:p>
    <w:p>
      <w:pPr>
        <w:pStyle w:val="BodyText"/>
        <w:spacing w:line="372" w:lineRule="auto"/>
        <w:ind w:left="940" w:right="934"/>
      </w:pPr>
      <w:r>
        <w:rPr/>
        <w:t>A48 RPIX had risen unexpectedly in October to 2.8%, from 2.7% in September. A 0.9pp wedge had opened up between RPI and RPIX, reflecting the recent mortgage</w:t>
      </w:r>
    </w:p>
    <w:p>
      <w:pPr>
        <w:spacing w:after="0" w:line="372" w:lineRule="auto"/>
        <w:sectPr>
          <w:pgSz w:w="11900" w:h="16840"/>
          <w:pgMar w:header="719" w:footer="0" w:top="980" w:bottom="280" w:left="860" w:right="880"/>
        </w:sectPr>
      </w:pPr>
    </w:p>
    <w:p>
      <w:pPr>
        <w:pStyle w:val="BodyText"/>
        <w:rPr>
          <w:sz w:val="20"/>
        </w:rPr>
      </w:pPr>
    </w:p>
    <w:p>
      <w:pPr>
        <w:pStyle w:val="BodyText"/>
        <w:spacing w:before="228"/>
        <w:ind w:left="940"/>
      </w:pPr>
      <w:r>
        <w:rPr/>
        <w:t>rate rises.</w:t>
      </w:r>
    </w:p>
    <w:p>
      <w:pPr>
        <w:pStyle w:val="BodyText"/>
        <w:rPr>
          <w:sz w:val="26"/>
        </w:rPr>
      </w:pPr>
    </w:p>
    <w:p>
      <w:pPr>
        <w:pStyle w:val="BodyText"/>
        <w:spacing w:before="3"/>
      </w:pPr>
    </w:p>
    <w:p>
      <w:pPr>
        <w:pStyle w:val="BodyText"/>
        <w:spacing w:line="372" w:lineRule="auto" w:before="1"/>
        <w:ind w:left="940" w:right="988"/>
      </w:pPr>
      <w:r>
        <w:rPr/>
        <w:t>A49 Looking back over a longer period, RPIX had fluctuated in a very </w:t>
      </w:r>
      <w:r>
        <w:rPr>
          <w:spacing w:val="-2"/>
        </w:rPr>
        <w:t>narrow </w:t>
      </w:r>
      <w:r>
        <w:rPr/>
        <w:t>channel since 1993Q2, and its volatility was at a record low. There was a clear positive correlation between the standard deviation of inflation and its level. There was a </w:t>
      </w:r>
      <w:r>
        <w:rPr>
          <w:spacing w:val="-3"/>
        </w:rPr>
        <w:t>possible behavioural link: </w:t>
      </w:r>
      <w:r>
        <w:rPr/>
        <w:t>at </w:t>
      </w:r>
      <w:r>
        <w:rPr>
          <w:spacing w:val="-3"/>
        </w:rPr>
        <w:t>lower inflation levels, retailers </w:t>
      </w:r>
      <w:r>
        <w:rPr/>
        <w:t>may </w:t>
      </w:r>
      <w:r>
        <w:rPr>
          <w:spacing w:val="-3"/>
        </w:rPr>
        <w:t>have </w:t>
      </w:r>
      <w:r>
        <w:rPr/>
        <w:t>had </w:t>
      </w:r>
      <w:r>
        <w:rPr>
          <w:spacing w:val="-3"/>
        </w:rPr>
        <w:t>more </w:t>
      </w:r>
      <w:r>
        <w:rPr/>
        <w:t>incentive to keep prices stable, because any change would lead to a more obvious </w:t>
      </w:r>
      <w:r>
        <w:rPr>
          <w:spacing w:val="-3"/>
        </w:rPr>
        <w:t>movement </w:t>
      </w:r>
      <w:r>
        <w:rPr/>
        <w:t>in </w:t>
      </w:r>
      <w:r>
        <w:rPr>
          <w:spacing w:val="-3"/>
        </w:rPr>
        <w:t>relative prices. </w:t>
      </w:r>
      <w:r>
        <w:rPr/>
        <w:t>But if </w:t>
      </w:r>
      <w:r>
        <w:rPr>
          <w:spacing w:val="-3"/>
        </w:rPr>
        <w:t>this simple behavioural link were </w:t>
      </w:r>
      <w:r>
        <w:rPr/>
        <w:t>the </w:t>
      </w:r>
      <w:r>
        <w:rPr>
          <w:spacing w:val="-3"/>
        </w:rPr>
        <w:t>answer, other countries with </w:t>
      </w:r>
      <w:r>
        <w:rPr/>
        <w:t>low </w:t>
      </w:r>
      <w:r>
        <w:rPr>
          <w:spacing w:val="-3"/>
        </w:rPr>
        <w:t>inflation would have </w:t>
      </w:r>
      <w:r>
        <w:rPr/>
        <w:t>had </w:t>
      </w:r>
      <w:r>
        <w:rPr>
          <w:spacing w:val="-3"/>
        </w:rPr>
        <w:t>similarly </w:t>
      </w:r>
      <w:r>
        <w:rPr/>
        <w:t>low </w:t>
      </w:r>
      <w:r>
        <w:rPr>
          <w:spacing w:val="-3"/>
        </w:rPr>
        <w:t>volatility; </w:t>
      </w:r>
      <w:r>
        <w:rPr/>
        <w:t>yet </w:t>
      </w:r>
      <w:r>
        <w:rPr>
          <w:spacing w:val="-3"/>
        </w:rPr>
        <w:t>they </w:t>
      </w:r>
      <w:r>
        <w:rPr/>
        <w:t>did </w:t>
      </w:r>
      <w:r>
        <w:rPr>
          <w:spacing w:val="-3"/>
        </w:rPr>
        <w:t>not, </w:t>
      </w:r>
      <w:r>
        <w:rPr/>
        <w:t>apart from the US. Also previous episodes of low UK inflation had not been </w:t>
      </w:r>
      <w:r>
        <w:rPr>
          <w:spacing w:val="-4"/>
        </w:rPr>
        <w:t>accompanied </w:t>
      </w:r>
      <w:r>
        <w:rPr/>
        <w:t>by </w:t>
      </w:r>
      <w:r>
        <w:rPr>
          <w:spacing w:val="-4"/>
        </w:rPr>
        <w:t>similarly </w:t>
      </w:r>
      <w:r>
        <w:rPr>
          <w:spacing w:val="-3"/>
        </w:rPr>
        <w:t>low </w:t>
      </w:r>
      <w:r>
        <w:rPr>
          <w:spacing w:val="-4"/>
        </w:rPr>
        <w:t>volatility.</w:t>
      </w:r>
    </w:p>
    <w:p>
      <w:pPr>
        <w:pStyle w:val="BodyText"/>
        <w:spacing w:before="8"/>
        <w:rPr>
          <w:sz w:val="36"/>
        </w:rPr>
      </w:pPr>
    </w:p>
    <w:p>
      <w:pPr>
        <w:pStyle w:val="BodyText"/>
        <w:spacing w:line="372" w:lineRule="auto"/>
        <w:ind w:left="940" w:right="935"/>
      </w:pPr>
      <w:r>
        <w:rPr/>
        <w:t>A50 Another possibility was that the determinants of prices, such as demand and costs, were less variable now than in the past. Comparing now with previous periods of low inflation, suggested that this might be part of the story. But volatility had not been consistently lower across the determinants, and the reduction in volatility of factors such as output growth, had been much less than for RPIX inflation.</w:t>
      </w:r>
    </w:p>
    <w:p>
      <w:pPr>
        <w:pStyle w:val="BodyText"/>
        <w:spacing w:before="10"/>
        <w:rPr>
          <w:sz w:val="36"/>
        </w:rPr>
      </w:pPr>
    </w:p>
    <w:p>
      <w:pPr>
        <w:pStyle w:val="BodyText"/>
        <w:spacing w:line="372" w:lineRule="auto"/>
        <w:ind w:left="940" w:right="519"/>
      </w:pPr>
      <w:r>
        <w:rPr/>
        <w:t>A51 </w:t>
      </w:r>
      <w:r>
        <w:rPr>
          <w:spacing w:val="-3"/>
        </w:rPr>
        <w:t>Another explanation </w:t>
      </w:r>
      <w:r>
        <w:rPr/>
        <w:t>was </w:t>
      </w:r>
      <w:r>
        <w:rPr>
          <w:spacing w:val="-3"/>
        </w:rPr>
        <w:t>increased credibility </w:t>
      </w:r>
      <w:r>
        <w:rPr/>
        <w:t>or </w:t>
      </w:r>
      <w:r>
        <w:rPr>
          <w:spacing w:val="-3"/>
        </w:rPr>
        <w:t>better anti-inflation policy. Simulations, using </w:t>
      </w:r>
      <w:r>
        <w:rPr/>
        <w:t>a </w:t>
      </w:r>
      <w:r>
        <w:rPr>
          <w:spacing w:val="-3"/>
        </w:rPr>
        <w:t>stylised model </w:t>
      </w:r>
      <w:r>
        <w:rPr/>
        <w:t>of the </w:t>
      </w:r>
      <w:r>
        <w:rPr>
          <w:spacing w:val="-3"/>
        </w:rPr>
        <w:t>Phillips curve suggested that greater policy credibility would lead </w:t>
      </w:r>
      <w:r>
        <w:rPr/>
        <w:t>to </w:t>
      </w:r>
      <w:r>
        <w:rPr>
          <w:spacing w:val="-3"/>
        </w:rPr>
        <w:t>lower volatility.</w:t>
      </w:r>
    </w:p>
    <w:p>
      <w:pPr>
        <w:pStyle w:val="BodyText"/>
        <w:rPr>
          <w:sz w:val="37"/>
        </w:rPr>
      </w:pPr>
    </w:p>
    <w:p>
      <w:pPr>
        <w:pStyle w:val="ListParagraph"/>
        <w:numPr>
          <w:ilvl w:val="1"/>
          <w:numId w:val="1"/>
        </w:numPr>
        <w:tabs>
          <w:tab w:pos="1659" w:val="left" w:leader="none"/>
          <w:tab w:pos="1660" w:val="left" w:leader="none"/>
        </w:tabs>
        <w:spacing w:line="240" w:lineRule="auto" w:before="0" w:after="0"/>
        <w:ind w:left="1660" w:right="0" w:hanging="720"/>
        <w:jc w:val="left"/>
        <w:rPr>
          <w:sz w:val="24"/>
        </w:rPr>
      </w:pPr>
      <w:r>
        <w:rPr>
          <w:spacing w:val="-4"/>
          <w:sz w:val="24"/>
          <w:u w:val="single"/>
        </w:rPr>
        <w:t>Financial</w:t>
      </w:r>
      <w:r>
        <w:rPr>
          <w:spacing w:val="-1"/>
          <w:sz w:val="24"/>
          <w:u w:val="single"/>
        </w:rPr>
        <w:t> </w:t>
      </w:r>
      <w:r>
        <w:rPr>
          <w:spacing w:val="-4"/>
          <w:sz w:val="24"/>
          <w:u w:val="single"/>
        </w:rPr>
        <w:t>markets</w:t>
      </w:r>
    </w:p>
    <w:p>
      <w:pPr>
        <w:pStyle w:val="BodyText"/>
        <w:rPr>
          <w:sz w:val="20"/>
        </w:rPr>
      </w:pPr>
    </w:p>
    <w:p>
      <w:pPr>
        <w:pStyle w:val="BodyText"/>
        <w:spacing w:before="6"/>
        <w:rPr>
          <w:sz w:val="22"/>
        </w:rPr>
      </w:pPr>
    </w:p>
    <w:p>
      <w:pPr>
        <w:pStyle w:val="BodyText"/>
        <w:spacing w:line="372" w:lineRule="auto" w:before="90"/>
        <w:ind w:left="940" w:right="519"/>
      </w:pPr>
      <w:r>
        <w:rPr/>
        <w:t>A52 Leaving aside the direct effect from the depreciation of the yen, the impact of the Asian crisis on many of the major currencies (particularly those in Europe) had been muted. But sterling was firmer overall.</w:t>
      </w:r>
    </w:p>
    <w:p>
      <w:pPr>
        <w:pStyle w:val="BodyText"/>
        <w:rPr>
          <w:sz w:val="37"/>
        </w:rPr>
      </w:pPr>
    </w:p>
    <w:p>
      <w:pPr>
        <w:pStyle w:val="BodyText"/>
        <w:spacing w:line="372" w:lineRule="auto"/>
        <w:ind w:left="940" w:right="849"/>
      </w:pPr>
      <w:r>
        <w:rPr/>
        <w:t>A53 The downward trend in the dollar exchange rate against the Deutsche Mark had been reversed in the latter half of November, probably as a result of a turnaround in expected US-German interest rate differentials. Lower-than-expected M3 and inflation numbers in Germany had caused markets to revise down their expectation about interest rates. In contrast, the continued strength in the US economy, and a belief that</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1082"/>
      </w:pPr>
      <w:r>
        <w:rPr/>
        <w:t>the FOMC had a bias towards tightening, had firmed interest rate expectations in the US.</w:t>
      </w:r>
    </w:p>
    <w:p>
      <w:pPr>
        <w:pStyle w:val="BodyText"/>
        <w:spacing w:before="1"/>
        <w:rPr>
          <w:sz w:val="37"/>
        </w:rPr>
      </w:pPr>
    </w:p>
    <w:p>
      <w:pPr>
        <w:pStyle w:val="BodyText"/>
        <w:spacing w:line="367" w:lineRule="auto"/>
        <w:ind w:left="940" w:right="934"/>
      </w:pPr>
      <w:r>
        <w:rPr/>
        <w:t>A54 Concerns in the market about the Japanese banking system had increased </w:t>
      </w:r>
      <w:r>
        <w:rPr>
          <w:spacing w:val="-2"/>
        </w:rPr>
        <w:t>during </w:t>
      </w:r>
      <w:r>
        <w:rPr/>
        <w:t>November</w:t>
      </w:r>
      <w:r>
        <w:rPr>
          <w:spacing w:val="-5"/>
        </w:rPr>
        <w:t>, </w:t>
      </w:r>
      <w:r>
        <w:rPr/>
        <w:t>as the fourth-biggest dealing house</w:t>
      </w:r>
      <w:r>
        <w:rPr>
          <w:spacing w:val="-5"/>
        </w:rPr>
        <w:t>, </w:t>
      </w:r>
      <w:r>
        <w:rPr/>
        <w:t>Yamaichi Securities</w:t>
      </w:r>
      <w:r>
        <w:rPr>
          <w:spacing w:val="-5"/>
        </w:rPr>
        <w:t>, </w:t>
      </w:r>
      <w:r>
        <w:rPr/>
        <w:t>and a number of (mostly regional) banks had failed. The extent of this concern was shown by </w:t>
      </w:r>
      <w:r>
        <w:rPr>
          <w:spacing w:val="-2"/>
        </w:rPr>
        <w:t>the </w:t>
      </w:r>
      <w:r>
        <w:rPr>
          <w:spacing w:val="-3"/>
        </w:rPr>
        <w:t>premium being demanded from high-quality Japanese banks, which were seeking to borrow funds </w:t>
      </w:r>
      <w:r>
        <w:rPr/>
        <w:t>in the </w:t>
      </w:r>
      <w:r>
        <w:rPr>
          <w:spacing w:val="-3"/>
        </w:rPr>
        <w:t>market. This premium </w:t>
      </w:r>
      <w:r>
        <w:rPr/>
        <w:t>had </w:t>
      </w:r>
      <w:r>
        <w:rPr>
          <w:spacing w:val="-3"/>
        </w:rPr>
        <w:t>risen from </w:t>
      </w:r>
      <w:r>
        <w:rPr>
          <w:rFonts w:ascii="Symbol" w:hAnsi="Symbol"/>
          <w:w w:val="115"/>
        </w:rPr>
        <w:t>凶</w:t>
      </w:r>
      <w:r>
        <w:rPr>
          <w:w w:val="115"/>
        </w:rPr>
        <w:t> </w:t>
      </w:r>
      <w:r>
        <w:rPr/>
        <w:t>% at the beginning of </w:t>
      </w:r>
      <w:r>
        <w:rPr>
          <w:spacing w:val="-40"/>
        </w:rPr>
        <w:t>the </w:t>
      </w:r>
      <w:r>
        <w:rPr/>
        <w:t>month to around 1% at the end.</w:t>
      </w:r>
    </w:p>
    <w:p>
      <w:pPr>
        <w:pStyle w:val="BodyText"/>
        <w:spacing w:before="3"/>
        <w:rPr>
          <w:sz w:val="37"/>
        </w:rPr>
      </w:pPr>
    </w:p>
    <w:p>
      <w:pPr>
        <w:pStyle w:val="BodyText"/>
        <w:spacing w:line="372" w:lineRule="auto" w:before="1"/>
        <w:ind w:left="940" w:right="934"/>
      </w:pPr>
      <w:r>
        <w:rPr/>
        <w:t>A55 The problems in Asia had increased the market’s perception of risk in other emerging economies. The yield spread over US Treasuries of these countries’ bonds had increased markedly in late October. It rose again in the middle of November, but had since come down to its level at the beginning of that month.</w:t>
      </w:r>
    </w:p>
    <w:p>
      <w:pPr>
        <w:pStyle w:val="BodyText"/>
        <w:spacing w:before="10"/>
        <w:rPr>
          <w:sz w:val="36"/>
        </w:rPr>
      </w:pPr>
    </w:p>
    <w:p>
      <w:pPr>
        <w:pStyle w:val="BodyText"/>
        <w:spacing w:line="372" w:lineRule="auto" w:before="1"/>
        <w:ind w:left="940" w:right="1028"/>
      </w:pPr>
      <w:r>
        <w:rPr/>
        <w:t>A56 The rise in the UK’s base rate in early November had been mostly unexpected. Moreover, the market had not just been surprised by the timing, because three-month rates implied by future contracts went up by 25 basis points along much of the curve into the next millennium. In other words, the market had changed its view of the MPC’s future stance. Interest rate expectations had continued to be revised up, although they had settled back more recently.</w:t>
      </w:r>
    </w:p>
    <w:p>
      <w:pPr>
        <w:pStyle w:val="BodyText"/>
        <w:spacing w:before="9"/>
        <w:rPr>
          <w:sz w:val="36"/>
        </w:rPr>
      </w:pPr>
    </w:p>
    <w:p>
      <w:pPr>
        <w:pStyle w:val="BodyText"/>
        <w:spacing w:line="372" w:lineRule="auto"/>
        <w:ind w:left="940" w:right="974"/>
      </w:pPr>
      <w:r>
        <w:rPr/>
        <w:t>A57 What lay behind these market reactions? Whenever rates were put up unexpectedly, outsiders were unsure as to whether the MPC members were doughtier inflation-fighters than previously thought, or whether the MPC had information about the future that was not available to the market. Initially, inflation expectations did not react to the rise, but they came down subsequently, around the time that the Inflation Report was published, indicating that the market was reassured that the MPC was being tougher on inflation.</w:t>
      </w:r>
    </w:p>
    <w:p>
      <w:pPr>
        <w:pStyle w:val="BodyText"/>
        <w:spacing w:before="10"/>
        <w:rPr>
          <w:sz w:val="36"/>
        </w:rPr>
      </w:pPr>
    </w:p>
    <w:p>
      <w:pPr>
        <w:pStyle w:val="BodyText"/>
        <w:spacing w:line="372" w:lineRule="auto"/>
        <w:ind w:left="940" w:right="922"/>
      </w:pPr>
      <w:r>
        <w:rPr/>
        <w:t>A58 There was some evidence that the widening of credit spreads in Japan and developing countries had affected spreads in the UK, albeit in a minor way. There had been a 10 basis point increase in the spread of corporate bonds over government debt</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934"/>
      </w:pPr>
      <w:r>
        <w:rPr/>
        <w:t>and a 15 basis point rise in LIBOR over the market gilt repo rate. Although these </w:t>
      </w:r>
      <w:r>
        <w:rPr>
          <w:spacing w:val="-3"/>
        </w:rPr>
        <w:t>changes were small, they were </w:t>
      </w:r>
      <w:r>
        <w:rPr/>
        <w:t>not </w:t>
      </w:r>
      <w:r>
        <w:rPr>
          <w:spacing w:val="-3"/>
        </w:rPr>
        <w:t>insignificant when compared with </w:t>
      </w:r>
      <w:r>
        <w:rPr/>
        <w:t>the 25 </w:t>
      </w:r>
      <w:r>
        <w:rPr>
          <w:spacing w:val="-3"/>
        </w:rPr>
        <w:t>basis point changes </w:t>
      </w:r>
      <w:r>
        <w:rPr/>
        <w:t>in </w:t>
      </w:r>
      <w:r>
        <w:rPr>
          <w:spacing w:val="-3"/>
        </w:rPr>
        <w:t>official rates.</w:t>
      </w:r>
    </w:p>
    <w:p>
      <w:pPr>
        <w:pStyle w:val="BodyText"/>
        <w:rPr>
          <w:sz w:val="37"/>
        </w:rPr>
      </w:pPr>
    </w:p>
    <w:p>
      <w:pPr>
        <w:pStyle w:val="BodyText"/>
        <w:spacing w:line="372" w:lineRule="auto"/>
        <w:ind w:left="940" w:right="914"/>
      </w:pPr>
      <w:r>
        <w:rPr/>
        <w:t>A59 The market expected no change in official rates over the next two weeks, according to forward interest rates derived from the gilt repo market. Indeed there seemed to be little expected change even by February. Looking slightly further out over the next two years, it was more difficult to say what the market expected about official rates. Information came from 3-month LIBOR rates implied in the futures markets, which incorporated a spread over official rates. But with greater concerns over credit risk arising out of the East Asia crisis, it was difficult to know how large this spread was. On reasonable assumptions it would be possible to conclude either that the market expected one more rise in the late spring or summer of next year, or that there would be no more rises before rates started to come down in the second half of next year.</w:t>
      </w:r>
    </w:p>
    <w:p>
      <w:pPr>
        <w:pStyle w:val="BodyText"/>
        <w:spacing w:before="7"/>
        <w:rPr>
          <w:sz w:val="36"/>
        </w:rPr>
      </w:pPr>
    </w:p>
    <w:p>
      <w:pPr>
        <w:pStyle w:val="BodyText"/>
        <w:spacing w:line="372" w:lineRule="auto"/>
        <w:ind w:left="940" w:right="934"/>
      </w:pPr>
      <w:r>
        <w:rPr/>
        <w:t>A60 There had been only modest changes in most G7 stockmarket indices since </w:t>
      </w:r>
      <w:r>
        <w:rPr>
          <w:spacing w:val="-2"/>
        </w:rPr>
        <w:t>the </w:t>
      </w:r>
      <w:r>
        <w:rPr/>
        <w:t>previous MPC meeting. Equity market uncertainty in the US and UK (as measured from options prices) had trended down since the turbulence of late October, but </w:t>
      </w:r>
      <w:r>
        <w:rPr>
          <w:spacing w:val="-3"/>
        </w:rPr>
        <w:t>remained above </w:t>
      </w:r>
      <w:r>
        <w:rPr/>
        <w:t>the </w:t>
      </w:r>
      <w:r>
        <w:rPr>
          <w:spacing w:val="-3"/>
        </w:rPr>
        <w:t>levels seen </w:t>
      </w:r>
      <w:r>
        <w:rPr/>
        <w:t>in </w:t>
      </w:r>
      <w:r>
        <w:rPr>
          <w:spacing w:val="-3"/>
        </w:rPr>
        <w:t>September </w:t>
      </w:r>
      <w:r>
        <w:rPr/>
        <w:t>and </w:t>
      </w:r>
      <w:r>
        <w:rPr>
          <w:spacing w:val="-3"/>
        </w:rPr>
        <w:t>August. Implied volatility </w:t>
      </w:r>
      <w:r>
        <w:rPr/>
        <w:t>in </w:t>
      </w:r>
      <w:r>
        <w:rPr>
          <w:spacing w:val="-3"/>
        </w:rPr>
        <w:t>Japan’s </w:t>
      </w:r>
      <w:r>
        <w:rPr/>
        <w:t>equity markets had continued to rise sharply in the period since the previous </w:t>
      </w:r>
      <w:r>
        <w:rPr>
          <w:spacing w:val="-2"/>
        </w:rPr>
        <w:t>MPC </w:t>
      </w:r>
      <w:r>
        <w:rPr>
          <w:spacing w:val="-3"/>
        </w:rPr>
        <w:t>meeting. </w:t>
      </w:r>
      <w:r>
        <w:rPr/>
        <w:t>The </w:t>
      </w:r>
      <w:r>
        <w:rPr>
          <w:spacing w:val="-3"/>
        </w:rPr>
        <w:t>negative skew </w:t>
      </w:r>
      <w:r>
        <w:rPr/>
        <w:t>in the </w:t>
      </w:r>
      <w:r>
        <w:rPr>
          <w:spacing w:val="-3"/>
        </w:rPr>
        <w:t>implied probability distributions </w:t>
      </w:r>
      <w:r>
        <w:rPr/>
        <w:t>for the </w:t>
      </w:r>
      <w:r>
        <w:rPr>
          <w:spacing w:val="-3"/>
        </w:rPr>
        <w:t>FTSE 100 </w:t>
      </w:r>
      <w:r>
        <w:rPr/>
        <w:t>had reduced somewhat since the previous meeting, but remained more pronounced than before the global equity market turbulence of October.</w:t>
      </w:r>
    </w:p>
    <w:p>
      <w:pPr>
        <w:pStyle w:val="BodyText"/>
        <w:spacing w:before="9"/>
        <w:rPr>
          <w:sz w:val="36"/>
        </w:rPr>
      </w:pPr>
    </w:p>
    <w:p>
      <w:pPr>
        <w:pStyle w:val="BodyText"/>
        <w:spacing w:line="372" w:lineRule="auto"/>
        <w:ind w:left="940" w:right="934"/>
      </w:pPr>
      <w:r>
        <w:rPr/>
        <w:t>A61 Stock market uncertainty had possible implications for real activity. It could reduce investment through higher risk premia and a higher notional option value in postponing potentially profitable investment. It could also reduce consumption by </w:t>
      </w:r>
      <w:r>
        <w:rPr>
          <w:spacing w:val="-3"/>
        </w:rPr>
        <w:t>making </w:t>
      </w:r>
      <w:r>
        <w:rPr/>
        <w:t>the </w:t>
      </w:r>
      <w:r>
        <w:rPr>
          <w:spacing w:val="-3"/>
        </w:rPr>
        <w:t>level </w:t>
      </w:r>
      <w:r>
        <w:rPr/>
        <w:t>of </w:t>
      </w:r>
      <w:r>
        <w:rPr>
          <w:spacing w:val="-3"/>
        </w:rPr>
        <w:t>financial wealth uncertain and, given that stock market uncertainty </w:t>
      </w:r>
      <w:r>
        <w:rPr/>
        <w:t>was prevalent around the world, it could also reduce demand from overseas. But </w:t>
      </w:r>
      <w:r>
        <w:rPr>
          <w:spacing w:val="-3"/>
        </w:rPr>
        <w:t>analysis suggested that uncertainty about </w:t>
      </w:r>
      <w:r>
        <w:rPr/>
        <w:t>UK </w:t>
      </w:r>
      <w:r>
        <w:rPr>
          <w:spacing w:val="-3"/>
        </w:rPr>
        <w:t>equity prices might </w:t>
      </w:r>
      <w:r>
        <w:rPr/>
        <w:t>now be </w:t>
      </w:r>
      <w:r>
        <w:rPr>
          <w:spacing w:val="-3"/>
        </w:rPr>
        <w:t>increasingly concentrated </w:t>
      </w:r>
      <w:r>
        <w:rPr/>
        <w:t>in </w:t>
      </w:r>
      <w:r>
        <w:rPr>
          <w:spacing w:val="-3"/>
        </w:rPr>
        <w:t>financial </w:t>
      </w:r>
      <w:r>
        <w:rPr/>
        <w:t>and </w:t>
      </w:r>
      <w:r>
        <w:rPr>
          <w:spacing w:val="-3"/>
        </w:rPr>
        <w:t>mineral extraction companies, which could limit its</w:t>
      </w:r>
    </w:p>
    <w:p>
      <w:pPr>
        <w:spacing w:after="0" w:line="372" w:lineRule="auto"/>
        <w:sectPr>
          <w:pgSz w:w="11900" w:h="16840"/>
          <w:pgMar w:header="719" w:footer="0" w:top="980" w:bottom="280" w:left="860" w:right="880"/>
        </w:sectPr>
      </w:pPr>
    </w:p>
    <w:p>
      <w:pPr>
        <w:pStyle w:val="BodyText"/>
        <w:rPr>
          <w:sz w:val="20"/>
        </w:rPr>
      </w:pPr>
    </w:p>
    <w:p>
      <w:pPr>
        <w:pStyle w:val="BodyText"/>
        <w:spacing w:line="372" w:lineRule="auto" w:before="228"/>
        <w:ind w:left="940" w:right="1369"/>
      </w:pPr>
      <w:r>
        <w:rPr/>
        <w:t>impact on the real economy compared with the situation where it was more broad based.</w:t>
      </w:r>
    </w:p>
    <w:sectPr>
      <w:pgSz w:w="11900" w:h="16840"/>
      <w:pgMar w:header="719" w:footer="0" w:top="98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1.23999pt;margin-top:56.306641pt;width:41.4pt;height:15.3pt;mso-position-horizontal-relative:page;mso-position-vertical-relative:page;z-index:-252065792" type="#_x0000_t202" filled="false" stroked="false">
          <v:textbox inset="0,0,0,0">
            <w:txbxContent>
              <w:p>
                <w:pPr>
                  <w:pStyle w:val="BodyText"/>
                  <w:spacing w:before="10"/>
                  <w:ind w:left="20"/>
                </w:pPr>
                <w:r>
                  <w:rPr/>
                  <w:t>14. 1.98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5.320007pt;margin-top:42.146641pt;width:12pt;height:15.3pt;mso-position-horizontal-relative:page;mso-position-vertical-relative:page;z-index:-2520647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00006pt;margin-top:34.94664pt;width:18pt;height:15.3pt;mso-position-horizontal-relative:page;mso-position-vertical-relative:page;z-index:-2520637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72" w:hanging="567"/>
        <w:jc w:val="left"/>
      </w:pPr>
      <w:rPr>
        <w:rFonts w:hint="default" w:ascii="Times New Roman" w:hAnsi="Times New Roman" w:eastAsia="Times New Roman" w:cs="Times New Roman"/>
        <w:spacing w:val="-2"/>
        <w:w w:val="100"/>
        <w:sz w:val="24"/>
        <w:szCs w:val="24"/>
      </w:rPr>
    </w:lvl>
    <w:lvl w:ilvl="1">
      <w:start w:val="1"/>
      <w:numFmt w:val="upperRoman"/>
      <w:lvlText w:val="%2"/>
      <w:lvlJc w:val="left"/>
      <w:pPr>
        <w:ind w:left="1660" w:hanging="72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04" w:hanging="720"/>
      </w:pPr>
      <w:rPr>
        <w:rFonts w:hint="default"/>
      </w:rPr>
    </w:lvl>
    <w:lvl w:ilvl="3">
      <w:start w:val="0"/>
      <w:numFmt w:val="bullet"/>
      <w:lvlText w:val="•"/>
      <w:lvlJc w:val="left"/>
      <w:pPr>
        <w:ind w:left="3548" w:hanging="720"/>
      </w:pPr>
      <w:rPr>
        <w:rFonts w:hint="default"/>
      </w:rPr>
    </w:lvl>
    <w:lvl w:ilvl="4">
      <w:start w:val="0"/>
      <w:numFmt w:val="bullet"/>
      <w:lvlText w:val="•"/>
      <w:lvlJc w:val="left"/>
      <w:pPr>
        <w:ind w:left="4493" w:hanging="720"/>
      </w:pPr>
      <w:rPr>
        <w:rFonts w:hint="default"/>
      </w:rPr>
    </w:lvl>
    <w:lvl w:ilvl="5">
      <w:start w:val="0"/>
      <w:numFmt w:val="bullet"/>
      <w:lvlText w:val="•"/>
      <w:lvlJc w:val="left"/>
      <w:pPr>
        <w:ind w:left="5437" w:hanging="720"/>
      </w:pPr>
      <w:rPr>
        <w:rFonts w:hint="default"/>
      </w:rPr>
    </w:lvl>
    <w:lvl w:ilvl="6">
      <w:start w:val="0"/>
      <w:numFmt w:val="bullet"/>
      <w:lvlText w:val="•"/>
      <w:lvlJc w:val="left"/>
      <w:pPr>
        <w:ind w:left="6382" w:hanging="720"/>
      </w:pPr>
      <w:rPr>
        <w:rFonts w:hint="default"/>
      </w:rPr>
    </w:lvl>
    <w:lvl w:ilvl="7">
      <w:start w:val="0"/>
      <w:numFmt w:val="bullet"/>
      <w:lvlText w:val="•"/>
      <w:lvlJc w:val="left"/>
      <w:pPr>
        <w:ind w:left="7326" w:hanging="720"/>
      </w:pPr>
      <w:rPr>
        <w:rFonts w:hint="default"/>
      </w:rPr>
    </w:lvl>
    <w:lvl w:ilvl="8">
      <w:start w:val="0"/>
      <w:numFmt w:val="bullet"/>
      <w:lvlText w:val="•"/>
      <w:lvlJc w:val="left"/>
      <w:pPr>
        <w:ind w:left="8271"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7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MPCMINS.PDF</dc:title>
  <dcterms:created xsi:type="dcterms:W3CDTF">2020-06-01T02:08:16Z</dcterms:created>
  <dcterms:modified xsi:type="dcterms:W3CDTF">2020-06-01T02:08:16Z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Microsoft Word </vt:lpwstr>
  </property>
  <property fmtid="{D5CDD505-2E9C-101B-9397-08002B2CF9AE}" pid="4" name="LastSaved">
    <vt:filetime>2020-06-01T00:00:00Z</vt:filetime>
  </property>
</Properties>
</file>