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April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298" w:right="3181" w:firstLine="0"/>
        <w:jc w:val="center"/>
        <w:rPr>
          <w:rFonts w:ascii="Book Antiqua"/>
          <w:b/>
          <w:sz w:val="48"/>
        </w:rPr>
      </w:pPr>
      <w:r>
        <w:rPr>
          <w:rFonts w:ascii="Book Antiqua"/>
          <w:b/>
          <w:sz w:val="48"/>
        </w:rPr>
        <w:t>5 and 6 April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April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May will be published on</w:t>
      </w:r>
    </w:p>
    <w:p>
      <w:pPr>
        <w:spacing w:before="1"/>
        <w:ind w:left="119" w:right="0" w:firstLine="0"/>
        <w:jc w:val="left"/>
        <w:rPr>
          <w:rFonts w:ascii="Book Antiqua"/>
          <w:sz w:val="26"/>
        </w:rPr>
      </w:pPr>
      <w:r>
        <w:rPr>
          <w:rFonts w:ascii="Book Antiqua"/>
          <w:sz w:val="26"/>
        </w:rPr>
        <w:t>17 May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spacing w:before="7"/>
        <w:rPr>
          <w:rFonts w:ascii="Book Antiqua"/>
          <w:sz w:val="23"/>
        </w:rPr>
      </w:pPr>
    </w:p>
    <w:p>
      <w:pPr>
        <w:spacing w:line="249" w:lineRule="auto" w:before="94"/>
        <w:ind w:left="367" w:right="544" w:firstLine="0"/>
        <w:jc w:val="left"/>
        <w:rPr>
          <w:b/>
          <w:sz w:val="27"/>
        </w:rPr>
      </w:pPr>
      <w:r>
        <w:rPr>
          <w:b/>
          <w:sz w:val="27"/>
        </w:rPr>
        <w:t>MINUTES OF THE MONETARY POLICY COMMITTEE MEETING HELD ON 5-6 APRIL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7" w:right="318" w:firstLine="0"/>
        <w:jc w:val="left"/>
        <w:rPr>
          <w:sz w:val="24"/>
        </w:rPr>
      </w:pPr>
      <w:r>
        <w:rPr>
          <w:sz w:val="24"/>
        </w:rPr>
        <w:t>At the start of the meeting, the Committee noted a letter from the Chancellor (attached as an annex) setting out the remit for the Committee over the following year, in accordance with </w:t>
      </w:r>
      <w:r>
        <w:rPr>
          <w:spacing w:val="-3"/>
          <w:sz w:val="24"/>
        </w:rPr>
        <w:t>Section 12 </w:t>
      </w:r>
      <w:r>
        <w:rPr>
          <w:sz w:val="24"/>
        </w:rPr>
        <w:t>of the Bank of England Act. Before turning to its immediate policy decision, the Committee then discussed developments in financial markets; the international economy; </w:t>
      </w:r>
      <w:r>
        <w:rPr>
          <w:spacing w:val="-3"/>
          <w:sz w:val="24"/>
        </w:rPr>
        <w:t>money, </w:t>
      </w:r>
      <w:r>
        <w:rPr>
          <w:sz w:val="24"/>
        </w:rPr>
        <w:t>credit, demand </w:t>
      </w:r>
      <w:r>
        <w:rPr>
          <w:spacing w:val="-2"/>
          <w:sz w:val="24"/>
        </w:rPr>
        <w:t>and </w:t>
      </w:r>
      <w:r>
        <w:rPr>
          <w:sz w:val="24"/>
        </w:rPr>
        <w:t>output; </w:t>
      </w:r>
      <w:r>
        <w:rPr>
          <w:spacing w:val="-3"/>
          <w:sz w:val="24"/>
        </w:rPr>
        <w:t>and supply, </w:t>
      </w:r>
      <w:r>
        <w:rPr>
          <w:sz w:val="24"/>
        </w:rPr>
        <w:t>costs and</w:t>
      </w:r>
      <w:r>
        <w:rPr>
          <w:spacing w:val="23"/>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21" w:firstLine="0"/>
        <w:jc w:val="left"/>
        <w:rPr>
          <w:sz w:val="24"/>
        </w:rPr>
      </w:pPr>
      <w:r>
        <w:rPr>
          <w:sz w:val="24"/>
        </w:rPr>
        <w:t>Short-term market interest rates had risen slightly since the March MPC meeting. Six-month sterling interest rates were </w:t>
      </w:r>
      <w:r>
        <w:rPr>
          <w:spacing w:val="-4"/>
          <w:sz w:val="24"/>
        </w:rPr>
        <w:t>slightly </w:t>
      </w:r>
      <w:r>
        <w:rPr>
          <w:sz w:val="24"/>
        </w:rPr>
        <w:t>higher, by around 2 basis points, dollar rates had risen by </w:t>
      </w:r>
      <w:r>
        <w:rPr>
          <w:spacing w:val="-3"/>
          <w:sz w:val="24"/>
        </w:rPr>
        <w:t>around </w:t>
      </w:r>
      <w:r>
        <w:rPr>
          <w:sz w:val="24"/>
        </w:rPr>
        <w:t>4 basis points and euro rates by around 18 basis points. At least one further rise of 25 basis points </w:t>
      </w:r>
      <w:r>
        <w:rPr>
          <w:spacing w:val="-4"/>
          <w:sz w:val="24"/>
        </w:rPr>
        <w:t>in </w:t>
      </w:r>
      <w:r>
        <w:rPr>
          <w:sz w:val="24"/>
        </w:rPr>
        <w:t>official interest rates in 2006 had been priced in for the </w:t>
      </w:r>
      <w:r>
        <w:rPr>
          <w:spacing w:val="-3"/>
          <w:sz w:val="24"/>
        </w:rPr>
        <w:t>United </w:t>
      </w:r>
      <w:r>
        <w:rPr>
          <w:sz w:val="24"/>
        </w:rPr>
        <w:t>States and two rises for the euro area. In the </w:t>
      </w:r>
      <w:r>
        <w:rPr>
          <w:spacing w:val="-3"/>
          <w:sz w:val="24"/>
        </w:rPr>
        <w:t>United </w:t>
      </w:r>
      <w:r>
        <w:rPr>
          <w:sz w:val="24"/>
        </w:rPr>
        <w:t>Kingdom, the interest rate curve remained broadly flat for 2006 with some possibility priced in of a 25 basis point increase </w:t>
      </w:r>
      <w:r>
        <w:rPr>
          <w:spacing w:val="-3"/>
          <w:sz w:val="24"/>
        </w:rPr>
        <w:t>during </w:t>
      </w:r>
      <w:r>
        <w:rPr>
          <w:sz w:val="24"/>
        </w:rPr>
        <w:t>2007. The Reuters survey of economists revealed a slightly different view, with the distribution of expectations for the end of 2006 still slightly</w:t>
      </w:r>
      <w:r>
        <w:rPr>
          <w:spacing w:val="-39"/>
          <w:sz w:val="24"/>
        </w:rPr>
        <w:t> </w:t>
      </w:r>
      <w:r>
        <w:rPr>
          <w:sz w:val="24"/>
        </w:rPr>
        <w:t>skewed</w:t>
      </w:r>
    </w:p>
    <w:p>
      <w:pPr>
        <w:pStyle w:val="BodyText"/>
        <w:spacing w:line="355" w:lineRule="auto" w:before="6"/>
        <w:ind w:left="367"/>
      </w:pPr>
      <w:r>
        <w:rPr/>
        <w:t>towards the possibility of an interest rate reduction. But the average of the expectations reported in the survey had risen over the month.</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184" w:firstLine="0"/>
        <w:jc w:val="left"/>
        <w:rPr>
          <w:sz w:val="24"/>
        </w:rPr>
      </w:pPr>
      <w:r>
        <w:rPr>
          <w:sz w:val="24"/>
        </w:rPr>
        <w:t>Longer-term rates had also risen since the March MPC </w:t>
      </w:r>
      <w:r>
        <w:rPr>
          <w:spacing w:val="-4"/>
          <w:sz w:val="24"/>
        </w:rPr>
        <w:t>meeting, </w:t>
      </w:r>
      <w:r>
        <w:rPr>
          <w:sz w:val="24"/>
        </w:rPr>
        <w:t>with nominal and real 10-year forward</w:t>
      </w:r>
      <w:r>
        <w:rPr>
          <w:spacing w:val="-7"/>
          <w:sz w:val="24"/>
        </w:rPr>
        <w:t> </w:t>
      </w:r>
      <w:r>
        <w:rPr>
          <w:sz w:val="24"/>
        </w:rPr>
        <w:t>rates</w:t>
      </w:r>
      <w:r>
        <w:rPr>
          <w:spacing w:val="-6"/>
          <w:sz w:val="24"/>
        </w:rPr>
        <w:t> </w:t>
      </w:r>
      <w:r>
        <w:rPr>
          <w:sz w:val="24"/>
        </w:rPr>
        <w:t>around</w:t>
      </w:r>
      <w:r>
        <w:rPr>
          <w:spacing w:val="6"/>
          <w:sz w:val="24"/>
        </w:rPr>
        <w:t> </w:t>
      </w:r>
      <w:r>
        <w:rPr>
          <w:sz w:val="24"/>
        </w:rPr>
        <w:t>10-15</w:t>
      </w:r>
      <w:r>
        <w:rPr>
          <w:spacing w:val="-4"/>
          <w:sz w:val="24"/>
        </w:rPr>
        <w:t> </w:t>
      </w:r>
      <w:r>
        <w:rPr>
          <w:sz w:val="24"/>
        </w:rPr>
        <w:t>basis</w:t>
      </w:r>
      <w:r>
        <w:rPr>
          <w:spacing w:val="-4"/>
          <w:sz w:val="24"/>
        </w:rPr>
        <w:t> </w:t>
      </w:r>
      <w:r>
        <w:rPr>
          <w:sz w:val="24"/>
        </w:rPr>
        <w:t>points</w:t>
      </w:r>
      <w:r>
        <w:rPr>
          <w:spacing w:val="-4"/>
          <w:sz w:val="24"/>
        </w:rPr>
        <w:t> </w:t>
      </w:r>
      <w:r>
        <w:rPr>
          <w:sz w:val="24"/>
        </w:rPr>
        <w:t>higher</w:t>
      </w:r>
      <w:r>
        <w:rPr>
          <w:spacing w:val="-5"/>
          <w:sz w:val="24"/>
        </w:rPr>
        <w:t> </w:t>
      </w:r>
      <w:r>
        <w:rPr>
          <w:sz w:val="24"/>
        </w:rPr>
        <w:t>in</w:t>
      </w:r>
      <w:r>
        <w:rPr>
          <w:spacing w:val="-8"/>
          <w:sz w:val="24"/>
        </w:rPr>
        <w:t> </w:t>
      </w:r>
      <w:r>
        <w:rPr>
          <w:sz w:val="24"/>
        </w:rPr>
        <w:t>the</w:t>
      </w:r>
      <w:r>
        <w:rPr>
          <w:spacing w:val="7"/>
          <w:sz w:val="24"/>
        </w:rPr>
        <w:t> </w:t>
      </w:r>
      <w:r>
        <w:rPr>
          <w:sz w:val="24"/>
        </w:rPr>
        <w:t>United</w:t>
      </w:r>
      <w:r>
        <w:rPr>
          <w:spacing w:val="-4"/>
          <w:sz w:val="24"/>
        </w:rPr>
        <w:t> </w:t>
      </w:r>
      <w:r>
        <w:rPr>
          <w:sz w:val="24"/>
        </w:rPr>
        <w:t>Kingdom,</w:t>
      </w:r>
      <w:r>
        <w:rPr>
          <w:spacing w:val="-4"/>
          <w:sz w:val="24"/>
        </w:rPr>
        <w:t> </w:t>
      </w:r>
      <w:r>
        <w:rPr>
          <w:sz w:val="24"/>
        </w:rPr>
        <w:t>10-20</w:t>
      </w:r>
      <w:r>
        <w:rPr>
          <w:spacing w:val="-3"/>
          <w:sz w:val="24"/>
        </w:rPr>
        <w:t> </w:t>
      </w:r>
      <w:r>
        <w:rPr>
          <w:sz w:val="24"/>
        </w:rPr>
        <w:t>basis</w:t>
      </w:r>
      <w:r>
        <w:rPr>
          <w:spacing w:val="-3"/>
          <w:sz w:val="24"/>
        </w:rPr>
        <w:t> </w:t>
      </w:r>
      <w:r>
        <w:rPr>
          <w:sz w:val="24"/>
        </w:rPr>
        <w:t>points</w:t>
      </w:r>
      <w:r>
        <w:rPr>
          <w:spacing w:val="-3"/>
          <w:sz w:val="24"/>
        </w:rPr>
        <w:t> </w:t>
      </w:r>
      <w:r>
        <w:rPr>
          <w:sz w:val="24"/>
        </w:rPr>
        <w:t>higher</w:t>
      </w:r>
      <w:r>
        <w:rPr>
          <w:spacing w:val="-4"/>
          <w:sz w:val="24"/>
        </w:rPr>
        <w:t> </w:t>
      </w:r>
      <w:r>
        <w:rPr>
          <w:sz w:val="24"/>
        </w:rPr>
        <w:t>in</w:t>
      </w:r>
      <w:r>
        <w:rPr>
          <w:spacing w:val="-3"/>
          <w:sz w:val="24"/>
        </w:rPr>
        <w:t> </w:t>
      </w:r>
      <w:r>
        <w:rPr>
          <w:sz w:val="24"/>
        </w:rPr>
        <w:t>the United States </w:t>
      </w:r>
      <w:r>
        <w:rPr>
          <w:spacing w:val="-3"/>
          <w:sz w:val="24"/>
        </w:rPr>
        <w:t>and </w:t>
      </w:r>
      <w:r>
        <w:rPr>
          <w:sz w:val="24"/>
        </w:rPr>
        <w:t>around 25 basis points higher in the euro area. Since their trough in mid-January, </w:t>
      </w:r>
      <w:r>
        <w:rPr>
          <w:spacing w:val="2"/>
          <w:sz w:val="24"/>
        </w:rPr>
        <w:t>real </w:t>
      </w:r>
      <w:r>
        <w:rPr>
          <w:spacing w:val="-3"/>
          <w:sz w:val="24"/>
        </w:rPr>
        <w:t>long-term </w:t>
      </w:r>
      <w:r>
        <w:rPr>
          <w:sz w:val="24"/>
        </w:rPr>
        <w:t>forward rates had risen by around 40 basis points in the United Kingdom and the </w:t>
      </w:r>
      <w:r>
        <w:rPr>
          <w:spacing w:val="-2"/>
          <w:sz w:val="24"/>
        </w:rPr>
        <w:t>United </w:t>
      </w:r>
      <w:r>
        <w:rPr>
          <w:sz w:val="24"/>
        </w:rPr>
        <w:t>States and </w:t>
      </w:r>
      <w:r>
        <w:rPr>
          <w:spacing w:val="5"/>
          <w:sz w:val="24"/>
        </w:rPr>
        <w:t>by </w:t>
      </w:r>
      <w:r>
        <w:rPr>
          <w:sz w:val="24"/>
        </w:rPr>
        <w:t>around 60 basis points in the euro area, </w:t>
      </w:r>
      <w:r>
        <w:rPr>
          <w:spacing w:val="-3"/>
          <w:sz w:val="24"/>
        </w:rPr>
        <w:t>although </w:t>
      </w:r>
      <w:r>
        <w:rPr>
          <w:sz w:val="24"/>
        </w:rPr>
        <w:t>their levels remained historically low. The Committee discussed several possible explanations for the recent rises. Asset prices </w:t>
      </w:r>
      <w:r>
        <w:rPr>
          <w:spacing w:val="-3"/>
          <w:sz w:val="24"/>
        </w:rPr>
        <w:t>may </w:t>
      </w:r>
      <w:r>
        <w:rPr>
          <w:spacing w:val="-4"/>
          <w:sz w:val="24"/>
        </w:rPr>
        <w:t>have </w:t>
      </w:r>
      <w:r>
        <w:rPr>
          <w:sz w:val="24"/>
        </w:rPr>
        <w:t>been generally high and bond yields </w:t>
      </w:r>
      <w:r>
        <w:rPr>
          <w:spacing w:val="3"/>
          <w:sz w:val="24"/>
        </w:rPr>
        <w:t>low, </w:t>
      </w:r>
      <w:r>
        <w:rPr>
          <w:sz w:val="24"/>
        </w:rPr>
        <w:t>in response to increased liquidity generated by accommodative monetary policies in the major economies. As short-term policy rates in the </w:t>
      </w:r>
      <w:r>
        <w:rPr>
          <w:spacing w:val="-2"/>
          <w:sz w:val="24"/>
        </w:rPr>
        <w:t>United </w:t>
      </w:r>
      <w:r>
        <w:rPr>
          <w:sz w:val="24"/>
        </w:rPr>
        <w:t>States and euro area had been increased, and the possibility of increasing official rates had </w:t>
      </w:r>
      <w:r>
        <w:rPr>
          <w:spacing w:val="-3"/>
          <w:sz w:val="24"/>
        </w:rPr>
        <w:t>been </w:t>
      </w:r>
      <w:r>
        <w:rPr>
          <w:sz w:val="24"/>
        </w:rPr>
        <w:t>signaled in Japan, the withdrawal of </w:t>
      </w:r>
      <w:r>
        <w:rPr>
          <w:spacing w:val="-3"/>
          <w:sz w:val="24"/>
        </w:rPr>
        <w:t>liquidity might have </w:t>
      </w:r>
      <w:r>
        <w:rPr>
          <w:sz w:val="24"/>
        </w:rPr>
        <w:t>contributed to a reduction in bond prices. A second possible explanation was that low yields had simply reflected the balance of global savings </w:t>
      </w:r>
      <w:r>
        <w:rPr>
          <w:spacing w:val="-2"/>
          <w:sz w:val="24"/>
        </w:rPr>
        <w:t>and </w:t>
      </w:r>
      <w:r>
        <w:rPr>
          <w:sz w:val="24"/>
        </w:rPr>
        <w:t>investment decisions: a pickup in real investment in the major economies would also </w:t>
      </w:r>
      <w:r>
        <w:rPr>
          <w:spacing w:val="-3"/>
          <w:sz w:val="24"/>
        </w:rPr>
        <w:t>have</w:t>
      </w:r>
      <w:r>
        <w:rPr>
          <w:spacing w:val="-22"/>
          <w:sz w:val="24"/>
        </w:rPr>
        <w:t> </w:t>
      </w:r>
      <w:r>
        <w:rPr>
          <w:sz w:val="24"/>
        </w:rPr>
        <w:t>caused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7" w:right="270"/>
      </w:pPr>
      <w:r>
        <w:rPr/>
        <w:t>bond yields to rise. A third possible explanation was that markets were uncertain about what the neutral official rate of interest would be in steady state and had been changing their views in response to policy makers’ actions and comments. Overall, it was too early to conclude that the recent rise in long-term interest rates was likely to be the start of a larger market correction.</w:t>
      </w:r>
    </w:p>
    <w:p>
      <w:pPr>
        <w:pStyle w:val="BodyText"/>
        <w:spacing w:before="6"/>
        <w:rPr>
          <w:sz w:val="35"/>
        </w:rPr>
      </w:pPr>
    </w:p>
    <w:p>
      <w:pPr>
        <w:pStyle w:val="ListParagraph"/>
        <w:numPr>
          <w:ilvl w:val="0"/>
          <w:numId w:val="1"/>
        </w:numPr>
        <w:tabs>
          <w:tab w:pos="931" w:val="left" w:leader="none"/>
          <w:tab w:pos="932" w:val="left" w:leader="none"/>
        </w:tabs>
        <w:spacing w:line="355" w:lineRule="auto" w:before="0" w:after="0"/>
        <w:ind w:left="367" w:right="454" w:firstLine="0"/>
        <w:jc w:val="left"/>
        <w:rPr>
          <w:sz w:val="24"/>
        </w:rPr>
      </w:pPr>
      <w:r>
        <w:rPr>
          <w:sz w:val="24"/>
        </w:rPr>
        <w:t>It</w:t>
      </w:r>
      <w:r>
        <w:rPr>
          <w:spacing w:val="-4"/>
          <w:sz w:val="24"/>
        </w:rPr>
        <w:t> </w:t>
      </w:r>
      <w:r>
        <w:rPr>
          <w:sz w:val="24"/>
        </w:rPr>
        <w:t>was</w:t>
      </w:r>
      <w:r>
        <w:rPr>
          <w:spacing w:val="-3"/>
          <w:sz w:val="24"/>
        </w:rPr>
        <w:t> </w:t>
      </w:r>
      <w:r>
        <w:rPr>
          <w:sz w:val="24"/>
        </w:rPr>
        <w:t>noted</w:t>
      </w:r>
      <w:r>
        <w:rPr>
          <w:spacing w:val="-3"/>
          <w:sz w:val="24"/>
        </w:rPr>
        <w:t> </w:t>
      </w:r>
      <w:r>
        <w:rPr>
          <w:sz w:val="24"/>
        </w:rPr>
        <w:t>that</w:t>
      </w:r>
      <w:r>
        <w:rPr>
          <w:spacing w:val="-4"/>
          <w:sz w:val="24"/>
        </w:rPr>
        <w:t> </w:t>
      </w:r>
      <w:r>
        <w:rPr>
          <w:sz w:val="24"/>
        </w:rPr>
        <w:t>despite</w:t>
      </w:r>
      <w:r>
        <w:rPr>
          <w:spacing w:val="-2"/>
          <w:sz w:val="24"/>
        </w:rPr>
        <w:t> </w:t>
      </w:r>
      <w:r>
        <w:rPr>
          <w:spacing w:val="-4"/>
          <w:sz w:val="24"/>
        </w:rPr>
        <w:t>the</w:t>
      </w:r>
      <w:r>
        <w:rPr>
          <w:spacing w:val="4"/>
          <w:sz w:val="24"/>
        </w:rPr>
        <w:t> </w:t>
      </w:r>
      <w:r>
        <w:rPr>
          <w:spacing w:val="2"/>
          <w:sz w:val="24"/>
        </w:rPr>
        <w:t>rise</w:t>
      </w:r>
      <w:r>
        <w:rPr>
          <w:sz w:val="24"/>
        </w:rPr>
        <w:t> in</w:t>
      </w:r>
      <w:r>
        <w:rPr>
          <w:spacing w:val="-11"/>
          <w:sz w:val="24"/>
        </w:rPr>
        <w:t> </w:t>
      </w:r>
      <w:r>
        <w:rPr>
          <w:sz w:val="24"/>
        </w:rPr>
        <w:t>the</w:t>
      </w:r>
      <w:r>
        <w:rPr>
          <w:spacing w:val="-1"/>
          <w:sz w:val="24"/>
        </w:rPr>
        <w:t> </w:t>
      </w:r>
      <w:r>
        <w:rPr>
          <w:sz w:val="24"/>
        </w:rPr>
        <w:t>level</w:t>
      </w:r>
      <w:r>
        <w:rPr>
          <w:spacing w:val="-1"/>
          <w:sz w:val="24"/>
        </w:rPr>
        <w:t> </w:t>
      </w:r>
      <w:r>
        <w:rPr>
          <w:sz w:val="24"/>
        </w:rPr>
        <w:t>of</w:t>
      </w:r>
      <w:r>
        <w:rPr>
          <w:spacing w:val="-13"/>
          <w:sz w:val="24"/>
        </w:rPr>
        <w:t> </w:t>
      </w:r>
      <w:r>
        <w:rPr>
          <w:sz w:val="24"/>
        </w:rPr>
        <w:t>government</w:t>
      </w:r>
      <w:r>
        <w:rPr>
          <w:spacing w:val="-4"/>
          <w:sz w:val="24"/>
        </w:rPr>
        <w:t> </w:t>
      </w:r>
      <w:r>
        <w:rPr>
          <w:sz w:val="24"/>
        </w:rPr>
        <w:t>bond</w:t>
      </w:r>
      <w:r>
        <w:rPr>
          <w:spacing w:val="4"/>
          <w:sz w:val="24"/>
        </w:rPr>
        <w:t> </w:t>
      </w:r>
      <w:r>
        <w:rPr>
          <w:sz w:val="24"/>
        </w:rPr>
        <w:t>yields,</w:t>
      </w:r>
      <w:r>
        <w:rPr>
          <w:spacing w:val="3"/>
          <w:sz w:val="24"/>
        </w:rPr>
        <w:t> </w:t>
      </w:r>
      <w:r>
        <w:rPr>
          <w:sz w:val="24"/>
        </w:rPr>
        <w:t>credit</w:t>
      </w:r>
      <w:r>
        <w:rPr>
          <w:spacing w:val="-4"/>
          <w:sz w:val="24"/>
        </w:rPr>
        <w:t> </w:t>
      </w:r>
      <w:r>
        <w:rPr>
          <w:sz w:val="24"/>
        </w:rPr>
        <w:t>spreads</w:t>
      </w:r>
      <w:r>
        <w:rPr>
          <w:spacing w:val="-8"/>
          <w:sz w:val="24"/>
        </w:rPr>
        <w:t> </w:t>
      </w:r>
      <w:r>
        <w:rPr>
          <w:sz w:val="24"/>
        </w:rPr>
        <w:t>had</w:t>
      </w:r>
      <w:r>
        <w:rPr>
          <w:spacing w:val="-8"/>
          <w:sz w:val="24"/>
        </w:rPr>
        <w:t> </w:t>
      </w:r>
      <w:r>
        <w:rPr>
          <w:spacing w:val="-2"/>
          <w:sz w:val="24"/>
        </w:rPr>
        <w:t>not </w:t>
      </w:r>
      <w:r>
        <w:rPr>
          <w:sz w:val="24"/>
        </w:rPr>
        <w:t>widened. Indeed, the spreads on emerging market and non-investment grade corporate</w:t>
      </w:r>
      <w:r>
        <w:rPr>
          <w:spacing w:val="-19"/>
          <w:sz w:val="24"/>
        </w:rPr>
        <w:t> </w:t>
      </w:r>
      <w:r>
        <w:rPr>
          <w:sz w:val="24"/>
        </w:rPr>
        <w:t>bonds</w:t>
      </w:r>
    </w:p>
    <w:p>
      <w:pPr>
        <w:pStyle w:val="BodyText"/>
        <w:spacing w:before="12"/>
        <w:ind w:left="367"/>
      </w:pPr>
      <w:r>
        <w:rPr/>
        <w:t>remained close to recent historical lows.</w:t>
      </w:r>
    </w:p>
    <w:p>
      <w:pPr>
        <w:pStyle w:val="BodyText"/>
        <w:rPr>
          <w:sz w:val="26"/>
        </w:rPr>
      </w:pPr>
    </w:p>
    <w:p>
      <w:pPr>
        <w:pStyle w:val="BodyText"/>
        <w:spacing w:before="11"/>
        <w:rPr>
          <w:sz w:val="21"/>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z w:val="24"/>
        </w:rPr>
        <w:t>Alongside the increase in bond yields, </w:t>
      </w:r>
      <w:r>
        <w:rPr>
          <w:spacing w:val="-4"/>
          <w:sz w:val="24"/>
        </w:rPr>
        <w:t>the </w:t>
      </w:r>
      <w:r>
        <w:rPr>
          <w:sz w:val="24"/>
        </w:rPr>
        <w:t>strong growth in equity prices was puzzling at first sight. Since the publication of </w:t>
      </w:r>
      <w:r>
        <w:rPr>
          <w:spacing w:val="-5"/>
          <w:sz w:val="24"/>
        </w:rPr>
        <w:t>the </w:t>
      </w:r>
      <w:r>
        <w:rPr>
          <w:sz w:val="24"/>
        </w:rPr>
        <w:t>February </w:t>
      </w:r>
      <w:r>
        <w:rPr>
          <w:i/>
          <w:sz w:val="24"/>
        </w:rPr>
        <w:t>Inflation Report</w:t>
      </w:r>
      <w:r>
        <w:rPr>
          <w:sz w:val="24"/>
        </w:rPr>
        <w:t>, </w:t>
      </w:r>
      <w:r>
        <w:rPr>
          <w:spacing w:val="-9"/>
          <w:sz w:val="24"/>
        </w:rPr>
        <w:t>UK </w:t>
      </w:r>
      <w:r>
        <w:rPr>
          <w:sz w:val="24"/>
        </w:rPr>
        <w:t>and European indices had risen by around 4% </w:t>
      </w:r>
      <w:r>
        <w:rPr>
          <w:spacing w:val="-3"/>
          <w:sz w:val="24"/>
        </w:rPr>
        <w:t>and </w:t>
      </w:r>
      <w:r>
        <w:rPr>
          <w:sz w:val="24"/>
        </w:rPr>
        <w:t>the S&amp;P 500 by a little less. Compared with a year earlier, the FTSE All-Share index had risen by around 20%. It was possible that evidence of continued strong growth in the global economy had led market participants to be more confident about the prospects for corporate profits</w:t>
      </w:r>
      <w:r>
        <w:rPr>
          <w:spacing w:val="-37"/>
          <w:sz w:val="24"/>
        </w:rPr>
        <w:t> </w:t>
      </w:r>
      <w:r>
        <w:rPr>
          <w:sz w:val="24"/>
        </w:rPr>
        <w:t>and hence equity prices. Rising equity prices </w:t>
      </w:r>
      <w:r>
        <w:rPr>
          <w:spacing w:val="-4"/>
          <w:sz w:val="24"/>
        </w:rPr>
        <w:t>might </w:t>
      </w:r>
      <w:r>
        <w:rPr>
          <w:sz w:val="24"/>
        </w:rPr>
        <w:t>also </w:t>
      </w:r>
      <w:r>
        <w:rPr>
          <w:spacing w:val="-3"/>
          <w:sz w:val="24"/>
        </w:rPr>
        <w:t>have </w:t>
      </w:r>
      <w:r>
        <w:rPr>
          <w:sz w:val="24"/>
        </w:rPr>
        <w:t>reflected a potentially transient impact from recent high levels of merger </w:t>
      </w:r>
      <w:r>
        <w:rPr>
          <w:spacing w:val="-5"/>
          <w:sz w:val="24"/>
        </w:rPr>
        <w:t>and </w:t>
      </w:r>
      <w:r>
        <w:rPr>
          <w:sz w:val="24"/>
        </w:rPr>
        <w:t>acquisition activity and speculation about company buy-outs. Whatever the cause of the strong rise in equity prices, the implied price-to-earnings ratio was only a little above its average since</w:t>
      </w:r>
      <w:r>
        <w:rPr>
          <w:spacing w:val="5"/>
          <w:sz w:val="24"/>
        </w:rPr>
        <w:t> </w:t>
      </w:r>
      <w:r>
        <w:rPr>
          <w:sz w:val="24"/>
        </w:rPr>
        <w:t>1990.</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2" w:firstLine="0"/>
        <w:jc w:val="left"/>
        <w:rPr>
          <w:sz w:val="24"/>
        </w:rPr>
      </w:pPr>
      <w:r>
        <w:rPr>
          <w:sz w:val="24"/>
        </w:rPr>
        <w:t>The sterling effective exchange rate index (ERI) had fallen by nearly 2% since the February </w:t>
      </w:r>
      <w:r>
        <w:rPr>
          <w:i/>
          <w:sz w:val="24"/>
        </w:rPr>
        <w:t>Inflation Report </w:t>
      </w:r>
      <w:r>
        <w:rPr>
          <w:spacing w:val="-4"/>
          <w:sz w:val="24"/>
        </w:rPr>
        <w:t>and </w:t>
      </w:r>
      <w:r>
        <w:rPr>
          <w:spacing w:val="-3"/>
          <w:sz w:val="24"/>
        </w:rPr>
        <w:t>by </w:t>
      </w:r>
      <w:r>
        <w:rPr>
          <w:sz w:val="24"/>
        </w:rPr>
        <w:t>just over 1% since the March MPC </w:t>
      </w:r>
      <w:r>
        <w:rPr>
          <w:spacing w:val="-4"/>
          <w:sz w:val="24"/>
        </w:rPr>
        <w:t>meeting: </w:t>
      </w:r>
      <w:r>
        <w:rPr>
          <w:sz w:val="24"/>
        </w:rPr>
        <w:t>sterling had depreciated against both the euro and the dollar. It was possible that the prospect of further rises in official interest rates in </w:t>
      </w:r>
      <w:r>
        <w:rPr>
          <w:spacing w:val="-4"/>
          <w:sz w:val="24"/>
        </w:rPr>
        <w:t>the </w:t>
      </w:r>
      <w:r>
        <w:rPr>
          <w:sz w:val="24"/>
        </w:rPr>
        <w:t>United States and the euro area, compared with market expectations of a flat interest rate curve in the </w:t>
      </w:r>
      <w:r>
        <w:rPr>
          <w:spacing w:val="-4"/>
          <w:sz w:val="24"/>
        </w:rPr>
        <w:t>United </w:t>
      </w:r>
      <w:r>
        <w:rPr>
          <w:sz w:val="24"/>
        </w:rPr>
        <w:t>Kingdom, had made sterling less attractive for short-term capital flows. Looking over a longer</w:t>
      </w:r>
      <w:r>
        <w:rPr>
          <w:spacing w:val="-5"/>
          <w:sz w:val="24"/>
        </w:rPr>
        <w:t> </w:t>
      </w:r>
      <w:r>
        <w:rPr>
          <w:sz w:val="24"/>
        </w:rPr>
        <w:t>period,</w:t>
      </w:r>
      <w:r>
        <w:rPr>
          <w:spacing w:val="-4"/>
          <w:sz w:val="24"/>
        </w:rPr>
        <w:t> </w:t>
      </w:r>
      <w:r>
        <w:rPr>
          <w:sz w:val="24"/>
        </w:rPr>
        <w:t>the</w:t>
      </w:r>
      <w:r>
        <w:rPr>
          <w:spacing w:val="-8"/>
          <w:sz w:val="24"/>
        </w:rPr>
        <w:t> </w:t>
      </w:r>
      <w:r>
        <w:rPr>
          <w:spacing w:val="-3"/>
          <w:sz w:val="24"/>
        </w:rPr>
        <w:t>trend</w:t>
      </w:r>
      <w:r>
        <w:rPr>
          <w:spacing w:val="-7"/>
          <w:sz w:val="24"/>
        </w:rPr>
        <w:t> </w:t>
      </w:r>
      <w:r>
        <w:rPr>
          <w:sz w:val="24"/>
        </w:rPr>
        <w:t>in</w:t>
      </w:r>
      <w:r>
        <w:rPr>
          <w:spacing w:val="-6"/>
          <w:sz w:val="24"/>
        </w:rPr>
        <w:t> </w:t>
      </w:r>
      <w:r>
        <w:rPr>
          <w:sz w:val="24"/>
        </w:rPr>
        <w:t>the</w:t>
      </w:r>
      <w:r>
        <w:rPr>
          <w:spacing w:val="-6"/>
          <w:sz w:val="24"/>
        </w:rPr>
        <w:t> </w:t>
      </w:r>
      <w:r>
        <w:rPr>
          <w:sz w:val="24"/>
        </w:rPr>
        <w:t>ERI</w:t>
      </w:r>
      <w:r>
        <w:rPr>
          <w:spacing w:val="5"/>
          <w:sz w:val="24"/>
        </w:rPr>
        <w:t> </w:t>
      </w:r>
      <w:r>
        <w:rPr>
          <w:sz w:val="24"/>
        </w:rPr>
        <w:t>since</w:t>
      </w:r>
      <w:r>
        <w:rPr>
          <w:spacing w:val="-3"/>
          <w:sz w:val="24"/>
        </w:rPr>
        <w:t> </w:t>
      </w:r>
      <w:r>
        <w:rPr>
          <w:sz w:val="24"/>
        </w:rPr>
        <w:t>early</w:t>
      </w:r>
      <w:r>
        <w:rPr>
          <w:spacing w:val="-3"/>
          <w:sz w:val="24"/>
        </w:rPr>
        <w:t> </w:t>
      </w:r>
      <w:r>
        <w:rPr>
          <w:sz w:val="24"/>
        </w:rPr>
        <w:t>2004</w:t>
      </w:r>
      <w:r>
        <w:rPr>
          <w:spacing w:val="-2"/>
          <w:sz w:val="24"/>
        </w:rPr>
        <w:t> </w:t>
      </w:r>
      <w:r>
        <w:rPr>
          <w:sz w:val="24"/>
        </w:rPr>
        <w:t>had</w:t>
      </w:r>
      <w:r>
        <w:rPr>
          <w:spacing w:val="-3"/>
          <w:sz w:val="24"/>
        </w:rPr>
        <w:t> </w:t>
      </w:r>
      <w:r>
        <w:rPr>
          <w:sz w:val="24"/>
        </w:rPr>
        <w:t>been</w:t>
      </w:r>
      <w:r>
        <w:rPr>
          <w:spacing w:val="-2"/>
          <w:sz w:val="24"/>
        </w:rPr>
        <w:t> </w:t>
      </w:r>
      <w:r>
        <w:rPr>
          <w:sz w:val="24"/>
        </w:rPr>
        <w:t>ge</w:t>
      </w:r>
      <w:r>
        <w:rPr>
          <w:spacing w:val="-40"/>
          <w:sz w:val="24"/>
        </w:rPr>
        <w:t> </w:t>
      </w:r>
      <w:r>
        <w:rPr>
          <w:sz w:val="24"/>
        </w:rPr>
        <w:t>ntly</w:t>
      </w:r>
      <w:r>
        <w:rPr>
          <w:spacing w:val="-5"/>
          <w:sz w:val="24"/>
        </w:rPr>
        <w:t> </w:t>
      </w:r>
      <w:r>
        <w:rPr>
          <w:sz w:val="24"/>
        </w:rPr>
        <w:t>downwards</w:t>
      </w:r>
      <w:r>
        <w:rPr>
          <w:spacing w:val="-6"/>
          <w:sz w:val="24"/>
        </w:rPr>
        <w:t> </w:t>
      </w:r>
      <w:r>
        <w:rPr>
          <w:sz w:val="24"/>
        </w:rPr>
        <w:t>and</w:t>
      </w:r>
      <w:r>
        <w:rPr>
          <w:spacing w:val="-5"/>
          <w:sz w:val="24"/>
        </w:rPr>
        <w:t> </w:t>
      </w:r>
      <w:r>
        <w:rPr>
          <w:sz w:val="24"/>
        </w:rPr>
        <w:t>broadly</w:t>
      </w:r>
      <w:r>
        <w:rPr>
          <w:spacing w:val="-5"/>
          <w:sz w:val="24"/>
        </w:rPr>
        <w:t> </w:t>
      </w:r>
      <w:r>
        <w:rPr>
          <w:sz w:val="24"/>
        </w:rPr>
        <w:t>consistent with interest</w:t>
      </w:r>
      <w:r>
        <w:rPr>
          <w:spacing w:val="-2"/>
          <w:sz w:val="24"/>
        </w:rPr>
        <w:t> </w:t>
      </w:r>
      <w:r>
        <w:rPr>
          <w:sz w:val="24"/>
        </w:rPr>
        <w:t>differentials.</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327" w:firstLine="0"/>
        <w:jc w:val="left"/>
        <w:rPr>
          <w:sz w:val="24"/>
        </w:rPr>
      </w:pPr>
      <w:r>
        <w:rPr>
          <w:sz w:val="24"/>
        </w:rPr>
        <w:t>The Committee noted that implied volatilities of sterling’s bilateral </w:t>
      </w:r>
      <w:r>
        <w:rPr>
          <w:spacing w:val="-3"/>
          <w:sz w:val="24"/>
        </w:rPr>
        <w:t>exchange </w:t>
      </w:r>
      <w:r>
        <w:rPr>
          <w:sz w:val="24"/>
        </w:rPr>
        <w:t>rates against </w:t>
      </w:r>
      <w:r>
        <w:rPr>
          <w:spacing w:val="-2"/>
          <w:sz w:val="24"/>
        </w:rPr>
        <w:t>the </w:t>
      </w:r>
      <w:r>
        <w:rPr>
          <w:sz w:val="24"/>
        </w:rPr>
        <w:t>dollar and the euro, as estimated from options prices, remained at three-year lows. Given press and market commentary about global imbalances and the consequent potential for a significant change in the pattern of exchange rates, the low level of exchange rate volatility priced in the market was something</w:t>
      </w:r>
      <w:r>
        <w:rPr>
          <w:spacing w:val="-5"/>
          <w:sz w:val="24"/>
        </w:rPr>
        <w:t> </w:t>
      </w:r>
      <w:r>
        <w:rPr>
          <w:sz w:val="24"/>
        </w:rPr>
        <w:t>of</w:t>
      </w:r>
      <w:r>
        <w:rPr>
          <w:spacing w:val="-5"/>
          <w:sz w:val="24"/>
        </w:rPr>
        <w:t> </w:t>
      </w:r>
      <w:r>
        <w:rPr>
          <w:sz w:val="24"/>
        </w:rPr>
        <w:t>a</w:t>
      </w:r>
      <w:r>
        <w:rPr>
          <w:spacing w:val="-4"/>
          <w:sz w:val="24"/>
        </w:rPr>
        <w:t> </w:t>
      </w:r>
      <w:r>
        <w:rPr>
          <w:sz w:val="24"/>
        </w:rPr>
        <w:t>puzzle,</w:t>
      </w:r>
      <w:r>
        <w:rPr>
          <w:spacing w:val="-5"/>
          <w:sz w:val="24"/>
        </w:rPr>
        <w:t> </w:t>
      </w:r>
      <w:r>
        <w:rPr>
          <w:sz w:val="24"/>
        </w:rPr>
        <w:t>especially</w:t>
      </w:r>
      <w:r>
        <w:rPr>
          <w:spacing w:val="-5"/>
          <w:sz w:val="24"/>
        </w:rPr>
        <w:t> </w:t>
      </w:r>
      <w:r>
        <w:rPr>
          <w:sz w:val="24"/>
        </w:rPr>
        <w:t>since</w:t>
      </w:r>
      <w:r>
        <w:rPr>
          <w:spacing w:val="-4"/>
          <w:sz w:val="24"/>
        </w:rPr>
        <w:t> </w:t>
      </w:r>
      <w:r>
        <w:rPr>
          <w:sz w:val="24"/>
        </w:rPr>
        <w:t>the</w:t>
      </w:r>
      <w:r>
        <w:rPr>
          <w:spacing w:val="-3"/>
          <w:sz w:val="24"/>
        </w:rPr>
        <w:t> </w:t>
      </w:r>
      <w:r>
        <w:rPr>
          <w:sz w:val="24"/>
        </w:rPr>
        <w:t>bilateral</w:t>
      </w:r>
      <w:r>
        <w:rPr>
          <w:spacing w:val="-1"/>
          <w:sz w:val="24"/>
        </w:rPr>
        <w:t> </w:t>
      </w:r>
      <w:r>
        <w:rPr>
          <w:spacing w:val="-3"/>
          <w:sz w:val="24"/>
        </w:rPr>
        <w:t>exchange</w:t>
      </w:r>
      <w:r>
        <w:rPr>
          <w:spacing w:val="-6"/>
          <w:sz w:val="24"/>
        </w:rPr>
        <w:t> </w:t>
      </w:r>
      <w:r>
        <w:rPr>
          <w:sz w:val="24"/>
        </w:rPr>
        <w:t>rates had</w:t>
      </w:r>
      <w:r>
        <w:rPr>
          <w:spacing w:val="-2"/>
          <w:sz w:val="24"/>
        </w:rPr>
        <w:t> </w:t>
      </w:r>
      <w:r>
        <w:rPr>
          <w:sz w:val="24"/>
        </w:rPr>
        <w:t>been</w:t>
      </w:r>
      <w:r>
        <w:rPr>
          <w:spacing w:val="-2"/>
          <w:sz w:val="24"/>
        </w:rPr>
        <w:t> </w:t>
      </w:r>
      <w:r>
        <w:rPr>
          <w:sz w:val="24"/>
        </w:rPr>
        <w:t>much</w:t>
      </w:r>
      <w:r>
        <w:rPr>
          <w:spacing w:val="-2"/>
          <w:sz w:val="24"/>
        </w:rPr>
        <w:t> </w:t>
      </w:r>
      <w:r>
        <w:rPr>
          <w:sz w:val="24"/>
        </w:rPr>
        <w:t>more</w:t>
      </w:r>
      <w:r>
        <w:rPr>
          <w:spacing w:val="-1"/>
          <w:sz w:val="24"/>
        </w:rPr>
        <w:t> </w:t>
      </w:r>
      <w:r>
        <w:rPr>
          <w:sz w:val="24"/>
        </w:rPr>
        <w:t>volatile</w:t>
      </w:r>
      <w:r>
        <w:rPr>
          <w:spacing w:val="-2"/>
          <w:sz w:val="24"/>
        </w:rPr>
        <w:t> </w:t>
      </w:r>
      <w:r>
        <w:rPr>
          <w:sz w:val="24"/>
        </w:rPr>
        <w:t>tha</w:t>
      </w:r>
      <w:r>
        <w:rPr>
          <w:spacing w:val="-39"/>
          <w:sz w:val="24"/>
        </w:rPr>
        <w:t> </w:t>
      </w:r>
      <w:r>
        <w:rPr>
          <w:sz w:val="24"/>
        </w:rPr>
        <w:t>n </w:t>
      </w:r>
      <w:r>
        <w:rPr>
          <w:spacing w:val="-4"/>
          <w:sz w:val="24"/>
        </w:rPr>
        <w:t>the </w:t>
      </w:r>
      <w:r>
        <w:rPr>
          <w:sz w:val="24"/>
        </w:rPr>
        <w:t>sterling</w:t>
      </w:r>
      <w:r>
        <w:rPr>
          <w:spacing w:val="19"/>
          <w:sz w:val="24"/>
        </w:rPr>
        <w:t> </w:t>
      </w:r>
      <w:r>
        <w:rPr>
          <w:sz w:val="24"/>
        </w:rPr>
        <w:t>ERI.</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Heading1"/>
        <w:spacing w:before="90"/>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pacing w:val="-3"/>
          <w:sz w:val="24"/>
        </w:rPr>
        <w:t>Most </w:t>
      </w:r>
      <w:r>
        <w:rPr>
          <w:sz w:val="24"/>
        </w:rPr>
        <w:t>activity indicators and </w:t>
      </w:r>
      <w:r>
        <w:rPr>
          <w:spacing w:val="-3"/>
          <w:sz w:val="24"/>
        </w:rPr>
        <w:t>surveys </w:t>
      </w:r>
      <w:r>
        <w:rPr>
          <w:sz w:val="24"/>
        </w:rPr>
        <w:t>in the euro area had continued to be strong in Q1, notably the German IFO survey of business conditions in March </w:t>
      </w:r>
      <w:r>
        <w:rPr>
          <w:spacing w:val="-4"/>
          <w:sz w:val="24"/>
        </w:rPr>
        <w:t>which </w:t>
      </w:r>
      <w:r>
        <w:rPr>
          <w:sz w:val="24"/>
        </w:rPr>
        <w:t>had recorded its highest level since 1991 and the European Commission survey of industrial confidence for which the quarterly average had reached its highest level since early 2001. German export performance </w:t>
      </w:r>
      <w:r>
        <w:rPr>
          <w:spacing w:val="-3"/>
          <w:sz w:val="24"/>
        </w:rPr>
        <w:t>had </w:t>
      </w:r>
      <w:r>
        <w:rPr>
          <w:sz w:val="24"/>
        </w:rPr>
        <w:t>remained strong through the past two years although, over the past decade, an increasing proportion of German exports had been based on imported components, so gross output had probably been rising faster than value added. Given the strength of the surveys and other monthly data, Q1 GDP growth in </w:t>
      </w:r>
      <w:r>
        <w:rPr>
          <w:spacing w:val="-5"/>
          <w:sz w:val="24"/>
        </w:rPr>
        <w:t>the </w:t>
      </w:r>
      <w:r>
        <w:rPr>
          <w:sz w:val="24"/>
        </w:rPr>
        <w:t>euro area was likely to have been somewhat stronger than expected at the time of the February </w:t>
      </w:r>
      <w:r>
        <w:rPr>
          <w:i/>
          <w:sz w:val="24"/>
        </w:rPr>
        <w:t>Inflation</w:t>
      </w:r>
      <w:r>
        <w:rPr>
          <w:i/>
          <w:spacing w:val="-13"/>
          <w:sz w:val="24"/>
        </w:rPr>
        <w:t> </w:t>
      </w:r>
      <w:r>
        <w:rPr>
          <w:i/>
          <w:sz w:val="24"/>
        </w:rPr>
        <w:t>Report</w:t>
      </w:r>
      <w:r>
        <w:rPr>
          <w:sz w:val="24"/>
        </w:rPr>
        <w: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Household consumption growth in the euro area had remained below its historical average, although with significant variations across countries. In the </w:t>
      </w:r>
      <w:r>
        <w:rPr>
          <w:spacing w:val="-4"/>
          <w:sz w:val="24"/>
        </w:rPr>
        <w:t>past, </w:t>
      </w:r>
      <w:r>
        <w:rPr>
          <w:sz w:val="24"/>
        </w:rPr>
        <w:t>output recoveries in the euro area had not typically been consumption-led and recent data appeared to be consistent with that experience. While downside risks to consumption remained, it was possible that the pickup in output </w:t>
      </w:r>
      <w:r>
        <w:rPr>
          <w:spacing w:val="-4"/>
          <w:sz w:val="24"/>
        </w:rPr>
        <w:t>growth </w:t>
      </w:r>
      <w:r>
        <w:rPr>
          <w:sz w:val="24"/>
        </w:rPr>
        <w:t>would help to boost employment and hence consumption growth in</w:t>
      </w:r>
      <w:r>
        <w:rPr>
          <w:spacing w:val="-14"/>
          <w:sz w:val="24"/>
        </w:rPr>
        <w:t> </w:t>
      </w:r>
      <w:r>
        <w:rPr>
          <w:sz w:val="24"/>
        </w:rPr>
        <w:t>2006.</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1" w:firstLine="0"/>
        <w:jc w:val="left"/>
        <w:rPr>
          <w:sz w:val="24"/>
        </w:rPr>
      </w:pPr>
      <w:r>
        <w:rPr>
          <w:sz w:val="24"/>
        </w:rPr>
        <w:t>In the United States, recent </w:t>
      </w:r>
      <w:r>
        <w:rPr>
          <w:spacing w:val="-3"/>
          <w:sz w:val="24"/>
        </w:rPr>
        <w:t>data </w:t>
      </w:r>
      <w:r>
        <w:rPr>
          <w:sz w:val="24"/>
        </w:rPr>
        <w:t>had been consistent with the view that there had been some recovery following temporary weakness in Q4 2005, </w:t>
      </w:r>
      <w:r>
        <w:rPr>
          <w:spacing w:val="-3"/>
          <w:sz w:val="24"/>
        </w:rPr>
        <w:t>and </w:t>
      </w:r>
      <w:r>
        <w:rPr>
          <w:sz w:val="24"/>
        </w:rPr>
        <w:t>growth in the first quarter of 2006 appeared likely to be in line with the February </w:t>
      </w:r>
      <w:r>
        <w:rPr>
          <w:i/>
          <w:sz w:val="24"/>
        </w:rPr>
        <w:t>Inflation Report </w:t>
      </w:r>
      <w:r>
        <w:rPr>
          <w:sz w:val="24"/>
        </w:rPr>
        <w:t>forecast. Manufacturing and </w:t>
      </w:r>
      <w:r>
        <w:rPr>
          <w:spacing w:val="-3"/>
          <w:sz w:val="24"/>
        </w:rPr>
        <w:t>non-manufacturing </w:t>
      </w:r>
      <w:r>
        <w:rPr>
          <w:sz w:val="24"/>
        </w:rPr>
        <w:t>indices from the Institute for Supply Management, employment and consumption growth, had all</w:t>
      </w:r>
      <w:r>
        <w:rPr>
          <w:spacing w:val="-40"/>
          <w:sz w:val="24"/>
        </w:rPr>
        <w:t> </w:t>
      </w:r>
      <w:r>
        <w:rPr>
          <w:sz w:val="24"/>
        </w:rPr>
        <w:t>been reasonably strong. Capacity utilisation had been slightly above its post-1990 average and </w:t>
      </w:r>
      <w:r>
        <w:rPr>
          <w:spacing w:val="-2"/>
          <w:sz w:val="24"/>
        </w:rPr>
        <w:t>the </w:t>
      </w:r>
      <w:r>
        <w:rPr>
          <w:sz w:val="24"/>
        </w:rPr>
        <w:t>unemployment rate was historically </w:t>
      </w:r>
      <w:r>
        <w:rPr>
          <w:spacing w:val="2"/>
          <w:sz w:val="24"/>
        </w:rPr>
        <w:t>low, </w:t>
      </w:r>
      <w:r>
        <w:rPr>
          <w:sz w:val="24"/>
        </w:rPr>
        <w:t>average hourly earnings growth had </w:t>
      </w:r>
      <w:r>
        <w:rPr>
          <w:spacing w:val="-3"/>
          <w:sz w:val="24"/>
        </w:rPr>
        <w:t>been </w:t>
      </w:r>
      <w:r>
        <w:rPr>
          <w:sz w:val="24"/>
        </w:rPr>
        <w:t>picking up and headline consumer price inflation was 3.6% in February. However, there were some signs that the US housing market was slowing and </w:t>
      </w:r>
      <w:r>
        <w:rPr>
          <w:spacing w:val="-3"/>
          <w:sz w:val="24"/>
        </w:rPr>
        <w:t>that might </w:t>
      </w:r>
      <w:r>
        <w:rPr>
          <w:sz w:val="24"/>
        </w:rPr>
        <w:t>be followed by a moderation in consumption growth in due course, although the magnitude and the timing of such a link </w:t>
      </w:r>
      <w:r>
        <w:rPr>
          <w:spacing w:val="3"/>
          <w:sz w:val="24"/>
        </w:rPr>
        <w:t>were </w:t>
      </w:r>
      <w:r>
        <w:rPr>
          <w:sz w:val="24"/>
        </w:rPr>
        <w:t>uncertain. Furthermore, to the extent that the impact of increases in policy rates had previously been attenuated by lower long-term rates, the recent increases in the latter could lead to further restraint on demand growth. Consistent with this uncertainty, implied volatilities for interest rates around five years forward, calculated from options prices, were </w:t>
      </w:r>
      <w:r>
        <w:rPr>
          <w:spacing w:val="-3"/>
          <w:sz w:val="24"/>
        </w:rPr>
        <w:t>significantly </w:t>
      </w:r>
      <w:r>
        <w:rPr>
          <w:sz w:val="24"/>
        </w:rPr>
        <w:t>higher for the </w:t>
      </w:r>
      <w:r>
        <w:rPr>
          <w:spacing w:val="-3"/>
          <w:sz w:val="24"/>
        </w:rPr>
        <w:t>United </w:t>
      </w:r>
      <w:r>
        <w:rPr>
          <w:sz w:val="24"/>
        </w:rPr>
        <w:t>States than for the </w:t>
      </w:r>
      <w:r>
        <w:rPr>
          <w:spacing w:val="-5"/>
          <w:sz w:val="24"/>
        </w:rPr>
        <w:t>United </w:t>
      </w:r>
      <w:r>
        <w:rPr>
          <w:spacing w:val="2"/>
          <w:sz w:val="24"/>
        </w:rPr>
        <w:t>Kingdom </w:t>
      </w:r>
      <w:r>
        <w:rPr>
          <w:sz w:val="24"/>
        </w:rPr>
        <w:t>or euro area.</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31" w:firstLine="0"/>
        <w:jc w:val="left"/>
        <w:rPr>
          <w:sz w:val="24"/>
        </w:rPr>
      </w:pPr>
      <w:r>
        <w:rPr>
          <w:sz w:val="24"/>
        </w:rPr>
        <w:t>Recent activity indicators for </w:t>
      </w:r>
      <w:r>
        <w:rPr>
          <w:spacing w:val="-3"/>
          <w:sz w:val="24"/>
        </w:rPr>
        <w:t>Japan, </w:t>
      </w:r>
      <w:r>
        <w:rPr>
          <w:sz w:val="24"/>
        </w:rPr>
        <w:t>such as the Tankan survey, suggested that the economic recovery </w:t>
      </w:r>
      <w:r>
        <w:rPr>
          <w:spacing w:val="-3"/>
          <w:sz w:val="24"/>
        </w:rPr>
        <w:t>there </w:t>
      </w:r>
      <w:r>
        <w:rPr>
          <w:sz w:val="24"/>
        </w:rPr>
        <w:t>continued to be firmly based and positive CPI inflation seemed likely to continue. The rest of Asia </w:t>
      </w:r>
      <w:r>
        <w:rPr>
          <w:spacing w:val="-3"/>
          <w:sz w:val="24"/>
        </w:rPr>
        <w:t>had </w:t>
      </w:r>
      <w:r>
        <w:rPr>
          <w:sz w:val="24"/>
        </w:rPr>
        <w:t>continued to record strong growth, and oil-producing countries had been growing</w:t>
      </w:r>
      <w:r>
        <w:rPr>
          <w:spacing w:val="-36"/>
          <w:sz w:val="24"/>
        </w:rPr>
        <w:t> </w:t>
      </w:r>
      <w:r>
        <w:rPr>
          <w:spacing w:val="-4"/>
          <w:sz w:val="24"/>
        </w:rPr>
        <w:t>fast.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pacing w:val="-3"/>
          <w:sz w:val="24"/>
        </w:rPr>
        <w:t>Brent </w:t>
      </w:r>
      <w:r>
        <w:rPr>
          <w:sz w:val="24"/>
        </w:rPr>
        <w:t>oil prices had risen by over 10% on the month although the level of the dollar price had remained broadly within the range seen since August 2005. The rise on the month </w:t>
      </w:r>
      <w:r>
        <w:rPr>
          <w:spacing w:val="-3"/>
          <w:sz w:val="24"/>
        </w:rPr>
        <w:t>had </w:t>
      </w:r>
      <w:r>
        <w:rPr>
          <w:sz w:val="24"/>
        </w:rPr>
        <w:t>seemed to reflect</w:t>
      </w:r>
      <w:r>
        <w:rPr>
          <w:spacing w:val="-6"/>
          <w:sz w:val="24"/>
        </w:rPr>
        <w:t> </w:t>
      </w:r>
      <w:r>
        <w:rPr>
          <w:sz w:val="24"/>
        </w:rPr>
        <w:t>uncertainties</w:t>
      </w:r>
      <w:r>
        <w:rPr>
          <w:spacing w:val="-7"/>
          <w:sz w:val="24"/>
        </w:rPr>
        <w:t> </w:t>
      </w:r>
      <w:r>
        <w:rPr>
          <w:sz w:val="24"/>
        </w:rPr>
        <w:t>about</w:t>
      </w:r>
      <w:r>
        <w:rPr>
          <w:spacing w:val="-6"/>
          <w:sz w:val="24"/>
        </w:rPr>
        <w:t> </w:t>
      </w:r>
      <w:r>
        <w:rPr>
          <w:sz w:val="24"/>
        </w:rPr>
        <w:t>future</w:t>
      </w:r>
      <w:r>
        <w:rPr>
          <w:spacing w:val="-7"/>
          <w:sz w:val="24"/>
        </w:rPr>
        <w:t> </w:t>
      </w:r>
      <w:r>
        <w:rPr>
          <w:sz w:val="24"/>
        </w:rPr>
        <w:t>supplies</w:t>
      </w:r>
      <w:r>
        <w:rPr>
          <w:spacing w:val="-7"/>
          <w:sz w:val="24"/>
        </w:rPr>
        <w:t> </w:t>
      </w:r>
      <w:r>
        <w:rPr>
          <w:sz w:val="24"/>
        </w:rPr>
        <w:t>from</w:t>
      </w:r>
      <w:r>
        <w:rPr>
          <w:spacing w:val="-6"/>
          <w:sz w:val="24"/>
        </w:rPr>
        <w:t> </w:t>
      </w:r>
      <w:r>
        <w:rPr>
          <w:sz w:val="24"/>
        </w:rPr>
        <w:t>Iran</w:t>
      </w:r>
      <w:r>
        <w:rPr>
          <w:spacing w:val="-7"/>
          <w:sz w:val="24"/>
        </w:rPr>
        <w:t> </w:t>
      </w:r>
      <w:r>
        <w:rPr>
          <w:sz w:val="24"/>
        </w:rPr>
        <w:t>and</w:t>
      </w:r>
      <w:r>
        <w:rPr>
          <w:spacing w:val="4"/>
          <w:sz w:val="24"/>
        </w:rPr>
        <w:t> </w:t>
      </w:r>
      <w:r>
        <w:rPr>
          <w:sz w:val="24"/>
        </w:rPr>
        <w:t>Nigeria,</w:t>
      </w:r>
      <w:r>
        <w:rPr>
          <w:spacing w:val="-6"/>
          <w:sz w:val="24"/>
        </w:rPr>
        <w:t> </w:t>
      </w:r>
      <w:r>
        <w:rPr>
          <w:sz w:val="24"/>
        </w:rPr>
        <w:t>despite</w:t>
      </w:r>
      <w:r>
        <w:rPr>
          <w:spacing w:val="-7"/>
          <w:sz w:val="24"/>
        </w:rPr>
        <w:t> </w:t>
      </w:r>
      <w:r>
        <w:rPr>
          <w:sz w:val="24"/>
        </w:rPr>
        <w:t>the</w:t>
      </w:r>
      <w:r>
        <w:rPr>
          <w:spacing w:val="-6"/>
          <w:sz w:val="24"/>
        </w:rPr>
        <w:t> </w:t>
      </w:r>
      <w:r>
        <w:rPr>
          <w:sz w:val="24"/>
        </w:rPr>
        <w:t>continuing</w:t>
      </w:r>
      <w:r>
        <w:rPr>
          <w:spacing w:val="-7"/>
          <w:sz w:val="24"/>
        </w:rPr>
        <w:t> </w:t>
      </w:r>
      <w:r>
        <w:rPr>
          <w:sz w:val="24"/>
        </w:rPr>
        <w:t>relatively</w:t>
      </w:r>
      <w:r>
        <w:rPr>
          <w:spacing w:val="-7"/>
          <w:sz w:val="24"/>
        </w:rPr>
        <w:t> </w:t>
      </w:r>
      <w:r>
        <w:rPr>
          <w:sz w:val="24"/>
        </w:rPr>
        <w:t>high levels of crude oil stocks in the United States. Export price inflation in the United Kingdom’s major trading partners had unexpectedly picked up in Q4</w:t>
      </w:r>
      <w:r>
        <w:rPr>
          <w:spacing w:val="21"/>
          <w:sz w:val="24"/>
        </w:rPr>
        <w:t> </w:t>
      </w:r>
      <w:r>
        <w:rPr>
          <w:sz w:val="24"/>
        </w:rPr>
        <w:t>2005.</w:t>
      </w:r>
    </w:p>
    <w:p>
      <w:pPr>
        <w:pStyle w:val="BodyText"/>
        <w:rPr>
          <w:sz w:val="36"/>
        </w:rPr>
      </w:pPr>
    </w:p>
    <w:p>
      <w:pPr>
        <w:pStyle w:val="Heading1"/>
        <w:ind w:left="367"/>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09" w:firstLine="0"/>
        <w:jc w:val="left"/>
        <w:rPr>
          <w:sz w:val="24"/>
        </w:rPr>
      </w:pPr>
      <w:r>
        <w:rPr>
          <w:spacing w:val="-6"/>
          <w:sz w:val="24"/>
        </w:rPr>
        <w:t>M4 </w:t>
      </w:r>
      <w:r>
        <w:rPr>
          <w:sz w:val="24"/>
        </w:rPr>
        <w:t>had continued to grow </w:t>
      </w:r>
      <w:r>
        <w:rPr>
          <w:spacing w:val="-3"/>
          <w:sz w:val="24"/>
        </w:rPr>
        <w:t>strongly; </w:t>
      </w:r>
      <w:r>
        <w:rPr>
          <w:spacing w:val="6"/>
          <w:sz w:val="24"/>
        </w:rPr>
        <w:t>by </w:t>
      </w:r>
      <w:r>
        <w:rPr>
          <w:sz w:val="24"/>
        </w:rPr>
        <w:t>over 12% in the year to February 2006. Excluding the volatile ‘Other Financial Corporations’ </w:t>
      </w:r>
      <w:r>
        <w:rPr>
          <w:spacing w:val="-3"/>
          <w:sz w:val="24"/>
        </w:rPr>
        <w:t>component, </w:t>
      </w:r>
      <w:r>
        <w:rPr>
          <w:sz w:val="24"/>
        </w:rPr>
        <w:t>growth had been around 9%. With nominal domestic demand growth having slipped below 4%, the velocity of broad money had continued to trend downwards, as it had for </w:t>
      </w:r>
      <w:r>
        <w:rPr>
          <w:spacing w:val="-10"/>
          <w:sz w:val="24"/>
        </w:rPr>
        <w:t>most </w:t>
      </w:r>
      <w:r>
        <w:rPr>
          <w:sz w:val="24"/>
        </w:rPr>
        <w:t>of the previous 25 years. The recent growth of M4 – </w:t>
      </w:r>
      <w:r>
        <w:rPr>
          <w:spacing w:val="-3"/>
          <w:sz w:val="24"/>
        </w:rPr>
        <w:t>and </w:t>
      </w:r>
      <w:r>
        <w:rPr>
          <w:spacing w:val="-2"/>
          <w:sz w:val="24"/>
        </w:rPr>
        <w:t>the </w:t>
      </w:r>
      <w:r>
        <w:rPr>
          <w:sz w:val="24"/>
        </w:rPr>
        <w:t>observed decline in velocity – </w:t>
      </w:r>
      <w:r>
        <w:rPr>
          <w:spacing w:val="2"/>
          <w:sz w:val="24"/>
        </w:rPr>
        <w:t>was </w:t>
      </w:r>
      <w:r>
        <w:rPr>
          <w:sz w:val="24"/>
        </w:rPr>
        <w:t>perhaps faster </w:t>
      </w:r>
      <w:r>
        <w:rPr>
          <w:spacing w:val="-4"/>
          <w:sz w:val="24"/>
        </w:rPr>
        <w:t>than </w:t>
      </w:r>
      <w:r>
        <w:rPr>
          <w:sz w:val="24"/>
        </w:rPr>
        <w:t>could be accounted for by its </w:t>
      </w:r>
      <w:r>
        <w:rPr>
          <w:spacing w:val="-2"/>
          <w:sz w:val="24"/>
        </w:rPr>
        <w:t>normal </w:t>
      </w:r>
      <w:r>
        <w:rPr>
          <w:sz w:val="24"/>
        </w:rPr>
        <w:t>determinants.</w:t>
      </w:r>
    </w:p>
    <w:p>
      <w:pPr>
        <w:pStyle w:val="BodyText"/>
        <w:spacing w:before="6"/>
        <w:rPr>
          <w:sz w:val="36"/>
        </w:rPr>
      </w:pPr>
    </w:p>
    <w:p>
      <w:pPr>
        <w:pStyle w:val="ListParagraph"/>
        <w:numPr>
          <w:ilvl w:val="0"/>
          <w:numId w:val="1"/>
        </w:numPr>
        <w:tabs>
          <w:tab w:pos="931" w:val="left" w:leader="none"/>
          <w:tab w:pos="932" w:val="left" w:leader="none"/>
        </w:tabs>
        <w:spacing w:line="355" w:lineRule="auto" w:before="0" w:after="0"/>
        <w:ind w:left="367" w:right="241" w:firstLine="0"/>
        <w:jc w:val="left"/>
        <w:rPr>
          <w:sz w:val="24"/>
        </w:rPr>
      </w:pPr>
      <w:r>
        <w:rPr>
          <w:sz w:val="24"/>
        </w:rPr>
        <w:t>The</w:t>
      </w:r>
      <w:r>
        <w:rPr>
          <w:spacing w:val="-12"/>
          <w:sz w:val="24"/>
        </w:rPr>
        <w:t> </w:t>
      </w:r>
      <w:r>
        <w:rPr>
          <w:sz w:val="24"/>
        </w:rPr>
        <w:t>Budget</w:t>
      </w:r>
      <w:r>
        <w:rPr>
          <w:spacing w:val="10"/>
          <w:sz w:val="24"/>
        </w:rPr>
        <w:t> </w:t>
      </w:r>
      <w:r>
        <w:rPr>
          <w:sz w:val="24"/>
        </w:rPr>
        <w:t>had</w:t>
      </w:r>
      <w:r>
        <w:rPr>
          <w:spacing w:val="-6"/>
          <w:sz w:val="24"/>
        </w:rPr>
        <w:t> </w:t>
      </w:r>
      <w:r>
        <w:rPr>
          <w:sz w:val="24"/>
        </w:rPr>
        <w:t>contained</w:t>
      </w:r>
      <w:r>
        <w:rPr>
          <w:spacing w:val="-5"/>
          <w:sz w:val="24"/>
        </w:rPr>
        <w:t> </w:t>
      </w:r>
      <w:r>
        <w:rPr>
          <w:sz w:val="24"/>
        </w:rPr>
        <w:t>little</w:t>
      </w:r>
      <w:r>
        <w:rPr>
          <w:spacing w:val="-6"/>
          <w:sz w:val="24"/>
        </w:rPr>
        <w:t> </w:t>
      </w:r>
      <w:r>
        <w:rPr>
          <w:sz w:val="24"/>
        </w:rPr>
        <w:t>change</w:t>
      </w:r>
      <w:r>
        <w:rPr>
          <w:spacing w:val="-5"/>
          <w:sz w:val="24"/>
        </w:rPr>
        <w:t> </w:t>
      </w:r>
      <w:r>
        <w:rPr>
          <w:sz w:val="24"/>
        </w:rPr>
        <w:t>in</w:t>
      </w:r>
      <w:r>
        <w:rPr>
          <w:spacing w:val="-6"/>
          <w:sz w:val="24"/>
        </w:rPr>
        <w:t> </w:t>
      </w:r>
      <w:r>
        <w:rPr>
          <w:sz w:val="24"/>
        </w:rPr>
        <w:t>plans</w:t>
      </w:r>
      <w:r>
        <w:rPr>
          <w:spacing w:val="-5"/>
          <w:sz w:val="24"/>
        </w:rPr>
        <w:t> </w:t>
      </w:r>
      <w:r>
        <w:rPr>
          <w:sz w:val="24"/>
        </w:rPr>
        <w:t>for</w:t>
      </w:r>
      <w:r>
        <w:rPr>
          <w:spacing w:val="-6"/>
          <w:sz w:val="24"/>
        </w:rPr>
        <w:t> </w:t>
      </w:r>
      <w:r>
        <w:rPr>
          <w:sz w:val="24"/>
        </w:rPr>
        <w:t>future</w:t>
      </w:r>
      <w:r>
        <w:rPr>
          <w:spacing w:val="-5"/>
          <w:sz w:val="24"/>
        </w:rPr>
        <w:t> </w:t>
      </w:r>
      <w:r>
        <w:rPr>
          <w:sz w:val="24"/>
        </w:rPr>
        <w:t>Government</w:t>
      </w:r>
      <w:r>
        <w:rPr>
          <w:spacing w:val="-5"/>
          <w:sz w:val="24"/>
        </w:rPr>
        <w:t> </w:t>
      </w:r>
      <w:r>
        <w:rPr>
          <w:sz w:val="24"/>
        </w:rPr>
        <w:t>expenditure</w:t>
      </w:r>
      <w:r>
        <w:rPr>
          <w:spacing w:val="-6"/>
          <w:sz w:val="24"/>
        </w:rPr>
        <w:t> </w:t>
      </w:r>
      <w:r>
        <w:rPr>
          <w:sz w:val="24"/>
        </w:rPr>
        <w:t>and</w:t>
      </w:r>
      <w:r>
        <w:rPr>
          <w:spacing w:val="-5"/>
          <w:sz w:val="24"/>
        </w:rPr>
        <w:t> </w:t>
      </w:r>
      <w:r>
        <w:rPr>
          <w:sz w:val="24"/>
        </w:rPr>
        <w:t>tax</w:t>
      </w:r>
      <w:r>
        <w:rPr>
          <w:spacing w:val="-6"/>
          <w:sz w:val="24"/>
        </w:rPr>
        <w:t> </w:t>
      </w:r>
      <w:r>
        <w:rPr>
          <w:sz w:val="24"/>
        </w:rPr>
        <w:t>rates compared with the </w:t>
      </w:r>
      <w:r>
        <w:rPr>
          <w:i/>
          <w:sz w:val="24"/>
        </w:rPr>
        <w:t>Pre-Budget Report </w:t>
      </w:r>
      <w:r>
        <w:rPr>
          <w:sz w:val="24"/>
        </w:rPr>
        <w:t>published the previous</w:t>
      </w:r>
      <w:r>
        <w:rPr>
          <w:spacing w:val="-8"/>
          <w:sz w:val="24"/>
        </w:rPr>
        <w:t> </w:t>
      </w:r>
      <w:r>
        <w:rPr>
          <w:sz w:val="24"/>
        </w:rPr>
        <w:t>autumn.</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7" w:right="253" w:firstLine="0"/>
        <w:jc w:val="left"/>
        <w:rPr>
          <w:sz w:val="24"/>
        </w:rPr>
      </w:pPr>
      <w:r>
        <w:rPr>
          <w:sz w:val="24"/>
        </w:rPr>
        <w:t>In the </w:t>
      </w:r>
      <w:r>
        <w:rPr>
          <w:spacing w:val="-4"/>
          <w:sz w:val="24"/>
        </w:rPr>
        <w:t>March </w:t>
      </w:r>
      <w:r>
        <w:rPr>
          <w:sz w:val="24"/>
        </w:rPr>
        <w:t>release of the Quarterly National Accounts data, GDP growth in Q4 2005 had been unrevised and revisions to previous quarters had generally been small. Services growth had been revised up a little but remained somewhat weaker than indicated by other business surveys. Much of this was due to the distribution component of services output which had </w:t>
      </w:r>
      <w:r>
        <w:rPr>
          <w:spacing w:val="-3"/>
          <w:sz w:val="24"/>
        </w:rPr>
        <w:t>been </w:t>
      </w:r>
      <w:r>
        <w:rPr>
          <w:sz w:val="24"/>
        </w:rPr>
        <w:t>flat in the first half of 2005, </w:t>
      </w:r>
      <w:r>
        <w:rPr>
          <w:spacing w:val="-3"/>
          <w:sz w:val="24"/>
        </w:rPr>
        <w:t>had </w:t>
      </w:r>
      <w:r>
        <w:rPr>
          <w:sz w:val="24"/>
        </w:rPr>
        <w:t>then picked up in the second half of the year, but </w:t>
      </w:r>
      <w:r>
        <w:rPr>
          <w:spacing w:val="-3"/>
          <w:sz w:val="24"/>
        </w:rPr>
        <w:t>had </w:t>
      </w:r>
      <w:r>
        <w:rPr>
          <w:sz w:val="24"/>
        </w:rPr>
        <w:t>declined more recently. Although </w:t>
      </w:r>
      <w:r>
        <w:rPr>
          <w:spacing w:val="-2"/>
          <w:sz w:val="24"/>
        </w:rPr>
        <w:t>the </w:t>
      </w:r>
      <w:r>
        <w:rPr>
          <w:sz w:val="24"/>
        </w:rPr>
        <w:t>initial</w:t>
      </w:r>
      <w:r>
        <w:rPr>
          <w:spacing w:val="-4"/>
          <w:sz w:val="24"/>
        </w:rPr>
        <w:t> </w:t>
      </w:r>
      <w:r>
        <w:rPr>
          <w:sz w:val="24"/>
        </w:rPr>
        <w:t>data</w:t>
      </w:r>
      <w:r>
        <w:rPr>
          <w:spacing w:val="-4"/>
          <w:sz w:val="24"/>
        </w:rPr>
        <w:t> </w:t>
      </w:r>
      <w:r>
        <w:rPr>
          <w:sz w:val="24"/>
        </w:rPr>
        <w:t>on</w:t>
      </w:r>
      <w:r>
        <w:rPr>
          <w:spacing w:val="-3"/>
          <w:sz w:val="24"/>
        </w:rPr>
        <w:t> </w:t>
      </w:r>
      <w:r>
        <w:rPr>
          <w:sz w:val="24"/>
        </w:rPr>
        <w:t>distribution</w:t>
      </w:r>
      <w:r>
        <w:rPr>
          <w:spacing w:val="-4"/>
          <w:sz w:val="24"/>
        </w:rPr>
        <w:t> </w:t>
      </w:r>
      <w:r>
        <w:rPr>
          <w:sz w:val="24"/>
        </w:rPr>
        <w:t>outp</w:t>
      </w:r>
      <w:r>
        <w:rPr>
          <w:spacing w:val="-38"/>
          <w:sz w:val="24"/>
        </w:rPr>
        <w:t> </w:t>
      </w:r>
      <w:r>
        <w:rPr>
          <w:sz w:val="24"/>
        </w:rPr>
        <w:t>ut</w:t>
      </w:r>
      <w:r>
        <w:rPr>
          <w:spacing w:val="-3"/>
          <w:sz w:val="24"/>
        </w:rPr>
        <w:t> </w:t>
      </w:r>
      <w:r>
        <w:rPr>
          <w:sz w:val="24"/>
        </w:rPr>
        <w:t>were</w:t>
      </w:r>
      <w:r>
        <w:rPr>
          <w:spacing w:val="-3"/>
          <w:sz w:val="24"/>
        </w:rPr>
        <w:t> </w:t>
      </w:r>
      <w:r>
        <w:rPr>
          <w:sz w:val="24"/>
        </w:rPr>
        <w:t>very</w:t>
      </w:r>
      <w:r>
        <w:rPr>
          <w:spacing w:val="-2"/>
          <w:sz w:val="24"/>
        </w:rPr>
        <w:t> </w:t>
      </w:r>
      <w:r>
        <w:rPr>
          <w:sz w:val="24"/>
        </w:rPr>
        <w:t>often</w:t>
      </w:r>
      <w:r>
        <w:rPr>
          <w:spacing w:val="-3"/>
          <w:sz w:val="24"/>
        </w:rPr>
        <w:t> </w:t>
      </w:r>
      <w:r>
        <w:rPr>
          <w:sz w:val="24"/>
        </w:rPr>
        <w:t>substantially</w:t>
      </w:r>
      <w:r>
        <w:rPr>
          <w:spacing w:val="-3"/>
          <w:sz w:val="24"/>
        </w:rPr>
        <w:t> </w:t>
      </w:r>
      <w:r>
        <w:rPr>
          <w:sz w:val="24"/>
        </w:rPr>
        <w:t>revised,</w:t>
      </w:r>
      <w:r>
        <w:rPr>
          <w:spacing w:val="-2"/>
          <w:sz w:val="24"/>
        </w:rPr>
        <w:t> </w:t>
      </w:r>
      <w:r>
        <w:rPr>
          <w:sz w:val="24"/>
        </w:rPr>
        <w:t>their</w:t>
      </w:r>
      <w:r>
        <w:rPr>
          <w:spacing w:val="-5"/>
          <w:sz w:val="24"/>
        </w:rPr>
        <w:t> </w:t>
      </w:r>
      <w:r>
        <w:rPr>
          <w:sz w:val="24"/>
        </w:rPr>
        <w:t>pattern</w:t>
      </w:r>
      <w:r>
        <w:rPr>
          <w:spacing w:val="-24"/>
          <w:sz w:val="24"/>
        </w:rPr>
        <w:t> </w:t>
      </w:r>
      <w:r>
        <w:rPr>
          <w:sz w:val="24"/>
        </w:rPr>
        <w:t>seemed</w:t>
      </w:r>
      <w:r>
        <w:rPr>
          <w:spacing w:val="-3"/>
          <w:sz w:val="24"/>
        </w:rPr>
        <w:t> </w:t>
      </w:r>
      <w:r>
        <w:rPr>
          <w:sz w:val="24"/>
        </w:rPr>
        <w:t>consistent with other indicators of activity in the distribution</w:t>
      </w:r>
      <w:r>
        <w:rPr>
          <w:spacing w:val="-13"/>
          <w:sz w:val="24"/>
        </w:rPr>
        <w:t> </w:t>
      </w:r>
      <w:r>
        <w:rPr>
          <w:sz w:val="24"/>
        </w:rPr>
        <w:t>sector.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55" w:firstLine="0"/>
        <w:jc w:val="left"/>
        <w:rPr>
          <w:sz w:val="24"/>
        </w:rPr>
      </w:pPr>
      <w:r>
        <w:rPr>
          <w:sz w:val="24"/>
        </w:rPr>
        <w:t>Consumption</w:t>
      </w:r>
      <w:r>
        <w:rPr>
          <w:spacing w:val="-3"/>
          <w:sz w:val="24"/>
        </w:rPr>
        <w:t> </w:t>
      </w:r>
      <w:r>
        <w:rPr>
          <w:sz w:val="24"/>
        </w:rPr>
        <w:t>growth</w:t>
      </w:r>
      <w:r>
        <w:rPr>
          <w:spacing w:val="-3"/>
          <w:sz w:val="24"/>
        </w:rPr>
        <w:t> </w:t>
      </w:r>
      <w:r>
        <w:rPr>
          <w:sz w:val="24"/>
        </w:rPr>
        <w:t>in</w:t>
      </w:r>
      <w:r>
        <w:rPr>
          <w:spacing w:val="-2"/>
          <w:sz w:val="24"/>
        </w:rPr>
        <w:t> </w:t>
      </w:r>
      <w:r>
        <w:rPr>
          <w:sz w:val="24"/>
        </w:rPr>
        <w:t>the</w:t>
      </w:r>
      <w:r>
        <w:rPr>
          <w:spacing w:val="-3"/>
          <w:sz w:val="24"/>
        </w:rPr>
        <w:t> </w:t>
      </w:r>
      <w:r>
        <w:rPr>
          <w:sz w:val="24"/>
        </w:rPr>
        <w:t>fourth</w:t>
      </w:r>
      <w:r>
        <w:rPr>
          <w:spacing w:val="-2"/>
          <w:sz w:val="24"/>
        </w:rPr>
        <w:t> </w:t>
      </w:r>
      <w:r>
        <w:rPr>
          <w:sz w:val="24"/>
        </w:rPr>
        <w:t>quarter</w:t>
      </w:r>
      <w:r>
        <w:rPr>
          <w:spacing w:val="-4"/>
          <w:sz w:val="24"/>
        </w:rPr>
        <w:t> </w:t>
      </w:r>
      <w:r>
        <w:rPr>
          <w:sz w:val="24"/>
        </w:rPr>
        <w:t>had</w:t>
      </w:r>
      <w:r>
        <w:rPr>
          <w:spacing w:val="-5"/>
          <w:sz w:val="24"/>
        </w:rPr>
        <w:t> </w:t>
      </w:r>
      <w:r>
        <w:rPr>
          <w:sz w:val="24"/>
        </w:rPr>
        <w:t>been</w:t>
      </w:r>
      <w:r>
        <w:rPr>
          <w:spacing w:val="-4"/>
          <w:sz w:val="24"/>
        </w:rPr>
        <w:t> </w:t>
      </w:r>
      <w:r>
        <w:rPr>
          <w:sz w:val="24"/>
        </w:rPr>
        <w:t>revised</w:t>
      </w:r>
      <w:r>
        <w:rPr>
          <w:spacing w:val="-4"/>
          <w:sz w:val="24"/>
        </w:rPr>
        <w:t> </w:t>
      </w:r>
      <w:r>
        <w:rPr>
          <w:sz w:val="24"/>
        </w:rPr>
        <w:t>up</w:t>
      </w:r>
      <w:r>
        <w:rPr>
          <w:spacing w:val="-5"/>
          <w:sz w:val="24"/>
        </w:rPr>
        <w:t> </w:t>
      </w:r>
      <w:r>
        <w:rPr>
          <w:spacing w:val="6"/>
          <w:sz w:val="24"/>
        </w:rPr>
        <w:t>by</w:t>
      </w:r>
      <w:r>
        <w:rPr>
          <w:spacing w:val="-16"/>
          <w:sz w:val="24"/>
        </w:rPr>
        <w:t> </w:t>
      </w:r>
      <w:r>
        <w:rPr>
          <w:sz w:val="24"/>
        </w:rPr>
        <w:t>0.1</w:t>
      </w:r>
      <w:r>
        <w:rPr>
          <w:spacing w:val="-5"/>
          <w:sz w:val="24"/>
        </w:rPr>
        <w:t> </w:t>
      </w:r>
      <w:r>
        <w:rPr>
          <w:sz w:val="24"/>
        </w:rPr>
        <w:t>percentage</w:t>
      </w:r>
      <w:r>
        <w:rPr>
          <w:spacing w:val="-5"/>
          <w:sz w:val="24"/>
        </w:rPr>
        <w:t> </w:t>
      </w:r>
      <w:r>
        <w:rPr>
          <w:sz w:val="24"/>
        </w:rPr>
        <w:t>points</w:t>
      </w:r>
      <w:r>
        <w:rPr>
          <w:spacing w:val="-6"/>
          <w:sz w:val="24"/>
        </w:rPr>
        <w:t> </w:t>
      </w:r>
      <w:r>
        <w:rPr>
          <w:sz w:val="24"/>
        </w:rPr>
        <w:t>to</w:t>
      </w:r>
      <w:r>
        <w:rPr>
          <w:spacing w:val="-6"/>
          <w:sz w:val="24"/>
        </w:rPr>
        <w:t> </w:t>
      </w:r>
      <w:r>
        <w:rPr>
          <w:sz w:val="24"/>
        </w:rPr>
        <w:t>0.8%, accentuating the picture of a sharp rebound in consumption since the standstill at the beginning of 2005. Although post-tax labour income had </w:t>
      </w:r>
      <w:r>
        <w:rPr>
          <w:spacing w:val="-3"/>
          <w:sz w:val="24"/>
        </w:rPr>
        <w:t>been </w:t>
      </w:r>
      <w:r>
        <w:rPr>
          <w:sz w:val="24"/>
        </w:rPr>
        <w:t>relatively strong in </w:t>
      </w:r>
      <w:r>
        <w:rPr>
          <w:spacing w:val="-3"/>
          <w:sz w:val="24"/>
        </w:rPr>
        <w:t>Q4, </w:t>
      </w:r>
      <w:r>
        <w:rPr>
          <w:sz w:val="24"/>
        </w:rPr>
        <w:t>weak property income </w:t>
      </w:r>
      <w:r>
        <w:rPr>
          <w:spacing w:val="-3"/>
          <w:sz w:val="24"/>
        </w:rPr>
        <w:t>growth </w:t>
      </w:r>
      <w:r>
        <w:rPr>
          <w:sz w:val="24"/>
        </w:rPr>
        <w:t>meant </w:t>
      </w:r>
      <w:r>
        <w:rPr>
          <w:spacing w:val="-3"/>
          <w:sz w:val="24"/>
        </w:rPr>
        <w:t>that </w:t>
      </w:r>
      <w:r>
        <w:rPr>
          <w:sz w:val="24"/>
        </w:rPr>
        <w:t>the savings ratio had declined. Government </w:t>
      </w:r>
      <w:r>
        <w:rPr>
          <w:spacing w:val="-3"/>
          <w:sz w:val="24"/>
        </w:rPr>
        <w:t>consumption </w:t>
      </w:r>
      <w:r>
        <w:rPr>
          <w:sz w:val="24"/>
        </w:rPr>
        <w:t>and net trade had </w:t>
      </w:r>
      <w:r>
        <w:rPr>
          <w:spacing w:val="-3"/>
          <w:sz w:val="24"/>
        </w:rPr>
        <w:t>been </w:t>
      </w:r>
      <w:r>
        <w:rPr>
          <w:sz w:val="24"/>
        </w:rPr>
        <w:t>reasonably strong. Investment, although upwardly revised, had fallen slightly on the quarter. Overall the expenditure data for the fourth quarter had been stronger than the output data – with the difference accounted for by de-stocking (including a large contribution from the alignment adjustment to make the Quarterly National Accounts</w:t>
      </w:r>
      <w:r>
        <w:rPr>
          <w:spacing w:val="-5"/>
          <w:sz w:val="24"/>
        </w:rPr>
        <w:t> </w:t>
      </w:r>
      <w:r>
        <w:rPr>
          <w:sz w:val="24"/>
        </w:rPr>
        <w:t>consistent).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In contrast to the Q4 data, the available indicators of </w:t>
      </w:r>
      <w:r>
        <w:rPr>
          <w:spacing w:val="-3"/>
          <w:sz w:val="24"/>
        </w:rPr>
        <w:t>output growth </w:t>
      </w:r>
      <w:r>
        <w:rPr>
          <w:sz w:val="24"/>
        </w:rPr>
        <w:t>for the first quarter of 2006 had been stronger than indicators of expenditure growth, notwithstanding the slightly weaker than expected Index of Production for February and the </w:t>
      </w:r>
      <w:r>
        <w:rPr>
          <w:spacing w:val="-3"/>
          <w:sz w:val="24"/>
        </w:rPr>
        <w:t>strong, </w:t>
      </w:r>
      <w:r>
        <w:rPr>
          <w:sz w:val="24"/>
        </w:rPr>
        <w:t>but slightly lower, level </w:t>
      </w:r>
      <w:r>
        <w:rPr>
          <w:spacing w:val="-3"/>
          <w:sz w:val="24"/>
        </w:rPr>
        <w:t>of </w:t>
      </w:r>
      <w:r>
        <w:rPr>
          <w:spacing w:val="-4"/>
          <w:sz w:val="24"/>
        </w:rPr>
        <w:t>the </w:t>
      </w:r>
      <w:r>
        <w:rPr>
          <w:sz w:val="24"/>
        </w:rPr>
        <w:t>CIPS survey balances for March. Although retail sales had risen by 0.5% in February, this had followed a much larger fall in </w:t>
      </w:r>
      <w:r>
        <w:rPr>
          <w:spacing w:val="-3"/>
          <w:sz w:val="24"/>
        </w:rPr>
        <w:t>January. </w:t>
      </w:r>
      <w:r>
        <w:rPr>
          <w:sz w:val="24"/>
        </w:rPr>
        <w:t>Information gathered by the Bank’s regional Agents had suggested that retail sales in March had remained subdued. The GfK consumer confidence survey had also</w:t>
      </w:r>
      <w:r>
        <w:rPr>
          <w:spacing w:val="-40"/>
          <w:sz w:val="24"/>
        </w:rPr>
        <w:t> </w:t>
      </w:r>
      <w:r>
        <w:rPr>
          <w:sz w:val="24"/>
        </w:rPr>
        <w:t>weakened.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82" w:firstLine="0"/>
        <w:jc w:val="left"/>
        <w:rPr>
          <w:sz w:val="24"/>
        </w:rPr>
      </w:pPr>
      <w:r>
        <w:rPr>
          <w:sz w:val="24"/>
        </w:rPr>
        <w:t>House prices continued to rise quite strongly in the first </w:t>
      </w:r>
      <w:r>
        <w:rPr>
          <w:spacing w:val="-3"/>
          <w:sz w:val="24"/>
        </w:rPr>
        <w:t>quarter </w:t>
      </w:r>
      <w:r>
        <w:rPr>
          <w:sz w:val="24"/>
        </w:rPr>
        <w:t>with the mortgage lenders’ house price indices rising by an average of 2%. Activity indicators generally showed little evidence of any imminent slowdown, although the number of mortgage approvals had been slightly </w:t>
      </w:r>
      <w:r>
        <w:rPr>
          <w:spacing w:val="3"/>
          <w:sz w:val="24"/>
        </w:rPr>
        <w:t>down </w:t>
      </w:r>
      <w:r>
        <w:rPr>
          <w:sz w:val="24"/>
        </w:rPr>
        <w:t>in February and there had been a small decrease in the number of new buyer enquiries in the preview of the RICS survey for</w:t>
      </w:r>
      <w:r>
        <w:rPr>
          <w:spacing w:val="11"/>
          <w:sz w:val="24"/>
        </w:rPr>
        <w:t> </w:t>
      </w:r>
      <w:r>
        <w:rPr>
          <w:spacing w:val="-4"/>
          <w:sz w:val="24"/>
        </w:rPr>
        <w:t>March.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90" w:firstLine="0"/>
        <w:jc w:val="left"/>
        <w:rPr>
          <w:sz w:val="24"/>
        </w:rPr>
      </w:pPr>
      <w:r>
        <w:rPr>
          <w:spacing w:val="-4"/>
          <w:sz w:val="24"/>
        </w:rPr>
        <w:t>The </w:t>
      </w:r>
      <w:r>
        <w:rPr>
          <w:sz w:val="24"/>
        </w:rPr>
        <w:t>differing profiles of output and expenditure might have been a genuine reflection of </w:t>
      </w:r>
      <w:r>
        <w:rPr>
          <w:spacing w:val="-2"/>
          <w:sz w:val="24"/>
        </w:rPr>
        <w:t>the </w:t>
      </w:r>
      <w:r>
        <w:rPr>
          <w:sz w:val="24"/>
        </w:rPr>
        <w:t>timing of temporarily high consumption in Q4 perhaps causing a reduction in stockbuilding, followed </w:t>
      </w:r>
      <w:r>
        <w:rPr>
          <w:spacing w:val="-3"/>
          <w:sz w:val="24"/>
        </w:rPr>
        <w:t>by </w:t>
      </w:r>
      <w:r>
        <w:rPr>
          <w:sz w:val="24"/>
        </w:rPr>
        <w:t>an over-optimistic and supply response. Perhaps the 2005 Q4 data should be treated as erratic. Averaging the data over the past two quarters would suggest that output and consumption had been growing at around trend over the</w:t>
      </w:r>
      <w:r>
        <w:rPr>
          <w:spacing w:val="-5"/>
          <w:sz w:val="24"/>
        </w:rPr>
        <w:t> </w:t>
      </w:r>
      <w:r>
        <w:rPr>
          <w:sz w:val="24"/>
        </w:rPr>
        <w:t>period.</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53" w:firstLine="0"/>
        <w:jc w:val="left"/>
        <w:rPr>
          <w:sz w:val="24"/>
        </w:rPr>
      </w:pPr>
      <w:r>
        <w:rPr>
          <w:sz w:val="24"/>
        </w:rPr>
        <w:t>There had not been much news on costs and prices since the March MPC meeting. Employment had fallen by around seven thousand on the Labour Force Survey measure in the </w:t>
      </w:r>
      <w:r>
        <w:rPr>
          <w:spacing w:val="-3"/>
          <w:sz w:val="24"/>
        </w:rPr>
        <w:t>three months to January </w:t>
      </w:r>
      <w:r>
        <w:rPr>
          <w:sz w:val="24"/>
        </w:rPr>
        <w:t>but the Workforce Jobs measure had </w:t>
      </w:r>
      <w:r>
        <w:rPr>
          <w:spacing w:val="-3"/>
          <w:sz w:val="24"/>
        </w:rPr>
        <w:t>been </w:t>
      </w:r>
      <w:r>
        <w:rPr>
          <w:sz w:val="24"/>
        </w:rPr>
        <w:t>more buoyant in Q4. Over the previous year</w:t>
      </w:r>
      <w:r>
        <w:rPr>
          <w:spacing w:val="5"/>
          <w:sz w:val="24"/>
        </w:rPr>
        <w:t> </w:t>
      </w:r>
      <w:r>
        <w:rPr>
          <w:spacing w:val="-2"/>
          <w:sz w:val="24"/>
        </w:rPr>
        <w:t>the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7" w:right="98"/>
      </w:pPr>
      <w:r>
        <w:rPr/>
        <w:t>two measures had moved broadly in line and were consistent with a modest loosening of labour market pressure: unemployment had continued to edge up and the stock of job vacancies had declined. It was possible that some of the increase in unemployment was structural, rather than cyclical, following the rise in energy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30" w:firstLine="0"/>
        <w:jc w:val="left"/>
        <w:rPr>
          <w:sz w:val="24"/>
        </w:rPr>
      </w:pPr>
      <w:r>
        <w:rPr>
          <w:sz w:val="24"/>
        </w:rPr>
        <w:t>Productivity</w:t>
      </w:r>
      <w:r>
        <w:rPr>
          <w:spacing w:val="-7"/>
          <w:sz w:val="24"/>
        </w:rPr>
        <w:t> </w:t>
      </w:r>
      <w:r>
        <w:rPr>
          <w:sz w:val="24"/>
        </w:rPr>
        <w:t>growth</w:t>
      </w:r>
      <w:r>
        <w:rPr>
          <w:spacing w:val="4"/>
          <w:sz w:val="24"/>
        </w:rPr>
        <w:t> </w:t>
      </w:r>
      <w:r>
        <w:rPr>
          <w:sz w:val="24"/>
        </w:rPr>
        <w:t>–</w:t>
      </w:r>
      <w:r>
        <w:rPr>
          <w:spacing w:val="-2"/>
          <w:sz w:val="24"/>
        </w:rPr>
        <w:t> </w:t>
      </w:r>
      <w:r>
        <w:rPr>
          <w:sz w:val="24"/>
        </w:rPr>
        <w:t>which</w:t>
      </w:r>
      <w:r>
        <w:rPr>
          <w:spacing w:val="-4"/>
          <w:sz w:val="24"/>
        </w:rPr>
        <w:t> </w:t>
      </w:r>
      <w:r>
        <w:rPr>
          <w:sz w:val="24"/>
        </w:rPr>
        <w:t>had</w:t>
      </w:r>
      <w:r>
        <w:rPr>
          <w:spacing w:val="-3"/>
          <w:sz w:val="24"/>
        </w:rPr>
        <w:t> </w:t>
      </w:r>
      <w:r>
        <w:rPr>
          <w:sz w:val="24"/>
        </w:rPr>
        <w:t>been</w:t>
      </w:r>
      <w:r>
        <w:rPr>
          <w:spacing w:val="-3"/>
          <w:sz w:val="24"/>
        </w:rPr>
        <w:t> </w:t>
      </w:r>
      <w:r>
        <w:rPr>
          <w:sz w:val="24"/>
        </w:rPr>
        <w:t>unusually</w:t>
      </w:r>
      <w:r>
        <w:rPr>
          <w:spacing w:val="-3"/>
          <w:sz w:val="24"/>
        </w:rPr>
        <w:t> </w:t>
      </w:r>
      <w:r>
        <w:rPr>
          <w:sz w:val="24"/>
        </w:rPr>
        <w:t>low</w:t>
      </w:r>
      <w:r>
        <w:rPr>
          <w:spacing w:val="-3"/>
          <w:sz w:val="24"/>
        </w:rPr>
        <w:t> </w:t>
      </w:r>
      <w:r>
        <w:rPr>
          <w:sz w:val="24"/>
        </w:rPr>
        <w:t>in</w:t>
      </w:r>
      <w:r>
        <w:rPr>
          <w:spacing w:val="-4"/>
          <w:sz w:val="24"/>
        </w:rPr>
        <w:t> </w:t>
      </w:r>
      <w:r>
        <w:rPr>
          <w:sz w:val="24"/>
        </w:rPr>
        <w:t>2005</w:t>
      </w:r>
      <w:r>
        <w:rPr>
          <w:spacing w:val="-3"/>
          <w:sz w:val="24"/>
        </w:rPr>
        <w:t> </w:t>
      </w:r>
      <w:r>
        <w:rPr>
          <w:sz w:val="24"/>
        </w:rPr>
        <w:t>–</w:t>
      </w:r>
      <w:r>
        <w:rPr>
          <w:spacing w:val="-5"/>
          <w:sz w:val="24"/>
        </w:rPr>
        <w:t> </w:t>
      </w:r>
      <w:r>
        <w:rPr>
          <w:sz w:val="24"/>
        </w:rPr>
        <w:t>had</w:t>
      </w:r>
      <w:r>
        <w:rPr>
          <w:spacing w:val="-5"/>
          <w:sz w:val="24"/>
        </w:rPr>
        <w:t> </w:t>
      </w:r>
      <w:r>
        <w:rPr>
          <w:sz w:val="24"/>
        </w:rPr>
        <w:t>recently</w:t>
      </w:r>
      <w:r>
        <w:rPr>
          <w:spacing w:val="-5"/>
          <w:sz w:val="24"/>
        </w:rPr>
        <w:t> </w:t>
      </w:r>
      <w:r>
        <w:rPr>
          <w:sz w:val="24"/>
        </w:rPr>
        <w:t>increased,</w:t>
      </w:r>
      <w:r>
        <w:rPr>
          <w:spacing w:val="-5"/>
          <w:sz w:val="24"/>
        </w:rPr>
        <w:t> </w:t>
      </w:r>
      <w:r>
        <w:rPr>
          <w:sz w:val="24"/>
        </w:rPr>
        <w:t>reflecting both the pickup in GDP </w:t>
      </w:r>
      <w:r>
        <w:rPr>
          <w:spacing w:val="-3"/>
          <w:sz w:val="24"/>
        </w:rPr>
        <w:t>growth </w:t>
      </w:r>
      <w:r>
        <w:rPr>
          <w:sz w:val="24"/>
        </w:rPr>
        <w:t>and the weakening of employment growth. Regular pay growth </w:t>
      </w:r>
      <w:r>
        <w:rPr>
          <w:spacing w:val="-4"/>
          <w:sz w:val="24"/>
        </w:rPr>
        <w:t>had </w:t>
      </w:r>
      <w:r>
        <w:rPr>
          <w:spacing w:val="-3"/>
          <w:sz w:val="24"/>
        </w:rPr>
        <w:t>edged </w:t>
      </w:r>
      <w:r>
        <w:rPr>
          <w:sz w:val="24"/>
        </w:rPr>
        <w:t>up in January but had been more than offset by a negative contribution from </w:t>
      </w:r>
      <w:r>
        <w:rPr>
          <w:spacing w:val="2"/>
          <w:sz w:val="24"/>
        </w:rPr>
        <w:t>lower </w:t>
      </w:r>
      <w:r>
        <w:rPr>
          <w:spacing w:val="-5"/>
          <w:sz w:val="24"/>
        </w:rPr>
        <w:t>bonus </w:t>
      </w:r>
      <w:r>
        <w:rPr>
          <w:sz w:val="24"/>
        </w:rPr>
        <w:t>payments. The wage settlement data so far available in 2006 on a matched sample basis, appeared to be somewhat lower than a year earlier, although this particularly reflected a few settlements in </w:t>
      </w:r>
      <w:r>
        <w:rPr>
          <w:spacing w:val="-2"/>
          <w:sz w:val="24"/>
        </w:rPr>
        <w:t>the </w:t>
      </w:r>
      <w:r>
        <w:rPr>
          <w:sz w:val="24"/>
        </w:rPr>
        <w:t>services sector.</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68" w:firstLine="0"/>
        <w:jc w:val="left"/>
        <w:rPr>
          <w:sz w:val="24"/>
        </w:rPr>
      </w:pPr>
      <w:r>
        <w:rPr>
          <w:sz w:val="24"/>
        </w:rPr>
        <w:t>Manufacturing</w:t>
      </w:r>
      <w:r>
        <w:rPr>
          <w:spacing w:val="-4"/>
          <w:sz w:val="24"/>
        </w:rPr>
        <w:t> </w:t>
      </w:r>
      <w:r>
        <w:rPr>
          <w:sz w:val="24"/>
        </w:rPr>
        <w:t>input</w:t>
      </w:r>
      <w:r>
        <w:rPr>
          <w:spacing w:val="-13"/>
          <w:sz w:val="24"/>
        </w:rPr>
        <w:t> </w:t>
      </w:r>
      <w:r>
        <w:rPr>
          <w:sz w:val="24"/>
        </w:rPr>
        <w:t>and</w:t>
      </w:r>
      <w:r>
        <w:rPr>
          <w:spacing w:val="-3"/>
          <w:sz w:val="24"/>
        </w:rPr>
        <w:t> </w:t>
      </w:r>
      <w:r>
        <w:rPr>
          <w:sz w:val="24"/>
        </w:rPr>
        <w:t>output</w:t>
      </w:r>
      <w:r>
        <w:rPr>
          <w:spacing w:val="-3"/>
          <w:sz w:val="24"/>
        </w:rPr>
        <w:t> </w:t>
      </w:r>
      <w:r>
        <w:rPr>
          <w:sz w:val="24"/>
        </w:rPr>
        <w:t>price</w:t>
      </w:r>
      <w:r>
        <w:rPr>
          <w:spacing w:val="-3"/>
          <w:sz w:val="24"/>
        </w:rPr>
        <w:t> </w:t>
      </w:r>
      <w:r>
        <w:rPr>
          <w:sz w:val="24"/>
        </w:rPr>
        <w:t>inflation</w:t>
      </w:r>
      <w:r>
        <w:rPr>
          <w:spacing w:val="-2"/>
          <w:sz w:val="24"/>
        </w:rPr>
        <w:t> </w:t>
      </w:r>
      <w:r>
        <w:rPr>
          <w:sz w:val="24"/>
        </w:rPr>
        <w:t>had</w:t>
      </w:r>
      <w:r>
        <w:rPr>
          <w:spacing w:val="-3"/>
          <w:sz w:val="24"/>
        </w:rPr>
        <w:t> </w:t>
      </w:r>
      <w:r>
        <w:rPr>
          <w:sz w:val="24"/>
        </w:rPr>
        <w:t>been</w:t>
      </w:r>
      <w:r>
        <w:rPr>
          <w:spacing w:val="-12"/>
          <w:sz w:val="24"/>
        </w:rPr>
        <w:t> </w:t>
      </w:r>
      <w:r>
        <w:rPr>
          <w:sz w:val="24"/>
        </w:rPr>
        <w:t>little</w:t>
      </w:r>
      <w:r>
        <w:rPr>
          <w:spacing w:val="-1"/>
          <w:sz w:val="24"/>
        </w:rPr>
        <w:t> </w:t>
      </w:r>
      <w:r>
        <w:rPr>
          <w:sz w:val="24"/>
        </w:rPr>
        <w:t>changed</w:t>
      </w:r>
      <w:r>
        <w:rPr>
          <w:spacing w:val="-1"/>
          <w:sz w:val="24"/>
        </w:rPr>
        <w:t> </w:t>
      </w:r>
      <w:r>
        <w:rPr>
          <w:sz w:val="24"/>
        </w:rPr>
        <w:t>on</w:t>
      </w:r>
      <w:r>
        <w:rPr>
          <w:spacing w:val="-1"/>
          <w:sz w:val="24"/>
        </w:rPr>
        <w:t> </w:t>
      </w:r>
      <w:r>
        <w:rPr>
          <w:sz w:val="24"/>
        </w:rPr>
        <w:t>the</w:t>
      </w:r>
      <w:r>
        <w:rPr>
          <w:spacing w:val="-1"/>
          <w:sz w:val="24"/>
        </w:rPr>
        <w:t> </w:t>
      </w:r>
      <w:r>
        <w:rPr>
          <w:sz w:val="24"/>
        </w:rPr>
        <w:t>month</w:t>
      </w:r>
      <w:r>
        <w:rPr>
          <w:spacing w:val="-1"/>
          <w:sz w:val="24"/>
        </w:rPr>
        <w:t> </w:t>
      </w:r>
      <w:r>
        <w:rPr>
          <w:sz w:val="24"/>
        </w:rPr>
        <w:t>while</w:t>
      </w:r>
      <w:r>
        <w:rPr>
          <w:spacing w:val="-10"/>
          <w:sz w:val="24"/>
        </w:rPr>
        <w:t> </w:t>
      </w:r>
      <w:r>
        <w:rPr>
          <w:sz w:val="24"/>
        </w:rPr>
        <w:t>both the CIPS manufacturing survey </w:t>
      </w:r>
      <w:r>
        <w:rPr>
          <w:spacing w:val="-3"/>
          <w:sz w:val="24"/>
        </w:rPr>
        <w:t>and </w:t>
      </w:r>
      <w:r>
        <w:rPr>
          <w:sz w:val="24"/>
        </w:rPr>
        <w:t>the CBI </w:t>
      </w:r>
      <w:r>
        <w:rPr>
          <w:i/>
          <w:sz w:val="24"/>
        </w:rPr>
        <w:t>Monthly Industrial Trends Survey </w:t>
      </w:r>
      <w:r>
        <w:rPr>
          <w:spacing w:val="-3"/>
          <w:sz w:val="24"/>
        </w:rPr>
        <w:t>pointed </w:t>
      </w:r>
      <w:r>
        <w:rPr>
          <w:sz w:val="24"/>
        </w:rPr>
        <w:t>to </w:t>
      </w:r>
      <w:r>
        <w:rPr>
          <w:spacing w:val="-3"/>
          <w:sz w:val="24"/>
        </w:rPr>
        <w:t>some </w:t>
      </w:r>
      <w:r>
        <w:rPr>
          <w:sz w:val="24"/>
        </w:rPr>
        <w:t>strengthening of output price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398" w:firstLine="0"/>
        <w:jc w:val="left"/>
        <w:rPr>
          <w:sz w:val="24"/>
        </w:rPr>
      </w:pPr>
      <w:r>
        <w:rPr>
          <w:sz w:val="24"/>
        </w:rPr>
        <w:t>Annual CPI inflation was 2.0% in </w:t>
      </w:r>
      <w:r>
        <w:rPr>
          <w:spacing w:val="-3"/>
          <w:sz w:val="24"/>
        </w:rPr>
        <w:t>February. </w:t>
      </w:r>
      <w:r>
        <w:rPr>
          <w:sz w:val="24"/>
        </w:rPr>
        <w:t>Wholesale </w:t>
      </w:r>
      <w:r>
        <w:rPr>
          <w:spacing w:val="-5"/>
          <w:sz w:val="24"/>
        </w:rPr>
        <w:t>gas </w:t>
      </w:r>
      <w:r>
        <w:rPr>
          <w:sz w:val="24"/>
        </w:rPr>
        <w:t>prices had come down from recent peaks but the average price for 2006, based on futures </w:t>
      </w:r>
      <w:r>
        <w:rPr>
          <w:spacing w:val="-3"/>
          <w:sz w:val="24"/>
        </w:rPr>
        <w:t>markets, </w:t>
      </w:r>
      <w:r>
        <w:rPr>
          <w:sz w:val="24"/>
        </w:rPr>
        <w:t>would be some 50% higher than in 2005.</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49" w:firstLine="0"/>
        <w:jc w:val="left"/>
        <w:rPr>
          <w:sz w:val="24"/>
        </w:rPr>
      </w:pPr>
      <w:r>
        <w:rPr>
          <w:sz w:val="24"/>
        </w:rPr>
        <w:t>Recent surveys of the general public – </w:t>
      </w:r>
      <w:r>
        <w:rPr>
          <w:spacing w:val="-3"/>
          <w:sz w:val="24"/>
        </w:rPr>
        <w:t>including </w:t>
      </w:r>
      <w:r>
        <w:rPr>
          <w:sz w:val="24"/>
        </w:rPr>
        <w:t>the Bank of England/NOP and the Citigroup/YouGov surveys – </w:t>
      </w:r>
      <w:r>
        <w:rPr>
          <w:spacing w:val="-3"/>
          <w:sz w:val="24"/>
        </w:rPr>
        <w:t>had </w:t>
      </w:r>
      <w:r>
        <w:rPr>
          <w:sz w:val="24"/>
        </w:rPr>
        <w:t>appeared to show a noticeable increase in inflation expectations. That might have reflected recent announcements of higher gas and electricity prices, but the data would need to be monitored</w:t>
      </w:r>
      <w:r>
        <w:rPr>
          <w:spacing w:val="3"/>
          <w:sz w:val="24"/>
        </w:rPr>
        <w:t> </w:t>
      </w:r>
      <w:r>
        <w:rPr>
          <w:sz w:val="24"/>
        </w:rPr>
        <w:t>carefully.</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278" w:firstLine="0"/>
        <w:jc w:val="left"/>
        <w:rPr>
          <w:sz w:val="24"/>
        </w:rPr>
      </w:pPr>
      <w:r>
        <w:rPr>
          <w:sz w:val="24"/>
        </w:rPr>
        <w:t>Although there was little evidence of </w:t>
      </w:r>
      <w:r>
        <w:rPr>
          <w:spacing w:val="-4"/>
          <w:sz w:val="24"/>
        </w:rPr>
        <w:t>rising </w:t>
      </w:r>
      <w:r>
        <w:rPr>
          <w:sz w:val="24"/>
        </w:rPr>
        <w:t>nominal wage pressures, </w:t>
      </w:r>
      <w:r>
        <w:rPr>
          <w:spacing w:val="-4"/>
          <w:sz w:val="24"/>
        </w:rPr>
        <w:t>the </w:t>
      </w:r>
      <w:r>
        <w:rPr>
          <w:sz w:val="24"/>
        </w:rPr>
        <w:t>annual growth rate </w:t>
      </w:r>
      <w:r>
        <w:rPr>
          <w:spacing w:val="-4"/>
          <w:sz w:val="24"/>
        </w:rPr>
        <w:t>of </w:t>
      </w:r>
      <w:r>
        <w:rPr>
          <w:sz w:val="24"/>
        </w:rPr>
        <w:t>the</w:t>
      </w:r>
      <w:r>
        <w:rPr>
          <w:spacing w:val="-5"/>
          <w:sz w:val="24"/>
        </w:rPr>
        <w:t> </w:t>
      </w:r>
      <w:r>
        <w:rPr>
          <w:sz w:val="24"/>
        </w:rPr>
        <w:t>average</w:t>
      </w:r>
      <w:r>
        <w:rPr>
          <w:spacing w:val="-4"/>
          <w:sz w:val="24"/>
        </w:rPr>
        <w:t> </w:t>
      </w:r>
      <w:r>
        <w:rPr>
          <w:sz w:val="24"/>
        </w:rPr>
        <w:t>real</w:t>
      </w:r>
      <w:r>
        <w:rPr>
          <w:spacing w:val="-3"/>
          <w:sz w:val="24"/>
        </w:rPr>
        <w:t> </w:t>
      </w:r>
      <w:r>
        <w:rPr>
          <w:sz w:val="24"/>
        </w:rPr>
        <w:t>product</w:t>
      </w:r>
      <w:r>
        <w:rPr>
          <w:spacing w:val="-4"/>
          <w:sz w:val="24"/>
        </w:rPr>
        <w:t> </w:t>
      </w:r>
      <w:r>
        <w:rPr>
          <w:sz w:val="24"/>
        </w:rPr>
        <w:t>wage</w:t>
      </w:r>
      <w:r>
        <w:rPr>
          <w:spacing w:val="-3"/>
          <w:sz w:val="24"/>
        </w:rPr>
        <w:t> </w:t>
      </w:r>
      <w:r>
        <w:rPr>
          <w:sz w:val="24"/>
        </w:rPr>
        <w:t>–</w:t>
      </w:r>
      <w:r>
        <w:rPr>
          <w:spacing w:val="-3"/>
          <w:sz w:val="24"/>
        </w:rPr>
        <w:t> </w:t>
      </w:r>
      <w:r>
        <w:rPr>
          <w:sz w:val="24"/>
        </w:rPr>
        <w:t>that</w:t>
      </w:r>
      <w:r>
        <w:rPr>
          <w:spacing w:val="-3"/>
          <w:sz w:val="24"/>
        </w:rPr>
        <w:t> </w:t>
      </w:r>
      <w:r>
        <w:rPr>
          <w:sz w:val="24"/>
        </w:rPr>
        <w:t>is</w:t>
      </w:r>
      <w:r>
        <w:rPr>
          <w:spacing w:val="-4"/>
          <w:sz w:val="24"/>
        </w:rPr>
        <w:t> </w:t>
      </w:r>
      <w:r>
        <w:rPr>
          <w:sz w:val="24"/>
        </w:rPr>
        <w:t>the</w:t>
      </w:r>
      <w:r>
        <w:rPr>
          <w:spacing w:val="-4"/>
          <w:sz w:val="24"/>
        </w:rPr>
        <w:t> </w:t>
      </w:r>
      <w:r>
        <w:rPr>
          <w:sz w:val="24"/>
        </w:rPr>
        <w:t>real</w:t>
      </w:r>
      <w:r>
        <w:rPr>
          <w:spacing w:val="-3"/>
          <w:sz w:val="24"/>
        </w:rPr>
        <w:t> </w:t>
      </w:r>
      <w:r>
        <w:rPr>
          <w:sz w:val="24"/>
        </w:rPr>
        <w:t>cost</w:t>
      </w:r>
      <w:r>
        <w:rPr>
          <w:spacing w:val="-4"/>
          <w:sz w:val="24"/>
        </w:rPr>
        <w:t> </w:t>
      </w:r>
      <w:r>
        <w:rPr>
          <w:sz w:val="24"/>
        </w:rPr>
        <w:t>faced</w:t>
      </w:r>
      <w:r>
        <w:rPr>
          <w:spacing w:val="-3"/>
          <w:sz w:val="24"/>
        </w:rPr>
        <w:t> </w:t>
      </w:r>
      <w:r>
        <w:rPr>
          <w:sz w:val="24"/>
        </w:rPr>
        <w:t>by</w:t>
      </w:r>
      <w:r>
        <w:rPr>
          <w:spacing w:val="-4"/>
          <w:sz w:val="24"/>
        </w:rPr>
        <w:t> </w:t>
      </w:r>
      <w:r>
        <w:rPr>
          <w:sz w:val="24"/>
        </w:rPr>
        <w:t>the</w:t>
      </w:r>
      <w:r>
        <w:rPr>
          <w:spacing w:val="-3"/>
          <w:sz w:val="24"/>
        </w:rPr>
        <w:t> </w:t>
      </w:r>
      <w:r>
        <w:rPr>
          <w:sz w:val="24"/>
        </w:rPr>
        <w:t>employer</w:t>
      </w:r>
      <w:r>
        <w:rPr>
          <w:spacing w:val="-5"/>
          <w:sz w:val="24"/>
        </w:rPr>
        <w:t> </w:t>
      </w:r>
      <w:r>
        <w:rPr>
          <w:sz w:val="24"/>
        </w:rPr>
        <w:t>– had risen</w:t>
      </w:r>
      <w:r>
        <w:rPr>
          <w:spacing w:val="-1"/>
          <w:sz w:val="24"/>
        </w:rPr>
        <w:t> </w:t>
      </w:r>
      <w:r>
        <w:rPr>
          <w:sz w:val="24"/>
        </w:rPr>
        <w:t>a</w:t>
      </w:r>
      <w:r>
        <w:rPr>
          <w:spacing w:val="-1"/>
          <w:sz w:val="24"/>
        </w:rPr>
        <w:t> </w:t>
      </w:r>
      <w:r>
        <w:rPr>
          <w:sz w:val="24"/>
        </w:rPr>
        <w:t>little</w:t>
      </w:r>
      <w:r>
        <w:rPr>
          <w:spacing w:val="-2"/>
          <w:sz w:val="24"/>
        </w:rPr>
        <w:t> </w:t>
      </w:r>
      <w:r>
        <w:rPr>
          <w:sz w:val="24"/>
        </w:rPr>
        <w:t>since</w:t>
      </w:r>
      <w:r>
        <w:rPr>
          <w:spacing w:val="-4"/>
          <w:sz w:val="24"/>
        </w:rPr>
        <w:t> </w:t>
      </w:r>
      <w:r>
        <w:rPr>
          <w:sz w:val="24"/>
        </w:rPr>
        <w:t>the start of 2005, while the growth of the average real consumption wage earned by employees had </w:t>
      </w:r>
      <w:r>
        <w:rPr>
          <w:spacing w:val="-2"/>
          <w:sz w:val="24"/>
        </w:rPr>
        <w:t>fallen </w:t>
      </w:r>
      <w:r>
        <w:rPr>
          <w:sz w:val="24"/>
        </w:rPr>
        <w:t>a little. The rise in real product wage growth could have been evidence of some resistance to </w:t>
      </w:r>
      <w:r>
        <w:rPr>
          <w:spacing w:val="-2"/>
          <w:sz w:val="24"/>
        </w:rPr>
        <w:t>the </w:t>
      </w:r>
      <w:r>
        <w:rPr>
          <w:sz w:val="24"/>
        </w:rPr>
        <w:t>required fall in real consumption wage growth in the face of higher energy prices, although this could also reflect measurement issues: </w:t>
      </w:r>
      <w:r>
        <w:rPr>
          <w:spacing w:val="-3"/>
          <w:sz w:val="24"/>
        </w:rPr>
        <w:t>the </w:t>
      </w:r>
      <w:r>
        <w:rPr>
          <w:sz w:val="24"/>
        </w:rPr>
        <w:t>higher costs facing employers would, in </w:t>
      </w:r>
      <w:r>
        <w:rPr>
          <w:spacing w:val="-3"/>
          <w:sz w:val="24"/>
        </w:rPr>
        <w:t>part, </w:t>
      </w:r>
      <w:r>
        <w:rPr>
          <w:sz w:val="24"/>
        </w:rPr>
        <w:t>reflect </w:t>
      </w:r>
      <w:r>
        <w:rPr>
          <w:spacing w:val="-3"/>
          <w:sz w:val="24"/>
        </w:rPr>
        <w:t>any </w:t>
      </w:r>
      <w:r>
        <w:rPr>
          <w:sz w:val="24"/>
        </w:rPr>
        <w:t>one-off </w:t>
      </w:r>
      <w:r>
        <w:rPr>
          <w:spacing w:val="-3"/>
          <w:sz w:val="24"/>
        </w:rPr>
        <w:t>payments </w:t>
      </w:r>
      <w:r>
        <w:rPr>
          <w:sz w:val="24"/>
        </w:rPr>
        <w:t>to offset pension fund deficits, but they </w:t>
      </w:r>
      <w:r>
        <w:rPr>
          <w:spacing w:val="2"/>
          <w:sz w:val="24"/>
        </w:rPr>
        <w:t>would </w:t>
      </w:r>
      <w:r>
        <w:rPr>
          <w:sz w:val="24"/>
        </w:rPr>
        <w:t>not affect the marginal cost of employing labour.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90"/>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36" w:firstLine="0"/>
        <w:jc w:val="left"/>
        <w:rPr>
          <w:sz w:val="24"/>
        </w:rPr>
      </w:pPr>
      <w:r>
        <w:rPr>
          <w:sz w:val="24"/>
        </w:rPr>
        <w:t>Interest rates had risen internationally and at all maturities since the March MPC </w:t>
      </w:r>
      <w:r>
        <w:rPr>
          <w:spacing w:val="-3"/>
          <w:sz w:val="24"/>
        </w:rPr>
        <w:t>meeting. </w:t>
      </w:r>
      <w:r>
        <w:rPr>
          <w:spacing w:val="-4"/>
          <w:sz w:val="24"/>
        </w:rPr>
        <w:t>But </w:t>
      </w:r>
      <w:r>
        <w:rPr>
          <w:sz w:val="24"/>
        </w:rPr>
        <w:t>over</w:t>
      </w:r>
      <w:r>
        <w:rPr>
          <w:spacing w:val="-5"/>
          <w:sz w:val="24"/>
        </w:rPr>
        <w:t> </w:t>
      </w:r>
      <w:r>
        <w:rPr>
          <w:sz w:val="24"/>
        </w:rPr>
        <w:t>the</w:t>
      </w:r>
      <w:r>
        <w:rPr>
          <w:spacing w:val="-5"/>
          <w:sz w:val="24"/>
        </w:rPr>
        <w:t> </w:t>
      </w:r>
      <w:r>
        <w:rPr>
          <w:sz w:val="24"/>
        </w:rPr>
        <w:t>same</w:t>
      </w:r>
      <w:r>
        <w:rPr>
          <w:spacing w:val="-4"/>
          <w:sz w:val="24"/>
        </w:rPr>
        <w:t> </w:t>
      </w:r>
      <w:r>
        <w:rPr>
          <w:sz w:val="24"/>
        </w:rPr>
        <w:t>period</w:t>
      </w:r>
      <w:r>
        <w:rPr>
          <w:spacing w:val="-3"/>
          <w:sz w:val="24"/>
        </w:rPr>
        <w:t> </w:t>
      </w:r>
      <w:r>
        <w:rPr>
          <w:sz w:val="24"/>
        </w:rPr>
        <w:t>equity</w:t>
      </w:r>
      <w:r>
        <w:rPr>
          <w:spacing w:val="-2"/>
          <w:sz w:val="24"/>
        </w:rPr>
        <w:t> </w:t>
      </w:r>
      <w:r>
        <w:rPr>
          <w:sz w:val="24"/>
        </w:rPr>
        <w:t>prices</w:t>
      </w:r>
      <w:r>
        <w:rPr>
          <w:spacing w:val="-3"/>
          <w:sz w:val="24"/>
        </w:rPr>
        <w:t> </w:t>
      </w:r>
      <w:r>
        <w:rPr>
          <w:sz w:val="24"/>
        </w:rPr>
        <w:t>had</w:t>
      </w:r>
      <w:r>
        <w:rPr>
          <w:spacing w:val="-3"/>
          <w:sz w:val="24"/>
        </w:rPr>
        <w:t> </w:t>
      </w:r>
      <w:r>
        <w:rPr>
          <w:sz w:val="24"/>
        </w:rPr>
        <w:t>risen</w:t>
      </w:r>
      <w:r>
        <w:rPr>
          <w:spacing w:val="-2"/>
          <w:sz w:val="24"/>
        </w:rPr>
        <w:t> </w:t>
      </w:r>
      <w:r>
        <w:rPr>
          <w:sz w:val="24"/>
        </w:rPr>
        <w:t>strongly,</w:t>
      </w:r>
      <w:r>
        <w:rPr>
          <w:spacing w:val="-3"/>
          <w:sz w:val="24"/>
        </w:rPr>
        <w:t> </w:t>
      </w:r>
      <w:r>
        <w:rPr>
          <w:sz w:val="24"/>
        </w:rPr>
        <w:t>house</w:t>
      </w:r>
      <w:r>
        <w:rPr>
          <w:spacing w:val="-2"/>
          <w:sz w:val="24"/>
        </w:rPr>
        <w:t> </w:t>
      </w:r>
      <w:r>
        <w:rPr>
          <w:sz w:val="24"/>
        </w:rPr>
        <w:t>price</w:t>
      </w:r>
      <w:r>
        <w:rPr>
          <w:spacing w:val="-3"/>
          <w:sz w:val="24"/>
        </w:rPr>
        <w:t> </w:t>
      </w:r>
      <w:r>
        <w:rPr>
          <w:sz w:val="24"/>
        </w:rPr>
        <w:t>inflation</w:t>
      </w:r>
      <w:r>
        <w:rPr>
          <w:spacing w:val="-4"/>
          <w:sz w:val="24"/>
        </w:rPr>
        <w:t> </w:t>
      </w:r>
      <w:r>
        <w:rPr>
          <w:spacing w:val="-3"/>
          <w:sz w:val="24"/>
        </w:rPr>
        <w:t>had</w:t>
      </w:r>
      <w:r>
        <w:rPr>
          <w:spacing w:val="-7"/>
          <w:sz w:val="24"/>
        </w:rPr>
        <w:t> </w:t>
      </w:r>
      <w:r>
        <w:rPr>
          <w:sz w:val="24"/>
        </w:rPr>
        <w:t>remained</w:t>
      </w:r>
      <w:r>
        <w:rPr>
          <w:spacing w:val="-3"/>
          <w:sz w:val="24"/>
        </w:rPr>
        <w:t> </w:t>
      </w:r>
      <w:r>
        <w:rPr>
          <w:sz w:val="24"/>
        </w:rPr>
        <w:t>at</w:t>
      </w:r>
      <w:r>
        <w:rPr>
          <w:spacing w:val="-4"/>
          <w:sz w:val="24"/>
        </w:rPr>
        <w:t> </w:t>
      </w:r>
      <w:r>
        <w:rPr>
          <w:sz w:val="24"/>
        </w:rPr>
        <w:t>a</w:t>
      </w:r>
      <w:r>
        <w:rPr>
          <w:spacing w:val="-9"/>
          <w:sz w:val="24"/>
        </w:rPr>
        <w:t> </w:t>
      </w:r>
      <w:r>
        <w:rPr>
          <w:sz w:val="24"/>
        </w:rPr>
        <w:t>quarterly rate of around 2% and the </w:t>
      </w:r>
      <w:r>
        <w:rPr>
          <w:spacing w:val="-3"/>
          <w:sz w:val="24"/>
        </w:rPr>
        <w:t>exchange </w:t>
      </w:r>
      <w:r>
        <w:rPr>
          <w:sz w:val="24"/>
        </w:rPr>
        <w:t>rate had fallen by over 1%. Taking these developments together, the Committee agreed that asset prices were likely to be supportive for </w:t>
      </w:r>
      <w:r>
        <w:rPr>
          <w:spacing w:val="-6"/>
          <w:sz w:val="24"/>
        </w:rPr>
        <w:t>UK </w:t>
      </w:r>
      <w:r>
        <w:rPr>
          <w:sz w:val="24"/>
        </w:rPr>
        <w:t>demand growth going forward. Recent monetary </w:t>
      </w:r>
      <w:r>
        <w:rPr>
          <w:spacing w:val="-3"/>
          <w:sz w:val="24"/>
        </w:rPr>
        <w:t>tightening </w:t>
      </w:r>
      <w:r>
        <w:rPr>
          <w:sz w:val="24"/>
        </w:rPr>
        <w:t>in the major economies had not caused any disturbance in financial</w:t>
      </w:r>
      <w:r>
        <w:rPr>
          <w:spacing w:val="-2"/>
          <w:sz w:val="24"/>
        </w:rPr>
        <w:t> </w:t>
      </w:r>
      <w:r>
        <w:rPr>
          <w:sz w:val="24"/>
        </w:rPr>
        <w:t>markets.</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181" w:firstLine="0"/>
        <w:jc w:val="left"/>
        <w:rPr>
          <w:sz w:val="24"/>
        </w:rPr>
      </w:pPr>
      <w:r>
        <w:rPr>
          <w:sz w:val="24"/>
        </w:rPr>
        <w:t>The international economy also continued to be relatively </w:t>
      </w:r>
      <w:r>
        <w:rPr>
          <w:spacing w:val="-3"/>
          <w:sz w:val="24"/>
        </w:rPr>
        <w:t>strong. </w:t>
      </w:r>
      <w:r>
        <w:rPr>
          <w:sz w:val="24"/>
        </w:rPr>
        <w:t>In the euro area, indicators had pointed to growth at or above trend in the near term. In the </w:t>
      </w:r>
      <w:r>
        <w:rPr>
          <w:spacing w:val="-3"/>
          <w:sz w:val="24"/>
        </w:rPr>
        <w:t>United </w:t>
      </w:r>
      <w:r>
        <w:rPr>
          <w:sz w:val="24"/>
        </w:rPr>
        <w:t>Sta tes, economic growth continued to</w:t>
      </w:r>
      <w:r>
        <w:rPr>
          <w:spacing w:val="-6"/>
          <w:sz w:val="24"/>
        </w:rPr>
        <w:t> </w:t>
      </w:r>
      <w:r>
        <w:rPr>
          <w:sz w:val="24"/>
        </w:rPr>
        <w:t>be</w:t>
      </w:r>
      <w:r>
        <w:rPr>
          <w:spacing w:val="-5"/>
          <w:sz w:val="24"/>
        </w:rPr>
        <w:t> </w:t>
      </w:r>
      <w:r>
        <w:rPr>
          <w:sz w:val="24"/>
        </w:rPr>
        <w:t>robust,</w:t>
      </w:r>
      <w:r>
        <w:rPr>
          <w:spacing w:val="-6"/>
          <w:sz w:val="24"/>
        </w:rPr>
        <w:t> </w:t>
      </w:r>
      <w:r>
        <w:rPr>
          <w:sz w:val="24"/>
        </w:rPr>
        <w:t>although</w:t>
      </w:r>
      <w:r>
        <w:rPr>
          <w:spacing w:val="-5"/>
          <w:sz w:val="24"/>
        </w:rPr>
        <w:t> </w:t>
      </w:r>
      <w:r>
        <w:rPr>
          <w:sz w:val="24"/>
        </w:rPr>
        <w:t>there</w:t>
      </w:r>
      <w:r>
        <w:rPr>
          <w:spacing w:val="-6"/>
          <w:sz w:val="24"/>
        </w:rPr>
        <w:t> </w:t>
      </w:r>
      <w:r>
        <w:rPr>
          <w:sz w:val="24"/>
        </w:rPr>
        <w:t>appeared</w:t>
      </w:r>
      <w:r>
        <w:rPr>
          <w:spacing w:val="-5"/>
          <w:sz w:val="24"/>
        </w:rPr>
        <w:t> </w:t>
      </w:r>
      <w:r>
        <w:rPr>
          <w:sz w:val="24"/>
        </w:rPr>
        <w:t>to</w:t>
      </w:r>
      <w:r>
        <w:rPr>
          <w:spacing w:val="-6"/>
          <w:sz w:val="24"/>
        </w:rPr>
        <w:t> </w:t>
      </w:r>
      <w:r>
        <w:rPr>
          <w:sz w:val="24"/>
        </w:rPr>
        <w:t>be</w:t>
      </w:r>
      <w:r>
        <w:rPr>
          <w:spacing w:val="-5"/>
          <w:sz w:val="24"/>
        </w:rPr>
        <w:t> </w:t>
      </w:r>
      <w:r>
        <w:rPr>
          <w:sz w:val="24"/>
        </w:rPr>
        <w:t>some</w:t>
      </w:r>
      <w:r>
        <w:rPr>
          <w:spacing w:val="-5"/>
          <w:sz w:val="24"/>
        </w:rPr>
        <w:t> </w:t>
      </w:r>
      <w:r>
        <w:rPr>
          <w:sz w:val="24"/>
        </w:rPr>
        <w:t>downside</w:t>
      </w:r>
      <w:r>
        <w:rPr>
          <w:spacing w:val="-6"/>
          <w:sz w:val="24"/>
        </w:rPr>
        <w:t> </w:t>
      </w:r>
      <w:r>
        <w:rPr>
          <w:sz w:val="24"/>
        </w:rPr>
        <w:t>risks</w:t>
      </w:r>
      <w:r>
        <w:rPr>
          <w:spacing w:val="-5"/>
          <w:sz w:val="24"/>
        </w:rPr>
        <w:t> </w:t>
      </w:r>
      <w:r>
        <w:rPr>
          <w:sz w:val="24"/>
        </w:rPr>
        <w:t>to</w:t>
      </w:r>
      <w:r>
        <w:rPr>
          <w:spacing w:val="-6"/>
          <w:sz w:val="24"/>
        </w:rPr>
        <w:t> </w:t>
      </w:r>
      <w:r>
        <w:rPr>
          <w:sz w:val="24"/>
        </w:rPr>
        <w:t>activity</w:t>
      </w:r>
      <w:r>
        <w:rPr>
          <w:spacing w:val="6"/>
          <w:sz w:val="24"/>
        </w:rPr>
        <w:t> </w:t>
      </w:r>
      <w:r>
        <w:rPr>
          <w:sz w:val="24"/>
        </w:rPr>
        <w:t>should</w:t>
      </w:r>
      <w:r>
        <w:rPr>
          <w:spacing w:val="-6"/>
          <w:sz w:val="24"/>
        </w:rPr>
        <w:t> </w:t>
      </w:r>
      <w:r>
        <w:rPr>
          <w:sz w:val="24"/>
        </w:rPr>
        <w:t>consumption</w:t>
      </w:r>
      <w:r>
        <w:rPr>
          <w:spacing w:val="-5"/>
          <w:sz w:val="24"/>
        </w:rPr>
        <w:t> </w:t>
      </w:r>
      <w:r>
        <w:rPr>
          <w:sz w:val="24"/>
        </w:rPr>
        <w:t>growth slow with the housing market. Overall, UK trade-weighted world import growth had been at least as strong as projected in the February </w:t>
      </w:r>
      <w:r>
        <w:rPr>
          <w:i/>
          <w:sz w:val="24"/>
        </w:rPr>
        <w:t>Inflation Report </w:t>
      </w:r>
      <w:r>
        <w:rPr>
          <w:sz w:val="24"/>
        </w:rPr>
        <w:t>and global demand </w:t>
      </w:r>
      <w:r>
        <w:rPr>
          <w:spacing w:val="-4"/>
          <w:sz w:val="24"/>
        </w:rPr>
        <w:t>growth </w:t>
      </w:r>
      <w:r>
        <w:rPr>
          <w:sz w:val="24"/>
        </w:rPr>
        <w:t>looked set to remain robust in 2006. The Bank’s regional Agents had suggested that exporters were optimistic about their immediate prospects.</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7" w:right="339" w:firstLine="0"/>
        <w:jc w:val="left"/>
        <w:rPr>
          <w:sz w:val="24"/>
        </w:rPr>
      </w:pPr>
      <w:r>
        <w:rPr>
          <w:sz w:val="24"/>
        </w:rPr>
        <w:t>In the United Kingdom, abstracting from erratic quarterly movements, it seemed that both</w:t>
      </w:r>
      <w:r>
        <w:rPr>
          <w:spacing w:val="-43"/>
          <w:sz w:val="24"/>
        </w:rPr>
        <w:t> </w:t>
      </w:r>
      <w:r>
        <w:rPr>
          <w:sz w:val="24"/>
        </w:rPr>
        <w:t>GDP and consumption had grown around trend in the past couple of</w:t>
      </w:r>
      <w:r>
        <w:rPr>
          <w:spacing w:val="17"/>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421" w:firstLine="0"/>
        <w:jc w:val="left"/>
        <w:rPr>
          <w:sz w:val="24"/>
        </w:rPr>
      </w:pPr>
      <w:r>
        <w:rPr>
          <w:sz w:val="24"/>
        </w:rPr>
        <w:t>Recent data could reflect the start of a re-balancing of the economy away from domestic consumption and towards other components of expenditure, particularly net exports. That would be encouraged by recent movements in relative prices, including higher energy prices, which would depress real personal disposable income, and the weakening of the effective exchange rate, which would support export demand. Such a rebalancing would have little impact on domestic inflationary pressure, despite slower consumption</w:t>
      </w:r>
      <w:r>
        <w:rPr>
          <w:spacing w:val="-6"/>
          <w:sz w:val="24"/>
        </w:rPr>
        <w:t> </w:t>
      </w:r>
      <w:r>
        <w:rPr>
          <w:sz w:val="24"/>
        </w:rPr>
        <w:t>growth.</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03" w:firstLine="0"/>
        <w:jc w:val="left"/>
        <w:rPr>
          <w:sz w:val="24"/>
        </w:rPr>
      </w:pPr>
      <w:r>
        <w:rPr>
          <w:sz w:val="24"/>
        </w:rPr>
        <w:t>The latest labour market data were consistent with some modest </w:t>
      </w:r>
      <w:r>
        <w:rPr>
          <w:spacing w:val="-3"/>
          <w:sz w:val="24"/>
        </w:rPr>
        <w:t>loosening: </w:t>
      </w:r>
      <w:r>
        <w:rPr>
          <w:sz w:val="24"/>
        </w:rPr>
        <w:t>employment </w:t>
      </w:r>
      <w:r>
        <w:rPr>
          <w:spacing w:val="-4"/>
          <w:sz w:val="24"/>
        </w:rPr>
        <w:t>had </w:t>
      </w:r>
      <w:r>
        <w:rPr>
          <w:sz w:val="24"/>
        </w:rPr>
        <w:t>grown over the previous year but not sufficiently fast to prevent a small rise in unemployment. Regular</w:t>
      </w:r>
      <w:r>
        <w:rPr>
          <w:spacing w:val="-3"/>
          <w:sz w:val="24"/>
        </w:rPr>
        <w:t> </w:t>
      </w:r>
      <w:r>
        <w:rPr>
          <w:sz w:val="24"/>
        </w:rPr>
        <w:t>pay</w:t>
      </w:r>
      <w:r>
        <w:rPr>
          <w:spacing w:val="-2"/>
          <w:sz w:val="24"/>
        </w:rPr>
        <w:t> </w:t>
      </w:r>
      <w:r>
        <w:rPr>
          <w:sz w:val="24"/>
        </w:rPr>
        <w:t>growth</w:t>
      </w:r>
      <w:r>
        <w:rPr>
          <w:spacing w:val="-2"/>
          <w:sz w:val="24"/>
        </w:rPr>
        <w:t> </w:t>
      </w:r>
      <w:r>
        <w:rPr>
          <w:sz w:val="24"/>
        </w:rPr>
        <w:t>had</w:t>
      </w:r>
      <w:r>
        <w:rPr>
          <w:spacing w:val="-2"/>
          <w:sz w:val="24"/>
        </w:rPr>
        <w:t> </w:t>
      </w:r>
      <w:r>
        <w:rPr>
          <w:sz w:val="24"/>
        </w:rPr>
        <w:t>edged</w:t>
      </w:r>
      <w:r>
        <w:rPr>
          <w:spacing w:val="-2"/>
          <w:sz w:val="24"/>
        </w:rPr>
        <w:t> </w:t>
      </w:r>
      <w:r>
        <w:rPr>
          <w:sz w:val="24"/>
        </w:rPr>
        <w:t>up</w:t>
      </w:r>
      <w:r>
        <w:rPr>
          <w:spacing w:val="-2"/>
          <w:sz w:val="24"/>
        </w:rPr>
        <w:t> </w:t>
      </w:r>
      <w:r>
        <w:rPr>
          <w:sz w:val="24"/>
        </w:rPr>
        <w:t>in</w:t>
      </w:r>
      <w:r>
        <w:rPr>
          <w:spacing w:val="-1"/>
          <w:sz w:val="24"/>
        </w:rPr>
        <w:t> </w:t>
      </w:r>
      <w:r>
        <w:rPr>
          <w:sz w:val="24"/>
        </w:rPr>
        <w:t>January</w:t>
      </w:r>
      <w:r>
        <w:rPr>
          <w:spacing w:val="-2"/>
          <w:sz w:val="24"/>
        </w:rPr>
        <w:t> </w:t>
      </w:r>
      <w:r>
        <w:rPr>
          <w:sz w:val="24"/>
        </w:rPr>
        <w:t>but</w:t>
      </w:r>
      <w:r>
        <w:rPr>
          <w:spacing w:val="-1"/>
          <w:sz w:val="24"/>
        </w:rPr>
        <w:t> </w:t>
      </w:r>
      <w:r>
        <w:rPr>
          <w:sz w:val="24"/>
        </w:rPr>
        <w:t>had</w:t>
      </w:r>
      <w:r>
        <w:rPr>
          <w:spacing w:val="-1"/>
          <w:sz w:val="24"/>
        </w:rPr>
        <w:t> </w:t>
      </w:r>
      <w:r>
        <w:rPr>
          <w:sz w:val="24"/>
        </w:rPr>
        <w:t>been</w:t>
      </w:r>
      <w:r>
        <w:rPr>
          <w:spacing w:val="-14"/>
          <w:sz w:val="24"/>
        </w:rPr>
        <w:t> </w:t>
      </w:r>
      <w:r>
        <w:rPr>
          <w:sz w:val="24"/>
        </w:rPr>
        <w:t>more</w:t>
      </w:r>
      <w:r>
        <w:rPr>
          <w:spacing w:val="-3"/>
          <w:sz w:val="24"/>
        </w:rPr>
        <w:t> </w:t>
      </w:r>
      <w:r>
        <w:rPr>
          <w:sz w:val="24"/>
        </w:rPr>
        <w:t>than</w:t>
      </w:r>
      <w:r>
        <w:rPr>
          <w:spacing w:val="-3"/>
          <w:sz w:val="24"/>
        </w:rPr>
        <w:t> </w:t>
      </w:r>
      <w:r>
        <w:rPr>
          <w:sz w:val="24"/>
        </w:rPr>
        <w:t>offset</w:t>
      </w:r>
      <w:r>
        <w:rPr>
          <w:spacing w:val="-3"/>
          <w:sz w:val="24"/>
        </w:rPr>
        <w:t> </w:t>
      </w:r>
      <w:r>
        <w:rPr>
          <w:sz w:val="24"/>
        </w:rPr>
        <w:t>by</w:t>
      </w:r>
      <w:r>
        <w:rPr>
          <w:spacing w:val="-3"/>
          <w:sz w:val="24"/>
        </w:rPr>
        <w:t> </w:t>
      </w:r>
      <w:r>
        <w:rPr>
          <w:sz w:val="24"/>
        </w:rPr>
        <w:t>a</w:t>
      </w:r>
      <w:r>
        <w:rPr>
          <w:spacing w:val="-3"/>
          <w:sz w:val="24"/>
        </w:rPr>
        <w:t> </w:t>
      </w:r>
      <w:r>
        <w:rPr>
          <w:sz w:val="24"/>
        </w:rPr>
        <w:t>negative</w:t>
      </w:r>
      <w:r>
        <w:rPr>
          <w:spacing w:val="-3"/>
          <w:sz w:val="24"/>
        </w:rPr>
        <w:t> </w:t>
      </w:r>
      <w:r>
        <w:rPr>
          <w:sz w:val="24"/>
        </w:rPr>
        <w:t>contribution from bonus payments. And wage settlements in January and February appeared to be </w:t>
      </w:r>
      <w:r>
        <w:rPr>
          <w:spacing w:val="-3"/>
          <w:sz w:val="24"/>
        </w:rPr>
        <w:t>showing no </w:t>
      </w:r>
      <w:r>
        <w:rPr>
          <w:sz w:val="24"/>
        </w:rPr>
        <w:t>signs of any increase on a year earlier. Although producer and consumer price inflation were</w:t>
      </w:r>
      <w:r>
        <w:rPr>
          <w:spacing w:val="16"/>
          <w:sz w:val="24"/>
        </w:rPr>
        <w:t> </w:t>
      </w:r>
      <w:r>
        <w:rPr>
          <w:sz w:val="24"/>
        </w:rPr>
        <w:t>little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270"/>
      </w:pPr>
      <w:r>
        <w:rPr/>
        <w:t>changed on the month, inflation expectations had picked up in recent surveys and this would need to be monitored carefully.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90" w:firstLine="0"/>
        <w:jc w:val="left"/>
        <w:rPr>
          <w:sz w:val="24"/>
        </w:rPr>
      </w:pPr>
      <w:r>
        <w:rPr>
          <w:spacing w:val="-3"/>
          <w:sz w:val="24"/>
        </w:rPr>
        <w:t>Output growth since </w:t>
      </w:r>
      <w:r>
        <w:rPr>
          <w:sz w:val="24"/>
        </w:rPr>
        <w:t>mid-2004 appeared to have been a little </w:t>
      </w:r>
      <w:r>
        <w:rPr>
          <w:spacing w:val="2"/>
          <w:sz w:val="24"/>
        </w:rPr>
        <w:t>less </w:t>
      </w:r>
      <w:r>
        <w:rPr>
          <w:sz w:val="24"/>
        </w:rPr>
        <w:t>than estimates of the rate of growth of potential </w:t>
      </w:r>
      <w:r>
        <w:rPr>
          <w:spacing w:val="-3"/>
          <w:sz w:val="24"/>
        </w:rPr>
        <w:t>output </w:t>
      </w:r>
      <w:r>
        <w:rPr>
          <w:sz w:val="24"/>
        </w:rPr>
        <w:t>but it was very difficult to know </w:t>
      </w:r>
      <w:r>
        <w:rPr>
          <w:spacing w:val="-4"/>
          <w:sz w:val="24"/>
        </w:rPr>
        <w:t>whether </w:t>
      </w:r>
      <w:r>
        <w:rPr>
          <w:sz w:val="24"/>
        </w:rPr>
        <w:t>the level of output was materially below potential. For some members, this period of below-trend </w:t>
      </w:r>
      <w:r>
        <w:rPr>
          <w:spacing w:val="-3"/>
          <w:sz w:val="24"/>
        </w:rPr>
        <w:t>growth, </w:t>
      </w:r>
      <w:r>
        <w:rPr>
          <w:sz w:val="24"/>
        </w:rPr>
        <w:t>together with evidence from business surveys and an easing of labour market conditions, clearly left the economy with some spare capacity. For others, given that the margin of spare capacity in 2004 and the growth of potential </w:t>
      </w:r>
      <w:r>
        <w:rPr>
          <w:spacing w:val="-3"/>
          <w:sz w:val="24"/>
        </w:rPr>
        <w:t>supply </w:t>
      </w:r>
      <w:r>
        <w:rPr>
          <w:sz w:val="24"/>
        </w:rPr>
        <w:t>since then </w:t>
      </w:r>
      <w:r>
        <w:rPr>
          <w:spacing w:val="2"/>
          <w:sz w:val="24"/>
        </w:rPr>
        <w:t>were </w:t>
      </w:r>
      <w:r>
        <w:rPr>
          <w:sz w:val="24"/>
        </w:rPr>
        <w:t>unobservable, it was difficult to draw strong conclusions about the current margin of spare capacity. Against a background of sharp increases in energy prices, there were risks of overestimating supply</w:t>
      </w:r>
      <w:r>
        <w:rPr>
          <w:spacing w:val="-13"/>
          <w:sz w:val="24"/>
        </w:rPr>
        <w:t> </w:t>
      </w:r>
      <w:r>
        <w:rPr>
          <w:sz w:val="24"/>
        </w:rPr>
        <w:t>capacity.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42" w:firstLine="0"/>
        <w:jc w:val="left"/>
        <w:rPr>
          <w:sz w:val="24"/>
        </w:rPr>
      </w:pPr>
      <w:r>
        <w:rPr>
          <w:sz w:val="24"/>
        </w:rPr>
        <w:t>Overall, the Committee agreed that there had been little news on the </w:t>
      </w:r>
      <w:r>
        <w:rPr>
          <w:spacing w:val="-3"/>
          <w:sz w:val="24"/>
        </w:rPr>
        <w:t>month. </w:t>
      </w:r>
      <w:r>
        <w:rPr>
          <w:sz w:val="24"/>
        </w:rPr>
        <w:t>For most Committee members the data suggested that recent output growth </w:t>
      </w:r>
      <w:r>
        <w:rPr>
          <w:spacing w:val="-3"/>
          <w:sz w:val="24"/>
        </w:rPr>
        <w:t>had </w:t>
      </w:r>
      <w:r>
        <w:rPr>
          <w:sz w:val="24"/>
        </w:rPr>
        <w:t>continued to grow at or </w:t>
      </w:r>
      <w:r>
        <w:rPr>
          <w:spacing w:val="-2"/>
          <w:sz w:val="24"/>
        </w:rPr>
        <w:t>around </w:t>
      </w:r>
      <w:r>
        <w:rPr>
          <w:sz w:val="24"/>
        </w:rPr>
        <w:t>the trend rate, although for some there remained a small downside risk to the near-term outlook. Inflation was likely to remain close to target with some upside risks in the near term related to recent increases in energy prices. In the light of those considerations it was appropriate to leave the repo rate unchanged this</w:t>
      </w:r>
      <w:r>
        <w:rPr>
          <w:spacing w:val="7"/>
          <w:sz w:val="24"/>
        </w:rPr>
        <w:t> </w:t>
      </w:r>
      <w:r>
        <w:rPr>
          <w:spacing w:val="-2"/>
          <w:sz w:val="24"/>
        </w:rPr>
        <w:t>month.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6" w:firstLine="0"/>
        <w:jc w:val="left"/>
        <w:rPr>
          <w:sz w:val="24"/>
        </w:rPr>
      </w:pPr>
      <w:r>
        <w:rPr>
          <w:sz w:val="24"/>
        </w:rPr>
        <w:t>For one member, there remained a case for the repo rate to be 25 basis points lower. The </w:t>
      </w:r>
      <w:r>
        <w:rPr>
          <w:spacing w:val="-3"/>
          <w:sz w:val="24"/>
        </w:rPr>
        <w:t>data </w:t>
      </w:r>
      <w:r>
        <w:rPr>
          <w:sz w:val="24"/>
        </w:rPr>
        <w:t>continued to suggest that there was a degree of spare capacity in the economy, particularly in the labour market. Permanent income would be negatively impacted by higher energy prices and the rising effective tax rate and so consumption growth was </w:t>
      </w:r>
      <w:r>
        <w:rPr>
          <w:spacing w:val="-3"/>
          <w:sz w:val="24"/>
        </w:rPr>
        <w:t>unlikely </w:t>
      </w:r>
      <w:r>
        <w:rPr>
          <w:sz w:val="24"/>
        </w:rPr>
        <w:t>to </w:t>
      </w:r>
      <w:r>
        <w:rPr>
          <w:spacing w:val="-4"/>
          <w:sz w:val="24"/>
        </w:rPr>
        <w:t>pick </w:t>
      </w:r>
      <w:r>
        <w:rPr>
          <w:sz w:val="24"/>
        </w:rPr>
        <w:t>up. There was no evidence of any second round price impact from higher energy prices and hence inflation was likely to fall modestly below the target as the first round effects began to drop out of the annual rate of</w:t>
      </w:r>
      <w:r>
        <w:rPr>
          <w:spacing w:val="-28"/>
          <w:sz w:val="24"/>
        </w:rPr>
        <w:t> </w:t>
      </w:r>
      <w:r>
        <w:rPr>
          <w:spacing w:val="-3"/>
          <w:sz w:val="24"/>
        </w:rPr>
        <w:t>change.</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84" w:firstLine="0"/>
        <w:jc w:val="left"/>
        <w:rPr>
          <w:sz w:val="24"/>
        </w:rPr>
      </w:pPr>
      <w:r>
        <w:rPr>
          <w:sz w:val="24"/>
        </w:rPr>
        <w:t>The Governor invited the Committee to vote on the proposition that the repo rate should be maintained at 4.5%. Seven members of the Committee (the Governor, Rachel Lomax, John Gieve, Kate Barker, Charles Bean, Paul Tucker and David Walton) voted in </w:t>
      </w:r>
      <w:r>
        <w:rPr>
          <w:spacing w:val="-3"/>
          <w:sz w:val="24"/>
        </w:rPr>
        <w:t>favour. </w:t>
      </w:r>
      <w:r>
        <w:rPr>
          <w:sz w:val="24"/>
        </w:rPr>
        <w:t>Stephen Nickell voted against, preferring a reduction in the repo rate of 25 basis</w:t>
      </w:r>
      <w:r>
        <w:rPr>
          <w:spacing w:val="-8"/>
          <w:sz w:val="24"/>
        </w:rPr>
        <w:t> </w:t>
      </w:r>
      <w:r>
        <w:rPr>
          <w:sz w:val="24"/>
        </w:rPr>
        <w:t>points.</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986" w:firstLine="0"/>
        <w:jc w:val="left"/>
        <w:rPr>
          <w:sz w:val="24"/>
        </w:rPr>
      </w:pPr>
      <w:r>
        <w:rPr>
          <w:sz w:val="24"/>
        </w:rPr>
        <w:t>Finally,</w:t>
      </w:r>
      <w:r>
        <w:rPr>
          <w:spacing w:val="-6"/>
          <w:sz w:val="24"/>
        </w:rPr>
        <w:t> </w:t>
      </w:r>
      <w:r>
        <w:rPr>
          <w:sz w:val="24"/>
        </w:rPr>
        <w:t>the</w:t>
      </w:r>
      <w:r>
        <w:rPr>
          <w:spacing w:val="-5"/>
          <w:sz w:val="24"/>
        </w:rPr>
        <w:t> </w:t>
      </w:r>
      <w:r>
        <w:rPr>
          <w:sz w:val="24"/>
        </w:rPr>
        <w:t>Governor</w:t>
      </w:r>
      <w:r>
        <w:rPr>
          <w:spacing w:val="-6"/>
          <w:sz w:val="24"/>
        </w:rPr>
        <w:t> </w:t>
      </w:r>
      <w:r>
        <w:rPr>
          <w:sz w:val="24"/>
        </w:rPr>
        <w:t>expressed</w:t>
      </w:r>
      <w:r>
        <w:rPr>
          <w:spacing w:val="-5"/>
          <w:sz w:val="24"/>
        </w:rPr>
        <w:t> </w:t>
      </w:r>
      <w:r>
        <w:rPr>
          <w:sz w:val="24"/>
        </w:rPr>
        <w:t>his</w:t>
      </w:r>
      <w:r>
        <w:rPr>
          <w:spacing w:val="-6"/>
          <w:sz w:val="24"/>
        </w:rPr>
        <w:t> </w:t>
      </w:r>
      <w:r>
        <w:rPr>
          <w:sz w:val="24"/>
        </w:rPr>
        <w:t>appreciation</w:t>
      </w:r>
      <w:r>
        <w:rPr>
          <w:spacing w:val="-5"/>
          <w:sz w:val="24"/>
        </w:rPr>
        <w:t> </w:t>
      </w:r>
      <w:r>
        <w:rPr>
          <w:sz w:val="24"/>
        </w:rPr>
        <w:t>for</w:t>
      </w:r>
      <w:r>
        <w:rPr>
          <w:spacing w:val="-6"/>
          <w:sz w:val="24"/>
        </w:rPr>
        <w:t> </w:t>
      </w:r>
      <w:r>
        <w:rPr>
          <w:sz w:val="24"/>
        </w:rPr>
        <w:t>Richard</w:t>
      </w:r>
      <w:r>
        <w:rPr>
          <w:spacing w:val="-5"/>
          <w:sz w:val="24"/>
        </w:rPr>
        <w:t> </w:t>
      </w:r>
      <w:r>
        <w:rPr>
          <w:sz w:val="24"/>
        </w:rPr>
        <w:t>Lambert’s</w:t>
      </w:r>
      <w:r>
        <w:rPr>
          <w:spacing w:val="-6"/>
          <w:sz w:val="24"/>
        </w:rPr>
        <w:t> </w:t>
      </w:r>
      <w:r>
        <w:rPr>
          <w:sz w:val="24"/>
        </w:rPr>
        <w:t>contribution</w:t>
      </w:r>
      <w:r>
        <w:rPr>
          <w:spacing w:val="-5"/>
          <w:sz w:val="24"/>
        </w:rPr>
        <w:t> </w:t>
      </w:r>
      <w:r>
        <w:rPr>
          <w:sz w:val="24"/>
        </w:rPr>
        <w:t>as</w:t>
      </w:r>
      <w:r>
        <w:rPr>
          <w:spacing w:val="-5"/>
          <w:sz w:val="24"/>
        </w:rPr>
        <w:t> </w:t>
      </w:r>
      <w:r>
        <w:rPr>
          <w:sz w:val="24"/>
        </w:rPr>
        <w:t>a member of the</w:t>
      </w:r>
      <w:r>
        <w:rPr>
          <w:spacing w:val="8"/>
          <w:sz w:val="24"/>
        </w:rPr>
        <w:t> </w:t>
      </w:r>
      <w:r>
        <w:rPr>
          <w:sz w:val="24"/>
        </w:rPr>
        <w:t>Committee.</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4"/>
          <w:sz w:val="24"/>
        </w:rPr>
        <w:t> </w:t>
      </w:r>
      <w:r>
        <w:rPr>
          <w:sz w:val="24"/>
        </w:rPr>
        <w:t>present:</w:t>
      </w:r>
    </w:p>
    <w:p>
      <w:pPr>
        <w:pStyle w:val="BodyText"/>
      </w:pPr>
    </w:p>
    <w:p>
      <w:pPr>
        <w:pStyle w:val="BodyText"/>
        <w:ind w:left="367"/>
      </w:pPr>
      <w:r>
        <w:rPr/>
        <w:t>Mervyn King, Governor</w:t>
      </w:r>
    </w:p>
    <w:p>
      <w:pPr>
        <w:pStyle w:val="BodyText"/>
        <w:ind w:left="367" w:right="3521"/>
      </w:pPr>
      <w:r>
        <w:rPr/>
        <w:t>Rachel Lomax, Deputy Governor responsible for monetary policy John Gieve, Deputy Governor responsible for financial stability Kate Barker</w:t>
      </w:r>
    </w:p>
    <w:p>
      <w:pPr>
        <w:pStyle w:val="BodyText"/>
        <w:ind w:left="367" w:right="8340"/>
      </w:pPr>
      <w:r>
        <w:rPr/>
        <w:t>Charles Bean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7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5 and 6 April 2006</dc:title>
  <dcterms:created xsi:type="dcterms:W3CDTF">2020-06-01T02:10:27Z</dcterms:created>
  <dcterms:modified xsi:type="dcterms:W3CDTF">2020-06-01T02:10:27Z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2006-04-12T00:00:00Z</vt:filetime>
  </property>
  <property fmtid="{D5CDD505-2E9C-101B-9397-08002B2CF9AE}" pid="3" name="Creator">
    <vt:lpwstr>PScript5.dll Version 5.2.2</vt:lpwstr>
  </property>
  <property fmtid="{D5CDD505-2E9C-101B-9397-08002B2CF9AE}" pid="4" name="LastSaved">
    <vt:filetime>2020-06-01T00:00:00Z</vt:filetime>
  </property>
</Properties>
</file>