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20 January 1999</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5" w:right="1825" w:firstLine="17"/>
        <w:jc w:val="center"/>
        <w:rPr>
          <w:rFonts w:ascii="Palatino Linotype"/>
          <w:b/>
          <w:sz w:val="56"/>
        </w:rPr>
      </w:pPr>
      <w:r>
        <w:rPr>
          <w:rFonts w:ascii="Palatino Linotype"/>
          <w:b/>
          <w:sz w:val="48"/>
        </w:rPr>
        <w:t>MINUTES OF </w:t>
      </w:r>
      <w:r>
        <w:rPr>
          <w:rFonts w:ascii="Palatino Linotype"/>
          <w:b/>
          <w:spacing w:val="-7"/>
          <w:sz w:val="56"/>
        </w:rPr>
        <w:t>MONETARY </w:t>
      </w:r>
      <w:r>
        <w:rPr>
          <w:rFonts w:ascii="Palatino Linotype"/>
          <w:b/>
          <w:sz w:val="56"/>
        </w:rPr>
        <w:t>POLICY COMMITTEE</w:t>
      </w:r>
      <w:r>
        <w:rPr>
          <w:rFonts w:ascii="Palatino Linotype"/>
          <w:b/>
          <w:spacing w:val="3"/>
          <w:sz w:val="56"/>
        </w:rPr>
        <w:t> </w:t>
      </w:r>
      <w:r>
        <w:rPr>
          <w:rFonts w:ascii="Palatino Linotype"/>
          <w:b/>
          <w:spacing w:val="-3"/>
          <w:sz w:val="56"/>
        </w:rPr>
        <w:t>MEETING</w:t>
      </w:r>
    </w:p>
    <w:p>
      <w:pPr>
        <w:spacing w:line="626" w:lineRule="exact" w:before="0"/>
        <w:ind w:left="2832" w:right="2833" w:firstLine="0"/>
        <w:jc w:val="center"/>
        <w:rPr>
          <w:rFonts w:ascii="Palatino Linotype"/>
          <w:b/>
          <w:sz w:val="48"/>
        </w:rPr>
      </w:pPr>
      <w:r>
        <w:rPr>
          <w:rFonts w:ascii="Palatino Linotype"/>
          <w:b/>
          <w:sz w:val="48"/>
        </w:rPr>
        <w:t>6 and 7 January 1999</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5" w:right="1461" w:firstLine="4"/>
        <w:jc w:val="left"/>
        <w:rPr>
          <w:rFonts w:ascii="Palatino Linotype"/>
          <w:sz w:val="26"/>
        </w:rPr>
      </w:pPr>
      <w:r>
        <w:rPr>
          <w:rFonts w:ascii="Palatino Linotype"/>
          <w:sz w:val="26"/>
        </w:rPr>
        <w:t>These are the minutes of the Monetary Policy Committee meeting held on 6 and 7 January 1999.</w:t>
      </w:r>
    </w:p>
    <w:p>
      <w:pPr>
        <w:spacing w:line="348" w:lineRule="exact" w:before="0"/>
        <w:ind w:left="108" w:right="0" w:firstLine="0"/>
        <w:jc w:val="left"/>
        <w:rPr>
          <w:rFonts w:ascii="Palatino Linotype"/>
          <w:sz w:val="24"/>
        </w:rPr>
      </w:pPr>
      <w:r>
        <w:rPr>
          <w:rFonts w:ascii="Palatino Linotype"/>
          <w:sz w:val="26"/>
        </w:rPr>
        <w:t>They are also available on the Internet </w:t>
      </w:r>
      <w:hyperlink r:id="rId5">
        <w:r>
          <w:rPr>
            <w:rFonts w:ascii="Palatino Linotype"/>
            <w:sz w:val="24"/>
          </w:rPr>
          <w:t>(http:// www.bankofengland.co.uk</w:t>
        </w:r>
      </w:hyperlink>
      <w:r>
        <w:rPr>
          <w:rFonts w:ascii="Palatino Linotype"/>
          <w:sz w:val="24"/>
        </w:rPr>
        <w:t>/ mpc9901.pdf).</w:t>
      </w:r>
    </w:p>
    <w:p>
      <w:pPr>
        <w:spacing w:line="247" w:lineRule="auto" w:before="249"/>
        <w:ind w:left="106" w:right="195" w:firstLine="2"/>
        <w:jc w:val="left"/>
        <w:rPr>
          <w:rFonts w:ascii="Palatino Linotype" w:hAnsi="Palatino Linotype"/>
          <w:sz w:val="26"/>
        </w:rPr>
      </w:pPr>
      <w:r>
        <w:rPr>
          <w:rFonts w:ascii="Palatino Linotype" w:hAnsi="Palatino Linotype"/>
          <w:sz w:val="26"/>
        </w:rPr>
        <w:t>The Bank of England Act 1998 gives the Bank of England operational responsibility for setting interest rates to meet the Government’s inflation target. Operational decisions are taken by the Bank’s Monetary Policy Committee. The Committee </w:t>
      </w:r>
      <w:r>
        <w:rPr>
          <w:rFonts w:ascii="Palatino Linotype" w:hAnsi="Palatino Linotype"/>
          <w:spacing w:val="-3"/>
          <w:sz w:val="26"/>
        </w:rPr>
        <w:t>meets </w:t>
      </w:r>
      <w:r>
        <w:rPr>
          <w:rFonts w:ascii="Palatino Linotype" w:hAnsi="Palatino Linotype"/>
          <w:sz w:val="26"/>
        </w:rPr>
        <w:t>on a regular monthly basis and minutes of its meetings are released on the </w:t>
      </w:r>
      <w:r>
        <w:rPr>
          <w:rFonts w:ascii="Palatino Linotype" w:hAnsi="Palatino Linotype"/>
          <w:spacing w:val="-3"/>
          <w:sz w:val="26"/>
        </w:rPr>
        <w:t>Wednesday </w:t>
      </w:r>
      <w:r>
        <w:rPr>
          <w:rFonts w:ascii="Palatino Linotype" w:hAnsi="Palatino Linotype"/>
          <w:sz w:val="26"/>
        </w:rPr>
        <w:t>of the second week after the meeting takes place. Accordingly, the minutes</w:t>
      </w:r>
      <w:r>
        <w:rPr>
          <w:rFonts w:ascii="Palatino Linotype" w:hAnsi="Palatino Linotype"/>
          <w:spacing w:val="5"/>
          <w:sz w:val="26"/>
        </w:rPr>
        <w:t> </w:t>
      </w:r>
      <w:r>
        <w:rPr>
          <w:rFonts w:ascii="Palatino Linotype" w:hAnsi="Palatino Linotype"/>
          <w:sz w:val="26"/>
        </w:rPr>
        <w:t>of</w:t>
      </w:r>
      <w:r>
        <w:rPr>
          <w:rFonts w:ascii="Palatino Linotype" w:hAnsi="Palatino Linotype"/>
          <w:spacing w:val="6"/>
          <w:sz w:val="26"/>
        </w:rPr>
        <w:t> </w:t>
      </w:r>
      <w:r>
        <w:rPr>
          <w:rFonts w:ascii="Palatino Linotype" w:hAnsi="Palatino Linotype"/>
          <w:sz w:val="26"/>
        </w:rPr>
        <w:t>the</w:t>
      </w:r>
      <w:r>
        <w:rPr>
          <w:rFonts w:ascii="Palatino Linotype" w:hAnsi="Palatino Linotype"/>
          <w:spacing w:val="6"/>
          <w:sz w:val="26"/>
        </w:rPr>
        <w:t> </w:t>
      </w:r>
      <w:r>
        <w:rPr>
          <w:rFonts w:ascii="Palatino Linotype" w:hAnsi="Palatino Linotype"/>
          <w:sz w:val="26"/>
        </w:rPr>
        <w:t>Committee</w:t>
      </w:r>
      <w:r>
        <w:rPr>
          <w:rFonts w:ascii="Palatino Linotype" w:hAnsi="Palatino Linotype"/>
          <w:spacing w:val="6"/>
          <w:sz w:val="26"/>
        </w:rPr>
        <w:t> </w:t>
      </w:r>
      <w:r>
        <w:rPr>
          <w:rFonts w:ascii="Palatino Linotype" w:hAnsi="Palatino Linotype"/>
          <w:sz w:val="26"/>
        </w:rPr>
        <w:t>meeting</w:t>
      </w:r>
      <w:r>
        <w:rPr>
          <w:rFonts w:ascii="Palatino Linotype" w:hAnsi="Palatino Linotype"/>
          <w:spacing w:val="6"/>
          <w:sz w:val="26"/>
        </w:rPr>
        <w:t> </w:t>
      </w:r>
      <w:r>
        <w:rPr>
          <w:rFonts w:ascii="Palatino Linotype" w:hAnsi="Palatino Linotype"/>
          <w:sz w:val="26"/>
        </w:rPr>
        <w:t>held</w:t>
      </w:r>
      <w:r>
        <w:rPr>
          <w:rFonts w:ascii="Palatino Linotype" w:hAnsi="Palatino Linotype"/>
          <w:spacing w:val="6"/>
          <w:sz w:val="26"/>
        </w:rPr>
        <w:t> </w:t>
      </w:r>
      <w:r>
        <w:rPr>
          <w:rFonts w:ascii="Palatino Linotype" w:hAnsi="Palatino Linotype"/>
          <w:sz w:val="26"/>
        </w:rPr>
        <w:t>on</w:t>
      </w:r>
      <w:r>
        <w:rPr>
          <w:rFonts w:ascii="Palatino Linotype" w:hAnsi="Palatino Linotype"/>
          <w:spacing w:val="6"/>
          <w:sz w:val="26"/>
        </w:rPr>
        <w:t> </w:t>
      </w:r>
      <w:r>
        <w:rPr>
          <w:rFonts w:ascii="Palatino Linotype" w:hAnsi="Palatino Linotype"/>
          <w:sz w:val="26"/>
        </w:rPr>
        <w:t>3</w:t>
      </w:r>
      <w:r>
        <w:rPr>
          <w:rFonts w:ascii="Palatino Linotype" w:hAnsi="Palatino Linotype"/>
          <w:spacing w:val="6"/>
          <w:sz w:val="26"/>
        </w:rPr>
        <w:t> </w:t>
      </w:r>
      <w:r>
        <w:rPr>
          <w:rFonts w:ascii="Palatino Linotype" w:hAnsi="Palatino Linotype"/>
          <w:sz w:val="26"/>
        </w:rPr>
        <w:t>and</w:t>
      </w:r>
      <w:r>
        <w:rPr>
          <w:rFonts w:ascii="Palatino Linotype" w:hAnsi="Palatino Linotype"/>
          <w:spacing w:val="6"/>
          <w:sz w:val="26"/>
        </w:rPr>
        <w:t> </w:t>
      </w:r>
      <w:r>
        <w:rPr>
          <w:rFonts w:ascii="Palatino Linotype" w:hAnsi="Palatino Linotype"/>
          <w:sz w:val="26"/>
        </w:rPr>
        <w:t>4</w:t>
      </w:r>
      <w:r>
        <w:rPr>
          <w:rFonts w:ascii="Palatino Linotype" w:hAnsi="Palatino Linotype"/>
          <w:spacing w:val="6"/>
          <w:sz w:val="26"/>
        </w:rPr>
        <w:t> </w:t>
      </w:r>
      <w:r>
        <w:rPr>
          <w:rFonts w:ascii="Palatino Linotype" w:hAnsi="Palatino Linotype"/>
          <w:sz w:val="26"/>
        </w:rPr>
        <w:t>February</w:t>
      </w:r>
      <w:r>
        <w:rPr>
          <w:rFonts w:ascii="Palatino Linotype" w:hAnsi="Palatino Linotype"/>
          <w:spacing w:val="6"/>
          <w:sz w:val="26"/>
        </w:rPr>
        <w:t> </w:t>
      </w:r>
      <w:r>
        <w:rPr>
          <w:rFonts w:ascii="Palatino Linotype" w:hAnsi="Palatino Linotype"/>
          <w:sz w:val="26"/>
        </w:rPr>
        <w:t>will</w:t>
      </w:r>
      <w:r>
        <w:rPr>
          <w:rFonts w:ascii="Palatino Linotype" w:hAnsi="Palatino Linotype"/>
          <w:spacing w:val="6"/>
          <w:sz w:val="26"/>
        </w:rPr>
        <w:t> </w:t>
      </w:r>
      <w:r>
        <w:rPr>
          <w:rFonts w:ascii="Palatino Linotype" w:hAnsi="Palatino Linotype"/>
          <w:sz w:val="26"/>
        </w:rPr>
        <w:t>be</w:t>
      </w:r>
      <w:r>
        <w:rPr>
          <w:rFonts w:ascii="Palatino Linotype" w:hAnsi="Palatino Linotype"/>
          <w:spacing w:val="6"/>
          <w:sz w:val="26"/>
        </w:rPr>
        <w:t> </w:t>
      </w:r>
      <w:r>
        <w:rPr>
          <w:rFonts w:ascii="Palatino Linotype" w:hAnsi="Palatino Linotype"/>
          <w:sz w:val="26"/>
        </w:rPr>
        <w:t>published</w:t>
      </w:r>
      <w:r>
        <w:rPr>
          <w:rFonts w:ascii="Palatino Linotype" w:hAnsi="Palatino Linotype"/>
          <w:spacing w:val="6"/>
          <w:sz w:val="26"/>
        </w:rPr>
        <w:t> </w:t>
      </w:r>
      <w:r>
        <w:rPr>
          <w:rFonts w:ascii="Palatino Linotype" w:hAnsi="Palatino Linotype"/>
          <w:sz w:val="26"/>
        </w:rPr>
        <w:t>on</w:t>
      </w:r>
    </w:p>
    <w:p>
      <w:pPr>
        <w:spacing w:line="343" w:lineRule="exact" w:before="0"/>
        <w:ind w:left="108" w:right="0" w:firstLine="0"/>
        <w:jc w:val="left"/>
        <w:rPr>
          <w:rFonts w:ascii="Palatino Linotype"/>
          <w:sz w:val="26"/>
        </w:rPr>
      </w:pPr>
      <w:r>
        <w:rPr>
          <w:rFonts w:ascii="Palatino Linotype"/>
          <w:sz w:val="26"/>
        </w:rPr>
        <w:t>17 February 1999.</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5"/>
        <w:rPr>
          <w:rFonts w:ascii="Palatino Linotype"/>
          <w:sz w:val="22"/>
        </w:rPr>
      </w:pPr>
      <w:r>
        <w:rPr/>
        <w:drawing>
          <wp:anchor distT="0" distB="0" distL="0" distR="0" allowOverlap="1" layoutInCell="1" locked="0" behindDoc="0" simplePos="0" relativeHeight="2">
            <wp:simplePos x="0" y="0"/>
            <wp:positionH relativeFrom="page">
              <wp:posOffset>5315660</wp:posOffset>
            </wp:positionH>
            <wp:positionV relativeFrom="paragraph">
              <wp:posOffset>216691</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5466" cy="1438846"/>
                    </a:xfrm>
                    <a:prstGeom prst="rect">
                      <a:avLst/>
                    </a:prstGeom>
                  </pic:spPr>
                </pic:pic>
              </a:graphicData>
            </a:graphic>
          </wp:anchor>
        </w:drawing>
      </w:r>
    </w:p>
    <w:p>
      <w:pPr>
        <w:spacing w:after="0"/>
        <w:rPr>
          <w:rFonts w:ascii="Palatino Linotype"/>
          <w:sz w:val="22"/>
        </w:rPr>
        <w:sectPr>
          <w:type w:val="continuous"/>
          <w:pgSz w:w="11900" w:h="16840"/>
          <w:pgMar w:top="1260" w:bottom="280" w:left="860" w:right="880"/>
        </w:sectPr>
      </w:pPr>
    </w:p>
    <w:p>
      <w:pPr>
        <w:pStyle w:val="Heading1"/>
        <w:spacing w:line="247" w:lineRule="auto" w:before="112"/>
      </w:pPr>
      <w:r>
        <w:rPr/>
        <w:t>MINUTES OF THE MONETARY POLICY COMMITTEE MEETING ON 6-7 JANUARY 1999</w:t>
      </w:r>
    </w:p>
    <w:p>
      <w:pPr>
        <w:pStyle w:val="BodyText"/>
        <w:rPr>
          <w:b/>
          <w:sz w:val="26"/>
        </w:rPr>
      </w:pPr>
    </w:p>
    <w:p>
      <w:pPr>
        <w:pStyle w:val="BodyText"/>
        <w:spacing w:before="1"/>
        <w:rPr>
          <w:b/>
          <w:sz w:val="30"/>
        </w:rPr>
      </w:pPr>
    </w:p>
    <w:p>
      <w:pPr>
        <w:pStyle w:val="ListParagraph"/>
        <w:numPr>
          <w:ilvl w:val="0"/>
          <w:numId w:val="1"/>
        </w:numPr>
        <w:tabs>
          <w:tab w:pos="781" w:val="left" w:leader="none"/>
          <w:tab w:pos="782" w:val="left" w:leader="none"/>
        </w:tabs>
        <w:spacing w:line="321" w:lineRule="auto" w:before="1" w:after="0"/>
        <w:ind w:left="421" w:right="513" w:firstLine="0"/>
        <w:jc w:val="left"/>
        <w:rPr>
          <w:sz w:val="24"/>
        </w:rPr>
      </w:pPr>
      <w:r>
        <w:rPr>
          <w:sz w:val="24"/>
        </w:rPr>
        <w:t>Before turning </w:t>
      </w:r>
      <w:r>
        <w:rPr>
          <w:spacing w:val="2"/>
          <w:sz w:val="24"/>
        </w:rPr>
        <w:t>to </w:t>
      </w:r>
      <w:r>
        <w:rPr>
          <w:sz w:val="24"/>
        </w:rPr>
        <w:t>its immediate policy decision, the Committee discussed the prospects for global activity and prices given continued downward revisions </w:t>
      </w:r>
      <w:r>
        <w:rPr>
          <w:spacing w:val="2"/>
          <w:sz w:val="24"/>
        </w:rPr>
        <w:t>to </w:t>
      </w:r>
      <w:r>
        <w:rPr>
          <w:sz w:val="24"/>
        </w:rPr>
        <w:t>published forecasts; exchange rates and financial markets; money and credit; demand and </w:t>
      </w:r>
      <w:r>
        <w:rPr>
          <w:spacing w:val="3"/>
          <w:sz w:val="24"/>
        </w:rPr>
        <w:t>output </w:t>
      </w:r>
      <w:r>
        <w:rPr>
          <w:sz w:val="24"/>
        </w:rPr>
        <w:t>in the context of the</w:t>
      </w:r>
      <w:r>
        <w:rPr>
          <w:spacing w:val="-18"/>
          <w:sz w:val="24"/>
        </w:rPr>
        <w:t> </w:t>
      </w:r>
      <w:r>
        <w:rPr>
          <w:sz w:val="24"/>
        </w:rPr>
        <w:t>National Accounts revisions; the labour market; and </w:t>
      </w:r>
      <w:r>
        <w:rPr>
          <w:spacing w:val="3"/>
          <w:sz w:val="24"/>
        </w:rPr>
        <w:t>other </w:t>
      </w:r>
      <w:r>
        <w:rPr>
          <w:sz w:val="24"/>
        </w:rPr>
        <w:t>issues including</w:t>
      </w:r>
      <w:r>
        <w:rPr>
          <w:spacing w:val="-8"/>
          <w:sz w:val="24"/>
        </w:rPr>
        <w:t> </w:t>
      </w:r>
      <w:r>
        <w:rPr>
          <w:sz w:val="24"/>
        </w:rPr>
        <w:t>tactics.</w:t>
      </w:r>
    </w:p>
    <w:p>
      <w:pPr>
        <w:pStyle w:val="BodyText"/>
        <w:spacing w:before="5"/>
        <w:rPr>
          <w:sz w:val="32"/>
        </w:rPr>
      </w:pPr>
    </w:p>
    <w:p>
      <w:pPr>
        <w:pStyle w:val="Heading1"/>
      </w:pPr>
      <w:r>
        <w:rPr/>
        <w:t>The prospects for global activity and prices</w:t>
      </w:r>
    </w:p>
    <w:p>
      <w:pPr>
        <w:pStyle w:val="BodyText"/>
        <w:rPr>
          <w:b/>
          <w:sz w:val="26"/>
        </w:rPr>
      </w:pPr>
    </w:p>
    <w:p>
      <w:pPr>
        <w:pStyle w:val="ListParagraph"/>
        <w:numPr>
          <w:ilvl w:val="0"/>
          <w:numId w:val="1"/>
        </w:numPr>
        <w:tabs>
          <w:tab w:pos="781" w:val="left" w:leader="none"/>
          <w:tab w:pos="782" w:val="left" w:leader="none"/>
        </w:tabs>
        <w:spacing w:line="321" w:lineRule="auto" w:before="160" w:after="0"/>
        <w:ind w:left="421" w:right="435" w:firstLine="0"/>
        <w:jc w:val="left"/>
        <w:rPr>
          <w:sz w:val="24"/>
        </w:rPr>
      </w:pPr>
      <w:r>
        <w:rPr>
          <w:sz w:val="24"/>
        </w:rPr>
        <w:t>A key issue remained how much of a depressing influence the international economy would have on the domestic economy, and hence on the prospects for UK inflation. The </w:t>
      </w:r>
      <w:r>
        <w:rPr>
          <w:spacing w:val="3"/>
          <w:sz w:val="24"/>
        </w:rPr>
        <w:t>outlook </w:t>
      </w:r>
      <w:r>
        <w:rPr>
          <w:sz w:val="24"/>
        </w:rPr>
        <w:t>for the world</w:t>
      </w:r>
      <w:r>
        <w:rPr>
          <w:spacing w:val="-10"/>
          <w:sz w:val="24"/>
        </w:rPr>
        <w:t> </w:t>
      </w:r>
      <w:r>
        <w:rPr>
          <w:sz w:val="24"/>
        </w:rPr>
        <w:t>economy</w:t>
      </w:r>
      <w:r>
        <w:rPr>
          <w:spacing w:val="-10"/>
          <w:sz w:val="24"/>
        </w:rPr>
        <w:t> </w:t>
      </w:r>
      <w:r>
        <w:rPr>
          <w:sz w:val="24"/>
        </w:rPr>
        <w:t>had</w:t>
      </w:r>
      <w:r>
        <w:rPr>
          <w:spacing w:val="-10"/>
          <w:sz w:val="24"/>
        </w:rPr>
        <w:t> </w:t>
      </w:r>
      <w:r>
        <w:rPr>
          <w:sz w:val="24"/>
        </w:rPr>
        <w:t>clearly</w:t>
      </w:r>
      <w:r>
        <w:rPr>
          <w:spacing w:val="-10"/>
          <w:sz w:val="24"/>
        </w:rPr>
        <w:t> </w:t>
      </w:r>
      <w:r>
        <w:rPr>
          <w:sz w:val="24"/>
        </w:rPr>
        <w:t>deteriorated</w:t>
      </w:r>
      <w:r>
        <w:rPr>
          <w:spacing w:val="-9"/>
          <w:sz w:val="24"/>
        </w:rPr>
        <w:t> </w:t>
      </w:r>
      <w:r>
        <w:rPr>
          <w:spacing w:val="3"/>
          <w:sz w:val="24"/>
        </w:rPr>
        <w:t>over</w:t>
      </w:r>
      <w:r>
        <w:rPr>
          <w:spacing w:val="-6"/>
          <w:sz w:val="24"/>
        </w:rPr>
        <w:t> </w:t>
      </w:r>
      <w:r>
        <w:rPr>
          <w:sz w:val="24"/>
        </w:rPr>
        <w:t>recent</w:t>
      </w:r>
      <w:r>
        <w:rPr>
          <w:spacing w:val="-8"/>
          <w:sz w:val="24"/>
        </w:rPr>
        <w:t> </w:t>
      </w:r>
      <w:r>
        <w:rPr>
          <w:sz w:val="24"/>
        </w:rPr>
        <w:t>months,</w:t>
      </w:r>
      <w:r>
        <w:rPr>
          <w:spacing w:val="-10"/>
          <w:sz w:val="24"/>
        </w:rPr>
        <w:t> </w:t>
      </w:r>
      <w:r>
        <w:rPr>
          <w:sz w:val="24"/>
        </w:rPr>
        <w:t>and</w:t>
      </w:r>
      <w:r>
        <w:rPr>
          <w:spacing w:val="-10"/>
          <w:sz w:val="24"/>
        </w:rPr>
        <w:t> </w:t>
      </w:r>
      <w:r>
        <w:rPr>
          <w:sz w:val="24"/>
        </w:rPr>
        <w:t>this</w:t>
      </w:r>
      <w:r>
        <w:rPr>
          <w:spacing w:val="-10"/>
          <w:sz w:val="24"/>
        </w:rPr>
        <w:t> </w:t>
      </w:r>
      <w:r>
        <w:rPr>
          <w:sz w:val="24"/>
        </w:rPr>
        <w:t>had</w:t>
      </w:r>
      <w:r>
        <w:rPr>
          <w:spacing w:val="-9"/>
          <w:sz w:val="24"/>
        </w:rPr>
        <w:t> </w:t>
      </w:r>
      <w:r>
        <w:rPr>
          <w:sz w:val="24"/>
        </w:rPr>
        <w:t>been</w:t>
      </w:r>
      <w:r>
        <w:rPr>
          <w:spacing w:val="-10"/>
          <w:sz w:val="24"/>
        </w:rPr>
        <w:t> </w:t>
      </w:r>
      <w:r>
        <w:rPr>
          <w:sz w:val="24"/>
        </w:rPr>
        <w:t>a</w:t>
      </w:r>
      <w:r>
        <w:rPr>
          <w:spacing w:val="-10"/>
          <w:sz w:val="24"/>
        </w:rPr>
        <w:t> </w:t>
      </w:r>
      <w:r>
        <w:rPr>
          <w:sz w:val="24"/>
        </w:rPr>
        <w:t>material</w:t>
      </w:r>
      <w:r>
        <w:rPr>
          <w:spacing w:val="-10"/>
          <w:sz w:val="24"/>
        </w:rPr>
        <w:t> </w:t>
      </w:r>
      <w:r>
        <w:rPr>
          <w:sz w:val="24"/>
        </w:rPr>
        <w:t>factor</w:t>
      </w:r>
      <w:r>
        <w:rPr>
          <w:spacing w:val="-5"/>
          <w:sz w:val="24"/>
        </w:rPr>
        <w:t> </w:t>
      </w:r>
      <w:r>
        <w:rPr>
          <w:sz w:val="24"/>
        </w:rPr>
        <w:t>in the</w:t>
      </w:r>
      <w:r>
        <w:rPr>
          <w:spacing w:val="-9"/>
          <w:sz w:val="24"/>
        </w:rPr>
        <w:t> </w:t>
      </w:r>
      <w:r>
        <w:rPr>
          <w:spacing w:val="-3"/>
          <w:sz w:val="24"/>
        </w:rPr>
        <w:t>Committee’s</w:t>
      </w:r>
      <w:r>
        <w:rPr>
          <w:spacing w:val="-8"/>
          <w:sz w:val="24"/>
        </w:rPr>
        <w:t> </w:t>
      </w:r>
      <w:r>
        <w:rPr>
          <w:sz w:val="24"/>
        </w:rPr>
        <w:t>decisions</w:t>
      </w:r>
      <w:r>
        <w:rPr>
          <w:spacing w:val="-8"/>
          <w:sz w:val="24"/>
        </w:rPr>
        <w:t> </w:t>
      </w:r>
      <w:r>
        <w:rPr>
          <w:spacing w:val="2"/>
          <w:sz w:val="24"/>
        </w:rPr>
        <w:t>to</w:t>
      </w:r>
      <w:r>
        <w:rPr>
          <w:spacing w:val="-4"/>
          <w:sz w:val="24"/>
        </w:rPr>
        <w:t> </w:t>
      </w:r>
      <w:r>
        <w:rPr>
          <w:sz w:val="24"/>
        </w:rPr>
        <w:t>reduce</w:t>
      </w:r>
      <w:r>
        <w:rPr>
          <w:spacing w:val="-7"/>
          <w:sz w:val="24"/>
        </w:rPr>
        <w:t> </w:t>
      </w:r>
      <w:r>
        <w:rPr>
          <w:sz w:val="24"/>
        </w:rPr>
        <w:t>rates</w:t>
      </w:r>
      <w:r>
        <w:rPr>
          <w:spacing w:val="-6"/>
          <w:sz w:val="24"/>
        </w:rPr>
        <w:t> </w:t>
      </w:r>
      <w:r>
        <w:rPr>
          <w:sz w:val="24"/>
        </w:rPr>
        <w:t>in</w:t>
      </w:r>
      <w:r>
        <w:rPr>
          <w:spacing w:val="-9"/>
          <w:sz w:val="24"/>
        </w:rPr>
        <w:t> </w:t>
      </w:r>
      <w:r>
        <w:rPr>
          <w:sz w:val="24"/>
        </w:rPr>
        <w:t>October,</w:t>
      </w:r>
      <w:r>
        <w:rPr>
          <w:spacing w:val="-8"/>
          <w:sz w:val="24"/>
        </w:rPr>
        <w:t> </w:t>
      </w:r>
      <w:r>
        <w:rPr>
          <w:sz w:val="24"/>
        </w:rPr>
        <w:t>November</w:t>
      </w:r>
      <w:r>
        <w:rPr>
          <w:spacing w:val="-8"/>
          <w:sz w:val="24"/>
        </w:rPr>
        <w:t> </w:t>
      </w:r>
      <w:r>
        <w:rPr>
          <w:sz w:val="24"/>
        </w:rPr>
        <w:t>and</w:t>
      </w:r>
      <w:r>
        <w:rPr>
          <w:spacing w:val="-8"/>
          <w:sz w:val="24"/>
        </w:rPr>
        <w:t> </w:t>
      </w:r>
      <w:r>
        <w:rPr>
          <w:sz w:val="24"/>
        </w:rPr>
        <w:t>December.</w:t>
      </w:r>
      <w:r>
        <w:rPr>
          <w:spacing w:val="43"/>
          <w:sz w:val="24"/>
        </w:rPr>
        <w:t> </w:t>
      </w:r>
      <w:r>
        <w:rPr>
          <w:sz w:val="24"/>
        </w:rPr>
        <w:t>Views</w:t>
      </w:r>
      <w:r>
        <w:rPr>
          <w:spacing w:val="-8"/>
          <w:sz w:val="24"/>
        </w:rPr>
        <w:t> </w:t>
      </w:r>
      <w:r>
        <w:rPr>
          <w:sz w:val="24"/>
        </w:rPr>
        <w:t>varied</w:t>
      </w:r>
      <w:r>
        <w:rPr>
          <w:spacing w:val="-8"/>
          <w:sz w:val="24"/>
        </w:rPr>
        <w:t> </w:t>
      </w:r>
      <w:r>
        <w:rPr>
          <w:sz w:val="24"/>
        </w:rPr>
        <w:t>on whether there had been much sign of a further international deterioration </w:t>
      </w:r>
      <w:r>
        <w:rPr>
          <w:spacing w:val="3"/>
          <w:sz w:val="24"/>
        </w:rPr>
        <w:t>over </w:t>
      </w:r>
      <w:r>
        <w:rPr>
          <w:sz w:val="24"/>
        </w:rPr>
        <w:t>the past month, or whether international developments had principally reflected the continuing pass-through and unwinding of previous negative shocks </w:t>
      </w:r>
      <w:r>
        <w:rPr>
          <w:spacing w:val="2"/>
          <w:sz w:val="24"/>
        </w:rPr>
        <w:t>to </w:t>
      </w:r>
      <w:r>
        <w:rPr>
          <w:sz w:val="24"/>
        </w:rPr>
        <w:t>demand in the world</w:t>
      </w:r>
      <w:r>
        <w:rPr>
          <w:spacing w:val="-4"/>
          <w:sz w:val="24"/>
        </w:rPr>
        <w:t> </w:t>
      </w:r>
      <w:r>
        <w:rPr>
          <w:sz w:val="24"/>
        </w:rPr>
        <w:t>economy.</w:t>
      </w:r>
    </w:p>
    <w:p>
      <w:pPr>
        <w:pStyle w:val="BodyText"/>
        <w:rPr>
          <w:sz w:val="32"/>
        </w:rPr>
      </w:pPr>
    </w:p>
    <w:p>
      <w:pPr>
        <w:pStyle w:val="ListParagraph"/>
        <w:numPr>
          <w:ilvl w:val="0"/>
          <w:numId w:val="1"/>
        </w:numPr>
        <w:tabs>
          <w:tab w:pos="781" w:val="left" w:leader="none"/>
          <w:tab w:pos="782" w:val="left" w:leader="none"/>
        </w:tabs>
        <w:spacing w:line="321" w:lineRule="auto" w:before="0" w:after="0"/>
        <w:ind w:left="421" w:right="317" w:firstLine="0"/>
        <w:jc w:val="left"/>
        <w:rPr>
          <w:sz w:val="24"/>
        </w:rPr>
      </w:pPr>
      <w:r>
        <w:rPr>
          <w:sz w:val="24"/>
        </w:rPr>
        <w:t>Some</w:t>
      </w:r>
      <w:r>
        <w:rPr>
          <w:spacing w:val="-8"/>
          <w:sz w:val="24"/>
        </w:rPr>
        <w:t> </w:t>
      </w:r>
      <w:r>
        <w:rPr>
          <w:spacing w:val="3"/>
          <w:sz w:val="24"/>
        </w:rPr>
        <w:t>outside</w:t>
      </w:r>
      <w:r>
        <w:rPr>
          <w:spacing w:val="-5"/>
          <w:sz w:val="24"/>
        </w:rPr>
        <w:t> </w:t>
      </w:r>
      <w:r>
        <w:rPr>
          <w:sz w:val="24"/>
        </w:rPr>
        <w:t>forecasts</w:t>
      </w:r>
      <w:r>
        <w:rPr>
          <w:spacing w:val="-9"/>
          <w:sz w:val="24"/>
        </w:rPr>
        <w:t> </w:t>
      </w:r>
      <w:r>
        <w:rPr>
          <w:sz w:val="24"/>
        </w:rPr>
        <w:t>of</w:t>
      </w:r>
      <w:r>
        <w:rPr>
          <w:spacing w:val="-4"/>
          <w:sz w:val="24"/>
        </w:rPr>
        <w:t> </w:t>
      </w:r>
      <w:r>
        <w:rPr>
          <w:sz w:val="24"/>
        </w:rPr>
        <w:t>world</w:t>
      </w:r>
      <w:r>
        <w:rPr>
          <w:spacing w:val="-9"/>
          <w:sz w:val="24"/>
        </w:rPr>
        <w:t> </w:t>
      </w:r>
      <w:r>
        <w:rPr>
          <w:sz w:val="24"/>
        </w:rPr>
        <w:t>trade</w:t>
      </w:r>
      <w:r>
        <w:rPr>
          <w:spacing w:val="-8"/>
          <w:sz w:val="24"/>
        </w:rPr>
        <w:t> </w:t>
      </w:r>
      <w:r>
        <w:rPr>
          <w:sz w:val="24"/>
        </w:rPr>
        <w:t>were</w:t>
      </w:r>
      <w:r>
        <w:rPr>
          <w:spacing w:val="-9"/>
          <w:sz w:val="24"/>
        </w:rPr>
        <w:t> </w:t>
      </w:r>
      <w:r>
        <w:rPr>
          <w:sz w:val="24"/>
        </w:rPr>
        <w:t>being</w:t>
      </w:r>
      <w:r>
        <w:rPr>
          <w:spacing w:val="-9"/>
          <w:sz w:val="24"/>
        </w:rPr>
        <w:t> </w:t>
      </w:r>
      <w:r>
        <w:rPr>
          <w:sz w:val="24"/>
        </w:rPr>
        <w:t>revised</w:t>
      </w:r>
      <w:r>
        <w:rPr>
          <w:spacing w:val="-8"/>
          <w:sz w:val="24"/>
        </w:rPr>
        <w:t> </w:t>
      </w:r>
      <w:r>
        <w:rPr>
          <w:sz w:val="24"/>
        </w:rPr>
        <w:t>down</w:t>
      </w:r>
      <w:r>
        <w:rPr>
          <w:spacing w:val="-8"/>
          <w:sz w:val="24"/>
        </w:rPr>
        <w:t> </w:t>
      </w:r>
      <w:r>
        <w:rPr>
          <w:sz w:val="24"/>
        </w:rPr>
        <w:t>further</w:t>
      </w:r>
      <w:r>
        <w:rPr>
          <w:spacing w:val="-9"/>
          <w:sz w:val="24"/>
        </w:rPr>
        <w:t> </w:t>
      </w:r>
      <w:r>
        <w:rPr>
          <w:sz w:val="24"/>
        </w:rPr>
        <w:t>–</w:t>
      </w:r>
      <w:r>
        <w:rPr>
          <w:spacing w:val="-3"/>
          <w:sz w:val="24"/>
        </w:rPr>
        <w:t> </w:t>
      </w:r>
      <w:r>
        <w:rPr>
          <w:sz w:val="24"/>
        </w:rPr>
        <w:t>for</w:t>
      </w:r>
      <w:r>
        <w:rPr>
          <w:spacing w:val="-8"/>
          <w:sz w:val="24"/>
        </w:rPr>
        <w:t> </w:t>
      </w:r>
      <w:r>
        <w:rPr>
          <w:sz w:val="24"/>
        </w:rPr>
        <w:t>example,</w:t>
      </w:r>
      <w:r>
        <w:rPr>
          <w:spacing w:val="-9"/>
          <w:sz w:val="24"/>
        </w:rPr>
        <w:t> </w:t>
      </w:r>
      <w:r>
        <w:rPr>
          <w:sz w:val="24"/>
        </w:rPr>
        <w:t>the</w:t>
      </w:r>
      <w:r>
        <w:rPr>
          <w:spacing w:val="-9"/>
          <w:sz w:val="24"/>
        </w:rPr>
        <w:t> </w:t>
      </w:r>
      <w:r>
        <w:rPr>
          <w:sz w:val="24"/>
        </w:rPr>
        <w:t>IMF had updated its WEO projections in December. The latest Consensus Economics survey showed that forecasts for Germany and </w:t>
      </w:r>
      <w:r>
        <w:rPr>
          <w:spacing w:val="3"/>
          <w:sz w:val="24"/>
        </w:rPr>
        <w:t>other </w:t>
      </w:r>
      <w:r>
        <w:rPr>
          <w:sz w:val="24"/>
        </w:rPr>
        <w:t>euro-area economies had been revised down in December. Over the past month business confidence in the euro area had continued </w:t>
      </w:r>
      <w:r>
        <w:rPr>
          <w:spacing w:val="2"/>
          <w:sz w:val="24"/>
        </w:rPr>
        <w:t>to </w:t>
      </w:r>
      <w:r>
        <w:rPr>
          <w:sz w:val="24"/>
        </w:rPr>
        <w:t>weaken. The Japanese economy continued </w:t>
      </w:r>
      <w:r>
        <w:rPr>
          <w:spacing w:val="2"/>
          <w:sz w:val="24"/>
        </w:rPr>
        <w:t>to </w:t>
      </w:r>
      <w:r>
        <w:rPr>
          <w:sz w:val="24"/>
        </w:rPr>
        <w:t>deteriorate. The Tankan survey had weakened further, returning </w:t>
      </w:r>
      <w:r>
        <w:rPr>
          <w:spacing w:val="2"/>
          <w:sz w:val="24"/>
        </w:rPr>
        <w:t>to </w:t>
      </w:r>
      <w:r>
        <w:rPr>
          <w:sz w:val="24"/>
        </w:rPr>
        <w:t>the</w:t>
      </w:r>
      <w:r>
        <w:rPr>
          <w:spacing w:val="-26"/>
          <w:sz w:val="24"/>
        </w:rPr>
        <w:t> </w:t>
      </w:r>
      <w:r>
        <w:rPr>
          <w:sz w:val="24"/>
        </w:rPr>
        <w:t>very low level recorded in 1994. The latest indicators for the United States continued </w:t>
      </w:r>
      <w:r>
        <w:rPr>
          <w:spacing w:val="2"/>
          <w:sz w:val="24"/>
        </w:rPr>
        <w:t>to </w:t>
      </w:r>
      <w:r>
        <w:rPr>
          <w:sz w:val="24"/>
        </w:rPr>
        <w:t>be quite strong, and the Consensus Economics survey showed that some growth forecasts for 1999 had been revised up in December. It was also necessary </w:t>
      </w:r>
      <w:r>
        <w:rPr>
          <w:spacing w:val="2"/>
          <w:sz w:val="24"/>
        </w:rPr>
        <w:t>to </w:t>
      </w:r>
      <w:r>
        <w:rPr>
          <w:sz w:val="24"/>
        </w:rPr>
        <w:t>take account of the easing of policy in the United</w:t>
      </w:r>
      <w:r>
        <w:rPr>
          <w:spacing w:val="-8"/>
          <w:sz w:val="24"/>
        </w:rPr>
        <w:t> </w:t>
      </w:r>
      <w:r>
        <w:rPr>
          <w:sz w:val="24"/>
        </w:rPr>
        <w:t>States</w:t>
      </w:r>
      <w:r>
        <w:rPr>
          <w:spacing w:val="-7"/>
          <w:sz w:val="24"/>
        </w:rPr>
        <w:t> </w:t>
      </w:r>
      <w:r>
        <w:rPr>
          <w:sz w:val="24"/>
        </w:rPr>
        <w:t>and</w:t>
      </w:r>
      <w:r>
        <w:rPr>
          <w:spacing w:val="-8"/>
          <w:sz w:val="24"/>
        </w:rPr>
        <w:t> </w:t>
      </w:r>
      <w:r>
        <w:rPr>
          <w:sz w:val="24"/>
        </w:rPr>
        <w:t>in</w:t>
      </w:r>
      <w:r>
        <w:rPr>
          <w:spacing w:val="-8"/>
          <w:sz w:val="24"/>
        </w:rPr>
        <w:t> </w:t>
      </w:r>
      <w:r>
        <w:rPr>
          <w:sz w:val="24"/>
        </w:rPr>
        <w:t>the</w:t>
      </w:r>
      <w:r>
        <w:rPr>
          <w:spacing w:val="-7"/>
          <w:sz w:val="24"/>
        </w:rPr>
        <w:t> </w:t>
      </w:r>
      <w:r>
        <w:rPr>
          <w:sz w:val="24"/>
        </w:rPr>
        <w:t>euro</w:t>
      </w:r>
      <w:r>
        <w:rPr>
          <w:spacing w:val="-8"/>
          <w:sz w:val="24"/>
        </w:rPr>
        <w:t> </w:t>
      </w:r>
      <w:r>
        <w:rPr>
          <w:sz w:val="24"/>
        </w:rPr>
        <w:t>area</w:t>
      </w:r>
      <w:r>
        <w:rPr>
          <w:spacing w:val="-8"/>
          <w:sz w:val="24"/>
        </w:rPr>
        <w:t> </w:t>
      </w:r>
      <w:r>
        <w:rPr>
          <w:sz w:val="24"/>
        </w:rPr>
        <w:t>since</w:t>
      </w:r>
      <w:r>
        <w:rPr>
          <w:spacing w:val="-8"/>
          <w:sz w:val="24"/>
        </w:rPr>
        <w:t> </w:t>
      </w:r>
      <w:r>
        <w:rPr>
          <w:sz w:val="24"/>
        </w:rPr>
        <w:t>the</w:t>
      </w:r>
      <w:r>
        <w:rPr>
          <w:spacing w:val="-7"/>
          <w:sz w:val="24"/>
        </w:rPr>
        <w:t> </w:t>
      </w:r>
      <w:r>
        <w:rPr>
          <w:sz w:val="24"/>
        </w:rPr>
        <w:t>autumn</w:t>
      </w:r>
      <w:r>
        <w:rPr>
          <w:spacing w:val="-8"/>
          <w:sz w:val="24"/>
        </w:rPr>
        <w:t> </w:t>
      </w:r>
      <w:r>
        <w:rPr>
          <w:sz w:val="24"/>
        </w:rPr>
        <w:t>and</w:t>
      </w:r>
      <w:r>
        <w:rPr>
          <w:spacing w:val="-8"/>
          <w:sz w:val="24"/>
        </w:rPr>
        <w:t> </w:t>
      </w:r>
      <w:r>
        <w:rPr>
          <w:sz w:val="24"/>
        </w:rPr>
        <w:t>the</w:t>
      </w:r>
      <w:r>
        <w:rPr>
          <w:spacing w:val="-7"/>
          <w:sz w:val="24"/>
        </w:rPr>
        <w:t> </w:t>
      </w:r>
      <w:r>
        <w:rPr>
          <w:sz w:val="24"/>
        </w:rPr>
        <w:t>effects</w:t>
      </w:r>
      <w:r>
        <w:rPr>
          <w:spacing w:val="-8"/>
          <w:sz w:val="24"/>
        </w:rPr>
        <w:t> </w:t>
      </w:r>
      <w:r>
        <w:rPr>
          <w:sz w:val="24"/>
        </w:rPr>
        <w:t>were</w:t>
      </w:r>
      <w:r>
        <w:rPr>
          <w:spacing w:val="-8"/>
          <w:sz w:val="24"/>
        </w:rPr>
        <w:t> </w:t>
      </w:r>
      <w:r>
        <w:rPr>
          <w:sz w:val="24"/>
        </w:rPr>
        <w:t>unlikely</w:t>
      </w:r>
      <w:r>
        <w:rPr>
          <w:spacing w:val="-8"/>
          <w:sz w:val="24"/>
        </w:rPr>
        <w:t> </w:t>
      </w:r>
      <w:r>
        <w:rPr>
          <w:spacing w:val="2"/>
          <w:sz w:val="24"/>
        </w:rPr>
        <w:t>to</w:t>
      </w:r>
      <w:r>
        <w:rPr>
          <w:spacing w:val="-3"/>
          <w:sz w:val="24"/>
        </w:rPr>
        <w:t> </w:t>
      </w:r>
      <w:r>
        <w:rPr>
          <w:sz w:val="24"/>
        </w:rPr>
        <w:t>have</w:t>
      </w:r>
      <w:r>
        <w:rPr>
          <w:spacing w:val="-8"/>
          <w:sz w:val="24"/>
        </w:rPr>
        <w:t> </w:t>
      </w:r>
      <w:r>
        <w:rPr>
          <w:sz w:val="24"/>
        </w:rPr>
        <w:t>been</w:t>
      </w:r>
      <w:r>
        <w:rPr>
          <w:spacing w:val="-8"/>
          <w:sz w:val="24"/>
        </w:rPr>
        <w:t> </w:t>
      </w:r>
      <w:r>
        <w:rPr>
          <w:sz w:val="24"/>
        </w:rPr>
        <w:t>seen in the </w:t>
      </w:r>
      <w:r>
        <w:rPr>
          <w:spacing w:val="3"/>
          <w:sz w:val="24"/>
        </w:rPr>
        <w:t>official </w:t>
      </w:r>
      <w:r>
        <w:rPr>
          <w:sz w:val="24"/>
        </w:rPr>
        <w:t>data yet. Overall, the situation in the major industrial countries was not obviously worse than a month ago, but was no better than</w:t>
      </w:r>
      <w:r>
        <w:rPr>
          <w:spacing w:val="16"/>
          <w:sz w:val="24"/>
        </w:rPr>
        <w:t> </w:t>
      </w:r>
      <w:r>
        <w:rPr>
          <w:sz w:val="24"/>
        </w:rPr>
        <w:t>expected.</w:t>
      </w:r>
    </w:p>
    <w:p>
      <w:pPr>
        <w:pStyle w:val="BodyText"/>
        <w:spacing w:before="10"/>
        <w:rPr>
          <w:sz w:val="31"/>
        </w:rPr>
      </w:pPr>
    </w:p>
    <w:p>
      <w:pPr>
        <w:pStyle w:val="ListParagraph"/>
        <w:numPr>
          <w:ilvl w:val="0"/>
          <w:numId w:val="1"/>
        </w:numPr>
        <w:tabs>
          <w:tab w:pos="781" w:val="left" w:leader="none"/>
          <w:tab w:pos="782" w:val="left" w:leader="none"/>
        </w:tabs>
        <w:spacing w:line="321" w:lineRule="auto" w:before="1" w:after="0"/>
        <w:ind w:left="421" w:right="258" w:firstLine="0"/>
        <w:jc w:val="left"/>
        <w:rPr>
          <w:sz w:val="24"/>
        </w:rPr>
      </w:pPr>
      <w:r>
        <w:rPr>
          <w:sz w:val="24"/>
        </w:rPr>
        <w:t>Some of the forward-looking indicators in the United States – such as the National Association of Purchasing Managers index – were a little weaker. This weakening, in common with that in </w:t>
      </w:r>
      <w:r>
        <w:rPr>
          <w:spacing w:val="3"/>
          <w:sz w:val="24"/>
        </w:rPr>
        <w:t>other</w:t>
      </w:r>
      <w:r>
        <w:rPr>
          <w:spacing w:val="-2"/>
          <w:sz w:val="24"/>
        </w:rPr>
        <w:t> </w:t>
      </w:r>
      <w:r>
        <w:rPr>
          <w:sz w:val="24"/>
        </w:rPr>
        <w:t>OECD</w:t>
      </w:r>
      <w:r>
        <w:rPr>
          <w:spacing w:val="-7"/>
          <w:sz w:val="24"/>
        </w:rPr>
        <w:t> </w:t>
      </w:r>
      <w:r>
        <w:rPr>
          <w:sz w:val="24"/>
        </w:rPr>
        <w:t>countries,</w:t>
      </w:r>
      <w:r>
        <w:rPr>
          <w:spacing w:val="-6"/>
          <w:sz w:val="24"/>
        </w:rPr>
        <w:t> </w:t>
      </w:r>
      <w:r>
        <w:rPr>
          <w:sz w:val="24"/>
        </w:rPr>
        <w:t>perhaps</w:t>
      </w:r>
      <w:r>
        <w:rPr>
          <w:spacing w:val="-6"/>
          <w:sz w:val="24"/>
        </w:rPr>
        <w:t> </w:t>
      </w:r>
      <w:r>
        <w:rPr>
          <w:sz w:val="24"/>
        </w:rPr>
        <w:t>related</w:t>
      </w:r>
      <w:r>
        <w:rPr>
          <w:spacing w:val="-5"/>
          <w:sz w:val="24"/>
        </w:rPr>
        <w:t> </w:t>
      </w:r>
      <w:r>
        <w:rPr>
          <w:sz w:val="24"/>
        </w:rPr>
        <w:t>more</w:t>
      </w:r>
      <w:r>
        <w:rPr>
          <w:spacing w:val="-6"/>
          <w:sz w:val="24"/>
        </w:rPr>
        <w:t> </w:t>
      </w:r>
      <w:r>
        <w:rPr>
          <w:spacing w:val="2"/>
          <w:sz w:val="24"/>
        </w:rPr>
        <w:t>to</w:t>
      </w:r>
      <w:r>
        <w:rPr>
          <w:spacing w:val="-2"/>
          <w:sz w:val="24"/>
        </w:rPr>
        <w:t> </w:t>
      </w:r>
      <w:r>
        <w:rPr>
          <w:sz w:val="24"/>
        </w:rPr>
        <w:t>the</w:t>
      </w:r>
      <w:r>
        <w:rPr>
          <w:spacing w:val="-6"/>
          <w:sz w:val="24"/>
        </w:rPr>
        <w:t> </w:t>
      </w:r>
      <w:r>
        <w:rPr>
          <w:sz w:val="24"/>
        </w:rPr>
        <w:t>manufacturing</w:t>
      </w:r>
      <w:r>
        <w:rPr>
          <w:spacing w:val="-7"/>
          <w:sz w:val="24"/>
        </w:rPr>
        <w:t> </w:t>
      </w:r>
      <w:r>
        <w:rPr>
          <w:sz w:val="24"/>
        </w:rPr>
        <w:t>rather</w:t>
      </w:r>
      <w:r>
        <w:rPr>
          <w:spacing w:val="-4"/>
          <w:sz w:val="24"/>
        </w:rPr>
        <w:t> </w:t>
      </w:r>
      <w:r>
        <w:rPr>
          <w:sz w:val="24"/>
        </w:rPr>
        <w:t>than</w:t>
      </w:r>
      <w:r>
        <w:rPr>
          <w:spacing w:val="-6"/>
          <w:sz w:val="24"/>
        </w:rPr>
        <w:t> </w:t>
      </w:r>
      <w:r>
        <w:rPr>
          <w:sz w:val="24"/>
        </w:rPr>
        <w:t>service</w:t>
      </w:r>
      <w:r>
        <w:rPr>
          <w:spacing w:val="-7"/>
          <w:sz w:val="24"/>
        </w:rPr>
        <w:t> </w:t>
      </w:r>
      <w:r>
        <w:rPr>
          <w:sz w:val="24"/>
        </w:rPr>
        <w:t>sectors</w:t>
      </w:r>
      <w:r>
        <w:rPr>
          <w:spacing w:val="-6"/>
          <w:sz w:val="24"/>
        </w:rPr>
        <w:t> </w:t>
      </w:r>
      <w:r>
        <w:rPr>
          <w:sz w:val="24"/>
        </w:rPr>
        <w:t>of</w:t>
      </w:r>
      <w:r>
        <w:rPr>
          <w:spacing w:val="-2"/>
          <w:sz w:val="24"/>
        </w:rPr>
        <w:t> </w:t>
      </w:r>
      <w:r>
        <w:rPr>
          <w:sz w:val="24"/>
        </w:rPr>
        <w:t>the economy. Though it seemed likely that robust US growth would continue </w:t>
      </w:r>
      <w:r>
        <w:rPr>
          <w:spacing w:val="3"/>
          <w:sz w:val="24"/>
        </w:rPr>
        <w:t>over </w:t>
      </w:r>
      <w:r>
        <w:rPr>
          <w:sz w:val="24"/>
        </w:rPr>
        <w:t>the next two or three quarters, there was a risk of a substantial slowdown looking further ahead. One possibility was a weakening of demand, if for example there were an adjustment of equity prices;</w:t>
      </w:r>
      <w:r>
        <w:rPr>
          <w:spacing w:val="-16"/>
          <w:sz w:val="24"/>
        </w:rPr>
        <w:t> </w:t>
      </w:r>
      <w:r>
        <w:rPr>
          <w:sz w:val="24"/>
        </w:rPr>
        <w:t>another</w:t>
      </w:r>
    </w:p>
    <w:p>
      <w:pPr>
        <w:spacing w:after="0" w:line="321" w:lineRule="auto"/>
        <w:jc w:val="left"/>
        <w:rPr>
          <w:sz w:val="24"/>
        </w:rPr>
        <w:sectPr>
          <w:pgSz w:w="11900" w:h="16840"/>
          <w:pgMar w:top="1600" w:bottom="280" w:left="860" w:right="880"/>
        </w:sectPr>
      </w:pPr>
    </w:p>
    <w:p>
      <w:pPr>
        <w:pStyle w:val="BodyText"/>
        <w:spacing w:line="321" w:lineRule="auto" w:before="80"/>
        <w:ind w:left="421" w:right="464"/>
      </w:pPr>
      <w:r>
        <w:rPr/>
        <w:t>possibility</w:t>
      </w:r>
      <w:r>
        <w:rPr>
          <w:spacing w:val="-12"/>
        </w:rPr>
        <w:t> </w:t>
      </w:r>
      <w:r>
        <w:rPr/>
        <w:t>was</w:t>
      </w:r>
      <w:r>
        <w:rPr>
          <w:spacing w:val="-12"/>
        </w:rPr>
        <w:t> </w:t>
      </w:r>
      <w:r>
        <w:rPr/>
        <w:t>that</w:t>
      </w:r>
      <w:r>
        <w:rPr>
          <w:spacing w:val="-7"/>
        </w:rPr>
        <w:t> </w:t>
      </w:r>
      <w:r>
        <w:rPr/>
        <w:t>supply</w:t>
      </w:r>
      <w:r>
        <w:rPr>
          <w:spacing w:val="-12"/>
        </w:rPr>
        <w:t> </w:t>
      </w:r>
      <w:r>
        <w:rPr/>
        <w:t>constraints</w:t>
      </w:r>
      <w:r>
        <w:rPr>
          <w:spacing w:val="-11"/>
        </w:rPr>
        <w:t> </w:t>
      </w:r>
      <w:r>
        <w:rPr/>
        <w:t>would</w:t>
      </w:r>
      <w:r>
        <w:rPr>
          <w:spacing w:val="-12"/>
        </w:rPr>
        <w:t> </w:t>
      </w:r>
      <w:r>
        <w:rPr/>
        <w:t>begin</w:t>
      </w:r>
      <w:r>
        <w:rPr>
          <w:spacing w:val="-12"/>
        </w:rPr>
        <w:t> </w:t>
      </w:r>
      <w:r>
        <w:rPr>
          <w:spacing w:val="2"/>
        </w:rPr>
        <w:t>to</w:t>
      </w:r>
      <w:r>
        <w:rPr>
          <w:spacing w:val="-7"/>
        </w:rPr>
        <w:t> </w:t>
      </w:r>
      <w:r>
        <w:rPr/>
        <w:t>slow</w:t>
      </w:r>
      <w:r>
        <w:rPr>
          <w:spacing w:val="-12"/>
        </w:rPr>
        <w:t> </w:t>
      </w:r>
      <w:r>
        <w:rPr/>
        <w:t>growth,</w:t>
      </w:r>
      <w:r>
        <w:rPr>
          <w:spacing w:val="-11"/>
        </w:rPr>
        <w:t> </w:t>
      </w:r>
      <w:r>
        <w:rPr/>
        <w:t>although</w:t>
      </w:r>
      <w:r>
        <w:rPr>
          <w:spacing w:val="-12"/>
        </w:rPr>
        <w:t> </w:t>
      </w:r>
      <w:r>
        <w:rPr/>
        <w:t>there</w:t>
      </w:r>
      <w:r>
        <w:rPr>
          <w:spacing w:val="-11"/>
        </w:rPr>
        <w:t> </w:t>
      </w:r>
      <w:r>
        <w:rPr/>
        <w:t>were</w:t>
      </w:r>
      <w:r>
        <w:rPr>
          <w:spacing w:val="-12"/>
        </w:rPr>
        <w:t> </w:t>
      </w:r>
      <w:r>
        <w:rPr/>
        <w:t>few</w:t>
      </w:r>
      <w:r>
        <w:rPr>
          <w:spacing w:val="-12"/>
        </w:rPr>
        <w:t> </w:t>
      </w:r>
      <w:r>
        <w:rPr/>
        <w:t>signs of that in the current price and cost</w:t>
      </w:r>
      <w:r>
        <w:rPr>
          <w:spacing w:val="31"/>
        </w:rPr>
        <w:t> </w:t>
      </w:r>
      <w:r>
        <w:rPr/>
        <w:t>data.</w:t>
      </w:r>
    </w:p>
    <w:p>
      <w:pPr>
        <w:pStyle w:val="BodyText"/>
        <w:spacing w:before="1"/>
        <w:rPr>
          <w:sz w:val="32"/>
        </w:rPr>
      </w:pPr>
    </w:p>
    <w:p>
      <w:pPr>
        <w:pStyle w:val="ListParagraph"/>
        <w:numPr>
          <w:ilvl w:val="0"/>
          <w:numId w:val="1"/>
        </w:numPr>
        <w:tabs>
          <w:tab w:pos="781" w:val="left" w:leader="none"/>
          <w:tab w:pos="782" w:val="left" w:leader="none"/>
        </w:tabs>
        <w:spacing w:line="321" w:lineRule="auto" w:before="0" w:after="0"/>
        <w:ind w:left="421" w:right="387" w:firstLine="0"/>
        <w:jc w:val="left"/>
        <w:rPr>
          <w:sz w:val="24"/>
        </w:rPr>
      </w:pPr>
      <w:r>
        <w:rPr>
          <w:sz w:val="24"/>
        </w:rPr>
        <w:t>Non-oil commodity prices had risen slightly in November, following the fall in the previous month. But despite the military action in the Gulf, the fall in world </w:t>
      </w:r>
      <w:r>
        <w:rPr>
          <w:spacing w:val="2"/>
          <w:sz w:val="24"/>
        </w:rPr>
        <w:t>oil </w:t>
      </w:r>
      <w:r>
        <w:rPr>
          <w:sz w:val="24"/>
        </w:rPr>
        <w:t>prices </w:t>
      </w:r>
      <w:r>
        <w:rPr>
          <w:spacing w:val="2"/>
          <w:sz w:val="24"/>
        </w:rPr>
        <w:t>to </w:t>
      </w:r>
      <w:r>
        <w:rPr>
          <w:sz w:val="24"/>
        </w:rPr>
        <w:t>around $10 per barrel that had </w:t>
      </w:r>
      <w:r>
        <w:rPr>
          <w:spacing w:val="3"/>
          <w:sz w:val="24"/>
        </w:rPr>
        <w:t>occurred </w:t>
      </w:r>
      <w:r>
        <w:rPr>
          <w:sz w:val="24"/>
        </w:rPr>
        <w:t>prior </w:t>
      </w:r>
      <w:r>
        <w:rPr>
          <w:spacing w:val="2"/>
          <w:sz w:val="24"/>
        </w:rPr>
        <w:t>to </w:t>
      </w:r>
      <w:r>
        <w:rPr>
          <w:sz w:val="24"/>
        </w:rPr>
        <w:t>the December meeting had largely persisted. For the world as a whole there had been a negative shock </w:t>
      </w:r>
      <w:r>
        <w:rPr>
          <w:spacing w:val="2"/>
          <w:sz w:val="24"/>
        </w:rPr>
        <w:t>to </w:t>
      </w:r>
      <w:r>
        <w:rPr>
          <w:sz w:val="24"/>
        </w:rPr>
        <w:t>aggregate demand following the crisis in East Asia and the</w:t>
      </w:r>
      <w:r>
        <w:rPr>
          <w:spacing w:val="-14"/>
          <w:sz w:val="24"/>
        </w:rPr>
        <w:t> </w:t>
      </w:r>
      <w:r>
        <w:rPr>
          <w:sz w:val="24"/>
        </w:rPr>
        <w:t>Russian</w:t>
      </w:r>
      <w:r>
        <w:rPr>
          <w:spacing w:val="-14"/>
          <w:sz w:val="24"/>
        </w:rPr>
        <w:t> </w:t>
      </w:r>
      <w:r>
        <w:rPr>
          <w:sz w:val="24"/>
        </w:rPr>
        <w:t>financial</w:t>
      </w:r>
      <w:r>
        <w:rPr>
          <w:spacing w:val="-14"/>
          <w:sz w:val="24"/>
        </w:rPr>
        <w:t> </w:t>
      </w:r>
      <w:r>
        <w:rPr>
          <w:sz w:val="24"/>
        </w:rPr>
        <w:t>problems,</w:t>
      </w:r>
      <w:r>
        <w:rPr>
          <w:spacing w:val="-13"/>
          <w:sz w:val="24"/>
        </w:rPr>
        <w:t> </w:t>
      </w:r>
      <w:r>
        <w:rPr>
          <w:sz w:val="24"/>
        </w:rPr>
        <w:t>so</w:t>
      </w:r>
      <w:r>
        <w:rPr>
          <w:spacing w:val="-14"/>
          <w:sz w:val="24"/>
        </w:rPr>
        <w:t> </w:t>
      </w:r>
      <w:r>
        <w:rPr>
          <w:sz w:val="24"/>
        </w:rPr>
        <w:t>that</w:t>
      </w:r>
      <w:r>
        <w:rPr>
          <w:spacing w:val="-10"/>
          <w:sz w:val="24"/>
        </w:rPr>
        <w:t> </w:t>
      </w:r>
      <w:r>
        <w:rPr>
          <w:sz w:val="24"/>
        </w:rPr>
        <w:t>it</w:t>
      </w:r>
      <w:r>
        <w:rPr>
          <w:spacing w:val="-10"/>
          <w:sz w:val="24"/>
        </w:rPr>
        <w:t> </w:t>
      </w:r>
      <w:r>
        <w:rPr>
          <w:sz w:val="24"/>
        </w:rPr>
        <w:t>was</w:t>
      </w:r>
      <w:r>
        <w:rPr>
          <w:spacing w:val="-13"/>
          <w:sz w:val="24"/>
        </w:rPr>
        <w:t> </w:t>
      </w:r>
      <w:r>
        <w:rPr>
          <w:sz w:val="24"/>
        </w:rPr>
        <w:t>likely</w:t>
      </w:r>
      <w:r>
        <w:rPr>
          <w:spacing w:val="-14"/>
          <w:sz w:val="24"/>
        </w:rPr>
        <w:t> </w:t>
      </w:r>
      <w:r>
        <w:rPr>
          <w:sz w:val="24"/>
        </w:rPr>
        <w:t>that</w:t>
      </w:r>
      <w:r>
        <w:rPr>
          <w:spacing w:val="-10"/>
          <w:sz w:val="24"/>
        </w:rPr>
        <w:t> </w:t>
      </w:r>
      <w:r>
        <w:rPr>
          <w:sz w:val="24"/>
        </w:rPr>
        <w:t>demand</w:t>
      </w:r>
      <w:r>
        <w:rPr>
          <w:spacing w:val="-14"/>
          <w:sz w:val="24"/>
        </w:rPr>
        <w:t> </w:t>
      </w:r>
      <w:r>
        <w:rPr>
          <w:sz w:val="24"/>
        </w:rPr>
        <w:t>had</w:t>
      </w:r>
      <w:r>
        <w:rPr>
          <w:spacing w:val="-13"/>
          <w:sz w:val="24"/>
        </w:rPr>
        <w:t> </w:t>
      </w:r>
      <w:r>
        <w:rPr>
          <w:sz w:val="24"/>
        </w:rPr>
        <w:t>fallen</w:t>
      </w:r>
      <w:r>
        <w:rPr>
          <w:spacing w:val="-14"/>
          <w:sz w:val="24"/>
        </w:rPr>
        <w:t> </w:t>
      </w:r>
      <w:r>
        <w:rPr>
          <w:sz w:val="24"/>
        </w:rPr>
        <w:t>further</w:t>
      </w:r>
      <w:r>
        <w:rPr>
          <w:spacing w:val="-14"/>
          <w:sz w:val="24"/>
        </w:rPr>
        <w:t> </w:t>
      </w:r>
      <w:r>
        <w:rPr>
          <w:sz w:val="24"/>
        </w:rPr>
        <w:t>below</w:t>
      </w:r>
      <w:r>
        <w:rPr>
          <w:spacing w:val="-13"/>
          <w:sz w:val="24"/>
        </w:rPr>
        <w:t> </w:t>
      </w:r>
      <w:r>
        <w:rPr>
          <w:sz w:val="24"/>
        </w:rPr>
        <w:t>capacity, putting</w:t>
      </w:r>
      <w:r>
        <w:rPr>
          <w:spacing w:val="-11"/>
          <w:sz w:val="24"/>
        </w:rPr>
        <w:t> </w:t>
      </w:r>
      <w:r>
        <w:rPr>
          <w:sz w:val="24"/>
        </w:rPr>
        <w:t>downward</w:t>
      </w:r>
      <w:r>
        <w:rPr>
          <w:spacing w:val="-10"/>
          <w:sz w:val="24"/>
        </w:rPr>
        <w:t> </w:t>
      </w:r>
      <w:r>
        <w:rPr>
          <w:sz w:val="24"/>
        </w:rPr>
        <w:t>pressure</w:t>
      </w:r>
      <w:r>
        <w:rPr>
          <w:spacing w:val="-10"/>
          <w:sz w:val="24"/>
        </w:rPr>
        <w:t> </w:t>
      </w:r>
      <w:r>
        <w:rPr>
          <w:sz w:val="24"/>
        </w:rPr>
        <w:t>on</w:t>
      </w:r>
      <w:r>
        <w:rPr>
          <w:spacing w:val="-6"/>
          <w:sz w:val="24"/>
        </w:rPr>
        <w:t> </w:t>
      </w:r>
      <w:r>
        <w:rPr>
          <w:sz w:val="24"/>
        </w:rPr>
        <w:t>world</w:t>
      </w:r>
      <w:r>
        <w:rPr>
          <w:spacing w:val="-10"/>
          <w:sz w:val="24"/>
        </w:rPr>
        <w:t> </w:t>
      </w:r>
      <w:r>
        <w:rPr>
          <w:sz w:val="24"/>
        </w:rPr>
        <w:t>prices</w:t>
      </w:r>
      <w:r>
        <w:rPr>
          <w:spacing w:val="-10"/>
          <w:sz w:val="24"/>
        </w:rPr>
        <w:t> </w:t>
      </w:r>
      <w:r>
        <w:rPr>
          <w:sz w:val="24"/>
        </w:rPr>
        <w:t>and</w:t>
      </w:r>
      <w:r>
        <w:rPr>
          <w:spacing w:val="-10"/>
          <w:sz w:val="24"/>
        </w:rPr>
        <w:t> </w:t>
      </w:r>
      <w:r>
        <w:rPr>
          <w:sz w:val="24"/>
        </w:rPr>
        <w:t>possibly</w:t>
      </w:r>
      <w:r>
        <w:rPr>
          <w:spacing w:val="-10"/>
          <w:sz w:val="24"/>
        </w:rPr>
        <w:t> </w:t>
      </w:r>
      <w:r>
        <w:rPr>
          <w:sz w:val="24"/>
        </w:rPr>
        <w:t>real</w:t>
      </w:r>
      <w:r>
        <w:rPr>
          <w:spacing w:val="-8"/>
          <w:sz w:val="24"/>
        </w:rPr>
        <w:t> </w:t>
      </w:r>
      <w:r>
        <w:rPr>
          <w:sz w:val="24"/>
        </w:rPr>
        <w:t>interest</w:t>
      </w:r>
      <w:r>
        <w:rPr>
          <w:spacing w:val="-6"/>
          <w:sz w:val="24"/>
        </w:rPr>
        <w:t> </w:t>
      </w:r>
      <w:r>
        <w:rPr>
          <w:sz w:val="24"/>
        </w:rPr>
        <w:t>rates.</w:t>
      </w:r>
      <w:r>
        <w:rPr>
          <w:spacing w:val="-9"/>
          <w:sz w:val="24"/>
        </w:rPr>
        <w:t> </w:t>
      </w:r>
      <w:r>
        <w:rPr>
          <w:sz w:val="24"/>
        </w:rPr>
        <w:t>Commodity</w:t>
      </w:r>
      <w:r>
        <w:rPr>
          <w:spacing w:val="-10"/>
          <w:sz w:val="24"/>
        </w:rPr>
        <w:t> </w:t>
      </w:r>
      <w:r>
        <w:rPr>
          <w:sz w:val="24"/>
        </w:rPr>
        <w:t>prices</w:t>
      </w:r>
      <w:r>
        <w:rPr>
          <w:spacing w:val="-10"/>
          <w:sz w:val="24"/>
        </w:rPr>
        <w:t> </w:t>
      </w:r>
      <w:r>
        <w:rPr>
          <w:sz w:val="24"/>
        </w:rPr>
        <w:t>had been especially sensitive </w:t>
      </w:r>
      <w:r>
        <w:rPr>
          <w:spacing w:val="2"/>
          <w:sz w:val="24"/>
        </w:rPr>
        <w:t>to </w:t>
      </w:r>
      <w:r>
        <w:rPr>
          <w:sz w:val="24"/>
        </w:rPr>
        <w:t>this shock. For the United Kingdom, goods price inflation excluding taxes</w:t>
      </w:r>
      <w:r>
        <w:rPr>
          <w:spacing w:val="-17"/>
          <w:sz w:val="24"/>
        </w:rPr>
        <w:t> </w:t>
      </w:r>
      <w:r>
        <w:rPr>
          <w:sz w:val="24"/>
        </w:rPr>
        <w:t>was</w:t>
      </w:r>
      <w:r>
        <w:rPr>
          <w:spacing w:val="-16"/>
          <w:sz w:val="24"/>
        </w:rPr>
        <w:t> </w:t>
      </w:r>
      <w:r>
        <w:rPr>
          <w:sz w:val="24"/>
        </w:rPr>
        <w:t>currently</w:t>
      </w:r>
      <w:r>
        <w:rPr>
          <w:spacing w:val="-16"/>
          <w:sz w:val="24"/>
        </w:rPr>
        <w:t> </w:t>
      </w:r>
      <w:r>
        <w:rPr>
          <w:sz w:val="24"/>
        </w:rPr>
        <w:t>running</w:t>
      </w:r>
      <w:r>
        <w:rPr>
          <w:spacing w:val="-15"/>
          <w:sz w:val="24"/>
        </w:rPr>
        <w:t> </w:t>
      </w:r>
      <w:r>
        <w:rPr>
          <w:sz w:val="24"/>
        </w:rPr>
        <w:t>significantly</w:t>
      </w:r>
      <w:r>
        <w:rPr>
          <w:spacing w:val="-16"/>
          <w:sz w:val="24"/>
        </w:rPr>
        <w:t> </w:t>
      </w:r>
      <w:r>
        <w:rPr>
          <w:sz w:val="24"/>
        </w:rPr>
        <w:t>below</w:t>
      </w:r>
      <w:r>
        <w:rPr>
          <w:spacing w:val="-16"/>
          <w:sz w:val="24"/>
        </w:rPr>
        <w:t> </w:t>
      </w:r>
      <w:r>
        <w:rPr>
          <w:sz w:val="24"/>
        </w:rPr>
        <w:t>aggregate</w:t>
      </w:r>
      <w:r>
        <w:rPr>
          <w:spacing w:val="-16"/>
          <w:sz w:val="24"/>
        </w:rPr>
        <w:t> </w:t>
      </w:r>
      <w:r>
        <w:rPr>
          <w:sz w:val="24"/>
        </w:rPr>
        <w:t>RPIX</w:t>
      </w:r>
      <w:r>
        <w:rPr>
          <w:spacing w:val="-17"/>
          <w:sz w:val="24"/>
        </w:rPr>
        <w:t> </w:t>
      </w:r>
      <w:r>
        <w:rPr>
          <w:sz w:val="24"/>
        </w:rPr>
        <w:t>inflation,</w:t>
      </w:r>
      <w:r>
        <w:rPr>
          <w:spacing w:val="-16"/>
          <w:sz w:val="24"/>
        </w:rPr>
        <w:t> </w:t>
      </w:r>
      <w:r>
        <w:rPr>
          <w:sz w:val="24"/>
        </w:rPr>
        <w:t>given</w:t>
      </w:r>
      <w:r>
        <w:rPr>
          <w:spacing w:val="-16"/>
          <w:sz w:val="24"/>
        </w:rPr>
        <w:t> </w:t>
      </w:r>
      <w:r>
        <w:rPr>
          <w:sz w:val="24"/>
        </w:rPr>
        <w:t>falls</w:t>
      </w:r>
      <w:r>
        <w:rPr>
          <w:spacing w:val="-16"/>
          <w:sz w:val="24"/>
        </w:rPr>
        <w:t> </w:t>
      </w:r>
      <w:r>
        <w:rPr>
          <w:sz w:val="24"/>
        </w:rPr>
        <w:t>in</w:t>
      </w:r>
      <w:r>
        <w:rPr>
          <w:spacing w:val="-16"/>
          <w:sz w:val="24"/>
        </w:rPr>
        <w:t> </w:t>
      </w:r>
      <w:r>
        <w:rPr>
          <w:sz w:val="24"/>
        </w:rPr>
        <w:t>the</w:t>
      </w:r>
      <w:r>
        <w:rPr>
          <w:spacing w:val="-17"/>
          <w:sz w:val="24"/>
        </w:rPr>
        <w:t> </w:t>
      </w:r>
      <w:r>
        <w:rPr>
          <w:sz w:val="24"/>
        </w:rPr>
        <w:t>price</w:t>
      </w:r>
      <w:r>
        <w:rPr>
          <w:spacing w:val="-16"/>
          <w:sz w:val="24"/>
        </w:rPr>
        <w:t> </w:t>
      </w:r>
      <w:r>
        <w:rPr>
          <w:sz w:val="24"/>
        </w:rPr>
        <w:t>of tradeables and the effect of past tax</w:t>
      </w:r>
      <w:r>
        <w:rPr>
          <w:spacing w:val="22"/>
          <w:sz w:val="24"/>
        </w:rPr>
        <w:t> </w:t>
      </w:r>
      <w:r>
        <w:rPr>
          <w:sz w:val="24"/>
        </w:rPr>
        <w:t>increases.</w:t>
      </w:r>
    </w:p>
    <w:p>
      <w:pPr>
        <w:pStyle w:val="BodyText"/>
        <w:spacing w:before="11"/>
        <w:rPr>
          <w:sz w:val="31"/>
        </w:rPr>
      </w:pPr>
    </w:p>
    <w:p>
      <w:pPr>
        <w:pStyle w:val="ListParagraph"/>
        <w:numPr>
          <w:ilvl w:val="0"/>
          <w:numId w:val="1"/>
        </w:numPr>
        <w:tabs>
          <w:tab w:pos="781" w:val="left" w:leader="none"/>
          <w:tab w:pos="782" w:val="left" w:leader="none"/>
        </w:tabs>
        <w:spacing w:line="321" w:lineRule="auto" w:before="0" w:after="0"/>
        <w:ind w:left="421" w:right="484" w:firstLine="0"/>
        <w:jc w:val="left"/>
        <w:rPr>
          <w:sz w:val="24"/>
        </w:rPr>
      </w:pPr>
      <w:r>
        <w:rPr>
          <w:sz w:val="24"/>
        </w:rPr>
        <w:t>The external environment would be a key consideration in the quarterly </w:t>
      </w:r>
      <w:r>
        <w:rPr>
          <w:i/>
          <w:sz w:val="24"/>
        </w:rPr>
        <w:t>Inflation Report </w:t>
      </w:r>
      <w:r>
        <w:rPr>
          <w:sz w:val="24"/>
        </w:rPr>
        <w:t>forecast</w:t>
      </w:r>
      <w:r>
        <w:rPr>
          <w:spacing w:val="-7"/>
          <w:sz w:val="24"/>
        </w:rPr>
        <w:t> </w:t>
      </w:r>
      <w:r>
        <w:rPr>
          <w:sz w:val="24"/>
        </w:rPr>
        <w:t>round.</w:t>
      </w:r>
      <w:r>
        <w:rPr>
          <w:spacing w:val="-9"/>
          <w:sz w:val="24"/>
        </w:rPr>
        <w:t> </w:t>
      </w:r>
      <w:r>
        <w:rPr>
          <w:sz w:val="24"/>
        </w:rPr>
        <w:t>The</w:t>
      </w:r>
      <w:r>
        <w:rPr>
          <w:spacing w:val="-8"/>
          <w:sz w:val="24"/>
        </w:rPr>
        <w:t> </w:t>
      </w:r>
      <w:r>
        <w:rPr>
          <w:sz w:val="24"/>
        </w:rPr>
        <w:t>risks</w:t>
      </w:r>
      <w:r>
        <w:rPr>
          <w:spacing w:val="-9"/>
          <w:sz w:val="24"/>
        </w:rPr>
        <w:t> </w:t>
      </w:r>
      <w:r>
        <w:rPr>
          <w:spacing w:val="2"/>
          <w:sz w:val="24"/>
        </w:rPr>
        <w:t>to</w:t>
      </w:r>
      <w:r>
        <w:rPr>
          <w:spacing w:val="-6"/>
          <w:sz w:val="24"/>
        </w:rPr>
        <w:t> </w:t>
      </w:r>
      <w:r>
        <w:rPr>
          <w:sz w:val="24"/>
        </w:rPr>
        <w:t>both</w:t>
      </w:r>
      <w:r>
        <w:rPr>
          <w:spacing w:val="-11"/>
          <w:sz w:val="24"/>
        </w:rPr>
        <w:t> </w:t>
      </w:r>
      <w:r>
        <w:rPr>
          <w:sz w:val="24"/>
        </w:rPr>
        <w:t>inflation</w:t>
      </w:r>
      <w:r>
        <w:rPr>
          <w:spacing w:val="-10"/>
          <w:sz w:val="24"/>
        </w:rPr>
        <w:t> </w:t>
      </w:r>
      <w:r>
        <w:rPr>
          <w:sz w:val="24"/>
        </w:rPr>
        <w:t>and</w:t>
      </w:r>
      <w:r>
        <w:rPr>
          <w:spacing w:val="-10"/>
          <w:sz w:val="24"/>
        </w:rPr>
        <w:t> </w:t>
      </w:r>
      <w:r>
        <w:rPr>
          <w:sz w:val="24"/>
        </w:rPr>
        <w:t>real</w:t>
      </w:r>
      <w:r>
        <w:rPr>
          <w:spacing w:val="-9"/>
          <w:sz w:val="24"/>
        </w:rPr>
        <w:t> </w:t>
      </w:r>
      <w:r>
        <w:rPr>
          <w:sz w:val="24"/>
        </w:rPr>
        <w:t>activity</w:t>
      </w:r>
      <w:r>
        <w:rPr>
          <w:spacing w:val="-10"/>
          <w:sz w:val="24"/>
        </w:rPr>
        <w:t> </w:t>
      </w:r>
      <w:r>
        <w:rPr>
          <w:sz w:val="24"/>
        </w:rPr>
        <w:t>remained</w:t>
      </w:r>
      <w:r>
        <w:rPr>
          <w:spacing w:val="-9"/>
          <w:sz w:val="24"/>
        </w:rPr>
        <w:t> </w:t>
      </w:r>
      <w:r>
        <w:rPr>
          <w:sz w:val="24"/>
        </w:rPr>
        <w:t>clearly</w:t>
      </w:r>
      <w:r>
        <w:rPr>
          <w:spacing w:val="-10"/>
          <w:sz w:val="24"/>
        </w:rPr>
        <w:t> </w:t>
      </w:r>
      <w:r>
        <w:rPr>
          <w:sz w:val="24"/>
        </w:rPr>
        <w:t>on</w:t>
      </w:r>
      <w:r>
        <w:rPr>
          <w:spacing w:val="-7"/>
          <w:sz w:val="24"/>
        </w:rPr>
        <w:t> </w:t>
      </w:r>
      <w:r>
        <w:rPr>
          <w:sz w:val="24"/>
        </w:rPr>
        <w:t>the</w:t>
      </w:r>
      <w:r>
        <w:rPr>
          <w:spacing w:val="-10"/>
          <w:sz w:val="24"/>
        </w:rPr>
        <w:t> </w:t>
      </w:r>
      <w:r>
        <w:rPr>
          <w:sz w:val="24"/>
        </w:rPr>
        <w:t>downside,</w:t>
      </w:r>
      <w:r>
        <w:rPr>
          <w:spacing w:val="-10"/>
          <w:sz w:val="24"/>
        </w:rPr>
        <w:t> </w:t>
      </w:r>
      <w:r>
        <w:rPr>
          <w:sz w:val="24"/>
        </w:rPr>
        <w:t>and might have increased. The Committee discussed the risks and possible ramifications of further serious problems in emerging market economies, and agreed that policy could react if these downside risks</w:t>
      </w:r>
      <w:r>
        <w:rPr>
          <w:spacing w:val="4"/>
          <w:sz w:val="24"/>
        </w:rPr>
        <w:t> </w:t>
      </w:r>
      <w:r>
        <w:rPr>
          <w:sz w:val="24"/>
        </w:rPr>
        <w:t>materialised.</w:t>
      </w:r>
    </w:p>
    <w:p>
      <w:pPr>
        <w:pStyle w:val="BodyText"/>
        <w:spacing w:before="5"/>
        <w:rPr>
          <w:sz w:val="32"/>
        </w:rPr>
      </w:pPr>
    </w:p>
    <w:p>
      <w:pPr>
        <w:pStyle w:val="Heading1"/>
      </w:pPr>
      <w:r>
        <w:rPr/>
        <w:t>Exchange rates and financial markets</w:t>
      </w:r>
    </w:p>
    <w:p>
      <w:pPr>
        <w:pStyle w:val="BodyText"/>
        <w:rPr>
          <w:b/>
          <w:sz w:val="26"/>
        </w:rPr>
      </w:pPr>
    </w:p>
    <w:p>
      <w:pPr>
        <w:pStyle w:val="ListParagraph"/>
        <w:numPr>
          <w:ilvl w:val="0"/>
          <w:numId w:val="1"/>
        </w:numPr>
        <w:tabs>
          <w:tab w:pos="781" w:val="left" w:leader="none"/>
          <w:tab w:pos="782" w:val="left" w:leader="none"/>
        </w:tabs>
        <w:spacing w:line="321" w:lineRule="auto" w:before="160" w:after="0"/>
        <w:ind w:left="421" w:right="391" w:firstLine="0"/>
        <w:jc w:val="left"/>
        <w:rPr>
          <w:sz w:val="24"/>
        </w:rPr>
      </w:pPr>
      <w:r>
        <w:rPr>
          <w:sz w:val="24"/>
        </w:rPr>
        <w:t>The sterling effective exchange rate had appreciated a little prior </w:t>
      </w:r>
      <w:r>
        <w:rPr>
          <w:spacing w:val="2"/>
          <w:sz w:val="24"/>
        </w:rPr>
        <w:t>to </w:t>
      </w:r>
      <w:r>
        <w:rPr>
          <w:sz w:val="24"/>
        </w:rPr>
        <w:t>Christmas, but had depreciated slightly at the turn of the year. The Bank had monitored the introduction of the euro, which</w:t>
      </w:r>
      <w:r>
        <w:rPr>
          <w:spacing w:val="-10"/>
          <w:sz w:val="24"/>
        </w:rPr>
        <w:t> </w:t>
      </w:r>
      <w:r>
        <w:rPr>
          <w:sz w:val="24"/>
        </w:rPr>
        <w:t>had</w:t>
      </w:r>
      <w:r>
        <w:rPr>
          <w:spacing w:val="-10"/>
          <w:sz w:val="24"/>
        </w:rPr>
        <w:t> </w:t>
      </w:r>
      <w:r>
        <w:rPr>
          <w:sz w:val="24"/>
        </w:rPr>
        <w:t>gone</w:t>
      </w:r>
      <w:r>
        <w:rPr>
          <w:spacing w:val="-10"/>
          <w:sz w:val="24"/>
        </w:rPr>
        <w:t> </w:t>
      </w:r>
      <w:r>
        <w:rPr>
          <w:sz w:val="24"/>
        </w:rPr>
        <w:t>smoothly,</w:t>
      </w:r>
      <w:r>
        <w:rPr>
          <w:spacing w:val="-10"/>
          <w:sz w:val="24"/>
        </w:rPr>
        <w:t> </w:t>
      </w:r>
      <w:r>
        <w:rPr>
          <w:sz w:val="24"/>
        </w:rPr>
        <w:t>and</w:t>
      </w:r>
      <w:r>
        <w:rPr>
          <w:spacing w:val="-9"/>
          <w:sz w:val="24"/>
        </w:rPr>
        <w:t> </w:t>
      </w:r>
      <w:r>
        <w:rPr>
          <w:sz w:val="24"/>
        </w:rPr>
        <w:t>the</w:t>
      </w:r>
      <w:r>
        <w:rPr>
          <w:spacing w:val="-10"/>
          <w:sz w:val="24"/>
        </w:rPr>
        <w:t> </w:t>
      </w:r>
      <w:r>
        <w:rPr>
          <w:sz w:val="24"/>
        </w:rPr>
        <w:t>Committee</w:t>
      </w:r>
      <w:r>
        <w:rPr>
          <w:spacing w:val="-10"/>
          <w:sz w:val="24"/>
        </w:rPr>
        <w:t> </w:t>
      </w:r>
      <w:r>
        <w:rPr>
          <w:sz w:val="24"/>
        </w:rPr>
        <w:t>agreed</w:t>
      </w:r>
      <w:r>
        <w:rPr>
          <w:spacing w:val="-10"/>
          <w:sz w:val="24"/>
        </w:rPr>
        <w:t> </w:t>
      </w:r>
      <w:r>
        <w:rPr>
          <w:sz w:val="24"/>
        </w:rPr>
        <w:t>that</w:t>
      </w:r>
      <w:r>
        <w:rPr>
          <w:spacing w:val="-5"/>
          <w:sz w:val="24"/>
        </w:rPr>
        <w:t> </w:t>
      </w:r>
      <w:r>
        <w:rPr>
          <w:sz w:val="24"/>
        </w:rPr>
        <w:t>this</w:t>
      </w:r>
      <w:r>
        <w:rPr>
          <w:spacing w:val="-10"/>
          <w:sz w:val="24"/>
        </w:rPr>
        <w:t> </w:t>
      </w:r>
      <w:r>
        <w:rPr>
          <w:sz w:val="24"/>
        </w:rPr>
        <w:t>did</w:t>
      </w:r>
      <w:r>
        <w:rPr>
          <w:spacing w:val="-10"/>
          <w:sz w:val="24"/>
        </w:rPr>
        <w:t> </w:t>
      </w:r>
      <w:r>
        <w:rPr>
          <w:sz w:val="24"/>
        </w:rPr>
        <w:t>not,</w:t>
      </w:r>
      <w:r>
        <w:rPr>
          <w:spacing w:val="-5"/>
          <w:sz w:val="24"/>
        </w:rPr>
        <w:t> </w:t>
      </w:r>
      <w:r>
        <w:rPr>
          <w:sz w:val="24"/>
        </w:rPr>
        <w:t>for</w:t>
      </w:r>
      <w:r>
        <w:rPr>
          <w:spacing w:val="-10"/>
          <w:sz w:val="24"/>
        </w:rPr>
        <w:t> </w:t>
      </w:r>
      <w:r>
        <w:rPr>
          <w:sz w:val="24"/>
        </w:rPr>
        <w:t>the</w:t>
      </w:r>
      <w:r>
        <w:rPr>
          <w:spacing w:val="-10"/>
          <w:sz w:val="24"/>
        </w:rPr>
        <w:t> </w:t>
      </w:r>
      <w:r>
        <w:rPr>
          <w:sz w:val="24"/>
        </w:rPr>
        <w:t>time</w:t>
      </w:r>
      <w:r>
        <w:rPr>
          <w:spacing w:val="-10"/>
          <w:sz w:val="24"/>
        </w:rPr>
        <w:t> </w:t>
      </w:r>
      <w:r>
        <w:rPr>
          <w:sz w:val="24"/>
        </w:rPr>
        <w:t>being,</w:t>
      </w:r>
      <w:r>
        <w:rPr>
          <w:spacing w:val="-9"/>
          <w:sz w:val="24"/>
        </w:rPr>
        <w:t> </w:t>
      </w:r>
      <w:r>
        <w:rPr>
          <w:sz w:val="24"/>
        </w:rPr>
        <w:t>have</w:t>
      </w:r>
      <w:r>
        <w:rPr>
          <w:spacing w:val="-10"/>
          <w:sz w:val="24"/>
        </w:rPr>
        <w:t> </w:t>
      </w:r>
      <w:r>
        <w:rPr>
          <w:sz w:val="24"/>
        </w:rPr>
        <w:t>any material</w:t>
      </w:r>
      <w:r>
        <w:rPr>
          <w:spacing w:val="-15"/>
          <w:sz w:val="24"/>
        </w:rPr>
        <w:t> </w:t>
      </w:r>
      <w:r>
        <w:rPr>
          <w:sz w:val="24"/>
        </w:rPr>
        <w:t>implications</w:t>
      </w:r>
      <w:r>
        <w:rPr>
          <w:spacing w:val="-14"/>
          <w:sz w:val="24"/>
        </w:rPr>
        <w:t> </w:t>
      </w:r>
      <w:r>
        <w:rPr>
          <w:sz w:val="24"/>
        </w:rPr>
        <w:t>for</w:t>
      </w:r>
      <w:r>
        <w:rPr>
          <w:spacing w:val="-14"/>
          <w:sz w:val="24"/>
        </w:rPr>
        <w:t> </w:t>
      </w:r>
      <w:r>
        <w:rPr>
          <w:sz w:val="24"/>
        </w:rPr>
        <w:t>the</w:t>
      </w:r>
      <w:r>
        <w:rPr>
          <w:spacing w:val="-14"/>
          <w:sz w:val="24"/>
        </w:rPr>
        <w:t> </w:t>
      </w:r>
      <w:r>
        <w:rPr>
          <w:spacing w:val="3"/>
          <w:sz w:val="24"/>
        </w:rPr>
        <w:t>outlook</w:t>
      </w:r>
      <w:r>
        <w:rPr>
          <w:spacing w:val="-11"/>
          <w:sz w:val="24"/>
        </w:rPr>
        <w:t> </w:t>
      </w:r>
      <w:r>
        <w:rPr>
          <w:sz w:val="24"/>
        </w:rPr>
        <w:t>for</w:t>
      </w:r>
      <w:r>
        <w:rPr>
          <w:spacing w:val="-14"/>
          <w:sz w:val="24"/>
        </w:rPr>
        <w:t> </w:t>
      </w:r>
      <w:r>
        <w:rPr>
          <w:sz w:val="24"/>
        </w:rPr>
        <w:t>inflation</w:t>
      </w:r>
      <w:r>
        <w:rPr>
          <w:spacing w:val="-14"/>
          <w:sz w:val="24"/>
        </w:rPr>
        <w:t> </w:t>
      </w:r>
      <w:r>
        <w:rPr>
          <w:sz w:val="24"/>
        </w:rPr>
        <w:t>and</w:t>
      </w:r>
      <w:r>
        <w:rPr>
          <w:spacing w:val="-14"/>
          <w:sz w:val="24"/>
        </w:rPr>
        <w:t> </w:t>
      </w:r>
      <w:r>
        <w:rPr>
          <w:sz w:val="24"/>
        </w:rPr>
        <w:t>the</w:t>
      </w:r>
      <w:r>
        <w:rPr>
          <w:spacing w:val="-14"/>
          <w:sz w:val="24"/>
        </w:rPr>
        <w:t> </w:t>
      </w:r>
      <w:r>
        <w:rPr>
          <w:sz w:val="24"/>
        </w:rPr>
        <w:t>conduct</w:t>
      </w:r>
      <w:r>
        <w:rPr>
          <w:spacing w:val="-11"/>
          <w:sz w:val="24"/>
        </w:rPr>
        <w:t> </w:t>
      </w:r>
      <w:r>
        <w:rPr>
          <w:sz w:val="24"/>
        </w:rPr>
        <w:t>of</w:t>
      </w:r>
      <w:r>
        <w:rPr>
          <w:spacing w:val="-10"/>
          <w:sz w:val="24"/>
        </w:rPr>
        <w:t> </w:t>
      </w:r>
      <w:r>
        <w:rPr>
          <w:sz w:val="24"/>
        </w:rPr>
        <w:t>monetary</w:t>
      </w:r>
      <w:r>
        <w:rPr>
          <w:spacing w:val="-14"/>
          <w:sz w:val="24"/>
        </w:rPr>
        <w:t> </w:t>
      </w:r>
      <w:r>
        <w:rPr>
          <w:sz w:val="24"/>
        </w:rPr>
        <w:t>policy</w:t>
      </w:r>
      <w:r>
        <w:rPr>
          <w:spacing w:val="-15"/>
          <w:sz w:val="24"/>
        </w:rPr>
        <w:t> </w:t>
      </w:r>
      <w:r>
        <w:rPr>
          <w:sz w:val="24"/>
        </w:rPr>
        <w:t>in</w:t>
      </w:r>
      <w:r>
        <w:rPr>
          <w:spacing w:val="-14"/>
          <w:sz w:val="24"/>
        </w:rPr>
        <w:t> </w:t>
      </w:r>
      <w:r>
        <w:rPr>
          <w:sz w:val="24"/>
        </w:rPr>
        <w:t>the</w:t>
      </w:r>
      <w:r>
        <w:rPr>
          <w:spacing w:val="-14"/>
          <w:sz w:val="24"/>
        </w:rPr>
        <w:t> </w:t>
      </w:r>
      <w:r>
        <w:rPr>
          <w:sz w:val="24"/>
        </w:rPr>
        <w:t>United Kingdom.</w:t>
      </w:r>
    </w:p>
    <w:p>
      <w:pPr>
        <w:pStyle w:val="BodyText"/>
        <w:rPr>
          <w:sz w:val="32"/>
        </w:rPr>
      </w:pPr>
    </w:p>
    <w:p>
      <w:pPr>
        <w:pStyle w:val="ListParagraph"/>
        <w:numPr>
          <w:ilvl w:val="0"/>
          <w:numId w:val="1"/>
        </w:numPr>
        <w:tabs>
          <w:tab w:pos="781" w:val="left" w:leader="none"/>
          <w:tab w:pos="782" w:val="left" w:leader="none"/>
        </w:tabs>
        <w:spacing w:line="321" w:lineRule="auto" w:before="0" w:after="0"/>
        <w:ind w:left="421" w:right="280" w:firstLine="0"/>
        <w:jc w:val="left"/>
        <w:rPr>
          <w:sz w:val="24"/>
        </w:rPr>
      </w:pPr>
      <w:r>
        <w:rPr>
          <w:sz w:val="24"/>
        </w:rPr>
        <w:t>The yield on index-linked government debt had continued </w:t>
      </w:r>
      <w:r>
        <w:rPr>
          <w:spacing w:val="2"/>
          <w:sz w:val="24"/>
        </w:rPr>
        <w:t>to </w:t>
      </w:r>
      <w:r>
        <w:rPr>
          <w:sz w:val="24"/>
        </w:rPr>
        <w:t>fall, and was now around 2% at a maturity of ten years. Real yields were now at their lowest level since such bonds were introduced in</w:t>
      </w:r>
      <w:r>
        <w:rPr>
          <w:spacing w:val="-11"/>
          <w:sz w:val="24"/>
        </w:rPr>
        <w:t> </w:t>
      </w:r>
      <w:r>
        <w:rPr>
          <w:sz w:val="24"/>
        </w:rPr>
        <w:t>the</w:t>
      </w:r>
      <w:r>
        <w:rPr>
          <w:spacing w:val="-11"/>
          <w:sz w:val="24"/>
        </w:rPr>
        <w:t> </w:t>
      </w:r>
      <w:r>
        <w:rPr>
          <w:sz w:val="24"/>
        </w:rPr>
        <w:t>United</w:t>
      </w:r>
      <w:r>
        <w:rPr>
          <w:spacing w:val="-10"/>
          <w:sz w:val="24"/>
        </w:rPr>
        <w:t> </w:t>
      </w:r>
      <w:r>
        <w:rPr>
          <w:sz w:val="24"/>
        </w:rPr>
        <w:t>Kingdom</w:t>
      </w:r>
      <w:r>
        <w:rPr>
          <w:spacing w:val="-11"/>
          <w:sz w:val="24"/>
        </w:rPr>
        <w:t> </w:t>
      </w:r>
      <w:r>
        <w:rPr>
          <w:sz w:val="24"/>
        </w:rPr>
        <w:t>in</w:t>
      </w:r>
      <w:r>
        <w:rPr>
          <w:spacing w:val="-10"/>
          <w:sz w:val="24"/>
        </w:rPr>
        <w:t> </w:t>
      </w:r>
      <w:r>
        <w:rPr>
          <w:sz w:val="24"/>
        </w:rPr>
        <w:t>1981.</w:t>
      </w:r>
      <w:r>
        <w:rPr>
          <w:spacing w:val="39"/>
          <w:sz w:val="24"/>
        </w:rPr>
        <w:t> </w:t>
      </w:r>
      <w:r>
        <w:rPr>
          <w:sz w:val="24"/>
        </w:rPr>
        <w:t>Regulatory</w:t>
      </w:r>
      <w:r>
        <w:rPr>
          <w:spacing w:val="-11"/>
          <w:sz w:val="24"/>
        </w:rPr>
        <w:t> </w:t>
      </w:r>
      <w:r>
        <w:rPr>
          <w:sz w:val="24"/>
        </w:rPr>
        <w:t>changes</w:t>
      </w:r>
      <w:r>
        <w:rPr>
          <w:spacing w:val="-10"/>
          <w:sz w:val="24"/>
        </w:rPr>
        <w:t> </w:t>
      </w:r>
      <w:r>
        <w:rPr>
          <w:sz w:val="24"/>
        </w:rPr>
        <w:t>for</w:t>
      </w:r>
      <w:r>
        <w:rPr>
          <w:spacing w:val="-11"/>
          <w:sz w:val="24"/>
        </w:rPr>
        <w:t> </w:t>
      </w:r>
      <w:r>
        <w:rPr>
          <w:sz w:val="24"/>
        </w:rPr>
        <w:t>pension</w:t>
      </w:r>
      <w:r>
        <w:rPr>
          <w:spacing w:val="-10"/>
          <w:sz w:val="24"/>
        </w:rPr>
        <w:t> </w:t>
      </w:r>
      <w:r>
        <w:rPr>
          <w:sz w:val="24"/>
        </w:rPr>
        <w:t>funds</w:t>
      </w:r>
      <w:r>
        <w:rPr>
          <w:spacing w:val="-11"/>
          <w:sz w:val="24"/>
        </w:rPr>
        <w:t> </w:t>
      </w:r>
      <w:r>
        <w:rPr>
          <w:sz w:val="24"/>
        </w:rPr>
        <w:t>that</w:t>
      </w:r>
      <w:r>
        <w:rPr>
          <w:spacing w:val="-7"/>
          <w:sz w:val="24"/>
        </w:rPr>
        <w:t> </w:t>
      </w:r>
      <w:r>
        <w:rPr>
          <w:sz w:val="24"/>
        </w:rPr>
        <w:t>came</w:t>
      </w:r>
      <w:r>
        <w:rPr>
          <w:spacing w:val="-10"/>
          <w:sz w:val="24"/>
        </w:rPr>
        <w:t> </w:t>
      </w:r>
      <w:r>
        <w:rPr>
          <w:sz w:val="24"/>
        </w:rPr>
        <w:t>into</w:t>
      </w:r>
      <w:r>
        <w:rPr>
          <w:spacing w:val="-7"/>
          <w:sz w:val="24"/>
        </w:rPr>
        <w:t> </w:t>
      </w:r>
      <w:r>
        <w:rPr>
          <w:sz w:val="24"/>
        </w:rPr>
        <w:t>force</w:t>
      </w:r>
      <w:r>
        <w:rPr>
          <w:spacing w:val="-10"/>
          <w:sz w:val="24"/>
        </w:rPr>
        <w:t> </w:t>
      </w:r>
      <w:r>
        <w:rPr>
          <w:sz w:val="24"/>
        </w:rPr>
        <w:t>in</w:t>
      </w:r>
      <w:r>
        <w:rPr>
          <w:spacing w:val="-11"/>
          <w:sz w:val="24"/>
        </w:rPr>
        <w:t> </w:t>
      </w:r>
      <w:r>
        <w:rPr>
          <w:sz w:val="24"/>
        </w:rPr>
        <w:t>April 1997 - namely the minimum funding requirement - may have made it more attractive for them to hold</w:t>
      </w:r>
      <w:r>
        <w:rPr>
          <w:spacing w:val="-9"/>
          <w:sz w:val="24"/>
        </w:rPr>
        <w:t> </w:t>
      </w:r>
      <w:r>
        <w:rPr>
          <w:sz w:val="24"/>
        </w:rPr>
        <w:t>index-linked</w:t>
      </w:r>
      <w:r>
        <w:rPr>
          <w:spacing w:val="-9"/>
          <w:sz w:val="24"/>
        </w:rPr>
        <w:t> </w:t>
      </w:r>
      <w:r>
        <w:rPr>
          <w:sz w:val="24"/>
        </w:rPr>
        <w:t>debt</w:t>
      </w:r>
      <w:r>
        <w:rPr>
          <w:spacing w:val="-4"/>
          <w:sz w:val="24"/>
        </w:rPr>
        <w:t> </w:t>
      </w:r>
      <w:r>
        <w:rPr>
          <w:sz w:val="24"/>
        </w:rPr>
        <w:t>relative</w:t>
      </w:r>
      <w:r>
        <w:rPr>
          <w:spacing w:val="-7"/>
          <w:sz w:val="24"/>
        </w:rPr>
        <w:t> </w:t>
      </w:r>
      <w:r>
        <w:rPr>
          <w:spacing w:val="2"/>
          <w:sz w:val="24"/>
        </w:rPr>
        <w:t>to</w:t>
      </w:r>
      <w:r>
        <w:rPr>
          <w:spacing w:val="-5"/>
          <w:sz w:val="24"/>
        </w:rPr>
        <w:t> </w:t>
      </w:r>
      <w:r>
        <w:rPr>
          <w:sz w:val="24"/>
        </w:rPr>
        <w:t>some</w:t>
      </w:r>
      <w:r>
        <w:rPr>
          <w:spacing w:val="-8"/>
          <w:sz w:val="24"/>
        </w:rPr>
        <w:t> </w:t>
      </w:r>
      <w:r>
        <w:rPr>
          <w:spacing w:val="3"/>
          <w:sz w:val="24"/>
        </w:rPr>
        <w:t>other</w:t>
      </w:r>
      <w:r>
        <w:rPr>
          <w:spacing w:val="-5"/>
          <w:sz w:val="24"/>
        </w:rPr>
        <w:t> </w:t>
      </w:r>
      <w:r>
        <w:rPr>
          <w:sz w:val="24"/>
        </w:rPr>
        <w:t>assets.</w:t>
      </w:r>
      <w:r>
        <w:rPr>
          <w:spacing w:val="43"/>
          <w:sz w:val="24"/>
        </w:rPr>
        <w:t> </w:t>
      </w:r>
      <w:r>
        <w:rPr>
          <w:sz w:val="24"/>
        </w:rPr>
        <w:t>But</w:t>
      </w:r>
      <w:r>
        <w:rPr>
          <w:spacing w:val="-5"/>
          <w:sz w:val="24"/>
        </w:rPr>
        <w:t> </w:t>
      </w:r>
      <w:r>
        <w:rPr>
          <w:sz w:val="24"/>
        </w:rPr>
        <w:t>the</w:t>
      </w:r>
      <w:r>
        <w:rPr>
          <w:spacing w:val="-8"/>
          <w:sz w:val="24"/>
        </w:rPr>
        <w:t> </w:t>
      </w:r>
      <w:r>
        <w:rPr>
          <w:sz w:val="24"/>
        </w:rPr>
        <w:t>effects</w:t>
      </w:r>
      <w:r>
        <w:rPr>
          <w:spacing w:val="-9"/>
          <w:sz w:val="24"/>
        </w:rPr>
        <w:t> </w:t>
      </w:r>
      <w:r>
        <w:rPr>
          <w:sz w:val="24"/>
        </w:rPr>
        <w:t>of</w:t>
      </w:r>
      <w:r>
        <w:rPr>
          <w:spacing w:val="-4"/>
          <w:sz w:val="24"/>
        </w:rPr>
        <w:t> </w:t>
      </w:r>
      <w:r>
        <w:rPr>
          <w:sz w:val="24"/>
        </w:rPr>
        <w:t>these</w:t>
      </w:r>
      <w:r>
        <w:rPr>
          <w:spacing w:val="-9"/>
          <w:sz w:val="24"/>
        </w:rPr>
        <w:t> </w:t>
      </w:r>
      <w:r>
        <w:rPr>
          <w:sz w:val="24"/>
        </w:rPr>
        <w:t>changes</w:t>
      </w:r>
      <w:r>
        <w:rPr>
          <w:spacing w:val="-9"/>
          <w:sz w:val="24"/>
        </w:rPr>
        <w:t> </w:t>
      </w:r>
      <w:r>
        <w:rPr>
          <w:sz w:val="24"/>
        </w:rPr>
        <w:t>were</w:t>
      </w:r>
      <w:r>
        <w:rPr>
          <w:spacing w:val="-8"/>
          <w:sz w:val="24"/>
        </w:rPr>
        <w:t> </w:t>
      </w:r>
      <w:r>
        <w:rPr>
          <w:sz w:val="24"/>
        </w:rPr>
        <w:t>likely</w:t>
      </w:r>
      <w:r>
        <w:rPr>
          <w:spacing w:val="-9"/>
          <w:sz w:val="24"/>
        </w:rPr>
        <w:t> </w:t>
      </w:r>
      <w:r>
        <w:rPr>
          <w:sz w:val="24"/>
        </w:rPr>
        <w:t>to be spread </w:t>
      </w:r>
      <w:r>
        <w:rPr>
          <w:spacing w:val="3"/>
          <w:sz w:val="24"/>
        </w:rPr>
        <w:t>over </w:t>
      </w:r>
      <w:r>
        <w:rPr>
          <w:sz w:val="24"/>
        </w:rPr>
        <w:t>a number of years following the initial announcement, and it seemed unlikely that this could explain the very recent fall in UK real yields. There had been a corresponding fall in long-term nominal yields: implied inflation expectations remained broadly unchanged </w:t>
      </w:r>
      <w:r>
        <w:rPr>
          <w:spacing w:val="3"/>
          <w:sz w:val="24"/>
        </w:rPr>
        <w:t>over </w:t>
      </w:r>
      <w:r>
        <w:rPr>
          <w:sz w:val="24"/>
        </w:rPr>
        <w:t>the recent past. It was not clear what had caused the fall in UK long-term real interest rates, and therefore what the consequences would be for the economy. Although it was difficult </w:t>
      </w:r>
      <w:r>
        <w:rPr>
          <w:spacing w:val="2"/>
          <w:sz w:val="24"/>
        </w:rPr>
        <w:t>to </w:t>
      </w:r>
      <w:r>
        <w:rPr>
          <w:sz w:val="24"/>
        </w:rPr>
        <w:t>explain the fall in long-term real yields in the United Kingdom relative </w:t>
      </w:r>
      <w:r>
        <w:rPr>
          <w:spacing w:val="2"/>
          <w:sz w:val="24"/>
        </w:rPr>
        <w:t>to </w:t>
      </w:r>
      <w:r>
        <w:rPr>
          <w:spacing w:val="3"/>
          <w:sz w:val="24"/>
        </w:rPr>
        <w:t>overseas, </w:t>
      </w:r>
      <w:r>
        <w:rPr>
          <w:sz w:val="24"/>
        </w:rPr>
        <w:t>it was noted that there had</w:t>
      </w:r>
      <w:r>
        <w:rPr>
          <w:spacing w:val="-10"/>
          <w:sz w:val="24"/>
        </w:rPr>
        <w:t> </w:t>
      </w:r>
      <w:r>
        <w:rPr>
          <w:sz w:val="24"/>
        </w:rPr>
        <w:t>been</w:t>
      </w:r>
      <w:r>
        <w:rPr>
          <w:spacing w:val="-9"/>
          <w:sz w:val="24"/>
        </w:rPr>
        <w:t> </w:t>
      </w:r>
      <w:r>
        <w:rPr>
          <w:sz w:val="24"/>
        </w:rPr>
        <w:t>a</w:t>
      </w:r>
      <w:r>
        <w:rPr>
          <w:spacing w:val="-10"/>
          <w:sz w:val="24"/>
        </w:rPr>
        <w:t> </w:t>
      </w:r>
      <w:r>
        <w:rPr>
          <w:sz w:val="24"/>
        </w:rPr>
        <w:t>general</w:t>
      </w:r>
      <w:r>
        <w:rPr>
          <w:spacing w:val="-9"/>
          <w:sz w:val="24"/>
        </w:rPr>
        <w:t> </w:t>
      </w:r>
      <w:r>
        <w:rPr>
          <w:sz w:val="24"/>
        </w:rPr>
        <w:t>decline</w:t>
      </w:r>
      <w:r>
        <w:rPr>
          <w:spacing w:val="-10"/>
          <w:sz w:val="24"/>
        </w:rPr>
        <w:t> </w:t>
      </w:r>
      <w:r>
        <w:rPr>
          <w:sz w:val="24"/>
        </w:rPr>
        <w:t>in</w:t>
      </w:r>
      <w:r>
        <w:rPr>
          <w:spacing w:val="-9"/>
          <w:sz w:val="24"/>
        </w:rPr>
        <w:t> </w:t>
      </w:r>
      <w:r>
        <w:rPr>
          <w:sz w:val="24"/>
        </w:rPr>
        <w:t>global</w:t>
      </w:r>
      <w:r>
        <w:rPr>
          <w:spacing w:val="-10"/>
          <w:sz w:val="24"/>
        </w:rPr>
        <w:t> </w:t>
      </w:r>
      <w:r>
        <w:rPr>
          <w:sz w:val="24"/>
        </w:rPr>
        <w:t>real</w:t>
      </w:r>
      <w:r>
        <w:rPr>
          <w:spacing w:val="-7"/>
          <w:sz w:val="24"/>
        </w:rPr>
        <w:t> </w:t>
      </w:r>
      <w:r>
        <w:rPr>
          <w:sz w:val="24"/>
        </w:rPr>
        <w:t>yields</w:t>
      </w:r>
      <w:r>
        <w:rPr>
          <w:spacing w:val="-10"/>
          <w:sz w:val="24"/>
        </w:rPr>
        <w:t> </w:t>
      </w:r>
      <w:r>
        <w:rPr>
          <w:spacing w:val="3"/>
          <w:sz w:val="24"/>
        </w:rPr>
        <w:t>over</w:t>
      </w:r>
      <w:r>
        <w:rPr>
          <w:spacing w:val="-5"/>
          <w:sz w:val="24"/>
        </w:rPr>
        <w:t> </w:t>
      </w:r>
      <w:r>
        <w:rPr>
          <w:sz w:val="24"/>
        </w:rPr>
        <w:t>the</w:t>
      </w:r>
      <w:r>
        <w:rPr>
          <w:spacing w:val="-10"/>
          <w:sz w:val="24"/>
        </w:rPr>
        <w:t> </w:t>
      </w:r>
      <w:r>
        <w:rPr>
          <w:sz w:val="24"/>
        </w:rPr>
        <w:t>past</w:t>
      </w:r>
      <w:r>
        <w:rPr>
          <w:spacing w:val="-5"/>
          <w:sz w:val="24"/>
        </w:rPr>
        <w:t> </w:t>
      </w:r>
      <w:r>
        <w:rPr>
          <w:sz w:val="24"/>
        </w:rPr>
        <w:t>year.</w:t>
      </w:r>
      <w:r>
        <w:rPr>
          <w:spacing w:val="41"/>
          <w:sz w:val="24"/>
        </w:rPr>
        <w:t> </w:t>
      </w:r>
      <w:r>
        <w:rPr>
          <w:sz w:val="24"/>
        </w:rPr>
        <w:t>One</w:t>
      </w:r>
      <w:r>
        <w:rPr>
          <w:spacing w:val="-10"/>
          <w:sz w:val="24"/>
        </w:rPr>
        <w:t> </w:t>
      </w:r>
      <w:r>
        <w:rPr>
          <w:sz w:val="24"/>
        </w:rPr>
        <w:t>possible</w:t>
      </w:r>
      <w:r>
        <w:rPr>
          <w:spacing w:val="-9"/>
          <w:sz w:val="24"/>
        </w:rPr>
        <w:t> </w:t>
      </w:r>
      <w:r>
        <w:rPr>
          <w:sz w:val="24"/>
        </w:rPr>
        <w:t>explanation</w:t>
      </w:r>
      <w:r>
        <w:rPr>
          <w:spacing w:val="-9"/>
          <w:sz w:val="24"/>
        </w:rPr>
        <w:t> </w:t>
      </w:r>
      <w:r>
        <w:rPr>
          <w:sz w:val="24"/>
        </w:rPr>
        <w:t>of</w:t>
      </w:r>
      <w:r>
        <w:rPr>
          <w:spacing w:val="-6"/>
          <w:sz w:val="24"/>
        </w:rPr>
        <w:t> </w:t>
      </w:r>
      <w:r>
        <w:rPr>
          <w:sz w:val="24"/>
        </w:rPr>
        <w:t>the</w:t>
      </w:r>
    </w:p>
    <w:p>
      <w:pPr>
        <w:spacing w:after="0" w:line="321" w:lineRule="auto"/>
        <w:jc w:val="left"/>
        <w:rPr>
          <w:sz w:val="24"/>
        </w:rPr>
        <w:sectPr>
          <w:headerReference w:type="default" r:id="rId7"/>
          <w:pgSz w:w="11900" w:h="16840"/>
          <w:pgMar w:header="729" w:footer="0" w:top="1060" w:bottom="280" w:left="860" w:right="880"/>
          <w:pgNumType w:start="2"/>
        </w:sectPr>
      </w:pPr>
    </w:p>
    <w:p>
      <w:pPr>
        <w:pStyle w:val="BodyText"/>
        <w:spacing w:line="321" w:lineRule="auto" w:before="80"/>
        <w:ind w:left="421" w:right="1168"/>
      </w:pPr>
      <w:r>
        <w:rPr/>
        <w:t>most</w:t>
      </w:r>
      <w:r>
        <w:rPr>
          <w:spacing w:val="-7"/>
        </w:rPr>
        <w:t> </w:t>
      </w:r>
      <w:r>
        <w:rPr/>
        <w:t>recent</w:t>
      </w:r>
      <w:r>
        <w:rPr>
          <w:spacing w:val="-8"/>
        </w:rPr>
        <w:t> </w:t>
      </w:r>
      <w:r>
        <w:rPr/>
        <w:t>fall</w:t>
      </w:r>
      <w:r>
        <w:rPr>
          <w:spacing w:val="-11"/>
        </w:rPr>
        <w:t> </w:t>
      </w:r>
      <w:r>
        <w:rPr/>
        <w:t>was</w:t>
      </w:r>
      <w:r>
        <w:rPr>
          <w:spacing w:val="-10"/>
        </w:rPr>
        <w:t> </w:t>
      </w:r>
      <w:r>
        <w:rPr/>
        <w:t>linked</w:t>
      </w:r>
      <w:r>
        <w:rPr>
          <w:spacing w:val="-10"/>
        </w:rPr>
        <w:t> </w:t>
      </w:r>
      <w:r>
        <w:rPr>
          <w:spacing w:val="2"/>
        </w:rPr>
        <w:t>to</w:t>
      </w:r>
      <w:r>
        <w:rPr>
          <w:spacing w:val="-6"/>
        </w:rPr>
        <w:t> </w:t>
      </w:r>
      <w:r>
        <w:rPr/>
        <w:t>the</w:t>
      </w:r>
      <w:r>
        <w:rPr>
          <w:spacing w:val="-10"/>
        </w:rPr>
        <w:t> </w:t>
      </w:r>
      <w:r>
        <w:rPr/>
        <w:t>downward</w:t>
      </w:r>
      <w:r>
        <w:rPr>
          <w:spacing w:val="-11"/>
        </w:rPr>
        <w:t> </w:t>
      </w:r>
      <w:r>
        <w:rPr/>
        <w:t>shock</w:t>
      </w:r>
      <w:r>
        <w:rPr>
          <w:spacing w:val="-10"/>
        </w:rPr>
        <w:t> </w:t>
      </w:r>
      <w:r>
        <w:rPr>
          <w:spacing w:val="2"/>
        </w:rPr>
        <w:t>to</w:t>
      </w:r>
      <w:r>
        <w:rPr>
          <w:spacing w:val="-6"/>
        </w:rPr>
        <w:t> </w:t>
      </w:r>
      <w:r>
        <w:rPr/>
        <w:t>world</w:t>
      </w:r>
      <w:r>
        <w:rPr>
          <w:spacing w:val="-10"/>
        </w:rPr>
        <w:t> </w:t>
      </w:r>
      <w:r>
        <w:rPr/>
        <w:t>demand,</w:t>
      </w:r>
      <w:r>
        <w:rPr>
          <w:spacing w:val="-11"/>
        </w:rPr>
        <w:t> </w:t>
      </w:r>
      <w:r>
        <w:rPr/>
        <w:t>which</w:t>
      </w:r>
      <w:r>
        <w:rPr>
          <w:spacing w:val="-10"/>
        </w:rPr>
        <w:t> </w:t>
      </w:r>
      <w:r>
        <w:rPr/>
        <w:t>might</w:t>
      </w:r>
      <w:r>
        <w:rPr>
          <w:spacing w:val="-6"/>
        </w:rPr>
        <w:t> </w:t>
      </w:r>
      <w:r>
        <w:rPr/>
        <w:t>imply</w:t>
      </w:r>
      <w:r>
        <w:rPr>
          <w:spacing w:val="-10"/>
        </w:rPr>
        <w:t> </w:t>
      </w:r>
      <w:r>
        <w:rPr/>
        <w:t>a reduction</w:t>
      </w:r>
      <w:r>
        <w:rPr>
          <w:spacing w:val="-5"/>
        </w:rPr>
        <w:t> </w:t>
      </w:r>
      <w:r>
        <w:rPr/>
        <w:t>in</w:t>
      </w:r>
      <w:r>
        <w:rPr>
          <w:spacing w:val="-5"/>
        </w:rPr>
        <w:t> </w:t>
      </w:r>
      <w:r>
        <w:rPr/>
        <w:t>the</w:t>
      </w:r>
      <w:r>
        <w:rPr>
          <w:spacing w:val="-6"/>
        </w:rPr>
        <w:t> </w:t>
      </w:r>
      <w:r>
        <w:rPr/>
        <w:t>real</w:t>
      </w:r>
      <w:r>
        <w:rPr>
          <w:spacing w:val="-4"/>
        </w:rPr>
        <w:t> </w:t>
      </w:r>
      <w:r>
        <w:rPr/>
        <w:t>rate</w:t>
      </w:r>
      <w:r>
        <w:rPr>
          <w:spacing w:val="-4"/>
        </w:rPr>
        <w:t> </w:t>
      </w:r>
      <w:r>
        <w:rPr/>
        <w:t>of</w:t>
      </w:r>
      <w:r>
        <w:rPr>
          <w:spacing w:val="-2"/>
        </w:rPr>
        <w:t> </w:t>
      </w:r>
      <w:r>
        <w:rPr/>
        <w:t>interest</w:t>
      </w:r>
      <w:r>
        <w:rPr>
          <w:spacing w:val="-1"/>
        </w:rPr>
        <w:t> </w:t>
      </w:r>
      <w:r>
        <w:rPr/>
        <w:t>that</w:t>
      </w:r>
      <w:r>
        <w:rPr>
          <w:spacing w:val="-2"/>
        </w:rPr>
        <w:t> </w:t>
      </w:r>
      <w:r>
        <w:rPr/>
        <w:t>would</w:t>
      </w:r>
      <w:r>
        <w:rPr>
          <w:spacing w:val="-6"/>
        </w:rPr>
        <w:t> </w:t>
      </w:r>
      <w:r>
        <w:rPr/>
        <w:t>balance</w:t>
      </w:r>
      <w:r>
        <w:rPr>
          <w:spacing w:val="-6"/>
        </w:rPr>
        <w:t> </w:t>
      </w:r>
      <w:r>
        <w:rPr/>
        <w:t>global</w:t>
      </w:r>
      <w:r>
        <w:rPr>
          <w:spacing w:val="-5"/>
        </w:rPr>
        <w:t> </w:t>
      </w:r>
      <w:r>
        <w:rPr/>
        <w:t>saving</w:t>
      </w:r>
      <w:r>
        <w:rPr>
          <w:spacing w:val="-6"/>
        </w:rPr>
        <w:t> </w:t>
      </w:r>
      <w:r>
        <w:rPr/>
        <w:t>and</w:t>
      </w:r>
      <w:r>
        <w:rPr>
          <w:spacing w:val="-6"/>
        </w:rPr>
        <w:t> </w:t>
      </w:r>
      <w:r>
        <w:rPr/>
        <w:t>investment.</w:t>
      </w:r>
    </w:p>
    <w:p>
      <w:pPr>
        <w:pStyle w:val="BodyText"/>
        <w:spacing w:before="1"/>
        <w:rPr>
          <w:sz w:val="32"/>
        </w:rPr>
      </w:pPr>
    </w:p>
    <w:p>
      <w:pPr>
        <w:pStyle w:val="ListParagraph"/>
        <w:numPr>
          <w:ilvl w:val="0"/>
          <w:numId w:val="1"/>
        </w:numPr>
        <w:tabs>
          <w:tab w:pos="781" w:val="left" w:leader="none"/>
          <w:tab w:pos="782" w:val="left" w:leader="none"/>
        </w:tabs>
        <w:spacing w:line="321" w:lineRule="auto" w:before="0" w:after="0"/>
        <w:ind w:left="421" w:right="342" w:firstLine="0"/>
        <w:jc w:val="left"/>
        <w:rPr>
          <w:sz w:val="24"/>
        </w:rPr>
      </w:pPr>
      <w:r>
        <w:rPr>
          <w:sz w:val="24"/>
        </w:rPr>
        <w:t>Most</w:t>
      </w:r>
      <w:r>
        <w:rPr>
          <w:spacing w:val="-5"/>
          <w:sz w:val="24"/>
        </w:rPr>
        <w:t> </w:t>
      </w:r>
      <w:r>
        <w:rPr>
          <w:sz w:val="24"/>
        </w:rPr>
        <w:t>major</w:t>
      </w:r>
      <w:r>
        <w:rPr>
          <w:spacing w:val="-9"/>
          <w:sz w:val="24"/>
        </w:rPr>
        <w:t> </w:t>
      </w:r>
      <w:r>
        <w:rPr>
          <w:sz w:val="24"/>
        </w:rPr>
        <w:t>international</w:t>
      </w:r>
      <w:r>
        <w:rPr>
          <w:spacing w:val="-9"/>
          <w:sz w:val="24"/>
        </w:rPr>
        <w:t> </w:t>
      </w:r>
      <w:r>
        <w:rPr>
          <w:sz w:val="24"/>
        </w:rPr>
        <w:t>stock</w:t>
      </w:r>
      <w:r>
        <w:rPr>
          <w:spacing w:val="-9"/>
          <w:sz w:val="24"/>
        </w:rPr>
        <w:t> </w:t>
      </w:r>
      <w:r>
        <w:rPr>
          <w:sz w:val="24"/>
        </w:rPr>
        <w:t>markets</w:t>
      </w:r>
      <w:r>
        <w:rPr>
          <w:spacing w:val="-9"/>
          <w:sz w:val="24"/>
        </w:rPr>
        <w:t> </w:t>
      </w:r>
      <w:r>
        <w:rPr>
          <w:sz w:val="24"/>
        </w:rPr>
        <w:t>had</w:t>
      </w:r>
      <w:r>
        <w:rPr>
          <w:spacing w:val="-9"/>
          <w:sz w:val="24"/>
        </w:rPr>
        <w:t> </w:t>
      </w:r>
      <w:r>
        <w:rPr>
          <w:sz w:val="24"/>
        </w:rPr>
        <w:t>risen</w:t>
      </w:r>
      <w:r>
        <w:rPr>
          <w:spacing w:val="-7"/>
          <w:sz w:val="24"/>
        </w:rPr>
        <w:t> </w:t>
      </w:r>
      <w:r>
        <w:rPr>
          <w:spacing w:val="3"/>
          <w:sz w:val="24"/>
        </w:rPr>
        <w:t>over</w:t>
      </w:r>
      <w:r>
        <w:rPr>
          <w:spacing w:val="-5"/>
          <w:sz w:val="24"/>
        </w:rPr>
        <w:t> </w:t>
      </w:r>
      <w:r>
        <w:rPr>
          <w:sz w:val="24"/>
        </w:rPr>
        <w:t>the</w:t>
      </w:r>
      <w:r>
        <w:rPr>
          <w:spacing w:val="-9"/>
          <w:sz w:val="24"/>
        </w:rPr>
        <w:t> </w:t>
      </w:r>
      <w:r>
        <w:rPr>
          <w:sz w:val="24"/>
        </w:rPr>
        <w:t>past</w:t>
      </w:r>
      <w:r>
        <w:rPr>
          <w:spacing w:val="-5"/>
          <w:sz w:val="24"/>
        </w:rPr>
        <w:t> </w:t>
      </w:r>
      <w:r>
        <w:rPr>
          <w:sz w:val="24"/>
        </w:rPr>
        <w:t>month,</w:t>
      </w:r>
      <w:r>
        <w:rPr>
          <w:spacing w:val="-9"/>
          <w:sz w:val="24"/>
        </w:rPr>
        <w:t> </w:t>
      </w:r>
      <w:r>
        <w:rPr>
          <w:sz w:val="24"/>
        </w:rPr>
        <w:t>and</w:t>
      </w:r>
      <w:r>
        <w:rPr>
          <w:spacing w:val="-9"/>
          <w:sz w:val="24"/>
        </w:rPr>
        <w:t> </w:t>
      </w:r>
      <w:r>
        <w:rPr>
          <w:sz w:val="24"/>
        </w:rPr>
        <w:t>the</w:t>
      </w:r>
      <w:r>
        <w:rPr>
          <w:spacing w:val="-9"/>
          <w:sz w:val="24"/>
        </w:rPr>
        <w:t> </w:t>
      </w:r>
      <w:r>
        <w:rPr>
          <w:sz w:val="24"/>
        </w:rPr>
        <w:t>F</w:t>
      </w:r>
      <w:r>
        <w:rPr>
          <w:spacing w:val="-39"/>
          <w:sz w:val="24"/>
        </w:rPr>
        <w:t> </w:t>
      </w:r>
      <w:r>
        <w:rPr>
          <w:sz w:val="20"/>
        </w:rPr>
        <w:t>T-SE</w:t>
      </w:r>
      <w:r>
        <w:rPr>
          <w:spacing w:val="3"/>
          <w:sz w:val="20"/>
        </w:rPr>
        <w:t> </w:t>
      </w:r>
      <w:r>
        <w:rPr>
          <w:sz w:val="24"/>
        </w:rPr>
        <w:t>All-Share index was 13% above the level assumed in the November </w:t>
      </w:r>
      <w:r>
        <w:rPr>
          <w:i/>
          <w:sz w:val="24"/>
        </w:rPr>
        <w:t>Inflation Report </w:t>
      </w:r>
      <w:r>
        <w:rPr>
          <w:sz w:val="24"/>
        </w:rPr>
        <w:t>central projection. It was difficult </w:t>
      </w:r>
      <w:r>
        <w:rPr>
          <w:spacing w:val="2"/>
          <w:sz w:val="24"/>
        </w:rPr>
        <w:t>to </w:t>
      </w:r>
      <w:r>
        <w:rPr>
          <w:sz w:val="24"/>
        </w:rPr>
        <w:t>explain fully the rise in equity prices, but it was possible that it was related </w:t>
      </w:r>
      <w:r>
        <w:rPr>
          <w:spacing w:val="2"/>
          <w:sz w:val="24"/>
        </w:rPr>
        <w:t>to </w:t>
      </w:r>
      <w:r>
        <w:rPr>
          <w:sz w:val="24"/>
        </w:rPr>
        <w:t>the fall in real interest</w:t>
      </w:r>
      <w:r>
        <w:rPr>
          <w:spacing w:val="12"/>
          <w:sz w:val="24"/>
        </w:rPr>
        <w:t> </w:t>
      </w:r>
      <w:r>
        <w:rPr>
          <w:sz w:val="24"/>
        </w:rPr>
        <w:t>rates.</w:t>
      </w:r>
    </w:p>
    <w:p>
      <w:pPr>
        <w:pStyle w:val="BodyText"/>
        <w:rPr>
          <w:sz w:val="32"/>
        </w:rPr>
      </w:pPr>
    </w:p>
    <w:p>
      <w:pPr>
        <w:pStyle w:val="ListParagraph"/>
        <w:numPr>
          <w:ilvl w:val="0"/>
          <w:numId w:val="1"/>
        </w:numPr>
        <w:tabs>
          <w:tab w:pos="782" w:val="left" w:leader="none"/>
        </w:tabs>
        <w:spacing w:line="321" w:lineRule="auto" w:before="1" w:after="0"/>
        <w:ind w:left="421" w:right="572" w:firstLine="0"/>
        <w:jc w:val="both"/>
        <w:rPr>
          <w:sz w:val="24"/>
        </w:rPr>
      </w:pPr>
      <w:r>
        <w:rPr>
          <w:sz w:val="24"/>
        </w:rPr>
        <w:t>The</w:t>
      </w:r>
      <w:r>
        <w:rPr>
          <w:spacing w:val="-9"/>
          <w:sz w:val="24"/>
        </w:rPr>
        <w:t> </w:t>
      </w:r>
      <w:r>
        <w:rPr>
          <w:sz w:val="24"/>
        </w:rPr>
        <w:t>spreads</w:t>
      </w:r>
      <w:r>
        <w:rPr>
          <w:spacing w:val="-9"/>
          <w:sz w:val="24"/>
        </w:rPr>
        <w:t> </w:t>
      </w:r>
      <w:r>
        <w:rPr>
          <w:sz w:val="24"/>
        </w:rPr>
        <w:t>of</w:t>
      </w:r>
      <w:r>
        <w:rPr>
          <w:spacing w:val="-6"/>
          <w:sz w:val="24"/>
        </w:rPr>
        <w:t> </w:t>
      </w:r>
      <w:r>
        <w:rPr>
          <w:sz w:val="24"/>
        </w:rPr>
        <w:t>yields</w:t>
      </w:r>
      <w:r>
        <w:rPr>
          <w:spacing w:val="-10"/>
          <w:sz w:val="24"/>
        </w:rPr>
        <w:t> </w:t>
      </w:r>
      <w:r>
        <w:rPr>
          <w:sz w:val="24"/>
        </w:rPr>
        <w:t>on</w:t>
      </w:r>
      <w:r>
        <w:rPr>
          <w:spacing w:val="-6"/>
          <w:sz w:val="24"/>
        </w:rPr>
        <w:t> </w:t>
      </w:r>
      <w:r>
        <w:rPr>
          <w:sz w:val="24"/>
        </w:rPr>
        <w:t>UK</w:t>
      </w:r>
      <w:r>
        <w:rPr>
          <w:spacing w:val="-10"/>
          <w:sz w:val="24"/>
        </w:rPr>
        <w:t> </w:t>
      </w:r>
      <w:r>
        <w:rPr>
          <w:sz w:val="24"/>
        </w:rPr>
        <w:t>corporate</w:t>
      </w:r>
      <w:r>
        <w:rPr>
          <w:spacing w:val="-9"/>
          <w:sz w:val="24"/>
        </w:rPr>
        <w:t> </w:t>
      </w:r>
      <w:r>
        <w:rPr>
          <w:sz w:val="24"/>
        </w:rPr>
        <w:t>bonds</w:t>
      </w:r>
      <w:r>
        <w:rPr>
          <w:spacing w:val="-10"/>
          <w:sz w:val="24"/>
        </w:rPr>
        <w:t> </w:t>
      </w:r>
      <w:r>
        <w:rPr>
          <w:spacing w:val="3"/>
          <w:sz w:val="24"/>
        </w:rPr>
        <w:t>over</w:t>
      </w:r>
      <w:r>
        <w:rPr>
          <w:spacing w:val="-6"/>
          <w:sz w:val="24"/>
        </w:rPr>
        <w:t> </w:t>
      </w:r>
      <w:r>
        <w:rPr>
          <w:sz w:val="24"/>
        </w:rPr>
        <w:t>government</w:t>
      </w:r>
      <w:r>
        <w:rPr>
          <w:spacing w:val="-6"/>
          <w:sz w:val="24"/>
        </w:rPr>
        <w:t> </w:t>
      </w:r>
      <w:r>
        <w:rPr>
          <w:sz w:val="24"/>
        </w:rPr>
        <w:t>bond</w:t>
      </w:r>
      <w:r>
        <w:rPr>
          <w:spacing w:val="-10"/>
          <w:sz w:val="24"/>
        </w:rPr>
        <w:t> </w:t>
      </w:r>
      <w:r>
        <w:rPr>
          <w:sz w:val="24"/>
        </w:rPr>
        <w:t>yields</w:t>
      </w:r>
      <w:r>
        <w:rPr>
          <w:spacing w:val="-9"/>
          <w:sz w:val="24"/>
        </w:rPr>
        <w:t> </w:t>
      </w:r>
      <w:r>
        <w:rPr>
          <w:sz w:val="24"/>
        </w:rPr>
        <w:t>remained</w:t>
      </w:r>
      <w:r>
        <w:rPr>
          <w:spacing w:val="-9"/>
          <w:sz w:val="24"/>
        </w:rPr>
        <w:t> </w:t>
      </w:r>
      <w:r>
        <w:rPr>
          <w:sz w:val="24"/>
        </w:rPr>
        <w:t>higher than</w:t>
      </w:r>
      <w:r>
        <w:rPr>
          <w:spacing w:val="-8"/>
          <w:sz w:val="24"/>
        </w:rPr>
        <w:t> </w:t>
      </w:r>
      <w:r>
        <w:rPr>
          <w:sz w:val="24"/>
        </w:rPr>
        <w:t>they</w:t>
      </w:r>
      <w:r>
        <w:rPr>
          <w:spacing w:val="-8"/>
          <w:sz w:val="24"/>
        </w:rPr>
        <w:t> </w:t>
      </w:r>
      <w:r>
        <w:rPr>
          <w:sz w:val="24"/>
        </w:rPr>
        <w:t>had</w:t>
      </w:r>
      <w:r>
        <w:rPr>
          <w:spacing w:val="-8"/>
          <w:sz w:val="24"/>
        </w:rPr>
        <w:t> </w:t>
      </w:r>
      <w:r>
        <w:rPr>
          <w:sz w:val="24"/>
        </w:rPr>
        <w:t>been</w:t>
      </w:r>
      <w:r>
        <w:rPr>
          <w:spacing w:val="-8"/>
          <w:sz w:val="24"/>
        </w:rPr>
        <w:t> </w:t>
      </w:r>
      <w:r>
        <w:rPr>
          <w:sz w:val="24"/>
        </w:rPr>
        <w:t>prior</w:t>
      </w:r>
      <w:r>
        <w:rPr>
          <w:spacing w:val="-8"/>
          <w:sz w:val="24"/>
        </w:rPr>
        <w:t> </w:t>
      </w:r>
      <w:r>
        <w:rPr>
          <w:spacing w:val="2"/>
          <w:sz w:val="24"/>
        </w:rPr>
        <w:t>to</w:t>
      </w:r>
      <w:r>
        <w:rPr>
          <w:spacing w:val="-4"/>
          <w:sz w:val="24"/>
        </w:rPr>
        <w:t> </w:t>
      </w:r>
      <w:r>
        <w:rPr>
          <w:sz w:val="24"/>
        </w:rPr>
        <w:t>the</w:t>
      </w:r>
      <w:r>
        <w:rPr>
          <w:spacing w:val="-8"/>
          <w:sz w:val="24"/>
        </w:rPr>
        <w:t> </w:t>
      </w:r>
      <w:r>
        <w:rPr>
          <w:sz w:val="24"/>
        </w:rPr>
        <w:t>shocks</w:t>
      </w:r>
      <w:r>
        <w:rPr>
          <w:spacing w:val="-8"/>
          <w:sz w:val="24"/>
        </w:rPr>
        <w:t> </w:t>
      </w:r>
      <w:r>
        <w:rPr>
          <w:sz w:val="24"/>
        </w:rPr>
        <w:t>of</w:t>
      </w:r>
      <w:r>
        <w:rPr>
          <w:spacing w:val="-4"/>
          <w:sz w:val="24"/>
        </w:rPr>
        <w:t> </w:t>
      </w:r>
      <w:r>
        <w:rPr>
          <w:sz w:val="24"/>
        </w:rPr>
        <w:t>summer</w:t>
      </w:r>
      <w:r>
        <w:rPr>
          <w:spacing w:val="-8"/>
          <w:sz w:val="24"/>
        </w:rPr>
        <w:t> </w:t>
      </w:r>
      <w:r>
        <w:rPr>
          <w:sz w:val="24"/>
        </w:rPr>
        <w:t>1998.</w:t>
      </w:r>
      <w:r>
        <w:rPr>
          <w:spacing w:val="44"/>
          <w:sz w:val="24"/>
        </w:rPr>
        <w:t> </w:t>
      </w:r>
      <w:r>
        <w:rPr>
          <w:sz w:val="24"/>
        </w:rPr>
        <w:t>But</w:t>
      </w:r>
      <w:r>
        <w:rPr>
          <w:spacing w:val="-4"/>
          <w:sz w:val="24"/>
        </w:rPr>
        <w:t> </w:t>
      </w:r>
      <w:r>
        <w:rPr>
          <w:sz w:val="24"/>
        </w:rPr>
        <w:t>the</w:t>
      </w:r>
      <w:r>
        <w:rPr>
          <w:spacing w:val="-8"/>
          <w:sz w:val="24"/>
        </w:rPr>
        <w:t> </w:t>
      </w:r>
      <w:r>
        <w:rPr>
          <w:sz w:val="24"/>
        </w:rPr>
        <w:t>level</w:t>
      </w:r>
      <w:r>
        <w:rPr>
          <w:spacing w:val="-8"/>
          <w:sz w:val="24"/>
        </w:rPr>
        <w:t> </w:t>
      </w:r>
      <w:r>
        <w:rPr>
          <w:sz w:val="24"/>
        </w:rPr>
        <w:t>of</w:t>
      </w:r>
      <w:r>
        <w:rPr>
          <w:spacing w:val="-3"/>
          <w:sz w:val="24"/>
        </w:rPr>
        <w:t> </w:t>
      </w:r>
      <w:r>
        <w:rPr>
          <w:sz w:val="24"/>
        </w:rPr>
        <w:t>nominal</w:t>
      </w:r>
      <w:r>
        <w:rPr>
          <w:spacing w:val="-8"/>
          <w:sz w:val="24"/>
        </w:rPr>
        <w:t> </w:t>
      </w:r>
      <w:r>
        <w:rPr>
          <w:sz w:val="24"/>
        </w:rPr>
        <w:t>yields</w:t>
      </w:r>
      <w:r>
        <w:rPr>
          <w:spacing w:val="-8"/>
          <w:sz w:val="24"/>
        </w:rPr>
        <w:t> </w:t>
      </w:r>
      <w:r>
        <w:rPr>
          <w:sz w:val="24"/>
        </w:rPr>
        <w:t>on</w:t>
      </w:r>
      <w:r>
        <w:rPr>
          <w:spacing w:val="-4"/>
          <w:sz w:val="24"/>
        </w:rPr>
        <w:t> </w:t>
      </w:r>
      <w:r>
        <w:rPr>
          <w:sz w:val="24"/>
        </w:rPr>
        <w:t>these bonds had fallen </w:t>
      </w:r>
      <w:r>
        <w:rPr>
          <w:spacing w:val="3"/>
          <w:sz w:val="24"/>
        </w:rPr>
        <w:t>over </w:t>
      </w:r>
      <w:r>
        <w:rPr>
          <w:sz w:val="24"/>
        </w:rPr>
        <w:t>the same</w:t>
      </w:r>
      <w:r>
        <w:rPr>
          <w:spacing w:val="8"/>
          <w:sz w:val="24"/>
        </w:rPr>
        <w:t> </w:t>
      </w:r>
      <w:r>
        <w:rPr>
          <w:sz w:val="24"/>
        </w:rPr>
        <w:t>period.</w:t>
      </w:r>
    </w:p>
    <w:p>
      <w:pPr>
        <w:pStyle w:val="BodyText"/>
        <w:spacing w:before="5"/>
        <w:rPr>
          <w:sz w:val="32"/>
        </w:rPr>
      </w:pPr>
    </w:p>
    <w:p>
      <w:pPr>
        <w:pStyle w:val="Heading1"/>
        <w:jc w:val="both"/>
      </w:pPr>
      <w:r>
        <w:rPr/>
        <w:t>Money and credit</w:t>
      </w:r>
    </w:p>
    <w:p>
      <w:pPr>
        <w:pStyle w:val="BodyText"/>
        <w:rPr>
          <w:b/>
          <w:sz w:val="26"/>
        </w:rPr>
      </w:pPr>
    </w:p>
    <w:p>
      <w:pPr>
        <w:pStyle w:val="ListParagraph"/>
        <w:numPr>
          <w:ilvl w:val="0"/>
          <w:numId w:val="1"/>
        </w:numPr>
        <w:tabs>
          <w:tab w:pos="782" w:val="left" w:leader="none"/>
        </w:tabs>
        <w:spacing w:line="321" w:lineRule="auto" w:before="160" w:after="0"/>
        <w:ind w:left="421" w:right="332" w:firstLine="0"/>
        <w:jc w:val="left"/>
        <w:rPr>
          <w:sz w:val="24"/>
        </w:rPr>
      </w:pPr>
      <w:r>
        <w:rPr>
          <w:sz w:val="24"/>
        </w:rPr>
        <w:t>The</w:t>
      </w:r>
      <w:r>
        <w:rPr>
          <w:spacing w:val="-5"/>
          <w:sz w:val="24"/>
        </w:rPr>
        <w:t> </w:t>
      </w:r>
      <w:r>
        <w:rPr>
          <w:sz w:val="24"/>
        </w:rPr>
        <w:t>growth</w:t>
      </w:r>
      <w:r>
        <w:rPr>
          <w:spacing w:val="-5"/>
          <w:sz w:val="24"/>
        </w:rPr>
        <w:t> </w:t>
      </w:r>
      <w:r>
        <w:rPr>
          <w:sz w:val="24"/>
        </w:rPr>
        <w:t>rate</w:t>
      </w:r>
      <w:r>
        <w:rPr>
          <w:spacing w:val="-4"/>
          <w:sz w:val="24"/>
        </w:rPr>
        <w:t> </w:t>
      </w:r>
      <w:r>
        <w:rPr>
          <w:sz w:val="24"/>
        </w:rPr>
        <w:t>of</w:t>
      </w:r>
      <w:r>
        <w:rPr>
          <w:spacing w:val="-2"/>
          <w:sz w:val="24"/>
        </w:rPr>
        <w:t> </w:t>
      </w:r>
      <w:r>
        <w:rPr>
          <w:sz w:val="24"/>
        </w:rPr>
        <w:t>notes</w:t>
      </w:r>
      <w:r>
        <w:rPr>
          <w:spacing w:val="-6"/>
          <w:sz w:val="24"/>
        </w:rPr>
        <w:t> </w:t>
      </w:r>
      <w:r>
        <w:rPr>
          <w:sz w:val="24"/>
        </w:rPr>
        <w:t>and</w:t>
      </w:r>
      <w:r>
        <w:rPr>
          <w:spacing w:val="-5"/>
          <w:sz w:val="24"/>
        </w:rPr>
        <w:t> </w:t>
      </w:r>
      <w:r>
        <w:rPr>
          <w:sz w:val="24"/>
        </w:rPr>
        <w:t>coin</w:t>
      </w:r>
      <w:r>
        <w:rPr>
          <w:spacing w:val="-6"/>
          <w:sz w:val="24"/>
        </w:rPr>
        <w:t> </w:t>
      </w:r>
      <w:r>
        <w:rPr>
          <w:sz w:val="24"/>
        </w:rPr>
        <w:t>had</w:t>
      </w:r>
      <w:r>
        <w:rPr>
          <w:spacing w:val="-6"/>
          <w:sz w:val="24"/>
        </w:rPr>
        <w:t> </w:t>
      </w:r>
      <w:r>
        <w:rPr>
          <w:sz w:val="24"/>
        </w:rPr>
        <w:t>been</w:t>
      </w:r>
      <w:r>
        <w:rPr>
          <w:spacing w:val="-6"/>
          <w:sz w:val="24"/>
        </w:rPr>
        <w:t> </w:t>
      </w:r>
      <w:r>
        <w:rPr>
          <w:sz w:val="24"/>
        </w:rPr>
        <w:t>robust</w:t>
      </w:r>
      <w:r>
        <w:rPr>
          <w:spacing w:val="-4"/>
          <w:sz w:val="24"/>
        </w:rPr>
        <w:t> </w:t>
      </w:r>
      <w:r>
        <w:rPr>
          <w:sz w:val="24"/>
        </w:rPr>
        <w:t>through</w:t>
      </w:r>
      <w:r>
        <w:rPr>
          <w:spacing w:val="-6"/>
          <w:sz w:val="24"/>
        </w:rPr>
        <w:t> </w:t>
      </w:r>
      <w:r>
        <w:rPr>
          <w:sz w:val="24"/>
        </w:rPr>
        <w:t>the</w:t>
      </w:r>
      <w:r>
        <w:rPr>
          <w:spacing w:val="-5"/>
          <w:sz w:val="24"/>
        </w:rPr>
        <w:t> </w:t>
      </w:r>
      <w:r>
        <w:rPr>
          <w:sz w:val="24"/>
        </w:rPr>
        <w:t>autumn,</w:t>
      </w:r>
      <w:r>
        <w:rPr>
          <w:spacing w:val="-6"/>
          <w:sz w:val="24"/>
        </w:rPr>
        <w:t> </w:t>
      </w:r>
      <w:r>
        <w:rPr>
          <w:sz w:val="24"/>
        </w:rPr>
        <w:t>even</w:t>
      </w:r>
      <w:r>
        <w:rPr>
          <w:spacing w:val="-6"/>
          <w:sz w:val="24"/>
        </w:rPr>
        <w:t> </w:t>
      </w:r>
      <w:r>
        <w:rPr>
          <w:sz w:val="24"/>
        </w:rPr>
        <w:t>after</w:t>
      </w:r>
      <w:r>
        <w:rPr>
          <w:spacing w:val="-6"/>
          <w:sz w:val="24"/>
        </w:rPr>
        <w:t> </w:t>
      </w:r>
      <w:r>
        <w:rPr>
          <w:sz w:val="24"/>
        </w:rPr>
        <w:t>adjusting</w:t>
      </w:r>
      <w:r>
        <w:rPr>
          <w:spacing w:val="-5"/>
          <w:sz w:val="24"/>
        </w:rPr>
        <w:t> </w:t>
      </w:r>
      <w:r>
        <w:rPr>
          <w:sz w:val="24"/>
        </w:rPr>
        <w:t>for the</w:t>
      </w:r>
      <w:r>
        <w:rPr>
          <w:spacing w:val="-8"/>
          <w:sz w:val="24"/>
        </w:rPr>
        <w:t> </w:t>
      </w:r>
      <w:r>
        <w:rPr>
          <w:sz w:val="24"/>
        </w:rPr>
        <w:t>introduction</w:t>
      </w:r>
      <w:r>
        <w:rPr>
          <w:spacing w:val="-8"/>
          <w:sz w:val="24"/>
        </w:rPr>
        <w:t> </w:t>
      </w:r>
      <w:r>
        <w:rPr>
          <w:sz w:val="24"/>
        </w:rPr>
        <w:t>of</w:t>
      </w:r>
      <w:r>
        <w:rPr>
          <w:spacing w:val="-3"/>
          <w:sz w:val="24"/>
        </w:rPr>
        <w:t> </w:t>
      </w:r>
      <w:r>
        <w:rPr>
          <w:sz w:val="24"/>
        </w:rPr>
        <w:t>the</w:t>
      </w:r>
      <w:r>
        <w:rPr>
          <w:spacing w:val="-8"/>
          <w:sz w:val="24"/>
        </w:rPr>
        <w:t> </w:t>
      </w:r>
      <w:r>
        <w:rPr>
          <w:sz w:val="24"/>
        </w:rPr>
        <w:t>£2</w:t>
      </w:r>
      <w:r>
        <w:rPr>
          <w:spacing w:val="-8"/>
          <w:sz w:val="24"/>
        </w:rPr>
        <w:t> </w:t>
      </w:r>
      <w:r>
        <w:rPr>
          <w:sz w:val="24"/>
        </w:rPr>
        <w:t>coin.</w:t>
      </w:r>
      <w:r>
        <w:rPr>
          <w:spacing w:val="45"/>
          <w:sz w:val="24"/>
        </w:rPr>
        <w:t> </w:t>
      </w:r>
      <w:r>
        <w:rPr>
          <w:sz w:val="24"/>
        </w:rPr>
        <w:t>This</w:t>
      </w:r>
      <w:r>
        <w:rPr>
          <w:spacing w:val="-6"/>
          <w:sz w:val="24"/>
        </w:rPr>
        <w:t> </w:t>
      </w:r>
      <w:r>
        <w:rPr>
          <w:sz w:val="24"/>
        </w:rPr>
        <w:t>added</w:t>
      </w:r>
      <w:r>
        <w:rPr>
          <w:spacing w:val="-8"/>
          <w:sz w:val="24"/>
        </w:rPr>
        <w:t> </w:t>
      </w:r>
      <w:r>
        <w:rPr>
          <w:sz w:val="24"/>
        </w:rPr>
        <w:t>weight</w:t>
      </w:r>
      <w:r>
        <w:rPr>
          <w:spacing w:val="-4"/>
          <w:sz w:val="24"/>
        </w:rPr>
        <w:t> </w:t>
      </w:r>
      <w:r>
        <w:rPr>
          <w:spacing w:val="2"/>
          <w:sz w:val="24"/>
        </w:rPr>
        <w:t>to</w:t>
      </w:r>
      <w:r>
        <w:rPr>
          <w:spacing w:val="-3"/>
          <w:sz w:val="24"/>
        </w:rPr>
        <w:t> </w:t>
      </w:r>
      <w:r>
        <w:rPr>
          <w:sz w:val="24"/>
        </w:rPr>
        <w:t>the</w:t>
      </w:r>
      <w:r>
        <w:rPr>
          <w:spacing w:val="-8"/>
          <w:sz w:val="24"/>
        </w:rPr>
        <w:t> </w:t>
      </w:r>
      <w:r>
        <w:rPr>
          <w:sz w:val="24"/>
        </w:rPr>
        <w:t>picture</w:t>
      </w:r>
      <w:r>
        <w:rPr>
          <w:spacing w:val="-8"/>
          <w:sz w:val="24"/>
        </w:rPr>
        <w:t> </w:t>
      </w:r>
      <w:r>
        <w:rPr>
          <w:sz w:val="24"/>
        </w:rPr>
        <w:t>painted</w:t>
      </w:r>
      <w:r>
        <w:rPr>
          <w:spacing w:val="-7"/>
          <w:sz w:val="24"/>
        </w:rPr>
        <w:t> </w:t>
      </w:r>
      <w:r>
        <w:rPr>
          <w:sz w:val="24"/>
        </w:rPr>
        <w:t>by</w:t>
      </w:r>
      <w:r>
        <w:rPr>
          <w:spacing w:val="-8"/>
          <w:sz w:val="24"/>
        </w:rPr>
        <w:t> </w:t>
      </w:r>
      <w:r>
        <w:rPr>
          <w:sz w:val="24"/>
        </w:rPr>
        <w:t>the</w:t>
      </w:r>
      <w:r>
        <w:rPr>
          <w:spacing w:val="-8"/>
          <w:sz w:val="24"/>
        </w:rPr>
        <w:t> </w:t>
      </w:r>
      <w:r>
        <w:rPr>
          <w:spacing w:val="3"/>
          <w:sz w:val="24"/>
        </w:rPr>
        <w:t>official</w:t>
      </w:r>
      <w:r>
        <w:rPr>
          <w:spacing w:val="-3"/>
          <w:sz w:val="24"/>
        </w:rPr>
        <w:t> </w:t>
      </w:r>
      <w:r>
        <w:rPr>
          <w:sz w:val="24"/>
        </w:rPr>
        <w:t>retail</w:t>
      </w:r>
      <w:r>
        <w:rPr>
          <w:spacing w:val="-6"/>
          <w:sz w:val="24"/>
        </w:rPr>
        <w:t> </w:t>
      </w:r>
      <w:r>
        <w:rPr>
          <w:sz w:val="24"/>
        </w:rPr>
        <w:t>sales figures,</w:t>
      </w:r>
      <w:r>
        <w:rPr>
          <w:spacing w:val="-10"/>
          <w:sz w:val="24"/>
        </w:rPr>
        <w:t> </w:t>
      </w:r>
      <w:r>
        <w:rPr>
          <w:sz w:val="24"/>
        </w:rPr>
        <w:t>which</w:t>
      </w:r>
      <w:r>
        <w:rPr>
          <w:spacing w:val="-10"/>
          <w:sz w:val="24"/>
        </w:rPr>
        <w:t> </w:t>
      </w:r>
      <w:r>
        <w:rPr>
          <w:sz w:val="24"/>
        </w:rPr>
        <w:t>had</w:t>
      </w:r>
      <w:r>
        <w:rPr>
          <w:spacing w:val="-10"/>
          <w:sz w:val="24"/>
        </w:rPr>
        <w:t> </w:t>
      </w:r>
      <w:r>
        <w:rPr>
          <w:sz w:val="24"/>
        </w:rPr>
        <w:t>been</w:t>
      </w:r>
      <w:r>
        <w:rPr>
          <w:spacing w:val="-10"/>
          <w:sz w:val="24"/>
        </w:rPr>
        <w:t> </w:t>
      </w:r>
      <w:r>
        <w:rPr>
          <w:sz w:val="24"/>
        </w:rPr>
        <w:t>stronger</w:t>
      </w:r>
      <w:r>
        <w:rPr>
          <w:spacing w:val="-10"/>
          <w:sz w:val="24"/>
        </w:rPr>
        <w:t> </w:t>
      </w:r>
      <w:r>
        <w:rPr>
          <w:sz w:val="24"/>
        </w:rPr>
        <w:t>than</w:t>
      </w:r>
      <w:r>
        <w:rPr>
          <w:spacing w:val="-10"/>
          <w:sz w:val="24"/>
        </w:rPr>
        <w:t> </w:t>
      </w:r>
      <w:r>
        <w:rPr>
          <w:sz w:val="24"/>
        </w:rPr>
        <w:t>much</w:t>
      </w:r>
      <w:r>
        <w:rPr>
          <w:spacing w:val="-9"/>
          <w:sz w:val="24"/>
        </w:rPr>
        <w:t> </w:t>
      </w:r>
      <w:r>
        <w:rPr>
          <w:sz w:val="24"/>
        </w:rPr>
        <w:t>of</w:t>
      </w:r>
      <w:r>
        <w:rPr>
          <w:spacing w:val="-6"/>
          <w:sz w:val="24"/>
        </w:rPr>
        <w:t> </w:t>
      </w:r>
      <w:r>
        <w:rPr>
          <w:sz w:val="24"/>
        </w:rPr>
        <w:t>the</w:t>
      </w:r>
      <w:r>
        <w:rPr>
          <w:spacing w:val="-10"/>
          <w:sz w:val="24"/>
        </w:rPr>
        <w:t> </w:t>
      </w:r>
      <w:r>
        <w:rPr>
          <w:sz w:val="24"/>
        </w:rPr>
        <w:t>survey</w:t>
      </w:r>
      <w:r>
        <w:rPr>
          <w:spacing w:val="-10"/>
          <w:sz w:val="24"/>
        </w:rPr>
        <w:t> </w:t>
      </w:r>
      <w:r>
        <w:rPr>
          <w:sz w:val="24"/>
        </w:rPr>
        <w:t>evidence</w:t>
      </w:r>
      <w:r>
        <w:rPr>
          <w:spacing w:val="-10"/>
          <w:sz w:val="24"/>
        </w:rPr>
        <w:t> </w:t>
      </w:r>
      <w:r>
        <w:rPr>
          <w:sz w:val="24"/>
        </w:rPr>
        <w:t>had</w:t>
      </w:r>
      <w:r>
        <w:rPr>
          <w:spacing w:val="-10"/>
          <w:sz w:val="24"/>
        </w:rPr>
        <w:t> </w:t>
      </w:r>
      <w:r>
        <w:rPr>
          <w:sz w:val="24"/>
        </w:rPr>
        <w:t>suggested.</w:t>
      </w:r>
      <w:r>
        <w:rPr>
          <w:spacing w:val="41"/>
          <w:sz w:val="24"/>
        </w:rPr>
        <w:t> </w:t>
      </w:r>
      <w:r>
        <w:rPr>
          <w:sz w:val="24"/>
        </w:rPr>
        <w:t>The</w:t>
      </w:r>
      <w:r>
        <w:rPr>
          <w:spacing w:val="-9"/>
          <w:sz w:val="24"/>
        </w:rPr>
        <w:t> </w:t>
      </w:r>
      <w:r>
        <w:rPr>
          <w:sz w:val="24"/>
        </w:rPr>
        <w:t>provisional December figure for notes and coin had been particularly strong, but this could not sensibly be assessed in isolation because of the uncertainty surrounding the seasonal adjustment </w:t>
      </w:r>
      <w:r>
        <w:rPr>
          <w:spacing w:val="2"/>
          <w:sz w:val="24"/>
        </w:rPr>
        <w:t>to </w:t>
      </w:r>
      <w:r>
        <w:rPr>
          <w:sz w:val="24"/>
        </w:rPr>
        <w:t>the Christmas month</w:t>
      </w:r>
      <w:r>
        <w:rPr>
          <w:spacing w:val="2"/>
          <w:sz w:val="24"/>
        </w:rPr>
        <w:t> </w:t>
      </w:r>
      <w:r>
        <w:rPr>
          <w:sz w:val="24"/>
        </w:rPr>
        <w:t>figures.</w:t>
      </w:r>
    </w:p>
    <w:p>
      <w:pPr>
        <w:pStyle w:val="BodyText"/>
        <w:rPr>
          <w:sz w:val="32"/>
        </w:rPr>
      </w:pPr>
    </w:p>
    <w:p>
      <w:pPr>
        <w:pStyle w:val="ListParagraph"/>
        <w:numPr>
          <w:ilvl w:val="0"/>
          <w:numId w:val="1"/>
        </w:numPr>
        <w:tabs>
          <w:tab w:pos="782" w:val="left" w:leader="none"/>
        </w:tabs>
        <w:spacing w:line="321" w:lineRule="auto" w:before="0" w:after="0"/>
        <w:ind w:left="421" w:right="346" w:firstLine="0"/>
        <w:jc w:val="left"/>
        <w:rPr>
          <w:sz w:val="24"/>
        </w:rPr>
      </w:pPr>
      <w:r>
        <w:rPr>
          <w:sz w:val="24"/>
        </w:rPr>
        <w:t>Aggregate M4 growth had slowed in November, and had been matched by slower growth of lending. The slowdown in the growth of M4 and M4 lending was in large part accounted for by a reduction in the stocks of deposits and </w:t>
      </w:r>
      <w:r>
        <w:rPr>
          <w:spacing w:val="3"/>
          <w:sz w:val="24"/>
        </w:rPr>
        <w:t>outstanding </w:t>
      </w:r>
      <w:r>
        <w:rPr>
          <w:sz w:val="24"/>
        </w:rPr>
        <w:t>loans held by </w:t>
      </w:r>
      <w:r>
        <w:rPr>
          <w:spacing w:val="3"/>
          <w:sz w:val="24"/>
        </w:rPr>
        <w:t>other </w:t>
      </w:r>
      <w:r>
        <w:rPr>
          <w:sz w:val="24"/>
        </w:rPr>
        <w:t>financial corporations (OFCs). Within OFCs there had been anecdotal evidence that securities dealers, in particular, had been contracting their balance sheets by more than normal towards the end of 1998. This was consistent</w:t>
      </w:r>
      <w:r>
        <w:rPr>
          <w:spacing w:val="-9"/>
          <w:sz w:val="24"/>
        </w:rPr>
        <w:t> </w:t>
      </w:r>
      <w:r>
        <w:rPr>
          <w:sz w:val="24"/>
        </w:rPr>
        <w:t>with</w:t>
      </w:r>
      <w:r>
        <w:rPr>
          <w:spacing w:val="-13"/>
          <w:sz w:val="24"/>
        </w:rPr>
        <w:t> </w:t>
      </w:r>
      <w:r>
        <w:rPr>
          <w:sz w:val="24"/>
        </w:rPr>
        <w:t>some</w:t>
      </w:r>
      <w:r>
        <w:rPr>
          <w:spacing w:val="-13"/>
          <w:sz w:val="24"/>
        </w:rPr>
        <w:t> </w:t>
      </w:r>
      <w:r>
        <w:rPr>
          <w:sz w:val="24"/>
        </w:rPr>
        <w:t>of</w:t>
      </w:r>
      <w:r>
        <w:rPr>
          <w:spacing w:val="-9"/>
          <w:sz w:val="24"/>
        </w:rPr>
        <w:t> </w:t>
      </w:r>
      <w:r>
        <w:rPr>
          <w:sz w:val="24"/>
        </w:rPr>
        <w:t>the</w:t>
      </w:r>
      <w:r>
        <w:rPr>
          <w:spacing w:val="-12"/>
          <w:sz w:val="24"/>
        </w:rPr>
        <w:t> </w:t>
      </w:r>
      <w:r>
        <w:rPr>
          <w:sz w:val="24"/>
        </w:rPr>
        <w:t>data</w:t>
      </w:r>
      <w:r>
        <w:rPr>
          <w:spacing w:val="-13"/>
          <w:sz w:val="24"/>
        </w:rPr>
        <w:t> </w:t>
      </w:r>
      <w:r>
        <w:rPr>
          <w:sz w:val="24"/>
        </w:rPr>
        <w:t>(for</w:t>
      </w:r>
      <w:r>
        <w:rPr>
          <w:spacing w:val="-11"/>
          <w:sz w:val="24"/>
        </w:rPr>
        <w:t> </w:t>
      </w:r>
      <w:r>
        <w:rPr>
          <w:sz w:val="24"/>
        </w:rPr>
        <w:t>example,</w:t>
      </w:r>
      <w:r>
        <w:rPr>
          <w:spacing w:val="-13"/>
          <w:sz w:val="24"/>
        </w:rPr>
        <w:t> </w:t>
      </w:r>
      <w:r>
        <w:rPr>
          <w:sz w:val="24"/>
        </w:rPr>
        <w:t>the</w:t>
      </w:r>
      <w:r>
        <w:rPr>
          <w:spacing w:val="-13"/>
          <w:sz w:val="24"/>
        </w:rPr>
        <w:t> </w:t>
      </w:r>
      <w:r>
        <w:rPr>
          <w:sz w:val="24"/>
        </w:rPr>
        <w:t>fall</w:t>
      </w:r>
      <w:r>
        <w:rPr>
          <w:spacing w:val="-12"/>
          <w:sz w:val="24"/>
        </w:rPr>
        <w:t> </w:t>
      </w:r>
      <w:r>
        <w:rPr>
          <w:sz w:val="24"/>
        </w:rPr>
        <w:t>in</w:t>
      </w:r>
      <w:r>
        <w:rPr>
          <w:spacing w:val="-13"/>
          <w:sz w:val="24"/>
        </w:rPr>
        <w:t> </w:t>
      </w:r>
      <w:r>
        <w:rPr>
          <w:sz w:val="24"/>
        </w:rPr>
        <w:t>sterling</w:t>
      </w:r>
      <w:r>
        <w:rPr>
          <w:spacing w:val="-13"/>
          <w:sz w:val="24"/>
        </w:rPr>
        <w:t> </w:t>
      </w:r>
      <w:r>
        <w:rPr>
          <w:sz w:val="24"/>
        </w:rPr>
        <w:t>lending</w:t>
      </w:r>
      <w:r>
        <w:rPr>
          <w:spacing w:val="-13"/>
          <w:sz w:val="24"/>
        </w:rPr>
        <w:t> </w:t>
      </w:r>
      <w:r>
        <w:rPr>
          <w:sz w:val="24"/>
        </w:rPr>
        <w:t>by</w:t>
      </w:r>
      <w:r>
        <w:rPr>
          <w:spacing w:val="-12"/>
          <w:sz w:val="24"/>
        </w:rPr>
        <w:t> </w:t>
      </w:r>
      <w:r>
        <w:rPr>
          <w:sz w:val="24"/>
        </w:rPr>
        <w:t>the</w:t>
      </w:r>
      <w:r>
        <w:rPr>
          <w:spacing w:val="-13"/>
          <w:sz w:val="24"/>
        </w:rPr>
        <w:t> </w:t>
      </w:r>
      <w:r>
        <w:rPr>
          <w:sz w:val="24"/>
        </w:rPr>
        <w:t>major</w:t>
      </w:r>
      <w:r>
        <w:rPr>
          <w:spacing w:val="-13"/>
          <w:sz w:val="24"/>
        </w:rPr>
        <w:t> </w:t>
      </w:r>
      <w:r>
        <w:rPr>
          <w:sz w:val="24"/>
        </w:rPr>
        <w:t>British</w:t>
      </w:r>
      <w:r>
        <w:rPr>
          <w:spacing w:val="-12"/>
          <w:sz w:val="24"/>
        </w:rPr>
        <w:t> </w:t>
      </w:r>
      <w:r>
        <w:rPr>
          <w:sz w:val="24"/>
        </w:rPr>
        <w:t>banks </w:t>
      </w:r>
      <w:r>
        <w:rPr>
          <w:spacing w:val="2"/>
          <w:sz w:val="24"/>
        </w:rPr>
        <w:t>to </w:t>
      </w:r>
      <w:r>
        <w:rPr>
          <w:sz w:val="24"/>
        </w:rPr>
        <w:t>securities</w:t>
      </w:r>
      <w:r>
        <w:rPr>
          <w:spacing w:val="6"/>
          <w:sz w:val="24"/>
        </w:rPr>
        <w:t> </w:t>
      </w:r>
      <w:r>
        <w:rPr>
          <w:sz w:val="24"/>
        </w:rPr>
        <w:t>dealers).</w:t>
      </w:r>
    </w:p>
    <w:p>
      <w:pPr>
        <w:pStyle w:val="BodyText"/>
        <w:rPr>
          <w:sz w:val="32"/>
        </w:rPr>
      </w:pPr>
    </w:p>
    <w:p>
      <w:pPr>
        <w:pStyle w:val="ListParagraph"/>
        <w:numPr>
          <w:ilvl w:val="0"/>
          <w:numId w:val="1"/>
        </w:numPr>
        <w:tabs>
          <w:tab w:pos="782" w:val="left" w:leader="none"/>
        </w:tabs>
        <w:spacing w:line="321" w:lineRule="auto" w:before="0" w:after="0"/>
        <w:ind w:left="421" w:right="655" w:firstLine="0"/>
        <w:jc w:val="both"/>
        <w:rPr>
          <w:sz w:val="24"/>
        </w:rPr>
      </w:pPr>
      <w:r>
        <w:rPr>
          <w:sz w:val="24"/>
        </w:rPr>
        <w:t>Overall,</w:t>
      </w:r>
      <w:r>
        <w:rPr>
          <w:spacing w:val="-11"/>
          <w:sz w:val="24"/>
        </w:rPr>
        <w:t> </w:t>
      </w:r>
      <w:r>
        <w:rPr>
          <w:sz w:val="24"/>
        </w:rPr>
        <w:t>some</w:t>
      </w:r>
      <w:r>
        <w:rPr>
          <w:spacing w:val="-10"/>
          <w:sz w:val="24"/>
        </w:rPr>
        <w:t> </w:t>
      </w:r>
      <w:r>
        <w:rPr>
          <w:sz w:val="24"/>
        </w:rPr>
        <w:t>members</w:t>
      </w:r>
      <w:r>
        <w:rPr>
          <w:spacing w:val="-10"/>
          <w:sz w:val="24"/>
        </w:rPr>
        <w:t> </w:t>
      </w:r>
      <w:r>
        <w:rPr>
          <w:sz w:val="24"/>
        </w:rPr>
        <w:t>thought</w:t>
      </w:r>
      <w:r>
        <w:rPr>
          <w:spacing w:val="-6"/>
          <w:sz w:val="24"/>
        </w:rPr>
        <w:t> </w:t>
      </w:r>
      <w:r>
        <w:rPr>
          <w:sz w:val="24"/>
        </w:rPr>
        <w:t>that</w:t>
      </w:r>
      <w:r>
        <w:rPr>
          <w:spacing w:val="-5"/>
          <w:sz w:val="24"/>
        </w:rPr>
        <w:t> </w:t>
      </w:r>
      <w:r>
        <w:rPr>
          <w:sz w:val="24"/>
        </w:rPr>
        <w:t>the</w:t>
      </w:r>
      <w:r>
        <w:rPr>
          <w:spacing w:val="-11"/>
          <w:sz w:val="24"/>
        </w:rPr>
        <w:t> </w:t>
      </w:r>
      <w:r>
        <w:rPr>
          <w:sz w:val="24"/>
        </w:rPr>
        <w:t>latest</w:t>
      </w:r>
      <w:r>
        <w:rPr>
          <w:spacing w:val="-5"/>
          <w:sz w:val="24"/>
        </w:rPr>
        <w:t> </w:t>
      </w:r>
      <w:r>
        <w:rPr>
          <w:sz w:val="24"/>
        </w:rPr>
        <w:t>monetary</w:t>
      </w:r>
      <w:r>
        <w:rPr>
          <w:spacing w:val="-10"/>
          <w:sz w:val="24"/>
        </w:rPr>
        <w:t> </w:t>
      </w:r>
      <w:r>
        <w:rPr>
          <w:sz w:val="24"/>
        </w:rPr>
        <w:t>data</w:t>
      </w:r>
      <w:r>
        <w:rPr>
          <w:spacing w:val="-11"/>
          <w:sz w:val="24"/>
        </w:rPr>
        <w:t> </w:t>
      </w:r>
      <w:r>
        <w:rPr>
          <w:sz w:val="24"/>
        </w:rPr>
        <w:t>were</w:t>
      </w:r>
      <w:r>
        <w:rPr>
          <w:spacing w:val="-10"/>
          <w:sz w:val="24"/>
        </w:rPr>
        <w:t> </w:t>
      </w:r>
      <w:r>
        <w:rPr>
          <w:sz w:val="24"/>
        </w:rPr>
        <w:t>consistent</w:t>
      </w:r>
      <w:r>
        <w:rPr>
          <w:spacing w:val="-6"/>
          <w:sz w:val="24"/>
        </w:rPr>
        <w:t> </w:t>
      </w:r>
      <w:r>
        <w:rPr>
          <w:sz w:val="24"/>
        </w:rPr>
        <w:t>with</w:t>
      </w:r>
      <w:r>
        <w:rPr>
          <w:spacing w:val="-10"/>
          <w:sz w:val="24"/>
        </w:rPr>
        <w:t> </w:t>
      </w:r>
      <w:r>
        <w:rPr>
          <w:sz w:val="24"/>
        </w:rPr>
        <w:t>a</w:t>
      </w:r>
      <w:r>
        <w:rPr>
          <w:spacing w:val="-10"/>
          <w:sz w:val="24"/>
        </w:rPr>
        <w:t> </w:t>
      </w:r>
      <w:r>
        <w:rPr>
          <w:sz w:val="24"/>
        </w:rPr>
        <w:t>gradual slowing of</w:t>
      </w:r>
      <w:r>
        <w:rPr>
          <w:spacing w:val="8"/>
          <w:sz w:val="24"/>
        </w:rPr>
        <w:t> </w:t>
      </w:r>
      <w:r>
        <w:rPr>
          <w:sz w:val="24"/>
        </w:rPr>
        <w:t>demand.</w:t>
      </w:r>
    </w:p>
    <w:p>
      <w:pPr>
        <w:pStyle w:val="BodyText"/>
        <w:spacing w:before="1"/>
        <w:rPr>
          <w:sz w:val="32"/>
        </w:rPr>
      </w:pPr>
    </w:p>
    <w:p>
      <w:pPr>
        <w:pStyle w:val="ListParagraph"/>
        <w:numPr>
          <w:ilvl w:val="0"/>
          <w:numId w:val="1"/>
        </w:numPr>
        <w:tabs>
          <w:tab w:pos="782" w:val="left" w:leader="none"/>
        </w:tabs>
        <w:spacing w:line="321" w:lineRule="auto" w:before="1" w:after="0"/>
        <w:ind w:left="421" w:right="718" w:firstLine="0"/>
        <w:jc w:val="left"/>
        <w:rPr>
          <w:sz w:val="24"/>
        </w:rPr>
      </w:pPr>
      <w:r>
        <w:rPr>
          <w:sz w:val="24"/>
        </w:rPr>
        <w:t>Lending </w:t>
      </w:r>
      <w:r>
        <w:rPr>
          <w:spacing w:val="2"/>
          <w:sz w:val="24"/>
        </w:rPr>
        <w:t>to </w:t>
      </w:r>
      <w:r>
        <w:rPr>
          <w:sz w:val="24"/>
        </w:rPr>
        <w:t>households continued </w:t>
      </w:r>
      <w:r>
        <w:rPr>
          <w:spacing w:val="2"/>
          <w:sz w:val="24"/>
        </w:rPr>
        <w:t>to </w:t>
      </w:r>
      <w:r>
        <w:rPr>
          <w:sz w:val="24"/>
        </w:rPr>
        <w:t>be robust, and had grown by 7½% in the year to November.</w:t>
      </w:r>
      <w:r>
        <w:rPr>
          <w:spacing w:val="33"/>
          <w:sz w:val="24"/>
        </w:rPr>
        <w:t> </w:t>
      </w:r>
      <w:r>
        <w:rPr>
          <w:sz w:val="24"/>
        </w:rPr>
        <w:t>This</w:t>
      </w:r>
      <w:r>
        <w:rPr>
          <w:spacing w:val="-11"/>
          <w:sz w:val="24"/>
        </w:rPr>
        <w:t> </w:t>
      </w:r>
      <w:r>
        <w:rPr>
          <w:sz w:val="24"/>
        </w:rPr>
        <w:t>did</w:t>
      </w:r>
      <w:r>
        <w:rPr>
          <w:spacing w:val="-14"/>
          <w:sz w:val="24"/>
        </w:rPr>
        <w:t> </w:t>
      </w:r>
      <w:r>
        <w:rPr>
          <w:sz w:val="24"/>
        </w:rPr>
        <w:t>not</w:t>
      </w:r>
      <w:r>
        <w:rPr>
          <w:spacing w:val="-9"/>
          <w:sz w:val="24"/>
        </w:rPr>
        <w:t> </w:t>
      </w:r>
      <w:r>
        <w:rPr>
          <w:sz w:val="24"/>
        </w:rPr>
        <w:t>seem</w:t>
      </w:r>
      <w:r>
        <w:rPr>
          <w:spacing w:val="-13"/>
          <w:sz w:val="24"/>
        </w:rPr>
        <w:t> </w:t>
      </w:r>
      <w:r>
        <w:rPr>
          <w:spacing w:val="2"/>
          <w:sz w:val="24"/>
        </w:rPr>
        <w:t>to</w:t>
      </w:r>
      <w:r>
        <w:rPr>
          <w:spacing w:val="-9"/>
          <w:sz w:val="24"/>
        </w:rPr>
        <w:t> </w:t>
      </w:r>
      <w:r>
        <w:rPr>
          <w:sz w:val="24"/>
        </w:rPr>
        <w:t>be</w:t>
      </w:r>
      <w:r>
        <w:rPr>
          <w:spacing w:val="-14"/>
          <w:sz w:val="24"/>
        </w:rPr>
        <w:t> </w:t>
      </w:r>
      <w:r>
        <w:rPr>
          <w:sz w:val="24"/>
        </w:rPr>
        <w:t>significantly</w:t>
      </w:r>
      <w:r>
        <w:rPr>
          <w:spacing w:val="-13"/>
          <w:sz w:val="24"/>
        </w:rPr>
        <w:t> </w:t>
      </w:r>
      <w:r>
        <w:rPr>
          <w:spacing w:val="2"/>
          <w:sz w:val="24"/>
        </w:rPr>
        <w:t>out</w:t>
      </w:r>
      <w:r>
        <w:rPr>
          <w:spacing w:val="-9"/>
          <w:sz w:val="24"/>
        </w:rPr>
        <w:t> </w:t>
      </w:r>
      <w:r>
        <w:rPr>
          <w:sz w:val="24"/>
        </w:rPr>
        <w:t>of</w:t>
      </w:r>
      <w:r>
        <w:rPr>
          <w:spacing w:val="-9"/>
          <w:sz w:val="24"/>
        </w:rPr>
        <w:t> </w:t>
      </w:r>
      <w:r>
        <w:rPr>
          <w:sz w:val="24"/>
        </w:rPr>
        <w:t>line</w:t>
      </w:r>
      <w:r>
        <w:rPr>
          <w:spacing w:val="-13"/>
          <w:sz w:val="24"/>
        </w:rPr>
        <w:t> </w:t>
      </w:r>
      <w:r>
        <w:rPr>
          <w:sz w:val="24"/>
        </w:rPr>
        <w:t>with</w:t>
      </w:r>
      <w:r>
        <w:rPr>
          <w:spacing w:val="-14"/>
          <w:sz w:val="24"/>
        </w:rPr>
        <w:t> </w:t>
      </w:r>
      <w:r>
        <w:rPr>
          <w:sz w:val="24"/>
        </w:rPr>
        <w:t>nominal</w:t>
      </w:r>
      <w:r>
        <w:rPr>
          <w:spacing w:val="-13"/>
          <w:sz w:val="24"/>
        </w:rPr>
        <w:t> </w:t>
      </w:r>
      <w:r>
        <w:rPr>
          <w:sz w:val="24"/>
        </w:rPr>
        <w:t>consumption</w:t>
      </w:r>
      <w:r>
        <w:rPr>
          <w:spacing w:val="-13"/>
          <w:sz w:val="24"/>
        </w:rPr>
        <w:t> </w:t>
      </w:r>
      <w:r>
        <w:rPr>
          <w:sz w:val="24"/>
        </w:rPr>
        <w:t>growth. However, the high rate of increase in the smaller non-secured component of lending (which accounted for around 20% of the stock) continued </w:t>
      </w:r>
      <w:r>
        <w:rPr>
          <w:spacing w:val="2"/>
          <w:sz w:val="24"/>
        </w:rPr>
        <w:t>to </w:t>
      </w:r>
      <w:r>
        <w:rPr>
          <w:sz w:val="24"/>
        </w:rPr>
        <w:t>be</w:t>
      </w:r>
      <w:r>
        <w:rPr>
          <w:spacing w:val="14"/>
          <w:sz w:val="24"/>
        </w:rPr>
        <w:t> </w:t>
      </w:r>
      <w:r>
        <w:rPr>
          <w:sz w:val="24"/>
        </w:rPr>
        <w:t>puzzling.</w:t>
      </w:r>
    </w:p>
    <w:p>
      <w:pPr>
        <w:pStyle w:val="BodyText"/>
        <w:rPr>
          <w:sz w:val="32"/>
        </w:rPr>
      </w:pPr>
    </w:p>
    <w:p>
      <w:pPr>
        <w:pStyle w:val="ListParagraph"/>
        <w:numPr>
          <w:ilvl w:val="0"/>
          <w:numId w:val="1"/>
        </w:numPr>
        <w:tabs>
          <w:tab w:pos="782" w:val="left" w:leader="none"/>
        </w:tabs>
        <w:spacing w:line="321" w:lineRule="auto" w:before="0" w:after="0"/>
        <w:ind w:left="421" w:right="347" w:firstLine="0"/>
        <w:jc w:val="left"/>
        <w:rPr>
          <w:sz w:val="24"/>
        </w:rPr>
      </w:pPr>
      <w:r>
        <w:rPr>
          <w:sz w:val="24"/>
        </w:rPr>
        <w:t>Bank</w:t>
      </w:r>
      <w:r>
        <w:rPr>
          <w:spacing w:val="-9"/>
          <w:sz w:val="24"/>
        </w:rPr>
        <w:t> </w:t>
      </w:r>
      <w:r>
        <w:rPr>
          <w:sz w:val="24"/>
        </w:rPr>
        <w:t>lending</w:t>
      </w:r>
      <w:r>
        <w:rPr>
          <w:spacing w:val="-9"/>
          <w:sz w:val="24"/>
        </w:rPr>
        <w:t> </w:t>
      </w:r>
      <w:r>
        <w:rPr>
          <w:spacing w:val="2"/>
          <w:sz w:val="24"/>
        </w:rPr>
        <w:t>to</w:t>
      </w:r>
      <w:r>
        <w:rPr>
          <w:spacing w:val="-4"/>
          <w:sz w:val="24"/>
        </w:rPr>
        <w:t> </w:t>
      </w:r>
      <w:r>
        <w:rPr>
          <w:sz w:val="24"/>
        </w:rPr>
        <w:t>companies</w:t>
      </w:r>
      <w:r>
        <w:rPr>
          <w:spacing w:val="-9"/>
          <w:sz w:val="24"/>
        </w:rPr>
        <w:t> </w:t>
      </w:r>
      <w:r>
        <w:rPr>
          <w:sz w:val="24"/>
        </w:rPr>
        <w:t>had</w:t>
      </w:r>
      <w:r>
        <w:rPr>
          <w:spacing w:val="-9"/>
          <w:sz w:val="24"/>
        </w:rPr>
        <w:t> </w:t>
      </w:r>
      <w:r>
        <w:rPr>
          <w:sz w:val="24"/>
        </w:rPr>
        <w:t>continued</w:t>
      </w:r>
      <w:r>
        <w:rPr>
          <w:spacing w:val="-8"/>
          <w:sz w:val="24"/>
        </w:rPr>
        <w:t> </w:t>
      </w:r>
      <w:r>
        <w:rPr>
          <w:spacing w:val="2"/>
          <w:sz w:val="24"/>
        </w:rPr>
        <w:t>to</w:t>
      </w:r>
      <w:r>
        <w:rPr>
          <w:spacing w:val="-5"/>
          <w:sz w:val="24"/>
        </w:rPr>
        <w:t> </w:t>
      </w:r>
      <w:r>
        <w:rPr>
          <w:sz w:val="24"/>
        </w:rPr>
        <w:t>grow</w:t>
      </w:r>
      <w:r>
        <w:rPr>
          <w:spacing w:val="-8"/>
          <w:sz w:val="24"/>
        </w:rPr>
        <w:t> </w:t>
      </w:r>
      <w:r>
        <w:rPr>
          <w:sz w:val="24"/>
        </w:rPr>
        <w:t>steadily.</w:t>
      </w:r>
      <w:r>
        <w:rPr>
          <w:spacing w:val="42"/>
          <w:sz w:val="24"/>
        </w:rPr>
        <w:t> </w:t>
      </w:r>
      <w:r>
        <w:rPr>
          <w:sz w:val="24"/>
        </w:rPr>
        <w:t>Bond</w:t>
      </w:r>
      <w:r>
        <w:rPr>
          <w:spacing w:val="-8"/>
          <w:sz w:val="24"/>
        </w:rPr>
        <w:t> </w:t>
      </w:r>
      <w:r>
        <w:rPr>
          <w:sz w:val="24"/>
        </w:rPr>
        <w:t>issuance</w:t>
      </w:r>
      <w:r>
        <w:rPr>
          <w:spacing w:val="-9"/>
          <w:sz w:val="24"/>
        </w:rPr>
        <w:t> </w:t>
      </w:r>
      <w:r>
        <w:rPr>
          <w:sz w:val="24"/>
        </w:rPr>
        <w:t>had</w:t>
      </w:r>
      <w:r>
        <w:rPr>
          <w:spacing w:val="-9"/>
          <w:sz w:val="24"/>
        </w:rPr>
        <w:t> </w:t>
      </w:r>
      <w:r>
        <w:rPr>
          <w:sz w:val="24"/>
        </w:rPr>
        <w:t>been</w:t>
      </w:r>
      <w:r>
        <w:rPr>
          <w:spacing w:val="-8"/>
          <w:sz w:val="24"/>
        </w:rPr>
        <w:t> </w:t>
      </w:r>
      <w:r>
        <w:rPr>
          <w:sz w:val="24"/>
        </w:rPr>
        <w:t>low</w:t>
      </w:r>
      <w:r>
        <w:rPr>
          <w:spacing w:val="-9"/>
          <w:sz w:val="24"/>
        </w:rPr>
        <w:t> </w:t>
      </w:r>
      <w:r>
        <w:rPr>
          <w:sz w:val="24"/>
        </w:rPr>
        <w:t>at</w:t>
      </w:r>
      <w:r>
        <w:rPr>
          <w:spacing w:val="-5"/>
          <w:sz w:val="24"/>
        </w:rPr>
        <w:t> </w:t>
      </w:r>
      <w:r>
        <w:rPr>
          <w:sz w:val="24"/>
        </w:rPr>
        <w:t>the end of 1998. But it usually was at that time of year, so underlying conditions were difficult</w:t>
      </w:r>
      <w:r>
        <w:rPr>
          <w:spacing w:val="-12"/>
          <w:sz w:val="24"/>
        </w:rPr>
        <w:t> </w:t>
      </w:r>
      <w:r>
        <w:rPr>
          <w:sz w:val="24"/>
        </w:rPr>
        <w:t>to</w:t>
      </w:r>
    </w:p>
    <w:p>
      <w:pPr>
        <w:spacing w:after="0" w:line="321" w:lineRule="auto"/>
        <w:jc w:val="left"/>
        <w:rPr>
          <w:sz w:val="24"/>
        </w:rPr>
        <w:sectPr>
          <w:pgSz w:w="11900" w:h="16840"/>
          <w:pgMar w:header="729" w:footer="0" w:top="1060" w:bottom="280" w:left="860" w:right="880"/>
        </w:sectPr>
      </w:pPr>
    </w:p>
    <w:p>
      <w:pPr>
        <w:pStyle w:val="BodyText"/>
        <w:spacing w:line="321" w:lineRule="auto" w:before="80"/>
        <w:ind w:left="421" w:right="566"/>
      </w:pPr>
      <w:r>
        <w:rPr/>
        <w:t>assess. The number of insolvencies had risen but from a relatively low level. The Committee concluded,</w:t>
      </w:r>
      <w:r>
        <w:rPr>
          <w:spacing w:val="-12"/>
        </w:rPr>
        <w:t> </w:t>
      </w:r>
      <w:r>
        <w:rPr/>
        <w:t>as</w:t>
      </w:r>
      <w:r>
        <w:rPr>
          <w:spacing w:val="-11"/>
        </w:rPr>
        <w:t> </w:t>
      </w:r>
      <w:r>
        <w:rPr/>
        <w:t>in</w:t>
      </w:r>
      <w:r>
        <w:rPr>
          <w:spacing w:val="-11"/>
        </w:rPr>
        <w:t> </w:t>
      </w:r>
      <w:r>
        <w:rPr/>
        <w:t>previous</w:t>
      </w:r>
      <w:r>
        <w:rPr>
          <w:spacing w:val="-11"/>
        </w:rPr>
        <w:t> </w:t>
      </w:r>
      <w:r>
        <w:rPr/>
        <w:t>months,</w:t>
      </w:r>
      <w:r>
        <w:rPr>
          <w:spacing w:val="-11"/>
        </w:rPr>
        <w:t> </w:t>
      </w:r>
      <w:r>
        <w:rPr/>
        <w:t>that</w:t>
      </w:r>
      <w:r>
        <w:rPr>
          <w:spacing w:val="-7"/>
        </w:rPr>
        <w:t> </w:t>
      </w:r>
      <w:r>
        <w:rPr/>
        <w:t>recent</w:t>
      </w:r>
      <w:r>
        <w:rPr>
          <w:spacing w:val="-9"/>
        </w:rPr>
        <w:t> </w:t>
      </w:r>
      <w:r>
        <w:rPr/>
        <w:t>indicators</w:t>
      </w:r>
      <w:r>
        <w:rPr>
          <w:spacing w:val="-12"/>
        </w:rPr>
        <w:t> </w:t>
      </w:r>
      <w:r>
        <w:rPr/>
        <w:t>did</w:t>
      </w:r>
      <w:r>
        <w:rPr>
          <w:spacing w:val="-11"/>
        </w:rPr>
        <w:t> </w:t>
      </w:r>
      <w:r>
        <w:rPr/>
        <w:t>not</w:t>
      </w:r>
      <w:r>
        <w:rPr>
          <w:spacing w:val="-7"/>
        </w:rPr>
        <w:t> </w:t>
      </w:r>
      <w:r>
        <w:rPr/>
        <w:t>suggest</w:t>
      </w:r>
      <w:r>
        <w:rPr>
          <w:spacing w:val="-7"/>
        </w:rPr>
        <w:t> </w:t>
      </w:r>
      <w:r>
        <w:rPr/>
        <w:t>a</w:t>
      </w:r>
      <w:r>
        <w:rPr>
          <w:spacing w:val="-11"/>
        </w:rPr>
        <w:t> </w:t>
      </w:r>
      <w:r>
        <w:rPr/>
        <w:t>material</w:t>
      </w:r>
      <w:r>
        <w:rPr>
          <w:spacing w:val="-11"/>
        </w:rPr>
        <w:t> </w:t>
      </w:r>
      <w:r>
        <w:rPr/>
        <w:t>impairment</w:t>
      </w:r>
      <w:r>
        <w:rPr>
          <w:spacing w:val="-7"/>
        </w:rPr>
        <w:t> </w:t>
      </w:r>
      <w:r>
        <w:rPr/>
        <w:t>of the supply of</w:t>
      </w:r>
      <w:r>
        <w:rPr>
          <w:spacing w:val="10"/>
        </w:rPr>
        <w:t> </w:t>
      </w:r>
      <w:r>
        <w:rPr/>
        <w:t>credit.</w:t>
      </w:r>
    </w:p>
    <w:p>
      <w:pPr>
        <w:pStyle w:val="BodyText"/>
        <w:spacing w:before="5"/>
        <w:rPr>
          <w:sz w:val="32"/>
        </w:rPr>
      </w:pPr>
    </w:p>
    <w:p>
      <w:pPr>
        <w:pStyle w:val="Heading1"/>
      </w:pPr>
      <w:r>
        <w:rPr/>
        <w:t>Demand and output</w:t>
      </w:r>
    </w:p>
    <w:p>
      <w:pPr>
        <w:pStyle w:val="BodyText"/>
        <w:rPr>
          <w:b/>
          <w:sz w:val="26"/>
        </w:rPr>
      </w:pPr>
    </w:p>
    <w:p>
      <w:pPr>
        <w:pStyle w:val="ListParagraph"/>
        <w:numPr>
          <w:ilvl w:val="0"/>
          <w:numId w:val="1"/>
        </w:numPr>
        <w:tabs>
          <w:tab w:pos="782" w:val="left" w:leader="none"/>
        </w:tabs>
        <w:spacing w:line="321" w:lineRule="auto" w:before="160" w:after="0"/>
        <w:ind w:left="421" w:right="313" w:firstLine="0"/>
        <w:jc w:val="left"/>
        <w:rPr>
          <w:sz w:val="24"/>
        </w:rPr>
      </w:pPr>
      <w:r>
        <w:rPr>
          <w:sz w:val="24"/>
        </w:rPr>
        <w:t>Although</w:t>
      </w:r>
      <w:r>
        <w:rPr>
          <w:spacing w:val="-6"/>
          <w:sz w:val="24"/>
        </w:rPr>
        <w:t> </w:t>
      </w:r>
      <w:r>
        <w:rPr>
          <w:sz w:val="24"/>
        </w:rPr>
        <w:t>there</w:t>
      </w:r>
      <w:r>
        <w:rPr>
          <w:spacing w:val="-5"/>
          <w:sz w:val="24"/>
        </w:rPr>
        <w:t> </w:t>
      </w:r>
      <w:r>
        <w:rPr>
          <w:sz w:val="24"/>
        </w:rPr>
        <w:t>had</w:t>
      </w:r>
      <w:r>
        <w:rPr>
          <w:spacing w:val="-5"/>
          <w:sz w:val="24"/>
        </w:rPr>
        <w:t> </w:t>
      </w:r>
      <w:r>
        <w:rPr>
          <w:sz w:val="24"/>
        </w:rPr>
        <w:t>been</w:t>
      </w:r>
      <w:r>
        <w:rPr>
          <w:spacing w:val="-5"/>
          <w:sz w:val="24"/>
        </w:rPr>
        <w:t> </w:t>
      </w:r>
      <w:r>
        <w:rPr>
          <w:sz w:val="24"/>
        </w:rPr>
        <w:t>no</w:t>
      </w:r>
      <w:r>
        <w:rPr>
          <w:spacing w:val="-5"/>
          <w:sz w:val="24"/>
        </w:rPr>
        <w:t> </w:t>
      </w:r>
      <w:r>
        <w:rPr>
          <w:sz w:val="24"/>
        </w:rPr>
        <w:t>change</w:t>
      </w:r>
      <w:r>
        <w:rPr>
          <w:spacing w:val="-5"/>
          <w:sz w:val="24"/>
        </w:rPr>
        <w:t> </w:t>
      </w:r>
      <w:r>
        <w:rPr>
          <w:spacing w:val="2"/>
          <w:sz w:val="24"/>
        </w:rPr>
        <w:t>to</w:t>
      </w:r>
      <w:r>
        <w:rPr>
          <w:spacing w:val="-1"/>
          <w:sz w:val="24"/>
        </w:rPr>
        <w:t> </w:t>
      </w:r>
      <w:r>
        <w:rPr>
          <w:sz w:val="24"/>
        </w:rPr>
        <w:t>the</w:t>
      </w:r>
      <w:r>
        <w:rPr>
          <w:spacing w:val="-5"/>
          <w:sz w:val="24"/>
        </w:rPr>
        <w:t> </w:t>
      </w:r>
      <w:r>
        <w:rPr>
          <w:sz w:val="24"/>
        </w:rPr>
        <w:t>estimate</w:t>
      </w:r>
      <w:r>
        <w:rPr>
          <w:spacing w:val="-5"/>
          <w:sz w:val="24"/>
        </w:rPr>
        <w:t> </w:t>
      </w:r>
      <w:r>
        <w:rPr>
          <w:sz w:val="24"/>
        </w:rPr>
        <w:t>of GDP</w:t>
      </w:r>
      <w:r>
        <w:rPr>
          <w:spacing w:val="-6"/>
          <w:sz w:val="24"/>
        </w:rPr>
        <w:t> </w:t>
      </w:r>
      <w:r>
        <w:rPr>
          <w:sz w:val="24"/>
        </w:rPr>
        <w:t>growth</w:t>
      </w:r>
      <w:r>
        <w:rPr>
          <w:spacing w:val="-5"/>
          <w:sz w:val="24"/>
        </w:rPr>
        <w:t> </w:t>
      </w:r>
      <w:r>
        <w:rPr>
          <w:sz w:val="24"/>
        </w:rPr>
        <w:t>in</w:t>
      </w:r>
      <w:r>
        <w:rPr>
          <w:spacing w:val="-5"/>
          <w:sz w:val="24"/>
        </w:rPr>
        <w:t> </w:t>
      </w:r>
      <w:r>
        <w:rPr>
          <w:sz w:val="24"/>
        </w:rPr>
        <w:t>the</w:t>
      </w:r>
      <w:r>
        <w:rPr>
          <w:spacing w:val="-5"/>
          <w:sz w:val="24"/>
        </w:rPr>
        <w:t> </w:t>
      </w:r>
      <w:r>
        <w:rPr>
          <w:sz w:val="24"/>
        </w:rPr>
        <w:t>third</w:t>
      </w:r>
      <w:r>
        <w:rPr>
          <w:spacing w:val="-5"/>
          <w:sz w:val="24"/>
        </w:rPr>
        <w:t> </w:t>
      </w:r>
      <w:r>
        <w:rPr>
          <w:sz w:val="24"/>
        </w:rPr>
        <w:t>quarter</w:t>
      </w:r>
      <w:r>
        <w:rPr>
          <w:spacing w:val="-5"/>
          <w:sz w:val="24"/>
        </w:rPr>
        <w:t> </w:t>
      </w:r>
      <w:r>
        <w:rPr>
          <w:sz w:val="24"/>
        </w:rPr>
        <w:t>of</w:t>
      </w:r>
      <w:r>
        <w:rPr>
          <w:spacing w:val="-1"/>
          <w:sz w:val="24"/>
        </w:rPr>
        <w:t> </w:t>
      </w:r>
      <w:r>
        <w:rPr>
          <w:sz w:val="24"/>
        </w:rPr>
        <w:t>1998, there</w:t>
      </w:r>
      <w:r>
        <w:rPr>
          <w:spacing w:val="-6"/>
          <w:sz w:val="24"/>
        </w:rPr>
        <w:t> </w:t>
      </w:r>
      <w:r>
        <w:rPr>
          <w:sz w:val="24"/>
        </w:rPr>
        <w:t>had</w:t>
      </w:r>
      <w:r>
        <w:rPr>
          <w:spacing w:val="-5"/>
          <w:sz w:val="24"/>
        </w:rPr>
        <w:t> </w:t>
      </w:r>
      <w:r>
        <w:rPr>
          <w:sz w:val="24"/>
        </w:rPr>
        <w:t>been</w:t>
      </w:r>
      <w:r>
        <w:rPr>
          <w:spacing w:val="-6"/>
          <w:sz w:val="24"/>
        </w:rPr>
        <w:t> </w:t>
      </w:r>
      <w:r>
        <w:rPr>
          <w:sz w:val="24"/>
        </w:rPr>
        <w:t>revisions</w:t>
      </w:r>
      <w:r>
        <w:rPr>
          <w:spacing w:val="-3"/>
          <w:sz w:val="24"/>
        </w:rPr>
        <w:t> </w:t>
      </w:r>
      <w:r>
        <w:rPr>
          <w:sz w:val="24"/>
        </w:rPr>
        <w:t>both</w:t>
      </w:r>
      <w:r>
        <w:rPr>
          <w:spacing w:val="-5"/>
          <w:sz w:val="24"/>
        </w:rPr>
        <w:t> </w:t>
      </w:r>
      <w:r>
        <w:rPr>
          <w:spacing w:val="2"/>
          <w:sz w:val="24"/>
        </w:rPr>
        <w:t>to</w:t>
      </w:r>
      <w:r>
        <w:rPr>
          <w:spacing w:val="-1"/>
          <w:sz w:val="24"/>
        </w:rPr>
        <w:t> </w:t>
      </w:r>
      <w:r>
        <w:rPr>
          <w:sz w:val="24"/>
        </w:rPr>
        <w:t>the</w:t>
      </w:r>
      <w:r>
        <w:rPr>
          <w:spacing w:val="-6"/>
          <w:sz w:val="24"/>
        </w:rPr>
        <w:t> </w:t>
      </w:r>
      <w:r>
        <w:rPr>
          <w:sz w:val="24"/>
        </w:rPr>
        <w:t>composition</w:t>
      </w:r>
      <w:r>
        <w:rPr>
          <w:spacing w:val="-5"/>
          <w:sz w:val="24"/>
        </w:rPr>
        <w:t> </w:t>
      </w:r>
      <w:r>
        <w:rPr>
          <w:sz w:val="24"/>
        </w:rPr>
        <w:t>of</w:t>
      </w:r>
      <w:r>
        <w:rPr>
          <w:spacing w:val="-1"/>
          <w:sz w:val="24"/>
        </w:rPr>
        <w:t> </w:t>
      </w:r>
      <w:r>
        <w:rPr>
          <w:sz w:val="24"/>
        </w:rPr>
        <w:t>GDP</w:t>
      </w:r>
      <w:r>
        <w:rPr>
          <w:spacing w:val="-5"/>
          <w:sz w:val="24"/>
        </w:rPr>
        <w:t> </w:t>
      </w:r>
      <w:r>
        <w:rPr>
          <w:sz w:val="24"/>
        </w:rPr>
        <w:t>growth</w:t>
      </w:r>
      <w:r>
        <w:rPr>
          <w:spacing w:val="-6"/>
          <w:sz w:val="24"/>
        </w:rPr>
        <w:t> </w:t>
      </w:r>
      <w:r>
        <w:rPr>
          <w:sz w:val="24"/>
        </w:rPr>
        <w:t>in</w:t>
      </w:r>
      <w:r>
        <w:rPr>
          <w:spacing w:val="-5"/>
          <w:sz w:val="24"/>
        </w:rPr>
        <w:t> </w:t>
      </w:r>
      <w:r>
        <w:rPr>
          <w:sz w:val="24"/>
        </w:rPr>
        <w:t>Q3,</w:t>
      </w:r>
      <w:r>
        <w:rPr>
          <w:spacing w:val="-5"/>
          <w:sz w:val="24"/>
        </w:rPr>
        <w:t> </w:t>
      </w:r>
      <w:r>
        <w:rPr>
          <w:sz w:val="24"/>
        </w:rPr>
        <w:t>and</w:t>
      </w:r>
      <w:r>
        <w:rPr>
          <w:spacing w:val="-6"/>
          <w:sz w:val="24"/>
        </w:rPr>
        <w:t> </w:t>
      </w:r>
      <w:r>
        <w:rPr>
          <w:spacing w:val="2"/>
          <w:sz w:val="24"/>
        </w:rPr>
        <w:t>to</w:t>
      </w:r>
      <w:r>
        <w:rPr>
          <w:spacing w:val="-1"/>
          <w:sz w:val="24"/>
        </w:rPr>
        <w:t> </w:t>
      </w:r>
      <w:r>
        <w:rPr>
          <w:sz w:val="24"/>
        </w:rPr>
        <w:t>its</w:t>
      </w:r>
      <w:r>
        <w:rPr>
          <w:spacing w:val="-5"/>
          <w:sz w:val="24"/>
        </w:rPr>
        <w:t> </w:t>
      </w:r>
      <w:r>
        <w:rPr>
          <w:sz w:val="24"/>
        </w:rPr>
        <w:t>rate</w:t>
      </w:r>
      <w:r>
        <w:rPr>
          <w:spacing w:val="-4"/>
          <w:sz w:val="24"/>
        </w:rPr>
        <w:t> </w:t>
      </w:r>
      <w:r>
        <w:rPr>
          <w:sz w:val="24"/>
        </w:rPr>
        <w:t>of</w:t>
      </w:r>
      <w:r>
        <w:rPr>
          <w:spacing w:val="-1"/>
          <w:sz w:val="24"/>
        </w:rPr>
        <w:t> </w:t>
      </w:r>
      <w:r>
        <w:rPr>
          <w:sz w:val="24"/>
        </w:rPr>
        <w:t>growth</w:t>
      </w:r>
      <w:r>
        <w:rPr>
          <w:spacing w:val="-5"/>
          <w:sz w:val="24"/>
        </w:rPr>
        <w:t> </w:t>
      </w:r>
      <w:r>
        <w:rPr>
          <w:sz w:val="24"/>
        </w:rPr>
        <w:t>in earlier quarters. The level of </w:t>
      </w:r>
      <w:r>
        <w:rPr>
          <w:spacing w:val="3"/>
          <w:sz w:val="24"/>
        </w:rPr>
        <w:t>output </w:t>
      </w:r>
      <w:r>
        <w:rPr>
          <w:sz w:val="24"/>
        </w:rPr>
        <w:t>was now around 0.2% lower than previously estimated, so pressure on capacity was likely </w:t>
      </w:r>
      <w:r>
        <w:rPr>
          <w:spacing w:val="2"/>
          <w:sz w:val="24"/>
        </w:rPr>
        <w:t>to </w:t>
      </w:r>
      <w:r>
        <w:rPr>
          <w:sz w:val="24"/>
        </w:rPr>
        <w:t>have been a little less than previously thought, all </w:t>
      </w:r>
      <w:r>
        <w:rPr>
          <w:spacing w:val="3"/>
          <w:sz w:val="24"/>
        </w:rPr>
        <w:t>other </w:t>
      </w:r>
      <w:r>
        <w:rPr>
          <w:sz w:val="24"/>
        </w:rPr>
        <w:t>things being equal. The three measures of GDP – income, expenditure and </w:t>
      </w:r>
      <w:r>
        <w:rPr>
          <w:spacing w:val="3"/>
          <w:sz w:val="24"/>
        </w:rPr>
        <w:t>output </w:t>
      </w:r>
      <w:r>
        <w:rPr>
          <w:sz w:val="24"/>
        </w:rPr>
        <w:t>– were diverging and that made it more difficult </w:t>
      </w:r>
      <w:r>
        <w:rPr>
          <w:spacing w:val="2"/>
          <w:sz w:val="24"/>
        </w:rPr>
        <w:t>to </w:t>
      </w:r>
      <w:r>
        <w:rPr>
          <w:sz w:val="24"/>
        </w:rPr>
        <w:t>judge the pace at which the economy was growing. Within the Q3 GDP figures, growth of final domestic demand had been revised down and the contribution from net trade and inventory building had been revised up. In particular, consumption growth had been revised down, and the pattern was of a more gradual slowdown </w:t>
      </w:r>
      <w:r>
        <w:rPr>
          <w:spacing w:val="3"/>
          <w:sz w:val="24"/>
        </w:rPr>
        <w:t>over </w:t>
      </w:r>
      <w:r>
        <w:rPr>
          <w:sz w:val="24"/>
        </w:rPr>
        <w:t>the past year than had previously been estimated. Consumer confidence remained</w:t>
      </w:r>
      <w:r>
        <w:rPr>
          <w:spacing w:val="-1"/>
          <w:sz w:val="24"/>
        </w:rPr>
        <w:t> </w:t>
      </w:r>
      <w:r>
        <w:rPr>
          <w:sz w:val="24"/>
        </w:rPr>
        <w:t>weak.</w:t>
      </w:r>
    </w:p>
    <w:p>
      <w:pPr>
        <w:pStyle w:val="BodyText"/>
        <w:spacing w:before="11"/>
        <w:rPr>
          <w:sz w:val="31"/>
        </w:rPr>
      </w:pPr>
    </w:p>
    <w:p>
      <w:pPr>
        <w:pStyle w:val="ListParagraph"/>
        <w:numPr>
          <w:ilvl w:val="0"/>
          <w:numId w:val="1"/>
        </w:numPr>
        <w:tabs>
          <w:tab w:pos="782" w:val="left" w:leader="none"/>
        </w:tabs>
        <w:spacing w:line="321" w:lineRule="auto" w:before="0" w:after="0"/>
        <w:ind w:left="421" w:right="386" w:firstLine="0"/>
        <w:jc w:val="left"/>
        <w:rPr>
          <w:sz w:val="24"/>
        </w:rPr>
      </w:pPr>
      <w:r>
        <w:rPr>
          <w:sz w:val="24"/>
        </w:rPr>
        <w:t>With the exception of the mortgage lending figures, the indicators suggested that housing market activity was slowing. Particulars delivered were now quite low compared with the past. The Halifax house price index had recorded a fall in prices for the second successive month. One view was that this provided further evidence of a loss of consumer confidence </w:t>
      </w:r>
      <w:r>
        <w:rPr>
          <w:spacing w:val="3"/>
          <w:sz w:val="24"/>
        </w:rPr>
        <w:t>over </w:t>
      </w:r>
      <w:r>
        <w:rPr>
          <w:sz w:val="24"/>
        </w:rPr>
        <w:t>the summer. However, the housing market was sensitive </w:t>
      </w:r>
      <w:r>
        <w:rPr>
          <w:spacing w:val="2"/>
          <w:sz w:val="24"/>
        </w:rPr>
        <w:t>to </w:t>
      </w:r>
      <w:r>
        <w:rPr>
          <w:sz w:val="24"/>
        </w:rPr>
        <w:t>interest rates, so a degree of slowing was </w:t>
      </w:r>
      <w:r>
        <w:rPr>
          <w:spacing w:val="2"/>
          <w:sz w:val="24"/>
        </w:rPr>
        <w:t>to </w:t>
      </w:r>
      <w:r>
        <w:rPr>
          <w:sz w:val="24"/>
        </w:rPr>
        <w:t>be expected</w:t>
      </w:r>
      <w:r>
        <w:rPr>
          <w:spacing w:val="-11"/>
          <w:sz w:val="24"/>
        </w:rPr>
        <w:t> </w:t>
      </w:r>
      <w:r>
        <w:rPr>
          <w:sz w:val="24"/>
        </w:rPr>
        <w:t>following</w:t>
      </w:r>
      <w:r>
        <w:rPr>
          <w:spacing w:val="-11"/>
          <w:sz w:val="24"/>
        </w:rPr>
        <w:t> </w:t>
      </w:r>
      <w:r>
        <w:rPr>
          <w:sz w:val="24"/>
        </w:rPr>
        <w:t>the</w:t>
      </w:r>
      <w:r>
        <w:rPr>
          <w:spacing w:val="-10"/>
          <w:sz w:val="24"/>
        </w:rPr>
        <w:t> </w:t>
      </w:r>
      <w:r>
        <w:rPr>
          <w:sz w:val="24"/>
        </w:rPr>
        <w:t>tightening</w:t>
      </w:r>
      <w:r>
        <w:rPr>
          <w:spacing w:val="-11"/>
          <w:sz w:val="24"/>
        </w:rPr>
        <w:t> </w:t>
      </w:r>
      <w:r>
        <w:rPr>
          <w:sz w:val="24"/>
        </w:rPr>
        <w:t>of</w:t>
      </w:r>
      <w:r>
        <w:rPr>
          <w:spacing w:val="-7"/>
          <w:sz w:val="24"/>
        </w:rPr>
        <w:t> </w:t>
      </w:r>
      <w:r>
        <w:rPr>
          <w:sz w:val="24"/>
        </w:rPr>
        <w:t>monetary</w:t>
      </w:r>
      <w:r>
        <w:rPr>
          <w:spacing w:val="-10"/>
          <w:sz w:val="24"/>
        </w:rPr>
        <w:t> </w:t>
      </w:r>
      <w:r>
        <w:rPr>
          <w:sz w:val="24"/>
        </w:rPr>
        <w:t>policy</w:t>
      </w:r>
      <w:r>
        <w:rPr>
          <w:spacing w:val="-11"/>
          <w:sz w:val="24"/>
        </w:rPr>
        <w:t> </w:t>
      </w:r>
      <w:r>
        <w:rPr>
          <w:sz w:val="24"/>
        </w:rPr>
        <w:t>through</w:t>
      </w:r>
      <w:r>
        <w:rPr>
          <w:spacing w:val="-11"/>
          <w:sz w:val="24"/>
        </w:rPr>
        <w:t> </w:t>
      </w:r>
      <w:r>
        <w:rPr>
          <w:sz w:val="24"/>
        </w:rPr>
        <w:t>1997</w:t>
      </w:r>
      <w:r>
        <w:rPr>
          <w:spacing w:val="-10"/>
          <w:sz w:val="24"/>
        </w:rPr>
        <w:t> </w:t>
      </w:r>
      <w:r>
        <w:rPr>
          <w:sz w:val="24"/>
        </w:rPr>
        <w:t>and</w:t>
      </w:r>
      <w:r>
        <w:rPr>
          <w:spacing w:val="-11"/>
          <w:sz w:val="24"/>
        </w:rPr>
        <w:t> </w:t>
      </w:r>
      <w:r>
        <w:rPr>
          <w:sz w:val="24"/>
        </w:rPr>
        <w:t>the</w:t>
      </w:r>
      <w:r>
        <w:rPr>
          <w:spacing w:val="-11"/>
          <w:sz w:val="24"/>
        </w:rPr>
        <w:t> </w:t>
      </w:r>
      <w:r>
        <w:rPr>
          <w:sz w:val="24"/>
        </w:rPr>
        <w:t>first</w:t>
      </w:r>
      <w:r>
        <w:rPr>
          <w:spacing w:val="-6"/>
          <w:sz w:val="24"/>
        </w:rPr>
        <w:t> </w:t>
      </w:r>
      <w:r>
        <w:rPr>
          <w:sz w:val="24"/>
        </w:rPr>
        <w:t>half</w:t>
      </w:r>
      <w:r>
        <w:rPr>
          <w:spacing w:val="-11"/>
          <w:sz w:val="24"/>
        </w:rPr>
        <w:t> </w:t>
      </w:r>
      <w:r>
        <w:rPr>
          <w:sz w:val="24"/>
        </w:rPr>
        <w:t>of</w:t>
      </w:r>
      <w:r>
        <w:rPr>
          <w:spacing w:val="-7"/>
          <w:sz w:val="24"/>
        </w:rPr>
        <w:t> </w:t>
      </w:r>
      <w:r>
        <w:rPr>
          <w:sz w:val="24"/>
        </w:rPr>
        <w:t>1998.</w:t>
      </w:r>
      <w:r>
        <w:rPr>
          <w:spacing w:val="39"/>
          <w:sz w:val="24"/>
        </w:rPr>
        <w:t> </w:t>
      </w:r>
      <w:r>
        <w:rPr>
          <w:sz w:val="24"/>
        </w:rPr>
        <w:t>And members</w:t>
      </w:r>
      <w:r>
        <w:rPr>
          <w:spacing w:val="-8"/>
          <w:sz w:val="24"/>
        </w:rPr>
        <w:t> </w:t>
      </w:r>
      <w:r>
        <w:rPr>
          <w:sz w:val="24"/>
        </w:rPr>
        <w:t>agreed</w:t>
      </w:r>
      <w:r>
        <w:rPr>
          <w:spacing w:val="-8"/>
          <w:sz w:val="24"/>
        </w:rPr>
        <w:t> </w:t>
      </w:r>
      <w:r>
        <w:rPr>
          <w:sz w:val="24"/>
        </w:rPr>
        <w:t>that</w:t>
      </w:r>
      <w:r>
        <w:rPr>
          <w:spacing w:val="-3"/>
          <w:sz w:val="24"/>
        </w:rPr>
        <w:t> </w:t>
      </w:r>
      <w:r>
        <w:rPr>
          <w:sz w:val="24"/>
        </w:rPr>
        <w:t>the</w:t>
      </w:r>
      <w:r>
        <w:rPr>
          <w:spacing w:val="-8"/>
          <w:sz w:val="24"/>
        </w:rPr>
        <w:t> </w:t>
      </w:r>
      <w:r>
        <w:rPr>
          <w:sz w:val="24"/>
        </w:rPr>
        <w:t>relatively</w:t>
      </w:r>
      <w:r>
        <w:rPr>
          <w:spacing w:val="-6"/>
          <w:sz w:val="24"/>
        </w:rPr>
        <w:t> </w:t>
      </w:r>
      <w:r>
        <w:rPr>
          <w:sz w:val="24"/>
        </w:rPr>
        <w:t>moderate</w:t>
      </w:r>
      <w:r>
        <w:rPr>
          <w:spacing w:val="-7"/>
          <w:sz w:val="24"/>
        </w:rPr>
        <w:t> </w:t>
      </w:r>
      <w:r>
        <w:rPr>
          <w:sz w:val="24"/>
        </w:rPr>
        <w:t>rate</w:t>
      </w:r>
      <w:r>
        <w:rPr>
          <w:spacing w:val="-6"/>
          <w:sz w:val="24"/>
        </w:rPr>
        <w:t> </w:t>
      </w:r>
      <w:r>
        <w:rPr>
          <w:sz w:val="24"/>
        </w:rPr>
        <w:t>of</w:t>
      </w:r>
      <w:r>
        <w:rPr>
          <w:spacing w:val="-4"/>
          <w:sz w:val="24"/>
        </w:rPr>
        <w:t> </w:t>
      </w:r>
      <w:r>
        <w:rPr>
          <w:sz w:val="24"/>
        </w:rPr>
        <w:t>house</w:t>
      </w:r>
      <w:r>
        <w:rPr>
          <w:spacing w:val="-7"/>
          <w:sz w:val="24"/>
        </w:rPr>
        <w:t> </w:t>
      </w:r>
      <w:r>
        <w:rPr>
          <w:sz w:val="24"/>
        </w:rPr>
        <w:t>price</w:t>
      </w:r>
      <w:r>
        <w:rPr>
          <w:spacing w:val="-8"/>
          <w:sz w:val="24"/>
        </w:rPr>
        <w:t> </w:t>
      </w:r>
      <w:r>
        <w:rPr>
          <w:sz w:val="24"/>
        </w:rPr>
        <w:t>inflation</w:t>
      </w:r>
      <w:r>
        <w:rPr>
          <w:spacing w:val="-8"/>
          <w:sz w:val="24"/>
        </w:rPr>
        <w:t> </w:t>
      </w:r>
      <w:r>
        <w:rPr>
          <w:spacing w:val="3"/>
          <w:sz w:val="24"/>
        </w:rPr>
        <w:t>over</w:t>
      </w:r>
      <w:r>
        <w:rPr>
          <w:spacing w:val="-3"/>
          <w:sz w:val="24"/>
        </w:rPr>
        <w:t> </w:t>
      </w:r>
      <w:r>
        <w:rPr>
          <w:sz w:val="24"/>
        </w:rPr>
        <w:t>the</w:t>
      </w:r>
      <w:r>
        <w:rPr>
          <w:spacing w:val="-8"/>
          <w:sz w:val="24"/>
        </w:rPr>
        <w:t> </w:t>
      </w:r>
      <w:r>
        <w:rPr>
          <w:sz w:val="24"/>
        </w:rPr>
        <w:t>past</w:t>
      </w:r>
      <w:r>
        <w:rPr>
          <w:spacing w:val="-3"/>
          <w:sz w:val="24"/>
        </w:rPr>
        <w:t> </w:t>
      </w:r>
      <w:r>
        <w:rPr>
          <w:sz w:val="24"/>
        </w:rPr>
        <w:t>year</w:t>
      </w:r>
      <w:r>
        <w:rPr>
          <w:spacing w:val="-8"/>
          <w:sz w:val="24"/>
        </w:rPr>
        <w:t> </w:t>
      </w:r>
      <w:r>
        <w:rPr>
          <w:sz w:val="24"/>
        </w:rPr>
        <w:t>was</w:t>
      </w:r>
      <w:r>
        <w:rPr>
          <w:spacing w:val="-7"/>
          <w:sz w:val="24"/>
        </w:rPr>
        <w:t> </w:t>
      </w:r>
      <w:r>
        <w:rPr>
          <w:sz w:val="24"/>
        </w:rPr>
        <w:t>a welcome sign of greater stability than in past</w:t>
      </w:r>
      <w:r>
        <w:rPr>
          <w:spacing w:val="12"/>
          <w:sz w:val="24"/>
        </w:rPr>
        <w:t> </w:t>
      </w:r>
      <w:r>
        <w:rPr>
          <w:sz w:val="24"/>
        </w:rPr>
        <w:t>cycles.</w:t>
      </w:r>
    </w:p>
    <w:p>
      <w:pPr>
        <w:pStyle w:val="BodyText"/>
        <w:rPr>
          <w:sz w:val="32"/>
        </w:rPr>
      </w:pPr>
    </w:p>
    <w:p>
      <w:pPr>
        <w:pStyle w:val="ListParagraph"/>
        <w:numPr>
          <w:ilvl w:val="0"/>
          <w:numId w:val="1"/>
        </w:numPr>
        <w:tabs>
          <w:tab w:pos="782" w:val="left" w:leader="none"/>
        </w:tabs>
        <w:spacing w:line="321" w:lineRule="auto" w:before="0" w:after="0"/>
        <w:ind w:left="421" w:right="310" w:firstLine="0"/>
        <w:jc w:val="left"/>
        <w:rPr>
          <w:sz w:val="24"/>
        </w:rPr>
      </w:pPr>
      <w:r>
        <w:rPr>
          <w:sz w:val="24"/>
        </w:rPr>
        <w:t>The contribution of stockbuilding </w:t>
      </w:r>
      <w:r>
        <w:rPr>
          <w:spacing w:val="2"/>
          <w:sz w:val="24"/>
        </w:rPr>
        <w:t>to </w:t>
      </w:r>
      <w:r>
        <w:rPr>
          <w:sz w:val="24"/>
        </w:rPr>
        <w:t>GDP growth had been revised up in the third quarter of 1998, but there had been a downward revision </w:t>
      </w:r>
      <w:r>
        <w:rPr>
          <w:spacing w:val="2"/>
          <w:sz w:val="24"/>
        </w:rPr>
        <w:t>to </w:t>
      </w:r>
      <w:r>
        <w:rPr>
          <w:sz w:val="24"/>
        </w:rPr>
        <w:t>stock levels. In particular, stocks of finished manufactures</w:t>
      </w:r>
      <w:r>
        <w:rPr>
          <w:spacing w:val="-12"/>
          <w:sz w:val="24"/>
        </w:rPr>
        <w:t> </w:t>
      </w:r>
      <w:r>
        <w:rPr>
          <w:sz w:val="24"/>
        </w:rPr>
        <w:t>had</w:t>
      </w:r>
      <w:r>
        <w:rPr>
          <w:spacing w:val="-12"/>
          <w:sz w:val="24"/>
        </w:rPr>
        <w:t> </w:t>
      </w:r>
      <w:r>
        <w:rPr>
          <w:sz w:val="24"/>
        </w:rPr>
        <w:t>been</w:t>
      </w:r>
      <w:r>
        <w:rPr>
          <w:spacing w:val="-12"/>
          <w:sz w:val="24"/>
        </w:rPr>
        <w:t> </w:t>
      </w:r>
      <w:r>
        <w:rPr>
          <w:sz w:val="24"/>
        </w:rPr>
        <w:t>revised</w:t>
      </w:r>
      <w:r>
        <w:rPr>
          <w:spacing w:val="-10"/>
          <w:sz w:val="24"/>
        </w:rPr>
        <w:t> </w:t>
      </w:r>
      <w:r>
        <w:rPr>
          <w:sz w:val="24"/>
        </w:rPr>
        <w:t>down</w:t>
      </w:r>
      <w:r>
        <w:rPr>
          <w:spacing w:val="-12"/>
          <w:sz w:val="24"/>
        </w:rPr>
        <w:t> </w:t>
      </w:r>
      <w:r>
        <w:rPr>
          <w:sz w:val="24"/>
        </w:rPr>
        <w:t>significantly.</w:t>
      </w:r>
      <w:r>
        <w:rPr>
          <w:spacing w:val="36"/>
          <w:sz w:val="24"/>
        </w:rPr>
        <w:t> </w:t>
      </w:r>
      <w:r>
        <w:rPr>
          <w:sz w:val="24"/>
        </w:rPr>
        <w:t>However,</w:t>
      </w:r>
      <w:r>
        <w:rPr>
          <w:spacing w:val="-12"/>
          <w:sz w:val="24"/>
        </w:rPr>
        <w:t> </w:t>
      </w:r>
      <w:r>
        <w:rPr>
          <w:sz w:val="24"/>
        </w:rPr>
        <w:t>there</w:t>
      </w:r>
      <w:r>
        <w:rPr>
          <w:spacing w:val="-12"/>
          <w:sz w:val="24"/>
        </w:rPr>
        <w:t> </w:t>
      </w:r>
      <w:r>
        <w:rPr>
          <w:sz w:val="24"/>
        </w:rPr>
        <w:t>seemed</w:t>
      </w:r>
      <w:r>
        <w:rPr>
          <w:spacing w:val="-12"/>
          <w:sz w:val="24"/>
        </w:rPr>
        <w:t> </w:t>
      </w:r>
      <w:r>
        <w:rPr>
          <w:spacing w:val="2"/>
          <w:sz w:val="24"/>
        </w:rPr>
        <w:t>to</w:t>
      </w:r>
      <w:r>
        <w:rPr>
          <w:spacing w:val="-8"/>
          <w:sz w:val="24"/>
        </w:rPr>
        <w:t> </w:t>
      </w:r>
      <w:r>
        <w:rPr>
          <w:sz w:val="24"/>
        </w:rPr>
        <w:t>be</w:t>
      </w:r>
      <w:r>
        <w:rPr>
          <w:spacing w:val="-11"/>
          <w:sz w:val="24"/>
        </w:rPr>
        <w:t> </w:t>
      </w:r>
      <w:r>
        <w:rPr>
          <w:sz w:val="24"/>
        </w:rPr>
        <w:t>little</w:t>
      </w:r>
      <w:r>
        <w:rPr>
          <w:spacing w:val="-12"/>
          <w:sz w:val="24"/>
        </w:rPr>
        <w:t> </w:t>
      </w:r>
      <w:r>
        <w:rPr>
          <w:sz w:val="24"/>
        </w:rPr>
        <w:t>news</w:t>
      </w:r>
      <w:r>
        <w:rPr>
          <w:spacing w:val="-12"/>
          <w:sz w:val="24"/>
        </w:rPr>
        <w:t> </w:t>
      </w:r>
      <w:r>
        <w:rPr>
          <w:sz w:val="24"/>
        </w:rPr>
        <w:t>overall in</w:t>
      </w:r>
      <w:r>
        <w:rPr>
          <w:spacing w:val="-12"/>
          <w:sz w:val="24"/>
        </w:rPr>
        <w:t> </w:t>
      </w:r>
      <w:r>
        <w:rPr>
          <w:sz w:val="24"/>
        </w:rPr>
        <w:t>the</w:t>
      </w:r>
      <w:r>
        <w:rPr>
          <w:spacing w:val="-12"/>
          <w:sz w:val="24"/>
        </w:rPr>
        <w:t> </w:t>
      </w:r>
      <w:r>
        <w:rPr>
          <w:sz w:val="24"/>
        </w:rPr>
        <w:t>revisions</w:t>
      </w:r>
      <w:r>
        <w:rPr>
          <w:spacing w:val="-11"/>
          <w:sz w:val="24"/>
        </w:rPr>
        <w:t> </w:t>
      </w:r>
      <w:r>
        <w:rPr>
          <w:spacing w:val="2"/>
          <w:sz w:val="24"/>
        </w:rPr>
        <w:t>to</w:t>
      </w:r>
      <w:r>
        <w:rPr>
          <w:spacing w:val="-8"/>
          <w:sz w:val="24"/>
        </w:rPr>
        <w:t> </w:t>
      </w:r>
      <w:r>
        <w:rPr>
          <w:sz w:val="24"/>
        </w:rPr>
        <w:t>aggregate</w:t>
      </w:r>
      <w:r>
        <w:rPr>
          <w:spacing w:val="-12"/>
          <w:sz w:val="24"/>
        </w:rPr>
        <w:t> </w:t>
      </w:r>
      <w:r>
        <w:rPr>
          <w:sz w:val="24"/>
        </w:rPr>
        <w:t>inventories,</w:t>
      </w:r>
      <w:r>
        <w:rPr>
          <w:spacing w:val="-12"/>
          <w:sz w:val="24"/>
        </w:rPr>
        <w:t> </w:t>
      </w:r>
      <w:r>
        <w:rPr>
          <w:sz w:val="24"/>
        </w:rPr>
        <w:t>some</w:t>
      </w:r>
      <w:r>
        <w:rPr>
          <w:spacing w:val="-11"/>
          <w:sz w:val="24"/>
        </w:rPr>
        <w:t> </w:t>
      </w:r>
      <w:r>
        <w:rPr>
          <w:sz w:val="24"/>
        </w:rPr>
        <w:t>of</w:t>
      </w:r>
      <w:r>
        <w:rPr>
          <w:spacing w:val="-9"/>
          <w:sz w:val="24"/>
        </w:rPr>
        <w:t> </w:t>
      </w:r>
      <w:r>
        <w:rPr>
          <w:sz w:val="24"/>
        </w:rPr>
        <w:t>which</w:t>
      </w:r>
      <w:r>
        <w:rPr>
          <w:spacing w:val="-11"/>
          <w:sz w:val="24"/>
        </w:rPr>
        <w:t> </w:t>
      </w:r>
      <w:r>
        <w:rPr>
          <w:sz w:val="24"/>
        </w:rPr>
        <w:t>reflected</w:t>
      </w:r>
      <w:r>
        <w:rPr>
          <w:spacing w:val="-11"/>
          <w:sz w:val="24"/>
        </w:rPr>
        <w:t> </w:t>
      </w:r>
      <w:r>
        <w:rPr>
          <w:sz w:val="24"/>
        </w:rPr>
        <w:t>statistical</w:t>
      </w:r>
      <w:r>
        <w:rPr>
          <w:spacing w:val="-12"/>
          <w:sz w:val="24"/>
        </w:rPr>
        <w:t> </w:t>
      </w:r>
      <w:r>
        <w:rPr>
          <w:sz w:val="24"/>
        </w:rPr>
        <w:t>changes</w:t>
      </w:r>
      <w:r>
        <w:rPr>
          <w:spacing w:val="-12"/>
          <w:sz w:val="24"/>
        </w:rPr>
        <w:t> </w:t>
      </w:r>
      <w:r>
        <w:rPr>
          <w:sz w:val="24"/>
        </w:rPr>
        <w:t>in</w:t>
      </w:r>
      <w:r>
        <w:rPr>
          <w:spacing w:val="-12"/>
          <w:sz w:val="24"/>
        </w:rPr>
        <w:t> </w:t>
      </w:r>
      <w:r>
        <w:rPr>
          <w:sz w:val="24"/>
        </w:rPr>
        <w:t>the</w:t>
      </w:r>
      <w:r>
        <w:rPr>
          <w:spacing w:val="-11"/>
          <w:sz w:val="24"/>
        </w:rPr>
        <w:t> </w:t>
      </w:r>
      <w:r>
        <w:rPr>
          <w:sz w:val="24"/>
        </w:rPr>
        <w:t>National Accounts. Nonetheless, the balance of risks remained that the build up in inventories would be unwound by more than</w:t>
      </w:r>
      <w:r>
        <w:rPr>
          <w:spacing w:val="6"/>
          <w:sz w:val="24"/>
        </w:rPr>
        <w:t> </w:t>
      </w:r>
      <w:r>
        <w:rPr>
          <w:sz w:val="24"/>
        </w:rPr>
        <w:t>expected.</w:t>
      </w:r>
    </w:p>
    <w:p>
      <w:pPr>
        <w:pStyle w:val="BodyText"/>
        <w:rPr>
          <w:sz w:val="32"/>
        </w:rPr>
      </w:pPr>
    </w:p>
    <w:p>
      <w:pPr>
        <w:pStyle w:val="ListParagraph"/>
        <w:numPr>
          <w:ilvl w:val="0"/>
          <w:numId w:val="1"/>
        </w:numPr>
        <w:tabs>
          <w:tab w:pos="782" w:val="left" w:leader="none"/>
        </w:tabs>
        <w:spacing w:line="321" w:lineRule="auto" w:before="0" w:after="0"/>
        <w:ind w:left="421" w:right="360" w:firstLine="0"/>
        <w:jc w:val="left"/>
        <w:rPr>
          <w:sz w:val="24"/>
        </w:rPr>
      </w:pPr>
      <w:r>
        <w:rPr>
          <w:sz w:val="24"/>
        </w:rPr>
        <w:t>The CBI Distributive Trades survey for December was less weak than the previous </w:t>
      </w:r>
      <w:r>
        <w:rPr>
          <w:spacing w:val="-5"/>
          <w:sz w:val="24"/>
        </w:rPr>
        <w:t>month’s </w:t>
      </w:r>
      <w:r>
        <w:rPr>
          <w:sz w:val="24"/>
        </w:rPr>
        <w:t>survey, but this news was probably </w:t>
      </w:r>
      <w:r>
        <w:rPr>
          <w:spacing w:val="3"/>
          <w:sz w:val="24"/>
        </w:rPr>
        <w:t>offset </w:t>
      </w:r>
      <w:r>
        <w:rPr>
          <w:sz w:val="24"/>
        </w:rPr>
        <w:t>by the weaker C</w:t>
      </w:r>
      <w:r>
        <w:rPr>
          <w:sz w:val="20"/>
        </w:rPr>
        <w:t>IPS </w:t>
      </w:r>
      <w:r>
        <w:rPr>
          <w:sz w:val="24"/>
        </w:rPr>
        <w:t>services survey. It was </w:t>
      </w:r>
      <w:r>
        <w:rPr>
          <w:spacing w:val="3"/>
          <w:sz w:val="24"/>
        </w:rPr>
        <w:t>too </w:t>
      </w:r>
      <w:r>
        <w:rPr>
          <w:sz w:val="24"/>
        </w:rPr>
        <w:t>soon to glean any reliable impression of the state of consumer spending </w:t>
      </w:r>
      <w:r>
        <w:rPr>
          <w:spacing w:val="3"/>
          <w:sz w:val="24"/>
        </w:rPr>
        <w:t>over </w:t>
      </w:r>
      <w:r>
        <w:rPr>
          <w:sz w:val="24"/>
        </w:rPr>
        <w:t>the Christmas/New Year period. Overall, the latest evidence from surveys and monthly indicators did not suggest that the latest</w:t>
      </w:r>
      <w:r>
        <w:rPr>
          <w:spacing w:val="-5"/>
          <w:sz w:val="24"/>
        </w:rPr>
        <w:t> </w:t>
      </w:r>
      <w:r>
        <w:rPr>
          <w:sz w:val="24"/>
        </w:rPr>
        <w:t>best</w:t>
      </w:r>
      <w:r>
        <w:rPr>
          <w:spacing w:val="-4"/>
          <w:sz w:val="24"/>
        </w:rPr>
        <w:t> </w:t>
      </w:r>
      <w:r>
        <w:rPr>
          <w:sz w:val="24"/>
        </w:rPr>
        <w:t>estimate</w:t>
      </w:r>
      <w:r>
        <w:rPr>
          <w:spacing w:val="-8"/>
          <w:sz w:val="24"/>
        </w:rPr>
        <w:t> </w:t>
      </w:r>
      <w:r>
        <w:rPr>
          <w:sz w:val="24"/>
        </w:rPr>
        <w:t>for</w:t>
      </w:r>
      <w:r>
        <w:rPr>
          <w:spacing w:val="-8"/>
          <w:sz w:val="24"/>
        </w:rPr>
        <w:t> </w:t>
      </w:r>
      <w:r>
        <w:rPr>
          <w:sz w:val="24"/>
        </w:rPr>
        <w:t>GDP</w:t>
      </w:r>
      <w:r>
        <w:rPr>
          <w:spacing w:val="-8"/>
          <w:sz w:val="24"/>
        </w:rPr>
        <w:t> </w:t>
      </w:r>
      <w:r>
        <w:rPr>
          <w:sz w:val="24"/>
        </w:rPr>
        <w:t>growth</w:t>
      </w:r>
      <w:r>
        <w:rPr>
          <w:spacing w:val="-8"/>
          <w:sz w:val="24"/>
        </w:rPr>
        <w:t> </w:t>
      </w:r>
      <w:r>
        <w:rPr>
          <w:sz w:val="24"/>
        </w:rPr>
        <w:t>in</w:t>
      </w:r>
      <w:r>
        <w:rPr>
          <w:spacing w:val="-9"/>
          <w:sz w:val="24"/>
        </w:rPr>
        <w:t> </w:t>
      </w:r>
      <w:r>
        <w:rPr>
          <w:sz w:val="24"/>
        </w:rPr>
        <w:t>the</w:t>
      </w:r>
      <w:r>
        <w:rPr>
          <w:spacing w:val="-8"/>
          <w:sz w:val="24"/>
        </w:rPr>
        <w:t> </w:t>
      </w:r>
      <w:r>
        <w:rPr>
          <w:sz w:val="24"/>
        </w:rPr>
        <w:t>fourth</w:t>
      </w:r>
      <w:r>
        <w:rPr>
          <w:spacing w:val="-8"/>
          <w:sz w:val="24"/>
        </w:rPr>
        <w:t> </w:t>
      </w:r>
      <w:r>
        <w:rPr>
          <w:sz w:val="24"/>
        </w:rPr>
        <w:t>quarter</w:t>
      </w:r>
      <w:r>
        <w:rPr>
          <w:spacing w:val="-8"/>
          <w:sz w:val="24"/>
        </w:rPr>
        <w:t> </w:t>
      </w:r>
      <w:r>
        <w:rPr>
          <w:sz w:val="24"/>
        </w:rPr>
        <w:t>was</w:t>
      </w:r>
      <w:r>
        <w:rPr>
          <w:spacing w:val="-8"/>
          <w:sz w:val="24"/>
        </w:rPr>
        <w:t> </w:t>
      </w:r>
      <w:r>
        <w:rPr>
          <w:sz w:val="24"/>
        </w:rPr>
        <w:t>very</w:t>
      </w:r>
      <w:r>
        <w:rPr>
          <w:spacing w:val="-8"/>
          <w:sz w:val="24"/>
        </w:rPr>
        <w:t> </w:t>
      </w:r>
      <w:r>
        <w:rPr>
          <w:sz w:val="24"/>
        </w:rPr>
        <w:t>different</w:t>
      </w:r>
      <w:r>
        <w:rPr>
          <w:spacing w:val="-4"/>
          <w:sz w:val="24"/>
        </w:rPr>
        <w:t> </w:t>
      </w:r>
      <w:r>
        <w:rPr>
          <w:sz w:val="24"/>
        </w:rPr>
        <w:t>from</w:t>
      </w:r>
      <w:r>
        <w:rPr>
          <w:spacing w:val="-9"/>
          <w:sz w:val="24"/>
        </w:rPr>
        <w:t> </w:t>
      </w:r>
      <w:r>
        <w:rPr>
          <w:sz w:val="24"/>
        </w:rPr>
        <w:t>that</w:t>
      </w:r>
      <w:r>
        <w:rPr>
          <w:spacing w:val="-4"/>
          <w:sz w:val="24"/>
        </w:rPr>
        <w:t> </w:t>
      </w:r>
      <w:r>
        <w:rPr>
          <w:sz w:val="24"/>
        </w:rPr>
        <w:t>in</w:t>
      </w:r>
      <w:r>
        <w:rPr>
          <w:spacing w:val="-8"/>
          <w:sz w:val="24"/>
        </w:rPr>
        <w:t> </w:t>
      </w:r>
      <w:r>
        <w:rPr>
          <w:sz w:val="24"/>
        </w:rPr>
        <w:t>the</w:t>
      </w:r>
      <w:r>
        <w:rPr>
          <w:spacing w:val="-8"/>
          <w:sz w:val="24"/>
        </w:rPr>
        <w:t> </w:t>
      </w:r>
      <w:r>
        <w:rPr>
          <w:sz w:val="24"/>
        </w:rPr>
        <w:t>central projection in the November </w:t>
      </w:r>
      <w:r>
        <w:rPr>
          <w:i/>
          <w:sz w:val="24"/>
        </w:rPr>
        <w:t>Inflation</w:t>
      </w:r>
      <w:r>
        <w:rPr>
          <w:i/>
          <w:spacing w:val="-29"/>
          <w:sz w:val="24"/>
        </w:rPr>
        <w:t> </w:t>
      </w:r>
      <w:r>
        <w:rPr>
          <w:i/>
          <w:sz w:val="24"/>
        </w:rPr>
        <w:t>Report</w:t>
      </w:r>
      <w:r>
        <w:rPr>
          <w:sz w:val="24"/>
        </w:rPr>
        <w:t>.</w:t>
      </w:r>
    </w:p>
    <w:p>
      <w:pPr>
        <w:spacing w:after="0" w:line="321" w:lineRule="auto"/>
        <w:jc w:val="left"/>
        <w:rPr>
          <w:sz w:val="24"/>
        </w:rPr>
        <w:sectPr>
          <w:pgSz w:w="11900" w:h="16840"/>
          <w:pgMar w:header="729" w:footer="0" w:top="1060" w:bottom="280" w:left="860" w:right="880"/>
        </w:sectPr>
      </w:pPr>
    </w:p>
    <w:p>
      <w:pPr>
        <w:pStyle w:val="BodyText"/>
        <w:rPr>
          <w:sz w:val="20"/>
        </w:rPr>
      </w:pPr>
    </w:p>
    <w:p>
      <w:pPr>
        <w:pStyle w:val="Heading1"/>
        <w:spacing w:before="224"/>
      </w:pPr>
      <w:r>
        <w:rPr/>
        <w:t>Labour market</w:t>
      </w:r>
    </w:p>
    <w:p>
      <w:pPr>
        <w:pStyle w:val="BodyText"/>
        <w:rPr>
          <w:b/>
          <w:sz w:val="26"/>
        </w:rPr>
      </w:pPr>
    </w:p>
    <w:p>
      <w:pPr>
        <w:pStyle w:val="ListParagraph"/>
        <w:numPr>
          <w:ilvl w:val="0"/>
          <w:numId w:val="1"/>
        </w:numPr>
        <w:tabs>
          <w:tab w:pos="782" w:val="left" w:leader="none"/>
        </w:tabs>
        <w:spacing w:line="321" w:lineRule="auto" w:before="159" w:after="0"/>
        <w:ind w:left="421" w:right="407" w:firstLine="0"/>
        <w:jc w:val="left"/>
        <w:rPr>
          <w:sz w:val="24"/>
        </w:rPr>
      </w:pPr>
      <w:r>
        <w:rPr>
          <w:sz w:val="24"/>
        </w:rPr>
        <w:t>The</w:t>
      </w:r>
      <w:r>
        <w:rPr>
          <w:spacing w:val="-10"/>
          <w:sz w:val="24"/>
        </w:rPr>
        <w:t> </w:t>
      </w:r>
      <w:r>
        <w:rPr>
          <w:sz w:val="24"/>
        </w:rPr>
        <w:t>labour</w:t>
      </w:r>
      <w:r>
        <w:rPr>
          <w:spacing w:val="-12"/>
          <w:sz w:val="24"/>
        </w:rPr>
        <w:t> </w:t>
      </w:r>
      <w:r>
        <w:rPr>
          <w:sz w:val="24"/>
        </w:rPr>
        <w:t>market</w:t>
      </w:r>
      <w:r>
        <w:rPr>
          <w:spacing w:val="-8"/>
          <w:sz w:val="24"/>
        </w:rPr>
        <w:t> </w:t>
      </w:r>
      <w:r>
        <w:rPr>
          <w:sz w:val="24"/>
        </w:rPr>
        <w:t>data</w:t>
      </w:r>
      <w:r>
        <w:rPr>
          <w:spacing w:val="-11"/>
          <w:sz w:val="24"/>
        </w:rPr>
        <w:t> </w:t>
      </w:r>
      <w:r>
        <w:rPr>
          <w:sz w:val="24"/>
        </w:rPr>
        <w:t>continued</w:t>
      </w:r>
      <w:r>
        <w:rPr>
          <w:spacing w:val="-12"/>
          <w:sz w:val="24"/>
        </w:rPr>
        <w:t> </w:t>
      </w:r>
      <w:r>
        <w:rPr>
          <w:spacing w:val="2"/>
          <w:sz w:val="24"/>
        </w:rPr>
        <w:t>to</w:t>
      </w:r>
      <w:r>
        <w:rPr>
          <w:spacing w:val="-7"/>
          <w:sz w:val="24"/>
        </w:rPr>
        <w:t> </w:t>
      </w:r>
      <w:r>
        <w:rPr>
          <w:sz w:val="24"/>
        </w:rPr>
        <w:t>show</w:t>
      </w:r>
      <w:r>
        <w:rPr>
          <w:spacing w:val="-12"/>
          <w:sz w:val="24"/>
        </w:rPr>
        <w:t> </w:t>
      </w:r>
      <w:r>
        <w:rPr>
          <w:sz w:val="24"/>
        </w:rPr>
        <w:t>rising</w:t>
      </w:r>
      <w:r>
        <w:rPr>
          <w:spacing w:val="-10"/>
          <w:sz w:val="24"/>
        </w:rPr>
        <w:t> </w:t>
      </w:r>
      <w:r>
        <w:rPr>
          <w:sz w:val="24"/>
        </w:rPr>
        <w:t>employment</w:t>
      </w:r>
      <w:r>
        <w:rPr>
          <w:spacing w:val="-7"/>
          <w:sz w:val="24"/>
        </w:rPr>
        <w:t> </w:t>
      </w:r>
      <w:r>
        <w:rPr>
          <w:sz w:val="24"/>
        </w:rPr>
        <w:t>and</w:t>
      </w:r>
      <w:r>
        <w:rPr>
          <w:spacing w:val="-12"/>
          <w:sz w:val="24"/>
        </w:rPr>
        <w:t> </w:t>
      </w:r>
      <w:r>
        <w:rPr>
          <w:sz w:val="24"/>
        </w:rPr>
        <w:t>falling</w:t>
      </w:r>
      <w:r>
        <w:rPr>
          <w:spacing w:val="-12"/>
          <w:sz w:val="24"/>
        </w:rPr>
        <w:t> </w:t>
      </w:r>
      <w:r>
        <w:rPr>
          <w:sz w:val="24"/>
        </w:rPr>
        <w:t>inactivity.</w:t>
      </w:r>
      <w:r>
        <w:rPr>
          <w:spacing w:val="37"/>
          <w:sz w:val="24"/>
        </w:rPr>
        <w:t> </w:t>
      </w:r>
      <w:r>
        <w:rPr>
          <w:sz w:val="24"/>
        </w:rPr>
        <w:t>But</w:t>
      </w:r>
      <w:r>
        <w:rPr>
          <w:spacing w:val="-7"/>
          <w:sz w:val="24"/>
        </w:rPr>
        <w:t> </w:t>
      </w:r>
      <w:r>
        <w:rPr>
          <w:sz w:val="24"/>
        </w:rPr>
        <w:t>there were now further indications that unemployment was probably no longer falling. The recent data had shown a fall in long-term unemployment more than </w:t>
      </w:r>
      <w:r>
        <w:rPr>
          <w:spacing w:val="3"/>
          <w:sz w:val="24"/>
        </w:rPr>
        <w:t>offset </w:t>
      </w:r>
      <w:r>
        <w:rPr>
          <w:sz w:val="24"/>
        </w:rPr>
        <w:t>by a rise in short-term unemployment.</w:t>
      </w:r>
      <w:r>
        <w:rPr>
          <w:spacing w:val="40"/>
          <w:sz w:val="24"/>
        </w:rPr>
        <w:t> </w:t>
      </w:r>
      <w:r>
        <w:rPr>
          <w:sz w:val="24"/>
        </w:rPr>
        <w:t>The</w:t>
      </w:r>
      <w:r>
        <w:rPr>
          <w:spacing w:val="-10"/>
          <w:sz w:val="24"/>
        </w:rPr>
        <w:t> </w:t>
      </w:r>
      <w:r>
        <w:rPr>
          <w:sz w:val="24"/>
        </w:rPr>
        <w:t>three</w:t>
      </w:r>
      <w:r>
        <w:rPr>
          <w:spacing w:val="-12"/>
          <w:sz w:val="24"/>
        </w:rPr>
        <w:t> </w:t>
      </w:r>
      <w:r>
        <w:rPr>
          <w:sz w:val="24"/>
        </w:rPr>
        <w:t>C</w:t>
      </w:r>
      <w:r>
        <w:rPr>
          <w:sz w:val="20"/>
        </w:rPr>
        <w:t>IPS</w:t>
      </w:r>
      <w:r>
        <w:rPr>
          <w:spacing w:val="-12"/>
          <w:sz w:val="20"/>
        </w:rPr>
        <w:t> </w:t>
      </w:r>
      <w:r>
        <w:rPr>
          <w:sz w:val="24"/>
        </w:rPr>
        <w:t>surveys</w:t>
      </w:r>
      <w:r>
        <w:rPr>
          <w:spacing w:val="-12"/>
          <w:sz w:val="24"/>
        </w:rPr>
        <w:t> </w:t>
      </w:r>
      <w:r>
        <w:rPr>
          <w:sz w:val="24"/>
        </w:rPr>
        <w:t>for</w:t>
      </w:r>
      <w:r>
        <w:rPr>
          <w:spacing w:val="-12"/>
          <w:sz w:val="24"/>
        </w:rPr>
        <w:t> </w:t>
      </w:r>
      <w:r>
        <w:rPr>
          <w:sz w:val="24"/>
        </w:rPr>
        <w:t>manufacturing,</w:t>
      </w:r>
      <w:r>
        <w:rPr>
          <w:spacing w:val="-12"/>
          <w:sz w:val="24"/>
        </w:rPr>
        <w:t> </w:t>
      </w:r>
      <w:r>
        <w:rPr>
          <w:sz w:val="24"/>
        </w:rPr>
        <w:t>services</w:t>
      </w:r>
      <w:r>
        <w:rPr>
          <w:spacing w:val="-12"/>
          <w:sz w:val="24"/>
        </w:rPr>
        <w:t> </w:t>
      </w:r>
      <w:r>
        <w:rPr>
          <w:sz w:val="24"/>
        </w:rPr>
        <w:t>and</w:t>
      </w:r>
      <w:r>
        <w:rPr>
          <w:spacing w:val="-12"/>
          <w:sz w:val="24"/>
        </w:rPr>
        <w:t> </w:t>
      </w:r>
      <w:r>
        <w:rPr>
          <w:sz w:val="24"/>
        </w:rPr>
        <w:t>construction</w:t>
      </w:r>
      <w:r>
        <w:rPr>
          <w:spacing w:val="-12"/>
          <w:sz w:val="24"/>
        </w:rPr>
        <w:t> </w:t>
      </w:r>
      <w:r>
        <w:rPr>
          <w:sz w:val="24"/>
        </w:rPr>
        <w:t>were</w:t>
      </w:r>
      <w:r>
        <w:rPr>
          <w:spacing w:val="-12"/>
          <w:sz w:val="24"/>
        </w:rPr>
        <w:t> </w:t>
      </w:r>
      <w:r>
        <w:rPr>
          <w:sz w:val="24"/>
        </w:rPr>
        <w:t>now</w:t>
      </w:r>
      <w:r>
        <w:rPr>
          <w:spacing w:val="-12"/>
          <w:sz w:val="24"/>
        </w:rPr>
        <w:t> </w:t>
      </w:r>
      <w:r>
        <w:rPr>
          <w:sz w:val="24"/>
        </w:rPr>
        <w:t>all pointing </w:t>
      </w:r>
      <w:r>
        <w:rPr>
          <w:spacing w:val="2"/>
          <w:sz w:val="24"/>
        </w:rPr>
        <w:t>to </w:t>
      </w:r>
      <w:r>
        <w:rPr>
          <w:sz w:val="24"/>
        </w:rPr>
        <w:t>falling</w:t>
      </w:r>
      <w:r>
        <w:rPr>
          <w:spacing w:val="5"/>
          <w:sz w:val="24"/>
        </w:rPr>
        <w:t> </w:t>
      </w:r>
      <w:r>
        <w:rPr>
          <w:sz w:val="24"/>
        </w:rPr>
        <w:t>employment.</w:t>
      </w:r>
    </w:p>
    <w:p>
      <w:pPr>
        <w:pStyle w:val="BodyText"/>
        <w:spacing w:before="1"/>
        <w:rPr>
          <w:sz w:val="32"/>
        </w:rPr>
      </w:pPr>
    </w:p>
    <w:p>
      <w:pPr>
        <w:pStyle w:val="ListParagraph"/>
        <w:numPr>
          <w:ilvl w:val="0"/>
          <w:numId w:val="1"/>
        </w:numPr>
        <w:tabs>
          <w:tab w:pos="782" w:val="left" w:leader="none"/>
        </w:tabs>
        <w:spacing w:line="321" w:lineRule="auto" w:before="0" w:after="0"/>
        <w:ind w:left="421" w:right="561" w:firstLine="0"/>
        <w:jc w:val="left"/>
        <w:rPr>
          <w:sz w:val="24"/>
        </w:rPr>
      </w:pPr>
      <w:r>
        <w:rPr>
          <w:sz w:val="24"/>
        </w:rPr>
        <w:t>The</w:t>
      </w:r>
      <w:r>
        <w:rPr>
          <w:spacing w:val="-5"/>
          <w:sz w:val="24"/>
        </w:rPr>
        <w:t> </w:t>
      </w:r>
      <w:r>
        <w:rPr>
          <w:sz w:val="24"/>
        </w:rPr>
        <w:t>number</w:t>
      </w:r>
      <w:r>
        <w:rPr>
          <w:spacing w:val="-7"/>
          <w:sz w:val="24"/>
        </w:rPr>
        <w:t> </w:t>
      </w:r>
      <w:r>
        <w:rPr>
          <w:sz w:val="24"/>
        </w:rPr>
        <w:t>of</w:t>
      </w:r>
      <w:r>
        <w:rPr>
          <w:spacing w:val="-2"/>
          <w:sz w:val="24"/>
        </w:rPr>
        <w:t> </w:t>
      </w:r>
      <w:r>
        <w:rPr>
          <w:sz w:val="24"/>
        </w:rPr>
        <w:t>jobs</w:t>
      </w:r>
      <w:r>
        <w:rPr>
          <w:spacing w:val="-7"/>
          <w:sz w:val="24"/>
        </w:rPr>
        <w:t> </w:t>
      </w:r>
      <w:r>
        <w:rPr>
          <w:sz w:val="24"/>
        </w:rPr>
        <w:t>recorded</w:t>
      </w:r>
      <w:r>
        <w:rPr>
          <w:spacing w:val="-5"/>
          <w:sz w:val="24"/>
        </w:rPr>
        <w:t> </w:t>
      </w:r>
      <w:r>
        <w:rPr>
          <w:sz w:val="24"/>
        </w:rPr>
        <w:t>by</w:t>
      </w:r>
      <w:r>
        <w:rPr>
          <w:spacing w:val="-6"/>
          <w:sz w:val="24"/>
        </w:rPr>
        <w:t> </w:t>
      </w:r>
      <w:r>
        <w:rPr>
          <w:sz w:val="24"/>
        </w:rPr>
        <w:t>the</w:t>
      </w:r>
      <w:r>
        <w:rPr>
          <w:spacing w:val="-7"/>
          <w:sz w:val="24"/>
        </w:rPr>
        <w:t> </w:t>
      </w:r>
      <w:r>
        <w:rPr>
          <w:sz w:val="24"/>
        </w:rPr>
        <w:t>ONS</w:t>
      </w:r>
      <w:r>
        <w:rPr>
          <w:spacing w:val="-6"/>
          <w:sz w:val="24"/>
        </w:rPr>
        <w:t> </w:t>
      </w:r>
      <w:r>
        <w:rPr>
          <w:sz w:val="24"/>
        </w:rPr>
        <w:t>Workforce</w:t>
      </w:r>
      <w:r>
        <w:rPr>
          <w:spacing w:val="-7"/>
          <w:sz w:val="24"/>
        </w:rPr>
        <w:t> </w:t>
      </w:r>
      <w:r>
        <w:rPr>
          <w:sz w:val="24"/>
        </w:rPr>
        <w:t>survey</w:t>
      </w:r>
      <w:r>
        <w:rPr>
          <w:spacing w:val="-6"/>
          <w:sz w:val="24"/>
        </w:rPr>
        <w:t> </w:t>
      </w:r>
      <w:r>
        <w:rPr>
          <w:sz w:val="24"/>
        </w:rPr>
        <w:t>had</w:t>
      </w:r>
      <w:r>
        <w:rPr>
          <w:spacing w:val="-7"/>
          <w:sz w:val="24"/>
        </w:rPr>
        <w:t> </w:t>
      </w:r>
      <w:r>
        <w:rPr>
          <w:sz w:val="24"/>
        </w:rPr>
        <w:t>been</w:t>
      </w:r>
      <w:r>
        <w:rPr>
          <w:spacing w:val="-7"/>
          <w:sz w:val="24"/>
        </w:rPr>
        <w:t> </w:t>
      </w:r>
      <w:r>
        <w:rPr>
          <w:sz w:val="24"/>
        </w:rPr>
        <w:t>revised</w:t>
      </w:r>
      <w:r>
        <w:rPr>
          <w:spacing w:val="-4"/>
          <w:sz w:val="24"/>
        </w:rPr>
        <w:t> </w:t>
      </w:r>
      <w:r>
        <w:rPr>
          <w:sz w:val="24"/>
        </w:rPr>
        <w:t>up</w:t>
      </w:r>
      <w:r>
        <w:rPr>
          <w:spacing w:val="-7"/>
          <w:sz w:val="24"/>
        </w:rPr>
        <w:t> </w:t>
      </w:r>
      <w:r>
        <w:rPr>
          <w:sz w:val="24"/>
        </w:rPr>
        <w:t>by</w:t>
      </w:r>
      <w:r>
        <w:rPr>
          <w:spacing w:val="-7"/>
          <w:sz w:val="24"/>
        </w:rPr>
        <w:t> </w:t>
      </w:r>
      <w:r>
        <w:rPr>
          <w:sz w:val="24"/>
        </w:rPr>
        <w:t>450,000 implying lower productivity and higher unit labour costs data. The Committee noted that its November </w:t>
      </w:r>
      <w:r>
        <w:rPr>
          <w:i/>
          <w:sz w:val="24"/>
        </w:rPr>
        <w:t>Inflation Report </w:t>
      </w:r>
      <w:r>
        <w:rPr>
          <w:sz w:val="24"/>
        </w:rPr>
        <w:t>projections had been based on the Labour Force Survey measure of employment, which was not affected by this</w:t>
      </w:r>
      <w:r>
        <w:rPr>
          <w:spacing w:val="10"/>
          <w:sz w:val="24"/>
        </w:rPr>
        <w:t> </w:t>
      </w:r>
      <w:r>
        <w:rPr>
          <w:sz w:val="24"/>
        </w:rPr>
        <w:t>revision.</w:t>
      </w:r>
    </w:p>
    <w:p>
      <w:pPr>
        <w:pStyle w:val="BodyText"/>
        <w:spacing w:before="1"/>
        <w:rPr>
          <w:sz w:val="32"/>
        </w:rPr>
      </w:pPr>
    </w:p>
    <w:p>
      <w:pPr>
        <w:pStyle w:val="ListParagraph"/>
        <w:numPr>
          <w:ilvl w:val="0"/>
          <w:numId w:val="1"/>
        </w:numPr>
        <w:tabs>
          <w:tab w:pos="782" w:val="left" w:leader="none"/>
        </w:tabs>
        <w:spacing w:line="321" w:lineRule="auto" w:before="0" w:after="0"/>
        <w:ind w:left="421" w:right="271" w:firstLine="0"/>
        <w:jc w:val="left"/>
        <w:rPr>
          <w:sz w:val="24"/>
        </w:rPr>
      </w:pPr>
      <w:r>
        <w:rPr>
          <w:sz w:val="24"/>
        </w:rPr>
        <w:t>The Committee thought that the labour market remained tight, but that it seemed </w:t>
      </w:r>
      <w:r>
        <w:rPr>
          <w:spacing w:val="2"/>
          <w:sz w:val="24"/>
        </w:rPr>
        <w:t>to </w:t>
      </w:r>
      <w:r>
        <w:rPr>
          <w:sz w:val="24"/>
        </w:rPr>
        <w:t>have reached a turning point, and there were some signs of an easing of labour market pressures from the indicators of skill shortages and signs on pay settlements. The twelve-month employment- weighted average of pay settlements had been flat for many months and, depending on wage drift, this suggested a somewhat more benign path for earnings growth than had been expected around six months ago given the apparent tightening of the labour market. The </w:t>
      </w:r>
      <w:r>
        <w:rPr>
          <w:spacing w:val="-6"/>
          <w:sz w:val="24"/>
        </w:rPr>
        <w:t>Bank’s </w:t>
      </w:r>
      <w:r>
        <w:rPr>
          <w:sz w:val="24"/>
        </w:rPr>
        <w:t>regional Agents had reported some easing of upward pressure on pay growth. The current level of settlements was not especially comforting given the normal level of pay drift, but with the economy slowing members thought that there should be reduced pressure on pay from this source. And the</w:t>
      </w:r>
      <w:r>
        <w:rPr>
          <w:spacing w:val="-32"/>
          <w:sz w:val="24"/>
        </w:rPr>
        <w:t> </w:t>
      </w:r>
      <w:r>
        <w:rPr>
          <w:sz w:val="24"/>
        </w:rPr>
        <w:t>reduction in</w:t>
      </w:r>
      <w:r>
        <w:rPr>
          <w:spacing w:val="-8"/>
          <w:sz w:val="24"/>
        </w:rPr>
        <w:t> </w:t>
      </w:r>
      <w:r>
        <w:rPr>
          <w:sz w:val="24"/>
        </w:rPr>
        <w:t>interest</w:t>
      </w:r>
      <w:r>
        <w:rPr>
          <w:spacing w:val="-3"/>
          <w:sz w:val="24"/>
        </w:rPr>
        <w:t> </w:t>
      </w:r>
      <w:r>
        <w:rPr>
          <w:sz w:val="24"/>
        </w:rPr>
        <w:t>rates</w:t>
      </w:r>
      <w:r>
        <w:rPr>
          <w:spacing w:val="-6"/>
          <w:sz w:val="24"/>
        </w:rPr>
        <w:t> </w:t>
      </w:r>
      <w:r>
        <w:rPr>
          <w:spacing w:val="3"/>
          <w:sz w:val="24"/>
        </w:rPr>
        <w:t>over</w:t>
      </w:r>
      <w:r>
        <w:rPr>
          <w:spacing w:val="-3"/>
          <w:sz w:val="24"/>
        </w:rPr>
        <w:t> </w:t>
      </w:r>
      <w:r>
        <w:rPr>
          <w:sz w:val="24"/>
        </w:rPr>
        <w:t>recent</w:t>
      </w:r>
      <w:r>
        <w:rPr>
          <w:spacing w:val="-5"/>
          <w:sz w:val="24"/>
        </w:rPr>
        <w:t> </w:t>
      </w:r>
      <w:r>
        <w:rPr>
          <w:sz w:val="24"/>
        </w:rPr>
        <w:t>months</w:t>
      </w:r>
      <w:r>
        <w:rPr>
          <w:spacing w:val="-8"/>
          <w:sz w:val="24"/>
        </w:rPr>
        <w:t> </w:t>
      </w:r>
      <w:r>
        <w:rPr>
          <w:sz w:val="24"/>
        </w:rPr>
        <w:t>would</w:t>
      </w:r>
      <w:r>
        <w:rPr>
          <w:spacing w:val="-7"/>
          <w:sz w:val="24"/>
        </w:rPr>
        <w:t> </w:t>
      </w:r>
      <w:r>
        <w:rPr>
          <w:sz w:val="24"/>
        </w:rPr>
        <w:t>tend</w:t>
      </w:r>
      <w:r>
        <w:rPr>
          <w:spacing w:val="-7"/>
          <w:sz w:val="24"/>
        </w:rPr>
        <w:t> </w:t>
      </w:r>
      <w:r>
        <w:rPr>
          <w:spacing w:val="2"/>
          <w:sz w:val="24"/>
        </w:rPr>
        <w:t>to</w:t>
      </w:r>
      <w:r>
        <w:rPr>
          <w:spacing w:val="-4"/>
          <w:sz w:val="24"/>
        </w:rPr>
        <w:t> </w:t>
      </w:r>
      <w:r>
        <w:rPr>
          <w:sz w:val="24"/>
        </w:rPr>
        <w:t>lower</w:t>
      </w:r>
      <w:r>
        <w:rPr>
          <w:spacing w:val="-7"/>
          <w:sz w:val="24"/>
        </w:rPr>
        <w:t> </w:t>
      </w:r>
      <w:r>
        <w:rPr>
          <w:sz w:val="24"/>
        </w:rPr>
        <w:t>RPI</w:t>
      </w:r>
      <w:r>
        <w:rPr>
          <w:spacing w:val="-7"/>
          <w:sz w:val="24"/>
        </w:rPr>
        <w:t> </w:t>
      </w:r>
      <w:r>
        <w:rPr>
          <w:sz w:val="24"/>
        </w:rPr>
        <w:t>inflation</w:t>
      </w:r>
      <w:r>
        <w:rPr>
          <w:spacing w:val="-8"/>
          <w:sz w:val="24"/>
        </w:rPr>
        <w:t> </w:t>
      </w:r>
      <w:r>
        <w:rPr>
          <w:sz w:val="24"/>
        </w:rPr>
        <w:t>relative</w:t>
      </w:r>
      <w:r>
        <w:rPr>
          <w:spacing w:val="-5"/>
          <w:sz w:val="24"/>
        </w:rPr>
        <w:t> </w:t>
      </w:r>
      <w:r>
        <w:rPr>
          <w:spacing w:val="2"/>
          <w:sz w:val="24"/>
        </w:rPr>
        <w:t>to</w:t>
      </w:r>
      <w:r>
        <w:rPr>
          <w:spacing w:val="-3"/>
          <w:sz w:val="24"/>
        </w:rPr>
        <w:t> </w:t>
      </w:r>
      <w:r>
        <w:rPr>
          <w:sz w:val="24"/>
        </w:rPr>
        <w:t>the</w:t>
      </w:r>
      <w:r>
        <w:rPr>
          <w:spacing w:val="-8"/>
          <w:sz w:val="24"/>
        </w:rPr>
        <w:t> </w:t>
      </w:r>
      <w:r>
        <w:rPr>
          <w:sz w:val="24"/>
        </w:rPr>
        <w:t>target</w:t>
      </w:r>
      <w:r>
        <w:rPr>
          <w:spacing w:val="-3"/>
          <w:sz w:val="24"/>
        </w:rPr>
        <w:t> </w:t>
      </w:r>
      <w:r>
        <w:rPr>
          <w:sz w:val="24"/>
        </w:rPr>
        <w:t>measure of RPIX in the short-term, which might influence settlements in coming months. Inflation expectations were important for wage setting, and had fallen in the latest surveys. These expectations</w:t>
      </w:r>
      <w:r>
        <w:rPr>
          <w:spacing w:val="-13"/>
          <w:sz w:val="24"/>
        </w:rPr>
        <w:t> </w:t>
      </w:r>
      <w:r>
        <w:rPr>
          <w:sz w:val="24"/>
        </w:rPr>
        <w:t>might</w:t>
      </w:r>
      <w:r>
        <w:rPr>
          <w:spacing w:val="-8"/>
          <w:sz w:val="24"/>
        </w:rPr>
        <w:t> </w:t>
      </w:r>
      <w:r>
        <w:rPr>
          <w:sz w:val="24"/>
        </w:rPr>
        <w:t>also</w:t>
      </w:r>
      <w:r>
        <w:rPr>
          <w:spacing w:val="-13"/>
          <w:sz w:val="24"/>
        </w:rPr>
        <w:t> </w:t>
      </w:r>
      <w:r>
        <w:rPr>
          <w:sz w:val="24"/>
        </w:rPr>
        <w:t>be</w:t>
      </w:r>
      <w:r>
        <w:rPr>
          <w:spacing w:val="-12"/>
          <w:sz w:val="24"/>
        </w:rPr>
        <w:t> </w:t>
      </w:r>
      <w:r>
        <w:rPr>
          <w:sz w:val="24"/>
        </w:rPr>
        <w:t>better</w:t>
      </w:r>
      <w:r>
        <w:rPr>
          <w:spacing w:val="-12"/>
          <w:sz w:val="24"/>
        </w:rPr>
        <w:t> </w:t>
      </w:r>
      <w:r>
        <w:rPr>
          <w:sz w:val="24"/>
        </w:rPr>
        <w:t>anchored,</w:t>
      </w:r>
      <w:r>
        <w:rPr>
          <w:spacing w:val="-13"/>
          <w:sz w:val="24"/>
        </w:rPr>
        <w:t> </w:t>
      </w:r>
      <w:r>
        <w:rPr>
          <w:sz w:val="24"/>
        </w:rPr>
        <w:t>following</w:t>
      </w:r>
      <w:r>
        <w:rPr>
          <w:spacing w:val="-12"/>
          <w:sz w:val="24"/>
        </w:rPr>
        <w:t> </w:t>
      </w:r>
      <w:r>
        <w:rPr>
          <w:sz w:val="24"/>
        </w:rPr>
        <w:t>the</w:t>
      </w:r>
      <w:r>
        <w:rPr>
          <w:spacing w:val="-13"/>
          <w:sz w:val="24"/>
        </w:rPr>
        <w:t> </w:t>
      </w:r>
      <w:r>
        <w:rPr>
          <w:sz w:val="24"/>
        </w:rPr>
        <w:t>monetary</w:t>
      </w:r>
      <w:r>
        <w:rPr>
          <w:spacing w:val="-12"/>
          <w:sz w:val="24"/>
        </w:rPr>
        <w:t> </w:t>
      </w:r>
      <w:r>
        <w:rPr>
          <w:sz w:val="24"/>
        </w:rPr>
        <w:t>policy</w:t>
      </w:r>
      <w:r>
        <w:rPr>
          <w:spacing w:val="-12"/>
          <w:sz w:val="24"/>
        </w:rPr>
        <w:t> </w:t>
      </w:r>
      <w:r>
        <w:rPr>
          <w:sz w:val="24"/>
        </w:rPr>
        <w:t>regime</w:t>
      </w:r>
      <w:r>
        <w:rPr>
          <w:spacing w:val="-11"/>
          <w:sz w:val="24"/>
        </w:rPr>
        <w:t> </w:t>
      </w:r>
      <w:r>
        <w:rPr>
          <w:sz w:val="24"/>
        </w:rPr>
        <w:t>change,</w:t>
      </w:r>
      <w:r>
        <w:rPr>
          <w:spacing w:val="-12"/>
          <w:sz w:val="24"/>
        </w:rPr>
        <w:t> </w:t>
      </w:r>
      <w:r>
        <w:rPr>
          <w:sz w:val="24"/>
        </w:rPr>
        <w:t>than</w:t>
      </w:r>
      <w:r>
        <w:rPr>
          <w:spacing w:val="-13"/>
          <w:sz w:val="24"/>
        </w:rPr>
        <w:t> </w:t>
      </w:r>
      <w:r>
        <w:rPr>
          <w:sz w:val="24"/>
        </w:rPr>
        <w:t>had been the case in the</w:t>
      </w:r>
      <w:r>
        <w:rPr>
          <w:spacing w:val="8"/>
          <w:sz w:val="24"/>
        </w:rPr>
        <w:t> </w:t>
      </w:r>
      <w:r>
        <w:rPr>
          <w:sz w:val="24"/>
        </w:rPr>
        <w:t>past.</w:t>
      </w:r>
    </w:p>
    <w:p>
      <w:pPr>
        <w:pStyle w:val="BodyText"/>
        <w:spacing w:before="10"/>
        <w:rPr>
          <w:sz w:val="31"/>
        </w:rPr>
      </w:pPr>
    </w:p>
    <w:p>
      <w:pPr>
        <w:pStyle w:val="ListParagraph"/>
        <w:numPr>
          <w:ilvl w:val="0"/>
          <w:numId w:val="1"/>
        </w:numPr>
        <w:tabs>
          <w:tab w:pos="782" w:val="left" w:leader="none"/>
        </w:tabs>
        <w:spacing w:line="321" w:lineRule="auto" w:before="0" w:after="0"/>
        <w:ind w:left="421" w:right="401" w:firstLine="0"/>
        <w:jc w:val="left"/>
        <w:rPr>
          <w:sz w:val="24"/>
        </w:rPr>
      </w:pPr>
      <w:r>
        <w:rPr>
          <w:sz w:val="24"/>
        </w:rPr>
        <w:t>According </w:t>
      </w:r>
      <w:r>
        <w:rPr>
          <w:spacing w:val="2"/>
          <w:sz w:val="24"/>
        </w:rPr>
        <w:t>to </w:t>
      </w:r>
      <w:r>
        <w:rPr>
          <w:sz w:val="24"/>
        </w:rPr>
        <w:t>the National Accounts estimate of wages and salaries per head, nominal growth had fallen </w:t>
      </w:r>
      <w:r>
        <w:rPr>
          <w:spacing w:val="2"/>
          <w:sz w:val="24"/>
        </w:rPr>
        <w:t>to </w:t>
      </w:r>
      <w:r>
        <w:rPr>
          <w:sz w:val="24"/>
        </w:rPr>
        <w:t>4.4% in the year </w:t>
      </w:r>
      <w:r>
        <w:rPr>
          <w:spacing w:val="2"/>
          <w:sz w:val="24"/>
        </w:rPr>
        <w:t>to </w:t>
      </w:r>
      <w:r>
        <w:rPr>
          <w:sz w:val="24"/>
        </w:rPr>
        <w:t>Q3. Estimates of the real wage paid by producers – based on the GDP deflator at basic prices – showed that the rate of growth was still rising, and was consistent with past tightening of the labour market. However, the rate of increase of the real wage received by workers had been decreasing during 1998. The wedge of </w:t>
      </w:r>
      <w:r>
        <w:rPr>
          <w:spacing w:val="3"/>
          <w:sz w:val="24"/>
        </w:rPr>
        <w:t>over </w:t>
      </w:r>
      <w:r>
        <w:rPr>
          <w:sz w:val="24"/>
        </w:rPr>
        <w:t>two percentage points between the two measures could be explained by past increases in taxes and changes in employers’ contributions.</w:t>
      </w:r>
    </w:p>
    <w:p>
      <w:pPr>
        <w:pStyle w:val="BodyText"/>
        <w:rPr>
          <w:sz w:val="32"/>
        </w:rPr>
      </w:pPr>
    </w:p>
    <w:p>
      <w:pPr>
        <w:pStyle w:val="ListParagraph"/>
        <w:numPr>
          <w:ilvl w:val="0"/>
          <w:numId w:val="1"/>
        </w:numPr>
        <w:tabs>
          <w:tab w:pos="782" w:val="left" w:leader="none"/>
        </w:tabs>
        <w:spacing w:line="240" w:lineRule="auto" w:before="0" w:after="0"/>
        <w:ind w:left="781" w:right="0" w:hanging="361"/>
        <w:jc w:val="left"/>
        <w:rPr>
          <w:sz w:val="24"/>
        </w:rPr>
      </w:pPr>
      <w:r>
        <w:rPr>
          <w:sz w:val="24"/>
        </w:rPr>
        <w:t>The</w:t>
      </w:r>
      <w:r>
        <w:rPr>
          <w:spacing w:val="-5"/>
          <w:sz w:val="24"/>
        </w:rPr>
        <w:t> </w:t>
      </w:r>
      <w:r>
        <w:rPr>
          <w:sz w:val="24"/>
        </w:rPr>
        <w:t>Committee</w:t>
      </w:r>
      <w:r>
        <w:rPr>
          <w:spacing w:val="-5"/>
          <w:sz w:val="24"/>
        </w:rPr>
        <w:t> </w:t>
      </w:r>
      <w:r>
        <w:rPr>
          <w:sz w:val="24"/>
        </w:rPr>
        <w:t>noted</w:t>
      </w:r>
      <w:r>
        <w:rPr>
          <w:spacing w:val="-6"/>
          <w:sz w:val="24"/>
        </w:rPr>
        <w:t> </w:t>
      </w:r>
      <w:r>
        <w:rPr>
          <w:sz w:val="24"/>
        </w:rPr>
        <w:t>that</w:t>
      </w:r>
      <w:r>
        <w:rPr>
          <w:spacing w:val="-2"/>
          <w:sz w:val="24"/>
        </w:rPr>
        <w:t> </w:t>
      </w:r>
      <w:r>
        <w:rPr>
          <w:sz w:val="24"/>
        </w:rPr>
        <w:t>their</w:t>
      </w:r>
      <w:r>
        <w:rPr>
          <w:spacing w:val="-5"/>
          <w:sz w:val="24"/>
        </w:rPr>
        <w:t> </w:t>
      </w:r>
      <w:r>
        <w:rPr>
          <w:sz w:val="24"/>
        </w:rPr>
        <w:t>assumption</w:t>
      </w:r>
      <w:r>
        <w:rPr>
          <w:spacing w:val="-6"/>
          <w:sz w:val="24"/>
        </w:rPr>
        <w:t> </w:t>
      </w:r>
      <w:r>
        <w:rPr>
          <w:sz w:val="24"/>
        </w:rPr>
        <w:t>for</w:t>
      </w:r>
      <w:r>
        <w:rPr>
          <w:spacing w:val="-6"/>
          <w:sz w:val="24"/>
        </w:rPr>
        <w:t> </w:t>
      </w:r>
      <w:r>
        <w:rPr>
          <w:sz w:val="24"/>
        </w:rPr>
        <w:t>earnings</w:t>
      </w:r>
      <w:r>
        <w:rPr>
          <w:spacing w:val="-6"/>
          <w:sz w:val="24"/>
        </w:rPr>
        <w:t> </w:t>
      </w:r>
      <w:r>
        <w:rPr>
          <w:sz w:val="24"/>
        </w:rPr>
        <w:t>growth</w:t>
      </w:r>
      <w:r>
        <w:rPr>
          <w:spacing w:val="-6"/>
          <w:sz w:val="24"/>
        </w:rPr>
        <w:t> </w:t>
      </w:r>
      <w:r>
        <w:rPr>
          <w:sz w:val="24"/>
        </w:rPr>
        <w:t>in</w:t>
      </w:r>
      <w:r>
        <w:rPr>
          <w:spacing w:val="-6"/>
          <w:sz w:val="24"/>
        </w:rPr>
        <w:t> </w:t>
      </w:r>
      <w:r>
        <w:rPr>
          <w:sz w:val="24"/>
        </w:rPr>
        <w:t>1999</w:t>
      </w:r>
      <w:r>
        <w:rPr>
          <w:spacing w:val="-5"/>
          <w:sz w:val="24"/>
        </w:rPr>
        <w:t> </w:t>
      </w:r>
      <w:r>
        <w:rPr>
          <w:sz w:val="24"/>
        </w:rPr>
        <w:t>used</w:t>
      </w:r>
      <w:r>
        <w:rPr>
          <w:spacing w:val="-6"/>
          <w:sz w:val="24"/>
        </w:rPr>
        <w:t> </w:t>
      </w:r>
      <w:r>
        <w:rPr>
          <w:sz w:val="24"/>
        </w:rPr>
        <w:t>in</w:t>
      </w:r>
      <w:r>
        <w:rPr>
          <w:spacing w:val="-6"/>
          <w:sz w:val="24"/>
        </w:rPr>
        <w:t> </w:t>
      </w:r>
      <w:r>
        <w:rPr>
          <w:sz w:val="24"/>
        </w:rPr>
        <w:t>the</w:t>
      </w:r>
      <w:r>
        <w:rPr>
          <w:spacing w:val="-6"/>
          <w:sz w:val="24"/>
        </w:rPr>
        <w:t> </w:t>
      </w:r>
      <w:r>
        <w:rPr>
          <w:sz w:val="24"/>
        </w:rPr>
        <w:t>November</w:t>
      </w:r>
    </w:p>
    <w:p>
      <w:pPr>
        <w:pStyle w:val="BodyText"/>
        <w:spacing w:before="94"/>
        <w:ind w:left="421"/>
      </w:pPr>
      <w:r>
        <w:rPr>
          <w:i/>
        </w:rPr>
        <w:t>Inflation Report </w:t>
      </w:r>
      <w:r>
        <w:rPr/>
        <w:t>central projection was towards the top end of the range of outside forecasts made</w:t>
      </w:r>
    </w:p>
    <w:p>
      <w:pPr>
        <w:spacing w:after="0"/>
        <w:sectPr>
          <w:pgSz w:w="11900" w:h="16840"/>
          <w:pgMar w:header="729" w:footer="0" w:top="1060" w:bottom="280" w:left="860" w:right="880"/>
        </w:sectPr>
      </w:pPr>
    </w:p>
    <w:p>
      <w:pPr>
        <w:pStyle w:val="BodyText"/>
        <w:spacing w:line="321" w:lineRule="auto" w:before="80"/>
        <w:ind w:left="421" w:right="693"/>
      </w:pPr>
      <w:r>
        <w:rPr/>
        <w:t>in</w:t>
      </w:r>
      <w:r>
        <w:rPr>
          <w:spacing w:val="-8"/>
        </w:rPr>
        <w:t> </w:t>
      </w:r>
      <w:r>
        <w:rPr/>
        <w:t>November</w:t>
      </w:r>
      <w:r>
        <w:rPr>
          <w:spacing w:val="-8"/>
        </w:rPr>
        <w:t> </w:t>
      </w:r>
      <w:r>
        <w:rPr/>
        <w:t>and</w:t>
      </w:r>
      <w:r>
        <w:rPr>
          <w:spacing w:val="-7"/>
        </w:rPr>
        <w:t> </w:t>
      </w:r>
      <w:r>
        <w:rPr/>
        <w:t>December,</w:t>
      </w:r>
      <w:r>
        <w:rPr>
          <w:spacing w:val="-8"/>
        </w:rPr>
        <w:t> </w:t>
      </w:r>
      <w:r>
        <w:rPr/>
        <w:t>and</w:t>
      </w:r>
      <w:r>
        <w:rPr>
          <w:spacing w:val="-7"/>
        </w:rPr>
        <w:t> </w:t>
      </w:r>
      <w:r>
        <w:rPr/>
        <w:t>agreed</w:t>
      </w:r>
      <w:r>
        <w:rPr>
          <w:spacing w:val="-8"/>
        </w:rPr>
        <w:t> </w:t>
      </w:r>
      <w:r>
        <w:rPr/>
        <w:t>that</w:t>
      </w:r>
      <w:r>
        <w:rPr>
          <w:spacing w:val="-3"/>
        </w:rPr>
        <w:t> </w:t>
      </w:r>
      <w:r>
        <w:rPr/>
        <w:t>it</w:t>
      </w:r>
      <w:r>
        <w:rPr>
          <w:spacing w:val="-4"/>
        </w:rPr>
        <w:t> </w:t>
      </w:r>
      <w:r>
        <w:rPr/>
        <w:t>would</w:t>
      </w:r>
      <w:r>
        <w:rPr>
          <w:spacing w:val="-7"/>
        </w:rPr>
        <w:t> </w:t>
      </w:r>
      <w:r>
        <w:rPr/>
        <w:t>return</w:t>
      </w:r>
      <w:r>
        <w:rPr>
          <w:spacing w:val="-6"/>
        </w:rPr>
        <w:t> </w:t>
      </w:r>
      <w:r>
        <w:rPr>
          <w:spacing w:val="2"/>
        </w:rPr>
        <w:t>to</w:t>
      </w:r>
      <w:r>
        <w:rPr>
          <w:spacing w:val="-3"/>
        </w:rPr>
        <w:t> </w:t>
      </w:r>
      <w:r>
        <w:rPr/>
        <w:t>the</w:t>
      </w:r>
      <w:r>
        <w:rPr>
          <w:spacing w:val="-8"/>
        </w:rPr>
        <w:t> </w:t>
      </w:r>
      <w:r>
        <w:rPr/>
        <w:t>issue</w:t>
      </w:r>
      <w:r>
        <w:rPr>
          <w:spacing w:val="-7"/>
        </w:rPr>
        <w:t> </w:t>
      </w:r>
      <w:r>
        <w:rPr/>
        <w:t>in</w:t>
      </w:r>
      <w:r>
        <w:rPr>
          <w:spacing w:val="-8"/>
        </w:rPr>
        <w:t> </w:t>
      </w:r>
      <w:r>
        <w:rPr/>
        <w:t>its</w:t>
      </w:r>
      <w:r>
        <w:rPr>
          <w:spacing w:val="-7"/>
        </w:rPr>
        <w:t> </w:t>
      </w:r>
      <w:r>
        <w:rPr/>
        <w:t>discussion</w:t>
      </w:r>
      <w:r>
        <w:rPr>
          <w:spacing w:val="-8"/>
        </w:rPr>
        <w:t> </w:t>
      </w:r>
      <w:r>
        <w:rPr/>
        <w:t>of</w:t>
      </w:r>
      <w:r>
        <w:rPr>
          <w:spacing w:val="-3"/>
        </w:rPr>
        <w:t> </w:t>
      </w:r>
      <w:r>
        <w:rPr/>
        <w:t>the forecast for the February </w:t>
      </w:r>
      <w:r>
        <w:rPr>
          <w:i/>
        </w:rPr>
        <w:t>Inflation</w:t>
      </w:r>
      <w:r>
        <w:rPr>
          <w:i/>
          <w:spacing w:val="-28"/>
        </w:rPr>
        <w:t> </w:t>
      </w:r>
      <w:r>
        <w:rPr>
          <w:i/>
        </w:rPr>
        <w:t>Report</w:t>
      </w:r>
      <w:r>
        <w:rPr/>
        <w:t>.</w:t>
      </w:r>
    </w:p>
    <w:p>
      <w:pPr>
        <w:pStyle w:val="BodyText"/>
        <w:spacing w:before="5"/>
        <w:rPr>
          <w:sz w:val="32"/>
        </w:rPr>
      </w:pPr>
    </w:p>
    <w:p>
      <w:pPr>
        <w:pStyle w:val="Heading1"/>
        <w:spacing w:before="1"/>
      </w:pPr>
      <w:r>
        <w:rPr/>
        <w:t>Other considerations bearing on the decision this month</w:t>
      </w:r>
    </w:p>
    <w:p>
      <w:pPr>
        <w:pStyle w:val="BodyText"/>
        <w:rPr>
          <w:b/>
          <w:sz w:val="26"/>
        </w:rPr>
      </w:pPr>
    </w:p>
    <w:p>
      <w:pPr>
        <w:pStyle w:val="ListParagraph"/>
        <w:numPr>
          <w:ilvl w:val="0"/>
          <w:numId w:val="1"/>
        </w:numPr>
        <w:tabs>
          <w:tab w:pos="782" w:val="left" w:leader="none"/>
        </w:tabs>
        <w:spacing w:line="321" w:lineRule="auto" w:before="159" w:after="0"/>
        <w:ind w:left="421" w:right="294" w:firstLine="0"/>
        <w:jc w:val="left"/>
        <w:rPr>
          <w:sz w:val="24"/>
        </w:rPr>
      </w:pPr>
      <w:r>
        <w:rPr>
          <w:sz w:val="24"/>
        </w:rPr>
        <w:t>There were a number of reasons for expecting significant news </w:t>
      </w:r>
      <w:r>
        <w:rPr>
          <w:spacing w:val="3"/>
          <w:sz w:val="24"/>
        </w:rPr>
        <w:t>over </w:t>
      </w:r>
      <w:r>
        <w:rPr>
          <w:sz w:val="24"/>
        </w:rPr>
        <w:t>the next month. A large share of consumer spending happened around the Christmas period, and at the time of the January meeting</w:t>
      </w:r>
      <w:r>
        <w:rPr>
          <w:spacing w:val="-14"/>
          <w:sz w:val="24"/>
        </w:rPr>
        <w:t> </w:t>
      </w:r>
      <w:r>
        <w:rPr>
          <w:sz w:val="24"/>
        </w:rPr>
        <w:t>the</w:t>
      </w:r>
      <w:r>
        <w:rPr>
          <w:spacing w:val="-13"/>
          <w:sz w:val="24"/>
        </w:rPr>
        <w:t> </w:t>
      </w:r>
      <w:r>
        <w:rPr>
          <w:spacing w:val="3"/>
          <w:sz w:val="24"/>
        </w:rPr>
        <w:t>official</w:t>
      </w:r>
      <w:r>
        <w:rPr>
          <w:spacing w:val="-9"/>
          <w:sz w:val="24"/>
        </w:rPr>
        <w:t> </w:t>
      </w:r>
      <w:r>
        <w:rPr>
          <w:sz w:val="24"/>
        </w:rPr>
        <w:t>estimate</w:t>
      </w:r>
      <w:r>
        <w:rPr>
          <w:spacing w:val="-13"/>
          <w:sz w:val="24"/>
        </w:rPr>
        <w:t> </w:t>
      </w:r>
      <w:r>
        <w:rPr>
          <w:sz w:val="24"/>
        </w:rPr>
        <w:t>of</w:t>
      </w:r>
      <w:r>
        <w:rPr>
          <w:spacing w:val="-10"/>
          <w:sz w:val="24"/>
        </w:rPr>
        <w:t> </w:t>
      </w:r>
      <w:r>
        <w:rPr>
          <w:sz w:val="24"/>
        </w:rPr>
        <w:t>retail</w:t>
      </w:r>
      <w:r>
        <w:rPr>
          <w:spacing w:val="-12"/>
          <w:sz w:val="24"/>
        </w:rPr>
        <w:t> </w:t>
      </w:r>
      <w:r>
        <w:rPr>
          <w:sz w:val="24"/>
        </w:rPr>
        <w:t>sales</w:t>
      </w:r>
      <w:r>
        <w:rPr>
          <w:spacing w:val="-13"/>
          <w:sz w:val="24"/>
        </w:rPr>
        <w:t> </w:t>
      </w:r>
      <w:r>
        <w:rPr>
          <w:sz w:val="24"/>
        </w:rPr>
        <w:t>in</w:t>
      </w:r>
      <w:r>
        <w:rPr>
          <w:spacing w:val="-13"/>
          <w:sz w:val="24"/>
        </w:rPr>
        <w:t> </w:t>
      </w:r>
      <w:r>
        <w:rPr>
          <w:sz w:val="24"/>
        </w:rPr>
        <w:t>December</w:t>
      </w:r>
      <w:r>
        <w:rPr>
          <w:spacing w:val="-13"/>
          <w:sz w:val="24"/>
        </w:rPr>
        <w:t> </w:t>
      </w:r>
      <w:r>
        <w:rPr>
          <w:sz w:val="24"/>
        </w:rPr>
        <w:t>was</w:t>
      </w:r>
      <w:r>
        <w:rPr>
          <w:spacing w:val="-13"/>
          <w:sz w:val="24"/>
        </w:rPr>
        <w:t> </w:t>
      </w:r>
      <w:r>
        <w:rPr>
          <w:sz w:val="24"/>
        </w:rPr>
        <w:t>not</w:t>
      </w:r>
      <w:r>
        <w:rPr>
          <w:spacing w:val="-10"/>
          <w:sz w:val="24"/>
        </w:rPr>
        <w:t> </w:t>
      </w:r>
      <w:r>
        <w:rPr>
          <w:sz w:val="24"/>
        </w:rPr>
        <w:t>available.</w:t>
      </w:r>
      <w:r>
        <w:rPr>
          <w:spacing w:val="34"/>
          <w:sz w:val="24"/>
        </w:rPr>
        <w:t> </w:t>
      </w:r>
      <w:r>
        <w:rPr>
          <w:sz w:val="24"/>
        </w:rPr>
        <w:t>But</w:t>
      </w:r>
      <w:r>
        <w:rPr>
          <w:spacing w:val="-10"/>
          <w:sz w:val="24"/>
        </w:rPr>
        <w:t> </w:t>
      </w:r>
      <w:r>
        <w:rPr>
          <w:sz w:val="24"/>
        </w:rPr>
        <w:t>given</w:t>
      </w:r>
      <w:r>
        <w:rPr>
          <w:spacing w:val="-13"/>
          <w:sz w:val="24"/>
        </w:rPr>
        <w:t> </w:t>
      </w:r>
      <w:r>
        <w:rPr>
          <w:sz w:val="24"/>
        </w:rPr>
        <w:t>the</w:t>
      </w:r>
      <w:r>
        <w:rPr>
          <w:spacing w:val="-13"/>
          <w:sz w:val="24"/>
        </w:rPr>
        <w:t> </w:t>
      </w:r>
      <w:r>
        <w:rPr>
          <w:sz w:val="24"/>
        </w:rPr>
        <w:t>difficulty in</w:t>
      </w:r>
      <w:r>
        <w:rPr>
          <w:spacing w:val="-11"/>
          <w:sz w:val="24"/>
        </w:rPr>
        <w:t> </w:t>
      </w:r>
      <w:r>
        <w:rPr>
          <w:sz w:val="24"/>
        </w:rPr>
        <w:t>seasonally</w:t>
      </w:r>
      <w:r>
        <w:rPr>
          <w:spacing w:val="-10"/>
          <w:sz w:val="24"/>
        </w:rPr>
        <w:t> </w:t>
      </w:r>
      <w:r>
        <w:rPr>
          <w:sz w:val="24"/>
        </w:rPr>
        <w:t>adjusting</w:t>
      </w:r>
      <w:r>
        <w:rPr>
          <w:spacing w:val="-10"/>
          <w:sz w:val="24"/>
        </w:rPr>
        <w:t> </w:t>
      </w:r>
      <w:r>
        <w:rPr>
          <w:sz w:val="24"/>
        </w:rPr>
        <w:t>the</w:t>
      </w:r>
      <w:r>
        <w:rPr>
          <w:spacing w:val="-10"/>
          <w:sz w:val="24"/>
        </w:rPr>
        <w:t> </w:t>
      </w:r>
      <w:r>
        <w:rPr>
          <w:sz w:val="24"/>
        </w:rPr>
        <w:t>data</w:t>
      </w:r>
      <w:r>
        <w:rPr>
          <w:spacing w:val="-11"/>
          <w:sz w:val="24"/>
        </w:rPr>
        <w:t> </w:t>
      </w:r>
      <w:r>
        <w:rPr>
          <w:sz w:val="24"/>
        </w:rPr>
        <w:t>at</w:t>
      </w:r>
      <w:r>
        <w:rPr>
          <w:spacing w:val="-6"/>
          <w:sz w:val="24"/>
        </w:rPr>
        <w:t> </w:t>
      </w:r>
      <w:r>
        <w:rPr>
          <w:sz w:val="24"/>
        </w:rPr>
        <w:t>this</w:t>
      </w:r>
      <w:r>
        <w:rPr>
          <w:spacing w:val="-10"/>
          <w:sz w:val="24"/>
        </w:rPr>
        <w:t> </w:t>
      </w:r>
      <w:r>
        <w:rPr>
          <w:sz w:val="24"/>
        </w:rPr>
        <w:t>time</w:t>
      </w:r>
      <w:r>
        <w:rPr>
          <w:spacing w:val="-10"/>
          <w:sz w:val="24"/>
        </w:rPr>
        <w:t> </w:t>
      </w:r>
      <w:r>
        <w:rPr>
          <w:sz w:val="24"/>
        </w:rPr>
        <w:t>of</w:t>
      </w:r>
      <w:r>
        <w:rPr>
          <w:spacing w:val="-7"/>
          <w:sz w:val="24"/>
        </w:rPr>
        <w:t> </w:t>
      </w:r>
      <w:r>
        <w:rPr>
          <w:sz w:val="24"/>
        </w:rPr>
        <w:t>the</w:t>
      </w:r>
      <w:r>
        <w:rPr>
          <w:spacing w:val="-10"/>
          <w:sz w:val="24"/>
        </w:rPr>
        <w:t> </w:t>
      </w:r>
      <w:r>
        <w:rPr>
          <w:sz w:val="24"/>
        </w:rPr>
        <w:t>year,</w:t>
      </w:r>
      <w:r>
        <w:rPr>
          <w:spacing w:val="-10"/>
          <w:sz w:val="24"/>
        </w:rPr>
        <w:t> </w:t>
      </w:r>
      <w:r>
        <w:rPr>
          <w:sz w:val="24"/>
        </w:rPr>
        <w:t>it</w:t>
      </w:r>
      <w:r>
        <w:rPr>
          <w:spacing w:val="-6"/>
          <w:sz w:val="24"/>
        </w:rPr>
        <w:t> </w:t>
      </w:r>
      <w:r>
        <w:rPr>
          <w:sz w:val="24"/>
        </w:rPr>
        <w:t>would</w:t>
      </w:r>
      <w:r>
        <w:rPr>
          <w:spacing w:val="-10"/>
          <w:sz w:val="24"/>
        </w:rPr>
        <w:t> </w:t>
      </w:r>
      <w:r>
        <w:rPr>
          <w:sz w:val="24"/>
        </w:rPr>
        <w:t>be</w:t>
      </w:r>
      <w:r>
        <w:rPr>
          <w:spacing w:val="-11"/>
          <w:sz w:val="24"/>
        </w:rPr>
        <w:t> </w:t>
      </w:r>
      <w:r>
        <w:rPr>
          <w:sz w:val="24"/>
        </w:rPr>
        <w:t>some</w:t>
      </w:r>
      <w:r>
        <w:rPr>
          <w:spacing w:val="-10"/>
          <w:sz w:val="24"/>
        </w:rPr>
        <w:t> </w:t>
      </w:r>
      <w:r>
        <w:rPr>
          <w:sz w:val="24"/>
        </w:rPr>
        <w:t>time</w:t>
      </w:r>
      <w:r>
        <w:rPr>
          <w:spacing w:val="-10"/>
          <w:sz w:val="24"/>
        </w:rPr>
        <w:t> </w:t>
      </w:r>
      <w:r>
        <w:rPr>
          <w:sz w:val="24"/>
        </w:rPr>
        <w:t>before</w:t>
      </w:r>
      <w:r>
        <w:rPr>
          <w:spacing w:val="-10"/>
          <w:sz w:val="24"/>
        </w:rPr>
        <w:t> </w:t>
      </w:r>
      <w:r>
        <w:rPr>
          <w:sz w:val="24"/>
        </w:rPr>
        <w:t>the</w:t>
      </w:r>
      <w:r>
        <w:rPr>
          <w:spacing w:val="-11"/>
          <w:sz w:val="24"/>
        </w:rPr>
        <w:t> </w:t>
      </w:r>
      <w:r>
        <w:rPr>
          <w:sz w:val="24"/>
        </w:rPr>
        <w:t>full</w:t>
      </w:r>
      <w:r>
        <w:rPr>
          <w:spacing w:val="-10"/>
          <w:sz w:val="24"/>
        </w:rPr>
        <w:t> </w:t>
      </w:r>
      <w:r>
        <w:rPr>
          <w:sz w:val="24"/>
        </w:rPr>
        <w:t>picture became clear. The first estimate of Q4 GDP would also become available by the time of the February meeting. In addition, it would be possible </w:t>
      </w:r>
      <w:r>
        <w:rPr>
          <w:spacing w:val="2"/>
          <w:sz w:val="24"/>
        </w:rPr>
        <w:t>to </w:t>
      </w:r>
      <w:r>
        <w:rPr>
          <w:spacing w:val="3"/>
          <w:sz w:val="24"/>
        </w:rPr>
        <w:t>observe </w:t>
      </w:r>
      <w:r>
        <w:rPr>
          <w:sz w:val="24"/>
        </w:rPr>
        <w:t>the first settlements relating to January, which is an important month for pay agreements. Furthermore, it was still early </w:t>
      </w:r>
      <w:r>
        <w:rPr>
          <w:spacing w:val="2"/>
          <w:sz w:val="24"/>
        </w:rPr>
        <w:t>to </w:t>
      </w:r>
      <w:r>
        <w:rPr>
          <w:sz w:val="24"/>
        </w:rPr>
        <w:t>assess the impact of the introduction of the</w:t>
      </w:r>
      <w:r>
        <w:rPr>
          <w:spacing w:val="24"/>
          <w:sz w:val="24"/>
        </w:rPr>
        <w:t> </w:t>
      </w:r>
      <w:r>
        <w:rPr>
          <w:sz w:val="24"/>
        </w:rPr>
        <w:t>euro.</w:t>
      </w:r>
    </w:p>
    <w:p>
      <w:pPr>
        <w:pStyle w:val="BodyText"/>
        <w:spacing w:before="5"/>
        <w:rPr>
          <w:sz w:val="32"/>
        </w:rPr>
      </w:pPr>
    </w:p>
    <w:p>
      <w:pPr>
        <w:pStyle w:val="Heading1"/>
      </w:pPr>
      <w:r>
        <w:rPr/>
        <w:t>The immediate policy decision</w:t>
      </w:r>
    </w:p>
    <w:p>
      <w:pPr>
        <w:pStyle w:val="BodyText"/>
        <w:rPr>
          <w:b/>
          <w:sz w:val="26"/>
        </w:rPr>
      </w:pPr>
    </w:p>
    <w:p>
      <w:pPr>
        <w:pStyle w:val="ListParagraph"/>
        <w:numPr>
          <w:ilvl w:val="0"/>
          <w:numId w:val="1"/>
        </w:numPr>
        <w:tabs>
          <w:tab w:pos="782" w:val="left" w:leader="none"/>
        </w:tabs>
        <w:spacing w:line="321" w:lineRule="auto" w:before="159" w:after="0"/>
        <w:ind w:left="421" w:right="681" w:firstLine="0"/>
        <w:jc w:val="left"/>
        <w:rPr>
          <w:sz w:val="24"/>
        </w:rPr>
      </w:pPr>
      <w:r>
        <w:rPr>
          <w:sz w:val="24"/>
        </w:rPr>
        <w:t>The Committee concluded that the prospects for global activity and prices were as bad as expected a month ago, and that the risks remained clearly on the downside. Some Committee members</w:t>
      </w:r>
      <w:r>
        <w:rPr>
          <w:spacing w:val="-9"/>
          <w:sz w:val="24"/>
        </w:rPr>
        <w:t> </w:t>
      </w:r>
      <w:r>
        <w:rPr>
          <w:sz w:val="24"/>
        </w:rPr>
        <w:t>thought</w:t>
      </w:r>
      <w:r>
        <w:rPr>
          <w:spacing w:val="-5"/>
          <w:sz w:val="24"/>
        </w:rPr>
        <w:t> </w:t>
      </w:r>
      <w:r>
        <w:rPr>
          <w:sz w:val="24"/>
        </w:rPr>
        <w:t>that</w:t>
      </w:r>
      <w:r>
        <w:rPr>
          <w:spacing w:val="-4"/>
          <w:sz w:val="24"/>
        </w:rPr>
        <w:t> </w:t>
      </w:r>
      <w:r>
        <w:rPr>
          <w:sz w:val="24"/>
        </w:rPr>
        <w:t>these</w:t>
      </w:r>
      <w:r>
        <w:rPr>
          <w:spacing w:val="-9"/>
          <w:sz w:val="24"/>
        </w:rPr>
        <w:t> </w:t>
      </w:r>
      <w:r>
        <w:rPr>
          <w:sz w:val="24"/>
        </w:rPr>
        <w:t>risks</w:t>
      </w:r>
      <w:r>
        <w:rPr>
          <w:spacing w:val="-7"/>
          <w:sz w:val="24"/>
        </w:rPr>
        <w:t> </w:t>
      </w:r>
      <w:r>
        <w:rPr>
          <w:sz w:val="24"/>
        </w:rPr>
        <w:t>had</w:t>
      </w:r>
      <w:r>
        <w:rPr>
          <w:spacing w:val="-8"/>
          <w:sz w:val="24"/>
        </w:rPr>
        <w:t> </w:t>
      </w:r>
      <w:r>
        <w:rPr>
          <w:sz w:val="24"/>
        </w:rPr>
        <w:t>increased</w:t>
      </w:r>
      <w:r>
        <w:rPr>
          <w:spacing w:val="-9"/>
          <w:sz w:val="24"/>
        </w:rPr>
        <w:t> </w:t>
      </w:r>
      <w:r>
        <w:rPr>
          <w:sz w:val="24"/>
        </w:rPr>
        <w:t>somewhat</w:t>
      </w:r>
      <w:r>
        <w:rPr>
          <w:spacing w:val="-5"/>
          <w:sz w:val="24"/>
        </w:rPr>
        <w:t> </w:t>
      </w:r>
      <w:r>
        <w:rPr>
          <w:sz w:val="24"/>
        </w:rPr>
        <w:t>in</w:t>
      </w:r>
      <w:r>
        <w:rPr>
          <w:spacing w:val="-8"/>
          <w:sz w:val="24"/>
        </w:rPr>
        <w:t> </w:t>
      </w:r>
      <w:r>
        <w:rPr>
          <w:sz w:val="24"/>
        </w:rPr>
        <w:t>the</w:t>
      </w:r>
      <w:r>
        <w:rPr>
          <w:spacing w:val="-9"/>
          <w:sz w:val="24"/>
        </w:rPr>
        <w:t> </w:t>
      </w:r>
      <w:r>
        <w:rPr>
          <w:sz w:val="24"/>
        </w:rPr>
        <w:t>past</w:t>
      </w:r>
      <w:r>
        <w:rPr>
          <w:spacing w:val="-4"/>
          <w:sz w:val="24"/>
        </w:rPr>
        <w:t> </w:t>
      </w:r>
      <w:r>
        <w:rPr>
          <w:sz w:val="24"/>
        </w:rPr>
        <w:t>month,</w:t>
      </w:r>
      <w:r>
        <w:rPr>
          <w:spacing w:val="-9"/>
          <w:sz w:val="24"/>
        </w:rPr>
        <w:t> </w:t>
      </w:r>
      <w:r>
        <w:rPr>
          <w:sz w:val="24"/>
        </w:rPr>
        <w:t>and</w:t>
      </w:r>
      <w:r>
        <w:rPr>
          <w:spacing w:val="-9"/>
          <w:sz w:val="24"/>
        </w:rPr>
        <w:t> </w:t>
      </w:r>
      <w:r>
        <w:rPr>
          <w:sz w:val="24"/>
        </w:rPr>
        <w:t>that</w:t>
      </w:r>
      <w:r>
        <w:rPr>
          <w:spacing w:val="-4"/>
          <w:sz w:val="24"/>
        </w:rPr>
        <w:t> </w:t>
      </w:r>
      <w:r>
        <w:rPr>
          <w:sz w:val="24"/>
        </w:rPr>
        <w:t>it</w:t>
      </w:r>
      <w:r>
        <w:rPr>
          <w:spacing w:val="-5"/>
          <w:sz w:val="24"/>
        </w:rPr>
        <w:t> </w:t>
      </w:r>
      <w:r>
        <w:rPr>
          <w:sz w:val="24"/>
        </w:rPr>
        <w:t>seemed likely that the adjustment of the world economy </w:t>
      </w:r>
      <w:r>
        <w:rPr>
          <w:spacing w:val="2"/>
          <w:sz w:val="24"/>
        </w:rPr>
        <w:t>to </w:t>
      </w:r>
      <w:r>
        <w:rPr>
          <w:sz w:val="24"/>
        </w:rPr>
        <w:t>past demand shocks would prove more prolonged than some forecasts currently</w:t>
      </w:r>
      <w:r>
        <w:rPr>
          <w:spacing w:val="4"/>
          <w:sz w:val="24"/>
        </w:rPr>
        <w:t> </w:t>
      </w:r>
      <w:r>
        <w:rPr>
          <w:sz w:val="24"/>
        </w:rPr>
        <w:t>assumed.</w:t>
      </w:r>
    </w:p>
    <w:p>
      <w:pPr>
        <w:pStyle w:val="BodyText"/>
        <w:spacing w:before="1"/>
        <w:rPr>
          <w:sz w:val="32"/>
        </w:rPr>
      </w:pPr>
    </w:p>
    <w:p>
      <w:pPr>
        <w:pStyle w:val="ListParagraph"/>
        <w:numPr>
          <w:ilvl w:val="0"/>
          <w:numId w:val="1"/>
        </w:numPr>
        <w:tabs>
          <w:tab w:pos="782" w:val="left" w:leader="none"/>
        </w:tabs>
        <w:spacing w:line="321" w:lineRule="auto" w:before="0" w:after="0"/>
        <w:ind w:left="421" w:right="286" w:firstLine="0"/>
        <w:jc w:val="left"/>
        <w:rPr>
          <w:sz w:val="24"/>
        </w:rPr>
      </w:pPr>
      <w:r>
        <w:rPr>
          <w:sz w:val="24"/>
        </w:rPr>
        <w:t>The</w:t>
      </w:r>
      <w:r>
        <w:rPr>
          <w:spacing w:val="-9"/>
          <w:sz w:val="24"/>
        </w:rPr>
        <w:t> </w:t>
      </w:r>
      <w:r>
        <w:rPr>
          <w:sz w:val="24"/>
        </w:rPr>
        <w:t>main</w:t>
      </w:r>
      <w:r>
        <w:rPr>
          <w:spacing w:val="-10"/>
          <w:sz w:val="24"/>
        </w:rPr>
        <w:t> </w:t>
      </w:r>
      <w:r>
        <w:rPr>
          <w:sz w:val="24"/>
        </w:rPr>
        <w:t>domestic</w:t>
      </w:r>
      <w:r>
        <w:rPr>
          <w:spacing w:val="-10"/>
          <w:sz w:val="24"/>
        </w:rPr>
        <w:t> </w:t>
      </w:r>
      <w:r>
        <w:rPr>
          <w:sz w:val="24"/>
        </w:rPr>
        <w:t>news</w:t>
      </w:r>
      <w:r>
        <w:rPr>
          <w:spacing w:val="-10"/>
          <w:sz w:val="24"/>
        </w:rPr>
        <w:t> </w:t>
      </w:r>
      <w:r>
        <w:rPr>
          <w:sz w:val="24"/>
        </w:rPr>
        <w:t>on</w:t>
      </w:r>
      <w:r>
        <w:rPr>
          <w:spacing w:val="-6"/>
          <w:sz w:val="24"/>
        </w:rPr>
        <w:t> </w:t>
      </w:r>
      <w:r>
        <w:rPr>
          <w:sz w:val="24"/>
        </w:rPr>
        <w:t>the</w:t>
      </w:r>
      <w:r>
        <w:rPr>
          <w:spacing w:val="-10"/>
          <w:sz w:val="24"/>
        </w:rPr>
        <w:t> </w:t>
      </w:r>
      <w:r>
        <w:rPr>
          <w:sz w:val="24"/>
        </w:rPr>
        <w:t>real</w:t>
      </w:r>
      <w:r>
        <w:rPr>
          <w:spacing w:val="-9"/>
          <w:sz w:val="24"/>
        </w:rPr>
        <w:t> </w:t>
      </w:r>
      <w:r>
        <w:rPr>
          <w:sz w:val="24"/>
        </w:rPr>
        <w:t>side</w:t>
      </w:r>
      <w:r>
        <w:rPr>
          <w:spacing w:val="-10"/>
          <w:sz w:val="24"/>
        </w:rPr>
        <w:t> </w:t>
      </w:r>
      <w:r>
        <w:rPr>
          <w:sz w:val="24"/>
        </w:rPr>
        <w:t>of</w:t>
      </w:r>
      <w:r>
        <w:rPr>
          <w:spacing w:val="-6"/>
          <w:sz w:val="24"/>
        </w:rPr>
        <w:t> </w:t>
      </w:r>
      <w:r>
        <w:rPr>
          <w:sz w:val="24"/>
        </w:rPr>
        <w:t>the</w:t>
      </w:r>
      <w:r>
        <w:rPr>
          <w:spacing w:val="-10"/>
          <w:sz w:val="24"/>
        </w:rPr>
        <w:t> </w:t>
      </w:r>
      <w:r>
        <w:rPr>
          <w:sz w:val="24"/>
        </w:rPr>
        <w:t>economy</w:t>
      </w:r>
      <w:r>
        <w:rPr>
          <w:spacing w:val="-10"/>
          <w:sz w:val="24"/>
        </w:rPr>
        <w:t> </w:t>
      </w:r>
      <w:r>
        <w:rPr>
          <w:sz w:val="24"/>
        </w:rPr>
        <w:t>had</w:t>
      </w:r>
      <w:r>
        <w:rPr>
          <w:spacing w:val="-10"/>
          <w:sz w:val="24"/>
        </w:rPr>
        <w:t> </w:t>
      </w:r>
      <w:r>
        <w:rPr>
          <w:sz w:val="24"/>
        </w:rPr>
        <w:t>been</w:t>
      </w:r>
      <w:r>
        <w:rPr>
          <w:spacing w:val="-10"/>
          <w:sz w:val="24"/>
        </w:rPr>
        <w:t> </w:t>
      </w:r>
      <w:r>
        <w:rPr>
          <w:sz w:val="24"/>
        </w:rPr>
        <w:t>the</w:t>
      </w:r>
      <w:r>
        <w:rPr>
          <w:spacing w:val="-10"/>
          <w:sz w:val="24"/>
        </w:rPr>
        <w:t> </w:t>
      </w:r>
      <w:r>
        <w:rPr>
          <w:sz w:val="24"/>
        </w:rPr>
        <w:t>small</w:t>
      </w:r>
      <w:r>
        <w:rPr>
          <w:spacing w:val="-11"/>
          <w:sz w:val="24"/>
        </w:rPr>
        <w:t> </w:t>
      </w:r>
      <w:r>
        <w:rPr>
          <w:sz w:val="24"/>
        </w:rPr>
        <w:t>downward</w:t>
      </w:r>
      <w:r>
        <w:rPr>
          <w:spacing w:val="-10"/>
          <w:sz w:val="24"/>
        </w:rPr>
        <w:t> </w:t>
      </w:r>
      <w:r>
        <w:rPr>
          <w:sz w:val="24"/>
        </w:rPr>
        <w:t>revision </w:t>
      </w:r>
      <w:r>
        <w:rPr>
          <w:spacing w:val="2"/>
          <w:sz w:val="24"/>
        </w:rPr>
        <w:t>to </w:t>
      </w:r>
      <w:r>
        <w:rPr>
          <w:sz w:val="24"/>
        </w:rPr>
        <w:t>the level of GDP and the change in the composition of GDP growth, especially the downward revision </w:t>
      </w:r>
      <w:r>
        <w:rPr>
          <w:spacing w:val="2"/>
          <w:sz w:val="24"/>
        </w:rPr>
        <w:t>to </w:t>
      </w:r>
      <w:r>
        <w:rPr>
          <w:sz w:val="24"/>
        </w:rPr>
        <w:t>consumption. On the </w:t>
      </w:r>
      <w:r>
        <w:rPr>
          <w:spacing w:val="3"/>
          <w:sz w:val="24"/>
        </w:rPr>
        <w:t>other </w:t>
      </w:r>
      <w:r>
        <w:rPr>
          <w:sz w:val="24"/>
        </w:rPr>
        <w:t>hand the recent news on retail sales was mixed, while the data on notes and coin, and world stock markets pointed </w:t>
      </w:r>
      <w:r>
        <w:rPr>
          <w:spacing w:val="2"/>
          <w:sz w:val="24"/>
        </w:rPr>
        <w:t>to </w:t>
      </w:r>
      <w:r>
        <w:rPr>
          <w:sz w:val="24"/>
        </w:rPr>
        <w:t>a stronger </w:t>
      </w:r>
      <w:r>
        <w:rPr>
          <w:spacing w:val="3"/>
          <w:sz w:val="24"/>
        </w:rPr>
        <w:t>outlook </w:t>
      </w:r>
      <w:r>
        <w:rPr>
          <w:sz w:val="24"/>
        </w:rPr>
        <w:t>for activity. And some of the surveys were perhaps not as weak as they had been a month ago. Nonetheless, recent indicators suggested that GDP growth in the fourth quarter of 1998 would turn </w:t>
      </w:r>
      <w:r>
        <w:rPr>
          <w:spacing w:val="2"/>
          <w:sz w:val="24"/>
        </w:rPr>
        <w:t>out </w:t>
      </w:r>
      <w:r>
        <w:rPr>
          <w:sz w:val="24"/>
        </w:rPr>
        <w:t>broadly as expected at the time of the November </w:t>
      </w:r>
      <w:r>
        <w:rPr>
          <w:i/>
          <w:sz w:val="24"/>
        </w:rPr>
        <w:t>Report</w:t>
      </w:r>
      <w:r>
        <w:rPr>
          <w:sz w:val="24"/>
        </w:rPr>
        <w:t>. The labour market remained tight, but seemed to have reached a turning</w:t>
      </w:r>
      <w:r>
        <w:rPr>
          <w:spacing w:val="8"/>
          <w:sz w:val="24"/>
        </w:rPr>
        <w:t> </w:t>
      </w:r>
      <w:r>
        <w:rPr>
          <w:sz w:val="24"/>
        </w:rPr>
        <w:t>point.</w:t>
      </w:r>
    </w:p>
    <w:p>
      <w:pPr>
        <w:pStyle w:val="BodyText"/>
        <w:rPr>
          <w:sz w:val="32"/>
        </w:rPr>
      </w:pPr>
    </w:p>
    <w:p>
      <w:pPr>
        <w:pStyle w:val="ListParagraph"/>
        <w:numPr>
          <w:ilvl w:val="0"/>
          <w:numId w:val="1"/>
        </w:numPr>
        <w:tabs>
          <w:tab w:pos="782" w:val="left" w:leader="none"/>
        </w:tabs>
        <w:spacing w:line="321" w:lineRule="auto" w:before="0" w:after="0"/>
        <w:ind w:left="421" w:right="455" w:firstLine="0"/>
        <w:jc w:val="left"/>
        <w:rPr>
          <w:sz w:val="24"/>
        </w:rPr>
      </w:pPr>
      <w:r>
        <w:rPr>
          <w:sz w:val="24"/>
        </w:rPr>
        <w:t>Given the picture for activity, nominal price and cost developments continued </w:t>
      </w:r>
      <w:r>
        <w:rPr>
          <w:spacing w:val="2"/>
          <w:sz w:val="24"/>
        </w:rPr>
        <w:t>to </w:t>
      </w:r>
      <w:r>
        <w:rPr>
          <w:sz w:val="24"/>
        </w:rPr>
        <w:t>be more benign</w:t>
      </w:r>
      <w:r>
        <w:rPr>
          <w:spacing w:val="-10"/>
          <w:sz w:val="24"/>
        </w:rPr>
        <w:t> </w:t>
      </w:r>
      <w:r>
        <w:rPr>
          <w:sz w:val="24"/>
        </w:rPr>
        <w:t>than</w:t>
      </w:r>
      <w:r>
        <w:rPr>
          <w:spacing w:val="-9"/>
          <w:sz w:val="24"/>
        </w:rPr>
        <w:t> </w:t>
      </w:r>
      <w:r>
        <w:rPr>
          <w:sz w:val="24"/>
        </w:rPr>
        <w:t>expected</w:t>
      </w:r>
      <w:r>
        <w:rPr>
          <w:spacing w:val="-9"/>
          <w:sz w:val="24"/>
        </w:rPr>
        <w:t> </w:t>
      </w:r>
      <w:r>
        <w:rPr>
          <w:sz w:val="24"/>
        </w:rPr>
        <w:t>at</w:t>
      </w:r>
      <w:r>
        <w:rPr>
          <w:spacing w:val="-5"/>
          <w:sz w:val="24"/>
        </w:rPr>
        <w:t> </w:t>
      </w:r>
      <w:r>
        <w:rPr>
          <w:sz w:val="24"/>
        </w:rPr>
        <w:t>the</w:t>
      </w:r>
      <w:r>
        <w:rPr>
          <w:spacing w:val="-9"/>
          <w:sz w:val="24"/>
        </w:rPr>
        <w:t> </w:t>
      </w:r>
      <w:r>
        <w:rPr>
          <w:sz w:val="24"/>
        </w:rPr>
        <w:t>time</w:t>
      </w:r>
      <w:r>
        <w:rPr>
          <w:spacing w:val="-9"/>
          <w:sz w:val="24"/>
        </w:rPr>
        <w:t> </w:t>
      </w:r>
      <w:r>
        <w:rPr>
          <w:sz w:val="24"/>
        </w:rPr>
        <w:t>of</w:t>
      </w:r>
      <w:r>
        <w:rPr>
          <w:spacing w:val="-5"/>
          <w:sz w:val="24"/>
        </w:rPr>
        <w:t> </w:t>
      </w:r>
      <w:r>
        <w:rPr>
          <w:sz w:val="24"/>
        </w:rPr>
        <w:t>the</w:t>
      </w:r>
      <w:r>
        <w:rPr>
          <w:spacing w:val="-9"/>
          <w:sz w:val="24"/>
        </w:rPr>
        <w:t> </w:t>
      </w:r>
      <w:r>
        <w:rPr>
          <w:sz w:val="24"/>
        </w:rPr>
        <w:t>November</w:t>
      </w:r>
      <w:r>
        <w:rPr>
          <w:spacing w:val="-9"/>
          <w:sz w:val="24"/>
        </w:rPr>
        <w:t> </w:t>
      </w:r>
      <w:r>
        <w:rPr>
          <w:sz w:val="24"/>
        </w:rPr>
        <w:t>projections</w:t>
      </w:r>
      <w:r>
        <w:rPr>
          <w:spacing w:val="-9"/>
          <w:sz w:val="24"/>
        </w:rPr>
        <w:t> </w:t>
      </w:r>
      <w:r>
        <w:rPr>
          <w:sz w:val="24"/>
        </w:rPr>
        <w:t>and,</w:t>
      </w:r>
      <w:r>
        <w:rPr>
          <w:spacing w:val="-9"/>
          <w:sz w:val="24"/>
        </w:rPr>
        <w:t> </w:t>
      </w:r>
      <w:r>
        <w:rPr>
          <w:sz w:val="24"/>
        </w:rPr>
        <w:t>on</w:t>
      </w:r>
      <w:r>
        <w:rPr>
          <w:spacing w:val="-5"/>
          <w:sz w:val="24"/>
        </w:rPr>
        <w:t> </w:t>
      </w:r>
      <w:r>
        <w:rPr>
          <w:sz w:val="24"/>
        </w:rPr>
        <w:t>the</w:t>
      </w:r>
      <w:r>
        <w:rPr>
          <w:spacing w:val="-9"/>
          <w:sz w:val="24"/>
        </w:rPr>
        <w:t> </w:t>
      </w:r>
      <w:r>
        <w:rPr>
          <w:sz w:val="24"/>
        </w:rPr>
        <w:t>view</w:t>
      </w:r>
      <w:r>
        <w:rPr>
          <w:spacing w:val="-9"/>
          <w:sz w:val="24"/>
        </w:rPr>
        <w:t> </w:t>
      </w:r>
      <w:r>
        <w:rPr>
          <w:sz w:val="24"/>
        </w:rPr>
        <w:t>of</w:t>
      </w:r>
      <w:r>
        <w:rPr>
          <w:spacing w:val="-5"/>
          <w:sz w:val="24"/>
        </w:rPr>
        <w:t> </w:t>
      </w:r>
      <w:r>
        <w:rPr>
          <w:sz w:val="24"/>
        </w:rPr>
        <w:t>some</w:t>
      </w:r>
      <w:r>
        <w:rPr>
          <w:spacing w:val="-9"/>
          <w:sz w:val="24"/>
        </w:rPr>
        <w:t> </w:t>
      </w:r>
      <w:r>
        <w:rPr>
          <w:sz w:val="24"/>
        </w:rPr>
        <w:t>members, than expected in December. The fall in the </w:t>
      </w:r>
      <w:r>
        <w:rPr>
          <w:spacing w:val="2"/>
          <w:sz w:val="24"/>
        </w:rPr>
        <w:t>oil </w:t>
      </w:r>
      <w:r>
        <w:rPr>
          <w:sz w:val="24"/>
        </w:rPr>
        <w:t>price in November had largely persisted through December. Producer input prices had continued </w:t>
      </w:r>
      <w:r>
        <w:rPr>
          <w:spacing w:val="2"/>
          <w:sz w:val="24"/>
        </w:rPr>
        <w:t>to </w:t>
      </w:r>
      <w:r>
        <w:rPr>
          <w:sz w:val="24"/>
        </w:rPr>
        <w:t>fall. Evidence from wage settlements and the </w:t>
      </w:r>
      <w:r>
        <w:rPr>
          <w:spacing w:val="-6"/>
          <w:sz w:val="24"/>
        </w:rPr>
        <w:t>Bank’s </w:t>
      </w:r>
      <w:r>
        <w:rPr>
          <w:sz w:val="24"/>
        </w:rPr>
        <w:t>regional Agents suggested an easing of upward pressures on the rate of increase of</w:t>
      </w:r>
      <w:r>
        <w:rPr>
          <w:spacing w:val="-33"/>
          <w:sz w:val="24"/>
        </w:rPr>
        <w:t> </w:t>
      </w:r>
      <w:r>
        <w:rPr>
          <w:sz w:val="24"/>
        </w:rPr>
        <w:t>pay.</w:t>
      </w:r>
    </w:p>
    <w:p>
      <w:pPr>
        <w:pStyle w:val="BodyText"/>
        <w:rPr>
          <w:sz w:val="32"/>
        </w:rPr>
      </w:pPr>
    </w:p>
    <w:p>
      <w:pPr>
        <w:pStyle w:val="ListParagraph"/>
        <w:numPr>
          <w:ilvl w:val="0"/>
          <w:numId w:val="1"/>
        </w:numPr>
        <w:tabs>
          <w:tab w:pos="782" w:val="left" w:leader="none"/>
        </w:tabs>
        <w:spacing w:line="321" w:lineRule="auto" w:before="0" w:after="0"/>
        <w:ind w:left="421" w:right="364" w:firstLine="0"/>
        <w:jc w:val="left"/>
        <w:rPr>
          <w:sz w:val="24"/>
        </w:rPr>
      </w:pPr>
      <w:r>
        <w:rPr>
          <w:sz w:val="24"/>
        </w:rPr>
        <w:t>On </w:t>
      </w:r>
      <w:r>
        <w:rPr>
          <w:spacing w:val="2"/>
          <w:sz w:val="24"/>
        </w:rPr>
        <w:t>one </w:t>
      </w:r>
      <w:r>
        <w:rPr>
          <w:sz w:val="24"/>
        </w:rPr>
        <w:t>view, given that there was not much news on the month, there was merit in waiting to gather another </w:t>
      </w:r>
      <w:r>
        <w:rPr>
          <w:spacing w:val="-5"/>
          <w:sz w:val="24"/>
        </w:rPr>
        <w:t>month’s </w:t>
      </w:r>
      <w:r>
        <w:rPr>
          <w:sz w:val="24"/>
        </w:rPr>
        <w:t>evidence and for the quarterly </w:t>
      </w:r>
      <w:r>
        <w:rPr>
          <w:i/>
          <w:sz w:val="24"/>
        </w:rPr>
        <w:t>Inflation Report</w:t>
      </w:r>
      <w:r>
        <w:rPr>
          <w:sz w:val="24"/>
        </w:rPr>
        <w:t>. The coming month</w:t>
      </w:r>
      <w:r>
        <w:rPr>
          <w:spacing w:val="-35"/>
          <w:sz w:val="24"/>
        </w:rPr>
        <w:t> </w:t>
      </w:r>
      <w:r>
        <w:rPr>
          <w:sz w:val="24"/>
        </w:rPr>
        <w:t>would</w:t>
      </w:r>
    </w:p>
    <w:p>
      <w:pPr>
        <w:spacing w:after="0" w:line="321" w:lineRule="auto"/>
        <w:jc w:val="left"/>
        <w:rPr>
          <w:sz w:val="24"/>
        </w:rPr>
        <w:sectPr>
          <w:pgSz w:w="11900" w:h="16840"/>
          <w:pgMar w:header="729" w:footer="0" w:top="1060" w:bottom="280" w:left="860" w:right="880"/>
        </w:sectPr>
      </w:pPr>
    </w:p>
    <w:p>
      <w:pPr>
        <w:pStyle w:val="BodyText"/>
        <w:spacing w:line="321" w:lineRule="auto" w:before="80"/>
        <w:ind w:left="421" w:right="195"/>
      </w:pPr>
      <w:r>
        <w:rPr/>
        <w:t>see some important data on Q4 GDP and settlements, and it was possible that the outcome of the Average Earnings Index review would be known. There were just enough signs of continuing demand growth in the recent data for the next month’s data to be important to the policy decision. The quarterly forecasting round would provide an opportunity to reassess the level of interest rates. On balance, there was a case for pausing and making no change in interest rates this month. If in the event the evidence warranted it, a larger reduction in rates could be made next month.</w:t>
      </w:r>
    </w:p>
    <w:p>
      <w:pPr>
        <w:pStyle w:val="BodyText"/>
        <w:rPr>
          <w:sz w:val="32"/>
        </w:rPr>
      </w:pPr>
    </w:p>
    <w:p>
      <w:pPr>
        <w:pStyle w:val="ListParagraph"/>
        <w:numPr>
          <w:ilvl w:val="0"/>
          <w:numId w:val="1"/>
        </w:numPr>
        <w:tabs>
          <w:tab w:pos="782" w:val="left" w:leader="none"/>
        </w:tabs>
        <w:spacing w:line="321" w:lineRule="auto" w:before="0" w:after="0"/>
        <w:ind w:left="421" w:right="316" w:firstLine="0"/>
        <w:jc w:val="left"/>
        <w:rPr>
          <w:sz w:val="24"/>
        </w:rPr>
      </w:pPr>
      <w:r>
        <w:rPr>
          <w:sz w:val="24"/>
        </w:rPr>
        <w:t>Members identified several possible reasons for an immediate reduction in rates. The adjustment in the world economy was likely </w:t>
      </w:r>
      <w:r>
        <w:rPr>
          <w:spacing w:val="2"/>
          <w:sz w:val="24"/>
        </w:rPr>
        <w:t>to </w:t>
      </w:r>
      <w:r>
        <w:rPr>
          <w:sz w:val="24"/>
        </w:rPr>
        <w:t>prove more prolonged than previously assumed, with external demand for UK goods and services through 2000 correspondingly weaker. If so, there was less need for policy </w:t>
      </w:r>
      <w:r>
        <w:rPr>
          <w:spacing w:val="2"/>
          <w:sz w:val="24"/>
        </w:rPr>
        <w:t>to </w:t>
      </w:r>
      <w:r>
        <w:rPr>
          <w:sz w:val="24"/>
        </w:rPr>
        <w:t>put downward pressure on domestically generated inflation. In addition, the November </w:t>
      </w:r>
      <w:r>
        <w:rPr>
          <w:i/>
          <w:sz w:val="24"/>
        </w:rPr>
        <w:t>Inflation Report </w:t>
      </w:r>
      <w:r>
        <w:rPr>
          <w:sz w:val="24"/>
        </w:rPr>
        <w:t>central projection had also assumed robust real earnings growth and consumption. The revisions </w:t>
      </w:r>
      <w:r>
        <w:rPr>
          <w:spacing w:val="2"/>
          <w:sz w:val="24"/>
        </w:rPr>
        <w:t>to </w:t>
      </w:r>
      <w:r>
        <w:rPr>
          <w:sz w:val="24"/>
        </w:rPr>
        <w:t>the expenditure composition of domestic demand, together with the potential easing in the labour market and the apparent moderation of inflation expectations, suggested that the prospects for inflation looked weaker. A combination of these external</w:t>
      </w:r>
      <w:r>
        <w:rPr>
          <w:spacing w:val="-7"/>
          <w:sz w:val="24"/>
        </w:rPr>
        <w:t> </w:t>
      </w:r>
      <w:r>
        <w:rPr>
          <w:sz w:val="24"/>
        </w:rPr>
        <w:t>and</w:t>
      </w:r>
      <w:r>
        <w:rPr>
          <w:spacing w:val="-6"/>
          <w:sz w:val="24"/>
        </w:rPr>
        <w:t> </w:t>
      </w:r>
      <w:r>
        <w:rPr>
          <w:sz w:val="24"/>
        </w:rPr>
        <w:t>domestic</w:t>
      </w:r>
      <w:r>
        <w:rPr>
          <w:spacing w:val="-7"/>
          <w:sz w:val="24"/>
        </w:rPr>
        <w:t> </w:t>
      </w:r>
      <w:r>
        <w:rPr>
          <w:sz w:val="24"/>
        </w:rPr>
        <w:t>factors</w:t>
      </w:r>
      <w:r>
        <w:rPr>
          <w:spacing w:val="-6"/>
          <w:sz w:val="24"/>
        </w:rPr>
        <w:t> </w:t>
      </w:r>
      <w:r>
        <w:rPr>
          <w:sz w:val="24"/>
        </w:rPr>
        <w:t>suggested</w:t>
      </w:r>
      <w:r>
        <w:rPr>
          <w:spacing w:val="-6"/>
          <w:sz w:val="24"/>
        </w:rPr>
        <w:t> </w:t>
      </w:r>
      <w:r>
        <w:rPr>
          <w:sz w:val="24"/>
        </w:rPr>
        <w:t>that</w:t>
      </w:r>
      <w:r>
        <w:rPr>
          <w:spacing w:val="-2"/>
          <w:sz w:val="24"/>
        </w:rPr>
        <w:t> </w:t>
      </w:r>
      <w:r>
        <w:rPr>
          <w:sz w:val="24"/>
        </w:rPr>
        <w:t>a</w:t>
      </w:r>
      <w:r>
        <w:rPr>
          <w:spacing w:val="-7"/>
          <w:sz w:val="24"/>
        </w:rPr>
        <w:t> </w:t>
      </w:r>
      <w:r>
        <w:rPr>
          <w:sz w:val="24"/>
        </w:rPr>
        <w:t>reduction</w:t>
      </w:r>
      <w:r>
        <w:rPr>
          <w:spacing w:val="-4"/>
          <w:sz w:val="24"/>
        </w:rPr>
        <w:t> </w:t>
      </w:r>
      <w:r>
        <w:rPr>
          <w:sz w:val="24"/>
        </w:rPr>
        <w:t>in</w:t>
      </w:r>
      <w:r>
        <w:rPr>
          <w:spacing w:val="-7"/>
          <w:sz w:val="24"/>
        </w:rPr>
        <w:t> </w:t>
      </w:r>
      <w:r>
        <w:rPr>
          <w:sz w:val="24"/>
        </w:rPr>
        <w:t>rates</w:t>
      </w:r>
      <w:r>
        <w:rPr>
          <w:spacing w:val="-4"/>
          <w:sz w:val="24"/>
        </w:rPr>
        <w:t> </w:t>
      </w:r>
      <w:r>
        <w:rPr>
          <w:sz w:val="24"/>
        </w:rPr>
        <w:t>of</w:t>
      </w:r>
      <w:r>
        <w:rPr>
          <w:spacing w:val="-2"/>
          <w:sz w:val="24"/>
        </w:rPr>
        <w:t> </w:t>
      </w:r>
      <w:r>
        <w:rPr>
          <w:sz w:val="24"/>
        </w:rPr>
        <w:t>0.25%</w:t>
      </w:r>
      <w:r>
        <w:rPr>
          <w:spacing w:val="-7"/>
          <w:sz w:val="24"/>
        </w:rPr>
        <w:t> </w:t>
      </w:r>
      <w:r>
        <w:rPr>
          <w:sz w:val="24"/>
        </w:rPr>
        <w:t>(or</w:t>
      </w:r>
      <w:r>
        <w:rPr>
          <w:spacing w:val="-4"/>
          <w:sz w:val="24"/>
        </w:rPr>
        <w:t> </w:t>
      </w:r>
      <w:r>
        <w:rPr>
          <w:sz w:val="24"/>
        </w:rPr>
        <w:t>possibly</w:t>
      </w:r>
      <w:r>
        <w:rPr>
          <w:spacing w:val="-7"/>
          <w:sz w:val="24"/>
        </w:rPr>
        <w:t> </w:t>
      </w:r>
      <w:r>
        <w:rPr>
          <w:sz w:val="24"/>
        </w:rPr>
        <w:t>more</w:t>
      </w:r>
      <w:r>
        <w:rPr>
          <w:spacing w:val="-6"/>
          <w:sz w:val="24"/>
        </w:rPr>
        <w:t> </w:t>
      </w:r>
      <w:r>
        <w:rPr>
          <w:sz w:val="24"/>
        </w:rPr>
        <w:t>in</w:t>
      </w:r>
      <w:r>
        <w:rPr>
          <w:spacing w:val="-6"/>
          <w:sz w:val="24"/>
        </w:rPr>
        <w:t> </w:t>
      </w:r>
      <w:r>
        <w:rPr>
          <w:sz w:val="24"/>
        </w:rPr>
        <w:t>the view of some) was now warranted. If a reduction of 0.25% </w:t>
      </w:r>
      <w:r>
        <w:rPr>
          <w:spacing w:val="2"/>
          <w:sz w:val="24"/>
        </w:rPr>
        <w:t>to </w:t>
      </w:r>
      <w:r>
        <w:rPr>
          <w:sz w:val="24"/>
        </w:rPr>
        <w:t>interest rates were made at the January</w:t>
      </w:r>
      <w:r>
        <w:rPr>
          <w:spacing w:val="-12"/>
          <w:sz w:val="24"/>
        </w:rPr>
        <w:t> </w:t>
      </w:r>
      <w:r>
        <w:rPr>
          <w:sz w:val="24"/>
        </w:rPr>
        <w:t>meeting</w:t>
      </w:r>
      <w:r>
        <w:rPr>
          <w:spacing w:val="-12"/>
          <w:sz w:val="24"/>
        </w:rPr>
        <w:t> </w:t>
      </w:r>
      <w:r>
        <w:rPr>
          <w:sz w:val="24"/>
        </w:rPr>
        <w:t>it</w:t>
      </w:r>
      <w:r>
        <w:rPr>
          <w:spacing w:val="-9"/>
          <w:sz w:val="24"/>
        </w:rPr>
        <w:t> </w:t>
      </w:r>
      <w:r>
        <w:rPr>
          <w:sz w:val="24"/>
        </w:rPr>
        <w:t>was</w:t>
      </w:r>
      <w:r>
        <w:rPr>
          <w:spacing w:val="-12"/>
          <w:sz w:val="24"/>
        </w:rPr>
        <w:t> </w:t>
      </w:r>
      <w:r>
        <w:rPr>
          <w:sz w:val="24"/>
        </w:rPr>
        <w:t>difficult</w:t>
      </w:r>
      <w:r>
        <w:rPr>
          <w:spacing w:val="-8"/>
          <w:sz w:val="24"/>
        </w:rPr>
        <w:t> </w:t>
      </w:r>
      <w:r>
        <w:rPr>
          <w:spacing w:val="2"/>
          <w:sz w:val="24"/>
        </w:rPr>
        <w:t>to</w:t>
      </w:r>
      <w:r>
        <w:rPr>
          <w:spacing w:val="-8"/>
          <w:sz w:val="24"/>
        </w:rPr>
        <w:t> </w:t>
      </w:r>
      <w:r>
        <w:rPr>
          <w:sz w:val="24"/>
        </w:rPr>
        <w:t>see</w:t>
      </w:r>
      <w:r>
        <w:rPr>
          <w:spacing w:val="-12"/>
          <w:sz w:val="24"/>
        </w:rPr>
        <w:t> </w:t>
      </w:r>
      <w:r>
        <w:rPr>
          <w:sz w:val="24"/>
        </w:rPr>
        <w:t>that</w:t>
      </w:r>
      <w:r>
        <w:rPr>
          <w:spacing w:val="-8"/>
          <w:sz w:val="24"/>
        </w:rPr>
        <w:t> </w:t>
      </w:r>
      <w:r>
        <w:rPr>
          <w:sz w:val="24"/>
        </w:rPr>
        <w:t>being</w:t>
      </w:r>
      <w:r>
        <w:rPr>
          <w:spacing w:val="-12"/>
          <w:sz w:val="24"/>
        </w:rPr>
        <w:t> </w:t>
      </w:r>
      <w:r>
        <w:rPr>
          <w:sz w:val="24"/>
        </w:rPr>
        <w:t>inappropriate</w:t>
      </w:r>
      <w:r>
        <w:rPr>
          <w:spacing w:val="-12"/>
          <w:sz w:val="24"/>
        </w:rPr>
        <w:t> </w:t>
      </w:r>
      <w:r>
        <w:rPr>
          <w:sz w:val="24"/>
        </w:rPr>
        <w:t>by</w:t>
      </w:r>
      <w:r>
        <w:rPr>
          <w:spacing w:val="-12"/>
          <w:sz w:val="24"/>
        </w:rPr>
        <w:t> </w:t>
      </w:r>
      <w:r>
        <w:rPr>
          <w:sz w:val="24"/>
        </w:rPr>
        <w:t>the</w:t>
      </w:r>
      <w:r>
        <w:rPr>
          <w:spacing w:val="-12"/>
          <w:sz w:val="24"/>
        </w:rPr>
        <w:t> </w:t>
      </w:r>
      <w:r>
        <w:rPr>
          <w:sz w:val="24"/>
        </w:rPr>
        <w:t>time</w:t>
      </w:r>
      <w:r>
        <w:rPr>
          <w:spacing w:val="-12"/>
          <w:sz w:val="24"/>
        </w:rPr>
        <w:t> </w:t>
      </w:r>
      <w:r>
        <w:rPr>
          <w:sz w:val="24"/>
        </w:rPr>
        <w:t>of</w:t>
      </w:r>
      <w:r>
        <w:rPr>
          <w:spacing w:val="-8"/>
          <w:sz w:val="24"/>
        </w:rPr>
        <w:t> </w:t>
      </w:r>
      <w:r>
        <w:rPr>
          <w:sz w:val="24"/>
        </w:rPr>
        <w:t>the</w:t>
      </w:r>
      <w:r>
        <w:rPr>
          <w:spacing w:val="-12"/>
          <w:sz w:val="24"/>
        </w:rPr>
        <w:t> </w:t>
      </w:r>
      <w:r>
        <w:rPr>
          <w:sz w:val="24"/>
        </w:rPr>
        <w:t>February</w:t>
      </w:r>
      <w:r>
        <w:rPr>
          <w:spacing w:val="-12"/>
          <w:sz w:val="24"/>
        </w:rPr>
        <w:t> </w:t>
      </w:r>
      <w:r>
        <w:rPr>
          <w:sz w:val="24"/>
        </w:rPr>
        <w:t>meeting. The</w:t>
      </w:r>
      <w:r>
        <w:rPr>
          <w:spacing w:val="-10"/>
          <w:sz w:val="24"/>
        </w:rPr>
        <w:t> </w:t>
      </w:r>
      <w:r>
        <w:rPr>
          <w:sz w:val="24"/>
        </w:rPr>
        <w:t>probability</w:t>
      </w:r>
      <w:r>
        <w:rPr>
          <w:spacing w:val="-11"/>
          <w:sz w:val="24"/>
        </w:rPr>
        <w:t> </w:t>
      </w:r>
      <w:r>
        <w:rPr>
          <w:sz w:val="24"/>
        </w:rPr>
        <w:t>of</w:t>
      </w:r>
      <w:r>
        <w:rPr>
          <w:spacing w:val="-6"/>
          <w:sz w:val="24"/>
        </w:rPr>
        <w:t> </w:t>
      </w:r>
      <w:r>
        <w:rPr>
          <w:sz w:val="24"/>
        </w:rPr>
        <w:t>a</w:t>
      </w:r>
      <w:r>
        <w:rPr>
          <w:spacing w:val="-11"/>
          <w:sz w:val="24"/>
        </w:rPr>
        <w:t> </w:t>
      </w:r>
      <w:r>
        <w:rPr>
          <w:sz w:val="24"/>
        </w:rPr>
        <w:t>reversal</w:t>
      </w:r>
      <w:r>
        <w:rPr>
          <w:spacing w:val="-10"/>
          <w:sz w:val="24"/>
        </w:rPr>
        <w:t> </w:t>
      </w:r>
      <w:r>
        <w:rPr>
          <w:sz w:val="24"/>
        </w:rPr>
        <w:t>in</w:t>
      </w:r>
      <w:r>
        <w:rPr>
          <w:spacing w:val="-10"/>
          <w:sz w:val="24"/>
        </w:rPr>
        <w:t> </w:t>
      </w:r>
      <w:r>
        <w:rPr>
          <w:sz w:val="24"/>
        </w:rPr>
        <w:t>rates</w:t>
      </w:r>
      <w:r>
        <w:rPr>
          <w:spacing w:val="-10"/>
          <w:sz w:val="24"/>
        </w:rPr>
        <w:t> </w:t>
      </w:r>
      <w:r>
        <w:rPr>
          <w:sz w:val="24"/>
        </w:rPr>
        <w:t>seemed</w:t>
      </w:r>
      <w:r>
        <w:rPr>
          <w:spacing w:val="-11"/>
          <w:sz w:val="24"/>
        </w:rPr>
        <w:t> </w:t>
      </w:r>
      <w:r>
        <w:rPr>
          <w:sz w:val="24"/>
        </w:rPr>
        <w:t>small,</w:t>
      </w:r>
      <w:r>
        <w:rPr>
          <w:spacing w:val="-10"/>
          <w:sz w:val="24"/>
        </w:rPr>
        <w:t> </w:t>
      </w:r>
      <w:r>
        <w:rPr>
          <w:sz w:val="24"/>
        </w:rPr>
        <w:t>and</w:t>
      </w:r>
      <w:r>
        <w:rPr>
          <w:spacing w:val="-11"/>
          <w:sz w:val="24"/>
        </w:rPr>
        <w:t> </w:t>
      </w:r>
      <w:r>
        <w:rPr>
          <w:sz w:val="24"/>
        </w:rPr>
        <w:t>reversals</w:t>
      </w:r>
      <w:r>
        <w:rPr>
          <w:spacing w:val="-9"/>
          <w:sz w:val="24"/>
        </w:rPr>
        <w:t> </w:t>
      </w:r>
      <w:r>
        <w:rPr>
          <w:sz w:val="24"/>
        </w:rPr>
        <w:t>justified</w:t>
      </w:r>
      <w:r>
        <w:rPr>
          <w:spacing w:val="-11"/>
          <w:sz w:val="24"/>
        </w:rPr>
        <w:t> </w:t>
      </w:r>
      <w:r>
        <w:rPr>
          <w:sz w:val="24"/>
        </w:rPr>
        <w:t>by</w:t>
      </w:r>
      <w:r>
        <w:rPr>
          <w:spacing w:val="-11"/>
          <w:sz w:val="24"/>
        </w:rPr>
        <w:t> </w:t>
      </w:r>
      <w:r>
        <w:rPr>
          <w:sz w:val="24"/>
        </w:rPr>
        <w:t>economic</w:t>
      </w:r>
      <w:r>
        <w:rPr>
          <w:spacing w:val="-11"/>
          <w:sz w:val="24"/>
        </w:rPr>
        <w:t> </w:t>
      </w:r>
      <w:r>
        <w:rPr>
          <w:sz w:val="24"/>
        </w:rPr>
        <w:t>news</w:t>
      </w:r>
      <w:r>
        <w:rPr>
          <w:spacing w:val="-11"/>
          <w:sz w:val="24"/>
        </w:rPr>
        <w:t> </w:t>
      </w:r>
      <w:r>
        <w:rPr>
          <w:sz w:val="24"/>
        </w:rPr>
        <w:t>were anyway not</w:t>
      </w:r>
      <w:r>
        <w:rPr>
          <w:spacing w:val="7"/>
          <w:sz w:val="24"/>
        </w:rPr>
        <w:t> </w:t>
      </w:r>
      <w:r>
        <w:rPr>
          <w:sz w:val="24"/>
        </w:rPr>
        <w:t>problematic.</w:t>
      </w:r>
    </w:p>
    <w:p>
      <w:pPr>
        <w:pStyle w:val="BodyText"/>
        <w:spacing w:before="10"/>
        <w:rPr>
          <w:sz w:val="31"/>
        </w:rPr>
      </w:pPr>
    </w:p>
    <w:p>
      <w:pPr>
        <w:pStyle w:val="ListParagraph"/>
        <w:numPr>
          <w:ilvl w:val="0"/>
          <w:numId w:val="1"/>
        </w:numPr>
        <w:tabs>
          <w:tab w:pos="782" w:val="left" w:leader="none"/>
        </w:tabs>
        <w:spacing w:line="321" w:lineRule="auto" w:before="0" w:after="0"/>
        <w:ind w:left="421" w:right="374" w:firstLine="0"/>
        <w:jc w:val="left"/>
        <w:rPr>
          <w:sz w:val="24"/>
        </w:rPr>
      </w:pPr>
      <w:r>
        <w:rPr>
          <w:sz w:val="24"/>
        </w:rPr>
        <w:t>Another</w:t>
      </w:r>
      <w:r>
        <w:rPr>
          <w:spacing w:val="-7"/>
          <w:sz w:val="24"/>
        </w:rPr>
        <w:t> </w:t>
      </w:r>
      <w:r>
        <w:rPr>
          <w:sz w:val="24"/>
        </w:rPr>
        <w:t>view</w:t>
      </w:r>
      <w:r>
        <w:rPr>
          <w:spacing w:val="-6"/>
          <w:sz w:val="24"/>
        </w:rPr>
        <w:t> </w:t>
      </w:r>
      <w:r>
        <w:rPr>
          <w:sz w:val="24"/>
        </w:rPr>
        <w:t>was</w:t>
      </w:r>
      <w:r>
        <w:rPr>
          <w:spacing w:val="-7"/>
          <w:sz w:val="24"/>
        </w:rPr>
        <w:t> </w:t>
      </w:r>
      <w:r>
        <w:rPr>
          <w:sz w:val="24"/>
        </w:rPr>
        <w:t>that</w:t>
      </w:r>
      <w:r>
        <w:rPr>
          <w:spacing w:val="-2"/>
          <w:sz w:val="24"/>
        </w:rPr>
        <w:t> </w:t>
      </w:r>
      <w:r>
        <w:rPr>
          <w:sz w:val="24"/>
        </w:rPr>
        <w:t>a</w:t>
      </w:r>
      <w:r>
        <w:rPr>
          <w:spacing w:val="-6"/>
          <w:sz w:val="24"/>
        </w:rPr>
        <w:t> </w:t>
      </w:r>
      <w:r>
        <w:rPr>
          <w:sz w:val="24"/>
        </w:rPr>
        <w:t>cut</w:t>
      </w:r>
      <w:r>
        <w:rPr>
          <w:spacing w:val="-2"/>
          <w:sz w:val="24"/>
        </w:rPr>
        <w:t> </w:t>
      </w:r>
      <w:r>
        <w:rPr>
          <w:sz w:val="24"/>
        </w:rPr>
        <w:t>of</w:t>
      </w:r>
      <w:r>
        <w:rPr>
          <w:spacing w:val="-2"/>
          <w:sz w:val="24"/>
        </w:rPr>
        <w:t> </w:t>
      </w:r>
      <w:r>
        <w:rPr>
          <w:sz w:val="24"/>
        </w:rPr>
        <w:t>0.75%</w:t>
      </w:r>
      <w:r>
        <w:rPr>
          <w:spacing w:val="-6"/>
          <w:sz w:val="24"/>
        </w:rPr>
        <w:t> </w:t>
      </w:r>
      <w:r>
        <w:rPr>
          <w:sz w:val="24"/>
        </w:rPr>
        <w:t>would</w:t>
      </w:r>
      <w:r>
        <w:rPr>
          <w:spacing w:val="-7"/>
          <w:sz w:val="24"/>
        </w:rPr>
        <w:t> </w:t>
      </w:r>
      <w:r>
        <w:rPr>
          <w:sz w:val="24"/>
        </w:rPr>
        <w:t>have</w:t>
      </w:r>
      <w:r>
        <w:rPr>
          <w:spacing w:val="-6"/>
          <w:sz w:val="24"/>
        </w:rPr>
        <w:t> </w:t>
      </w:r>
      <w:r>
        <w:rPr>
          <w:sz w:val="24"/>
        </w:rPr>
        <w:t>been</w:t>
      </w:r>
      <w:r>
        <w:rPr>
          <w:spacing w:val="-6"/>
          <w:sz w:val="24"/>
        </w:rPr>
        <w:t> </w:t>
      </w:r>
      <w:r>
        <w:rPr>
          <w:sz w:val="24"/>
        </w:rPr>
        <w:t>preferable</w:t>
      </w:r>
      <w:r>
        <w:rPr>
          <w:spacing w:val="-7"/>
          <w:sz w:val="24"/>
        </w:rPr>
        <w:t> </w:t>
      </w:r>
      <w:r>
        <w:rPr>
          <w:sz w:val="24"/>
        </w:rPr>
        <w:t>at</w:t>
      </w:r>
      <w:r>
        <w:rPr>
          <w:spacing w:val="-2"/>
          <w:sz w:val="24"/>
        </w:rPr>
        <w:t> </w:t>
      </w:r>
      <w:r>
        <w:rPr>
          <w:sz w:val="24"/>
        </w:rPr>
        <w:t>the</w:t>
      </w:r>
      <w:r>
        <w:rPr>
          <w:spacing w:val="-6"/>
          <w:sz w:val="24"/>
        </w:rPr>
        <w:t> </w:t>
      </w:r>
      <w:r>
        <w:rPr>
          <w:sz w:val="24"/>
        </w:rPr>
        <w:t>time</w:t>
      </w:r>
      <w:r>
        <w:rPr>
          <w:spacing w:val="-7"/>
          <w:sz w:val="24"/>
        </w:rPr>
        <w:t> </w:t>
      </w:r>
      <w:r>
        <w:rPr>
          <w:sz w:val="24"/>
        </w:rPr>
        <w:t>of</w:t>
      </w:r>
      <w:r>
        <w:rPr>
          <w:spacing w:val="-2"/>
          <w:sz w:val="24"/>
        </w:rPr>
        <w:t> </w:t>
      </w:r>
      <w:r>
        <w:rPr>
          <w:sz w:val="24"/>
        </w:rPr>
        <w:t>the</w:t>
      </w:r>
      <w:r>
        <w:rPr>
          <w:spacing w:val="-6"/>
          <w:sz w:val="24"/>
        </w:rPr>
        <w:t> </w:t>
      </w:r>
      <w:r>
        <w:rPr>
          <w:sz w:val="24"/>
        </w:rPr>
        <w:t>December meeting on the basis of the news available then. With little, if any, news during the past month, a reduction of 0.25% was still needed, and should be made</w:t>
      </w:r>
      <w:r>
        <w:rPr>
          <w:spacing w:val="12"/>
          <w:sz w:val="24"/>
        </w:rPr>
        <w:t> </w:t>
      </w:r>
      <w:r>
        <w:rPr>
          <w:sz w:val="24"/>
        </w:rPr>
        <w:t>now.</w:t>
      </w:r>
    </w:p>
    <w:p>
      <w:pPr>
        <w:pStyle w:val="BodyText"/>
        <w:spacing w:before="1"/>
        <w:rPr>
          <w:sz w:val="32"/>
        </w:rPr>
      </w:pPr>
    </w:p>
    <w:p>
      <w:pPr>
        <w:pStyle w:val="ListParagraph"/>
        <w:numPr>
          <w:ilvl w:val="0"/>
          <w:numId w:val="1"/>
        </w:numPr>
        <w:tabs>
          <w:tab w:pos="782" w:val="left" w:leader="none"/>
        </w:tabs>
        <w:spacing w:line="321" w:lineRule="auto" w:before="0" w:after="0"/>
        <w:ind w:left="421" w:right="247" w:firstLine="0"/>
        <w:jc w:val="left"/>
        <w:rPr>
          <w:sz w:val="24"/>
        </w:rPr>
      </w:pPr>
      <w:r>
        <w:rPr>
          <w:sz w:val="24"/>
        </w:rPr>
        <w:t>Another view was that a reduction of 0.25% would still leave rates above their neutral level, which was </w:t>
      </w:r>
      <w:r>
        <w:rPr>
          <w:spacing w:val="3"/>
          <w:sz w:val="24"/>
        </w:rPr>
        <w:t>too </w:t>
      </w:r>
      <w:r>
        <w:rPr>
          <w:sz w:val="24"/>
        </w:rPr>
        <w:t>high in the context of the current conjuncture. So the issue was how fast </w:t>
      </w:r>
      <w:r>
        <w:rPr>
          <w:spacing w:val="2"/>
          <w:sz w:val="24"/>
        </w:rPr>
        <w:t>to </w:t>
      </w:r>
      <w:r>
        <w:rPr>
          <w:sz w:val="24"/>
        </w:rPr>
        <w:t>reduce rates. There were three reasons for moving in steps rather than in </w:t>
      </w:r>
      <w:r>
        <w:rPr>
          <w:spacing w:val="2"/>
          <w:sz w:val="24"/>
        </w:rPr>
        <w:t>one </w:t>
      </w:r>
      <w:r>
        <w:rPr>
          <w:sz w:val="24"/>
        </w:rPr>
        <w:t>large reduction. First, a series of reductions might have a greater impact on consumer and business sentiment. Second, it might allow the Committee </w:t>
      </w:r>
      <w:r>
        <w:rPr>
          <w:spacing w:val="2"/>
          <w:sz w:val="24"/>
        </w:rPr>
        <w:t>to </w:t>
      </w:r>
      <w:r>
        <w:rPr>
          <w:sz w:val="24"/>
        </w:rPr>
        <w:t>learn more about the way the economy was responding </w:t>
      </w:r>
      <w:r>
        <w:rPr>
          <w:spacing w:val="2"/>
          <w:sz w:val="24"/>
        </w:rPr>
        <w:t>to </w:t>
      </w:r>
      <w:r>
        <w:rPr>
          <w:sz w:val="24"/>
        </w:rPr>
        <w:t>past shocks</w:t>
      </w:r>
      <w:r>
        <w:rPr>
          <w:spacing w:val="-11"/>
          <w:sz w:val="24"/>
        </w:rPr>
        <w:t> </w:t>
      </w:r>
      <w:r>
        <w:rPr>
          <w:sz w:val="24"/>
        </w:rPr>
        <w:t>and</w:t>
      </w:r>
      <w:r>
        <w:rPr>
          <w:spacing w:val="-10"/>
          <w:sz w:val="24"/>
        </w:rPr>
        <w:t> </w:t>
      </w:r>
      <w:r>
        <w:rPr>
          <w:sz w:val="24"/>
        </w:rPr>
        <w:t>policy</w:t>
      </w:r>
      <w:r>
        <w:rPr>
          <w:spacing w:val="-10"/>
          <w:sz w:val="24"/>
        </w:rPr>
        <w:t> </w:t>
      </w:r>
      <w:r>
        <w:rPr>
          <w:sz w:val="24"/>
        </w:rPr>
        <w:t>changes.</w:t>
      </w:r>
      <w:r>
        <w:rPr>
          <w:spacing w:val="39"/>
          <w:sz w:val="24"/>
        </w:rPr>
        <w:t> </w:t>
      </w:r>
      <w:r>
        <w:rPr>
          <w:sz w:val="24"/>
        </w:rPr>
        <w:t>Third,</w:t>
      </w:r>
      <w:r>
        <w:rPr>
          <w:spacing w:val="-8"/>
          <w:sz w:val="24"/>
        </w:rPr>
        <w:t> </w:t>
      </w:r>
      <w:r>
        <w:rPr>
          <w:sz w:val="24"/>
        </w:rPr>
        <w:t>it</w:t>
      </w:r>
      <w:r>
        <w:rPr>
          <w:spacing w:val="-7"/>
          <w:sz w:val="24"/>
        </w:rPr>
        <w:t> </w:t>
      </w:r>
      <w:r>
        <w:rPr>
          <w:sz w:val="24"/>
        </w:rPr>
        <w:t>was</w:t>
      </w:r>
      <w:r>
        <w:rPr>
          <w:spacing w:val="-10"/>
          <w:sz w:val="24"/>
        </w:rPr>
        <w:t> </w:t>
      </w:r>
      <w:r>
        <w:rPr>
          <w:sz w:val="24"/>
        </w:rPr>
        <w:t>important</w:t>
      </w:r>
      <w:r>
        <w:rPr>
          <w:spacing w:val="-6"/>
          <w:sz w:val="24"/>
        </w:rPr>
        <w:t> </w:t>
      </w:r>
      <w:r>
        <w:rPr>
          <w:sz w:val="24"/>
        </w:rPr>
        <w:t>not</w:t>
      </w:r>
      <w:r>
        <w:rPr>
          <w:spacing w:val="-6"/>
          <w:sz w:val="24"/>
        </w:rPr>
        <w:t> </w:t>
      </w:r>
      <w:r>
        <w:rPr>
          <w:spacing w:val="2"/>
          <w:sz w:val="24"/>
        </w:rPr>
        <w:t>to</w:t>
      </w:r>
      <w:r>
        <w:rPr>
          <w:spacing w:val="-7"/>
          <w:sz w:val="24"/>
        </w:rPr>
        <w:t> </w:t>
      </w:r>
      <w:r>
        <w:rPr>
          <w:spacing w:val="3"/>
          <w:sz w:val="24"/>
        </w:rPr>
        <w:t>out-pace</w:t>
      </w:r>
      <w:r>
        <w:rPr>
          <w:spacing w:val="-6"/>
          <w:sz w:val="24"/>
        </w:rPr>
        <w:t> </w:t>
      </w:r>
      <w:r>
        <w:rPr>
          <w:sz w:val="24"/>
        </w:rPr>
        <w:t>significantly</w:t>
      </w:r>
      <w:r>
        <w:rPr>
          <w:spacing w:val="-10"/>
          <w:sz w:val="24"/>
        </w:rPr>
        <w:t> </w:t>
      </w:r>
      <w:r>
        <w:rPr>
          <w:sz w:val="24"/>
        </w:rPr>
        <w:t>the</w:t>
      </w:r>
      <w:r>
        <w:rPr>
          <w:spacing w:val="-10"/>
          <w:sz w:val="24"/>
        </w:rPr>
        <w:t> </w:t>
      </w:r>
      <w:r>
        <w:rPr>
          <w:sz w:val="24"/>
        </w:rPr>
        <w:t>expectations</w:t>
      </w:r>
      <w:r>
        <w:rPr>
          <w:spacing w:val="-11"/>
          <w:sz w:val="24"/>
        </w:rPr>
        <w:t> </w:t>
      </w:r>
      <w:r>
        <w:rPr>
          <w:sz w:val="24"/>
        </w:rPr>
        <w:t>of financial</w:t>
      </w:r>
      <w:r>
        <w:rPr>
          <w:spacing w:val="-10"/>
          <w:sz w:val="24"/>
        </w:rPr>
        <w:t> </w:t>
      </w:r>
      <w:r>
        <w:rPr>
          <w:sz w:val="24"/>
        </w:rPr>
        <w:t>markets,</w:t>
      </w:r>
      <w:r>
        <w:rPr>
          <w:spacing w:val="-10"/>
          <w:sz w:val="24"/>
        </w:rPr>
        <w:t> </w:t>
      </w:r>
      <w:r>
        <w:rPr>
          <w:sz w:val="24"/>
        </w:rPr>
        <w:t>as</w:t>
      </w:r>
      <w:r>
        <w:rPr>
          <w:spacing w:val="-10"/>
          <w:sz w:val="24"/>
        </w:rPr>
        <w:t> </w:t>
      </w:r>
      <w:r>
        <w:rPr>
          <w:sz w:val="24"/>
        </w:rPr>
        <w:t>this</w:t>
      </w:r>
      <w:r>
        <w:rPr>
          <w:spacing w:val="-10"/>
          <w:sz w:val="24"/>
        </w:rPr>
        <w:t> </w:t>
      </w:r>
      <w:r>
        <w:rPr>
          <w:sz w:val="24"/>
        </w:rPr>
        <w:t>could</w:t>
      </w:r>
      <w:r>
        <w:rPr>
          <w:spacing w:val="-10"/>
          <w:sz w:val="24"/>
        </w:rPr>
        <w:t> </w:t>
      </w:r>
      <w:r>
        <w:rPr>
          <w:sz w:val="24"/>
        </w:rPr>
        <w:t>have</w:t>
      </w:r>
      <w:r>
        <w:rPr>
          <w:spacing w:val="-10"/>
          <w:sz w:val="24"/>
        </w:rPr>
        <w:t> </w:t>
      </w:r>
      <w:r>
        <w:rPr>
          <w:sz w:val="24"/>
        </w:rPr>
        <w:t>unwanted</w:t>
      </w:r>
      <w:r>
        <w:rPr>
          <w:spacing w:val="-10"/>
          <w:sz w:val="24"/>
        </w:rPr>
        <w:t> </w:t>
      </w:r>
      <w:r>
        <w:rPr>
          <w:sz w:val="24"/>
        </w:rPr>
        <w:t>consequences</w:t>
      </w:r>
      <w:r>
        <w:rPr>
          <w:spacing w:val="-10"/>
          <w:sz w:val="24"/>
        </w:rPr>
        <w:t> </w:t>
      </w:r>
      <w:r>
        <w:rPr>
          <w:sz w:val="24"/>
        </w:rPr>
        <w:t>for</w:t>
      </w:r>
      <w:r>
        <w:rPr>
          <w:spacing w:val="-10"/>
          <w:sz w:val="24"/>
        </w:rPr>
        <w:t> </w:t>
      </w:r>
      <w:r>
        <w:rPr>
          <w:sz w:val="24"/>
        </w:rPr>
        <w:t>asset</w:t>
      </w:r>
      <w:r>
        <w:rPr>
          <w:spacing w:val="-6"/>
          <w:sz w:val="24"/>
        </w:rPr>
        <w:t> </w:t>
      </w:r>
      <w:r>
        <w:rPr>
          <w:sz w:val="24"/>
        </w:rPr>
        <w:t>prices</w:t>
      </w:r>
      <w:r>
        <w:rPr>
          <w:spacing w:val="-10"/>
          <w:sz w:val="24"/>
        </w:rPr>
        <w:t> </w:t>
      </w:r>
      <w:r>
        <w:rPr>
          <w:sz w:val="24"/>
        </w:rPr>
        <w:t>and</w:t>
      </w:r>
      <w:r>
        <w:rPr>
          <w:spacing w:val="-10"/>
          <w:sz w:val="24"/>
        </w:rPr>
        <w:t> </w:t>
      </w:r>
      <w:r>
        <w:rPr>
          <w:sz w:val="24"/>
        </w:rPr>
        <w:t>the</w:t>
      </w:r>
      <w:r>
        <w:rPr>
          <w:spacing w:val="-10"/>
          <w:sz w:val="24"/>
        </w:rPr>
        <w:t> </w:t>
      </w:r>
      <w:r>
        <w:rPr>
          <w:sz w:val="24"/>
        </w:rPr>
        <w:t>exchange</w:t>
      </w:r>
      <w:r>
        <w:rPr>
          <w:spacing w:val="-10"/>
          <w:sz w:val="24"/>
        </w:rPr>
        <w:t> </w:t>
      </w:r>
      <w:r>
        <w:rPr>
          <w:sz w:val="24"/>
        </w:rPr>
        <w:t>rate. Even though it was appropriate </w:t>
      </w:r>
      <w:r>
        <w:rPr>
          <w:spacing w:val="2"/>
          <w:sz w:val="24"/>
        </w:rPr>
        <w:t>to </w:t>
      </w:r>
      <w:r>
        <w:rPr>
          <w:sz w:val="24"/>
        </w:rPr>
        <w:t>move in a series of steps, the current level of rates was sufficiently above the rate required at this point in the cycle that a reduction of 0.50% was needed now.</w:t>
      </w:r>
    </w:p>
    <w:p>
      <w:pPr>
        <w:pStyle w:val="BodyText"/>
        <w:rPr>
          <w:sz w:val="32"/>
        </w:rPr>
      </w:pPr>
    </w:p>
    <w:p>
      <w:pPr>
        <w:pStyle w:val="ListParagraph"/>
        <w:numPr>
          <w:ilvl w:val="0"/>
          <w:numId w:val="1"/>
        </w:numPr>
        <w:tabs>
          <w:tab w:pos="782" w:val="left" w:leader="none"/>
        </w:tabs>
        <w:spacing w:line="321" w:lineRule="auto" w:before="0" w:after="0"/>
        <w:ind w:left="421" w:right="686" w:firstLine="0"/>
        <w:jc w:val="left"/>
        <w:rPr>
          <w:sz w:val="24"/>
        </w:rPr>
      </w:pPr>
      <w:r>
        <w:rPr>
          <w:sz w:val="24"/>
        </w:rPr>
        <w:t>The</w:t>
      </w:r>
      <w:r>
        <w:rPr>
          <w:spacing w:val="-7"/>
          <w:sz w:val="24"/>
        </w:rPr>
        <w:t> </w:t>
      </w:r>
      <w:r>
        <w:rPr>
          <w:sz w:val="24"/>
        </w:rPr>
        <w:t>Governor</w:t>
      </w:r>
      <w:r>
        <w:rPr>
          <w:spacing w:val="-7"/>
          <w:sz w:val="24"/>
        </w:rPr>
        <w:t> </w:t>
      </w:r>
      <w:r>
        <w:rPr>
          <w:sz w:val="24"/>
        </w:rPr>
        <w:t>invited</w:t>
      </w:r>
      <w:r>
        <w:rPr>
          <w:spacing w:val="-8"/>
          <w:sz w:val="24"/>
        </w:rPr>
        <w:t> </w:t>
      </w:r>
      <w:r>
        <w:rPr>
          <w:sz w:val="24"/>
        </w:rPr>
        <w:t>members</w:t>
      </w:r>
      <w:r>
        <w:rPr>
          <w:spacing w:val="-8"/>
          <w:sz w:val="24"/>
        </w:rPr>
        <w:t> </w:t>
      </w:r>
      <w:r>
        <w:rPr>
          <w:sz w:val="24"/>
        </w:rPr>
        <w:t>of</w:t>
      </w:r>
      <w:r>
        <w:rPr>
          <w:spacing w:val="-3"/>
          <w:sz w:val="24"/>
        </w:rPr>
        <w:t> </w:t>
      </w:r>
      <w:r>
        <w:rPr>
          <w:sz w:val="24"/>
        </w:rPr>
        <w:t>the</w:t>
      </w:r>
      <w:r>
        <w:rPr>
          <w:spacing w:val="-8"/>
          <w:sz w:val="24"/>
        </w:rPr>
        <w:t> </w:t>
      </w:r>
      <w:r>
        <w:rPr>
          <w:sz w:val="24"/>
        </w:rPr>
        <w:t>Committee</w:t>
      </w:r>
      <w:r>
        <w:rPr>
          <w:spacing w:val="-8"/>
          <w:sz w:val="24"/>
        </w:rPr>
        <w:t> </w:t>
      </w:r>
      <w:r>
        <w:rPr>
          <w:spacing w:val="2"/>
          <w:sz w:val="24"/>
        </w:rPr>
        <w:t>to</w:t>
      </w:r>
      <w:r>
        <w:rPr>
          <w:spacing w:val="-3"/>
          <w:sz w:val="24"/>
        </w:rPr>
        <w:t> </w:t>
      </w:r>
      <w:r>
        <w:rPr>
          <w:sz w:val="24"/>
        </w:rPr>
        <w:t>vote</w:t>
      </w:r>
      <w:r>
        <w:rPr>
          <w:spacing w:val="-8"/>
          <w:sz w:val="24"/>
        </w:rPr>
        <w:t> </w:t>
      </w:r>
      <w:r>
        <w:rPr>
          <w:sz w:val="24"/>
        </w:rPr>
        <w:t>on</w:t>
      </w:r>
      <w:r>
        <w:rPr>
          <w:spacing w:val="-4"/>
          <w:sz w:val="24"/>
        </w:rPr>
        <w:t> </w:t>
      </w:r>
      <w:r>
        <w:rPr>
          <w:sz w:val="24"/>
        </w:rPr>
        <w:t>the</w:t>
      </w:r>
      <w:r>
        <w:rPr>
          <w:spacing w:val="-8"/>
          <w:sz w:val="24"/>
        </w:rPr>
        <w:t> </w:t>
      </w:r>
      <w:r>
        <w:rPr>
          <w:sz w:val="24"/>
        </w:rPr>
        <w:t>proposition</w:t>
      </w:r>
      <w:r>
        <w:rPr>
          <w:spacing w:val="-7"/>
          <w:sz w:val="24"/>
        </w:rPr>
        <w:t> </w:t>
      </w:r>
      <w:r>
        <w:rPr>
          <w:sz w:val="24"/>
        </w:rPr>
        <w:t>that</w:t>
      </w:r>
      <w:r>
        <w:rPr>
          <w:spacing w:val="-4"/>
          <w:sz w:val="24"/>
        </w:rPr>
        <w:t> </w:t>
      </w:r>
      <w:r>
        <w:rPr>
          <w:sz w:val="24"/>
        </w:rPr>
        <w:t>the</w:t>
      </w:r>
      <w:r>
        <w:rPr>
          <w:spacing w:val="-8"/>
          <w:sz w:val="24"/>
        </w:rPr>
        <w:t> </w:t>
      </w:r>
      <w:r>
        <w:rPr>
          <w:spacing w:val="-6"/>
          <w:sz w:val="24"/>
        </w:rPr>
        <w:t>Bank’s </w:t>
      </w:r>
      <w:r>
        <w:rPr>
          <w:sz w:val="24"/>
        </w:rPr>
        <w:t>repo rate be cut by 0.25% </w:t>
      </w:r>
      <w:r>
        <w:rPr>
          <w:spacing w:val="2"/>
          <w:sz w:val="24"/>
        </w:rPr>
        <w:t>to </w:t>
      </w:r>
      <w:r>
        <w:rPr>
          <w:sz w:val="24"/>
        </w:rPr>
        <w:t>6.0%. Seven members of the Committee (the</w:t>
      </w:r>
      <w:r>
        <w:rPr>
          <w:spacing w:val="12"/>
          <w:sz w:val="24"/>
        </w:rPr>
        <w:t> </w:t>
      </w:r>
      <w:r>
        <w:rPr>
          <w:sz w:val="24"/>
        </w:rPr>
        <w:t>Governor,</w:t>
      </w:r>
    </w:p>
    <w:p>
      <w:pPr>
        <w:pStyle w:val="BodyText"/>
        <w:spacing w:line="276" w:lineRule="exact"/>
        <w:ind w:left="421"/>
      </w:pPr>
      <w:r>
        <w:rPr/>
        <w:t>Mervyn King, David Clementi, Alan Budd, Willem Buiter, Charles Goodhart and John Vickers)</w:t>
      </w:r>
    </w:p>
    <w:p>
      <w:pPr>
        <w:spacing w:after="0" w:line="276" w:lineRule="exact"/>
        <w:sectPr>
          <w:pgSz w:w="11900" w:h="16840"/>
          <w:pgMar w:header="729" w:footer="0" w:top="1060" w:bottom="280" w:left="860" w:right="880"/>
        </w:sectPr>
      </w:pPr>
    </w:p>
    <w:p>
      <w:pPr>
        <w:pStyle w:val="BodyText"/>
        <w:spacing w:before="80"/>
        <w:ind w:left="421"/>
      </w:pPr>
      <w:r>
        <w:rPr/>
        <w:t>voted for the proposition, and two (DeAnne Julius and Ian Plenderleith) voted against.</w:t>
      </w:r>
    </w:p>
    <w:p>
      <w:pPr>
        <w:pStyle w:val="BodyText"/>
        <w:spacing w:line="321" w:lineRule="auto" w:before="93"/>
        <w:ind w:left="421" w:right="352"/>
      </w:pPr>
      <w:r>
        <w:rPr/>
        <w:t>DeAnne</w:t>
      </w:r>
      <w:r>
        <w:rPr>
          <w:spacing w:val="-12"/>
        </w:rPr>
        <w:t> </w:t>
      </w:r>
      <w:r>
        <w:rPr/>
        <w:t>Julius</w:t>
      </w:r>
      <w:r>
        <w:rPr>
          <w:spacing w:val="-11"/>
        </w:rPr>
        <w:t> </w:t>
      </w:r>
      <w:r>
        <w:rPr/>
        <w:t>preferred</w:t>
      </w:r>
      <w:r>
        <w:rPr>
          <w:spacing w:val="-12"/>
        </w:rPr>
        <w:t> </w:t>
      </w:r>
      <w:r>
        <w:rPr/>
        <w:t>an</w:t>
      </w:r>
      <w:r>
        <w:rPr>
          <w:spacing w:val="-11"/>
        </w:rPr>
        <w:t> </w:t>
      </w:r>
      <w:r>
        <w:rPr/>
        <w:t>immediate</w:t>
      </w:r>
      <w:r>
        <w:rPr>
          <w:spacing w:val="-12"/>
        </w:rPr>
        <w:t> </w:t>
      </w:r>
      <w:r>
        <w:rPr/>
        <w:t>cut</w:t>
      </w:r>
      <w:r>
        <w:rPr>
          <w:spacing w:val="-7"/>
        </w:rPr>
        <w:t> </w:t>
      </w:r>
      <w:r>
        <w:rPr/>
        <w:t>of</w:t>
      </w:r>
      <w:r>
        <w:rPr>
          <w:spacing w:val="-8"/>
        </w:rPr>
        <w:t> </w:t>
      </w:r>
      <w:r>
        <w:rPr/>
        <w:t>0.50%,</w:t>
      </w:r>
      <w:r>
        <w:rPr>
          <w:spacing w:val="-11"/>
        </w:rPr>
        <w:t> </w:t>
      </w:r>
      <w:r>
        <w:rPr/>
        <w:t>and</w:t>
      </w:r>
      <w:r>
        <w:rPr>
          <w:spacing w:val="-12"/>
        </w:rPr>
        <w:t> </w:t>
      </w:r>
      <w:r>
        <w:rPr/>
        <w:t>Ian</w:t>
      </w:r>
      <w:r>
        <w:rPr>
          <w:spacing w:val="-4"/>
        </w:rPr>
        <w:t> </w:t>
      </w:r>
      <w:r>
        <w:rPr/>
        <w:t>Plenderleith</w:t>
      </w:r>
      <w:r>
        <w:rPr>
          <w:spacing w:val="-11"/>
        </w:rPr>
        <w:t> </w:t>
      </w:r>
      <w:r>
        <w:rPr/>
        <w:t>preferred</w:t>
      </w:r>
      <w:r>
        <w:rPr>
          <w:spacing w:val="-11"/>
        </w:rPr>
        <w:t> </w:t>
      </w:r>
      <w:r>
        <w:rPr>
          <w:spacing w:val="2"/>
        </w:rPr>
        <w:t>to</w:t>
      </w:r>
      <w:r>
        <w:rPr>
          <w:spacing w:val="-8"/>
        </w:rPr>
        <w:t> </w:t>
      </w:r>
      <w:r>
        <w:rPr/>
        <w:t>maintain</w:t>
      </w:r>
      <w:r>
        <w:rPr>
          <w:spacing w:val="-11"/>
        </w:rPr>
        <w:t> </w:t>
      </w:r>
      <w:r>
        <w:rPr/>
        <w:t>the </w:t>
      </w:r>
      <w:r>
        <w:rPr>
          <w:spacing w:val="-6"/>
        </w:rPr>
        <w:t>Bank’s </w:t>
      </w:r>
      <w:r>
        <w:rPr/>
        <w:t>repo rate at</w:t>
      </w:r>
      <w:r>
        <w:rPr>
          <w:spacing w:val="22"/>
        </w:rPr>
        <w:t> </w:t>
      </w:r>
      <w:r>
        <w:rPr/>
        <w:t>6.25%.</w:t>
      </w:r>
    </w:p>
    <w:p>
      <w:pPr>
        <w:pStyle w:val="ListParagraph"/>
        <w:numPr>
          <w:ilvl w:val="0"/>
          <w:numId w:val="1"/>
        </w:numPr>
        <w:tabs>
          <w:tab w:pos="782" w:val="left" w:leader="none"/>
        </w:tabs>
        <w:spacing w:line="740" w:lineRule="exact" w:before="1" w:after="0"/>
        <w:ind w:left="421" w:right="4069" w:firstLine="0"/>
        <w:jc w:val="left"/>
        <w:rPr>
          <w:sz w:val="24"/>
        </w:rPr>
      </w:pPr>
      <w:r>
        <w:rPr>
          <w:sz w:val="24"/>
        </w:rPr>
        <w:t>The</w:t>
      </w:r>
      <w:r>
        <w:rPr>
          <w:spacing w:val="-13"/>
          <w:sz w:val="24"/>
        </w:rPr>
        <w:t> </w:t>
      </w:r>
      <w:r>
        <w:rPr>
          <w:sz w:val="24"/>
        </w:rPr>
        <w:t>following</w:t>
      </w:r>
      <w:r>
        <w:rPr>
          <w:spacing w:val="-13"/>
          <w:sz w:val="24"/>
        </w:rPr>
        <w:t> </w:t>
      </w:r>
      <w:r>
        <w:rPr>
          <w:sz w:val="24"/>
        </w:rPr>
        <w:t>members</w:t>
      </w:r>
      <w:r>
        <w:rPr>
          <w:spacing w:val="-14"/>
          <w:sz w:val="24"/>
        </w:rPr>
        <w:t> </w:t>
      </w:r>
      <w:r>
        <w:rPr>
          <w:sz w:val="24"/>
        </w:rPr>
        <w:t>of</w:t>
      </w:r>
      <w:r>
        <w:rPr>
          <w:spacing w:val="-9"/>
          <w:sz w:val="24"/>
        </w:rPr>
        <w:t> </w:t>
      </w:r>
      <w:r>
        <w:rPr>
          <w:sz w:val="24"/>
        </w:rPr>
        <w:t>the</w:t>
      </w:r>
      <w:r>
        <w:rPr>
          <w:spacing w:val="-14"/>
          <w:sz w:val="24"/>
        </w:rPr>
        <w:t> </w:t>
      </w:r>
      <w:r>
        <w:rPr>
          <w:sz w:val="24"/>
        </w:rPr>
        <w:t>Committee</w:t>
      </w:r>
      <w:r>
        <w:rPr>
          <w:spacing w:val="-13"/>
          <w:sz w:val="24"/>
        </w:rPr>
        <w:t> </w:t>
      </w:r>
      <w:r>
        <w:rPr>
          <w:sz w:val="24"/>
        </w:rPr>
        <w:t>were</w:t>
      </w:r>
      <w:r>
        <w:rPr>
          <w:spacing w:val="-14"/>
          <w:sz w:val="24"/>
        </w:rPr>
        <w:t> </w:t>
      </w:r>
      <w:r>
        <w:rPr>
          <w:sz w:val="24"/>
        </w:rPr>
        <w:t>present: Eddie George,</w:t>
      </w:r>
      <w:r>
        <w:rPr>
          <w:spacing w:val="5"/>
          <w:sz w:val="24"/>
        </w:rPr>
        <w:t> </w:t>
      </w:r>
      <w:r>
        <w:rPr>
          <w:sz w:val="24"/>
        </w:rPr>
        <w:t>Governor</w:t>
      </w:r>
    </w:p>
    <w:p>
      <w:pPr>
        <w:pStyle w:val="BodyText"/>
        <w:spacing w:line="321" w:lineRule="auto"/>
        <w:ind w:left="421" w:right="3327"/>
      </w:pPr>
      <w:r>
        <w:rPr/>
        <w:t>Mervyn King, Deputy Governor responsible for monetary policy David</w:t>
      </w:r>
      <w:r>
        <w:rPr>
          <w:spacing w:val="-24"/>
        </w:rPr>
        <w:t> </w:t>
      </w:r>
      <w:r>
        <w:rPr/>
        <w:t>Clementi,</w:t>
      </w:r>
      <w:r>
        <w:rPr>
          <w:spacing w:val="-24"/>
        </w:rPr>
        <w:t> </w:t>
      </w:r>
      <w:r>
        <w:rPr/>
        <w:t>Deputy</w:t>
      </w:r>
      <w:r>
        <w:rPr>
          <w:spacing w:val="-24"/>
        </w:rPr>
        <w:t> </w:t>
      </w:r>
      <w:r>
        <w:rPr/>
        <w:t>Governor</w:t>
      </w:r>
      <w:r>
        <w:rPr>
          <w:spacing w:val="-24"/>
        </w:rPr>
        <w:t> </w:t>
      </w:r>
      <w:r>
        <w:rPr/>
        <w:t>responsible</w:t>
      </w:r>
      <w:r>
        <w:rPr>
          <w:spacing w:val="-23"/>
        </w:rPr>
        <w:t> </w:t>
      </w:r>
      <w:r>
        <w:rPr/>
        <w:t>for</w:t>
      </w:r>
      <w:r>
        <w:rPr>
          <w:spacing w:val="-24"/>
        </w:rPr>
        <w:t> </w:t>
      </w:r>
      <w:r>
        <w:rPr/>
        <w:t>financial</w:t>
      </w:r>
      <w:r>
        <w:rPr>
          <w:spacing w:val="-24"/>
        </w:rPr>
        <w:t> </w:t>
      </w:r>
      <w:r>
        <w:rPr/>
        <w:t>stability Alan</w:t>
      </w:r>
      <w:r>
        <w:rPr>
          <w:spacing w:val="1"/>
        </w:rPr>
        <w:t> </w:t>
      </w:r>
      <w:r>
        <w:rPr/>
        <w:t>Budd</w:t>
      </w:r>
    </w:p>
    <w:p>
      <w:pPr>
        <w:pStyle w:val="BodyText"/>
        <w:spacing w:line="321" w:lineRule="auto"/>
        <w:ind w:left="421" w:right="8019"/>
      </w:pPr>
      <w:r>
        <w:rPr/>
        <w:t>Willem Buiter Charles Goodhart DeAnne Julius Ian Plenderleith John Vickers</w:t>
      </w:r>
    </w:p>
    <w:p>
      <w:pPr>
        <w:pStyle w:val="BodyText"/>
        <w:spacing w:before="8"/>
        <w:rPr>
          <w:sz w:val="31"/>
        </w:rPr>
      </w:pPr>
    </w:p>
    <w:p>
      <w:pPr>
        <w:pStyle w:val="BodyText"/>
        <w:spacing w:before="1"/>
        <w:ind w:left="421"/>
      </w:pPr>
      <w:r>
        <w:rPr/>
        <w:t>Gus O’Donnell was present as the Treasury representative.</w:t>
      </w:r>
    </w:p>
    <w:p>
      <w:pPr>
        <w:spacing w:after="0"/>
        <w:sectPr>
          <w:pgSz w:w="11900" w:h="16840"/>
          <w:pgMar w:header="729" w:footer="0" w:top="1060" w:bottom="280" w:left="860" w:right="880"/>
        </w:sectPr>
      </w:pPr>
    </w:p>
    <w:p>
      <w:pPr>
        <w:spacing w:before="85"/>
        <w:ind w:left="421" w:right="0" w:firstLine="0"/>
        <w:jc w:val="left"/>
        <w:rPr>
          <w:b/>
          <w:sz w:val="28"/>
        </w:rPr>
      </w:pPr>
      <w:r>
        <w:rPr>
          <w:b/>
          <w:sz w:val="28"/>
        </w:rPr>
        <w:t>ANNEX: SUMMARY OF DATA PRESENTED BY BANK STAFF</w:t>
      </w:r>
    </w:p>
    <w:p>
      <w:pPr>
        <w:pStyle w:val="BodyText"/>
        <w:spacing w:before="2"/>
        <w:rPr>
          <w:b/>
          <w:sz w:val="41"/>
        </w:rPr>
      </w:pPr>
    </w:p>
    <w:p>
      <w:pPr>
        <w:pStyle w:val="BodyText"/>
        <w:tabs>
          <w:tab w:pos="987" w:val="left" w:leader="none"/>
        </w:tabs>
        <w:spacing w:line="321" w:lineRule="auto" w:before="1"/>
        <w:ind w:left="421" w:right="340"/>
      </w:pPr>
      <w:r>
        <w:rPr/>
        <w:t>A1</w:t>
        <w:tab/>
        <w:t>This Annex summarises the analysis presented by the Bank staff </w:t>
      </w:r>
      <w:r>
        <w:rPr>
          <w:spacing w:val="2"/>
        </w:rPr>
        <w:t>to </w:t>
      </w:r>
      <w:r>
        <w:rPr/>
        <w:t>the Monetary Policy Committee on 4 January 1999, in advance of its meeting on 6 January 1999. At the start of the Committee</w:t>
      </w:r>
      <w:r>
        <w:rPr>
          <w:spacing w:val="-17"/>
        </w:rPr>
        <w:t> </w:t>
      </w:r>
      <w:r>
        <w:rPr/>
        <w:t>meeting</w:t>
      </w:r>
      <w:r>
        <w:rPr>
          <w:spacing w:val="-16"/>
        </w:rPr>
        <w:t> </w:t>
      </w:r>
      <w:r>
        <w:rPr/>
        <w:t>itself,</w:t>
      </w:r>
      <w:r>
        <w:rPr>
          <w:spacing w:val="-16"/>
        </w:rPr>
        <w:t> </w:t>
      </w:r>
      <w:r>
        <w:rPr/>
        <w:t>members</w:t>
      </w:r>
      <w:r>
        <w:rPr>
          <w:spacing w:val="-17"/>
        </w:rPr>
        <w:t> </w:t>
      </w:r>
      <w:r>
        <w:rPr/>
        <w:t>were</w:t>
      </w:r>
      <w:r>
        <w:rPr>
          <w:spacing w:val="-16"/>
        </w:rPr>
        <w:t> </w:t>
      </w:r>
      <w:r>
        <w:rPr/>
        <w:t>made</w:t>
      </w:r>
      <w:r>
        <w:rPr>
          <w:spacing w:val="-16"/>
        </w:rPr>
        <w:t> </w:t>
      </w:r>
      <w:r>
        <w:rPr/>
        <w:t>aware</w:t>
      </w:r>
      <w:r>
        <w:rPr>
          <w:spacing w:val="-16"/>
        </w:rPr>
        <w:t> </w:t>
      </w:r>
      <w:r>
        <w:rPr/>
        <w:t>of</w:t>
      </w:r>
      <w:r>
        <w:rPr>
          <w:spacing w:val="-13"/>
        </w:rPr>
        <w:t> </w:t>
      </w:r>
      <w:r>
        <w:rPr/>
        <w:t>information</w:t>
      </w:r>
      <w:r>
        <w:rPr>
          <w:spacing w:val="-16"/>
        </w:rPr>
        <w:t> </w:t>
      </w:r>
      <w:r>
        <w:rPr/>
        <w:t>that</w:t>
      </w:r>
      <w:r>
        <w:rPr>
          <w:spacing w:val="-13"/>
        </w:rPr>
        <w:t> </w:t>
      </w:r>
      <w:r>
        <w:rPr/>
        <w:t>had</w:t>
      </w:r>
      <w:r>
        <w:rPr>
          <w:spacing w:val="-16"/>
        </w:rPr>
        <w:t> </w:t>
      </w:r>
      <w:r>
        <w:rPr/>
        <w:t>subsequently</w:t>
      </w:r>
      <w:r>
        <w:rPr>
          <w:spacing w:val="-17"/>
        </w:rPr>
        <w:t> </w:t>
      </w:r>
      <w:r>
        <w:rPr/>
        <w:t>become available, and that information is included in the</w:t>
      </w:r>
      <w:r>
        <w:rPr>
          <w:spacing w:val="2"/>
        </w:rPr>
        <w:t> </w:t>
      </w:r>
      <w:r>
        <w:rPr/>
        <w:t>Annex.</w:t>
      </w:r>
    </w:p>
    <w:p>
      <w:pPr>
        <w:pStyle w:val="BodyText"/>
        <w:spacing w:before="5"/>
        <w:rPr>
          <w:sz w:val="32"/>
        </w:rPr>
      </w:pPr>
    </w:p>
    <w:p>
      <w:pPr>
        <w:pStyle w:val="Heading1"/>
        <w:numPr>
          <w:ilvl w:val="0"/>
          <w:numId w:val="2"/>
        </w:numPr>
        <w:tabs>
          <w:tab w:pos="987" w:val="left" w:leader="none"/>
          <w:tab w:pos="988" w:val="left" w:leader="none"/>
        </w:tabs>
        <w:spacing w:line="240" w:lineRule="auto" w:before="0" w:after="0"/>
        <w:ind w:left="988" w:right="0" w:hanging="567"/>
        <w:jc w:val="left"/>
      </w:pPr>
      <w:r>
        <w:rPr>
          <w:spacing w:val="2"/>
        </w:rPr>
        <w:t>Monetary</w:t>
      </w:r>
      <w:r>
        <w:rPr>
          <w:spacing w:val="5"/>
        </w:rPr>
        <w:t> </w:t>
      </w:r>
      <w:r>
        <w:rPr/>
        <w:t>conditions</w:t>
      </w:r>
    </w:p>
    <w:p>
      <w:pPr>
        <w:pStyle w:val="BodyText"/>
        <w:rPr>
          <w:b/>
          <w:sz w:val="26"/>
        </w:rPr>
      </w:pPr>
    </w:p>
    <w:p>
      <w:pPr>
        <w:pStyle w:val="BodyText"/>
        <w:tabs>
          <w:tab w:pos="987" w:val="left" w:leader="none"/>
        </w:tabs>
        <w:spacing w:line="321" w:lineRule="auto" w:before="160"/>
        <w:ind w:left="421" w:right="486"/>
      </w:pPr>
      <w:r>
        <w:rPr/>
        <w:t>A2</w:t>
        <w:tab/>
        <w:t>Notes and coin had risen in December by 1.2%. The twelve-month growth rate had increased</w:t>
      </w:r>
      <w:r>
        <w:rPr>
          <w:spacing w:val="-10"/>
        </w:rPr>
        <w:t> </w:t>
      </w:r>
      <w:r>
        <w:rPr/>
        <w:t>by</w:t>
      </w:r>
      <w:r>
        <w:rPr>
          <w:spacing w:val="-10"/>
        </w:rPr>
        <w:t> </w:t>
      </w:r>
      <w:r>
        <w:rPr/>
        <w:t>0.6</w:t>
      </w:r>
      <w:r>
        <w:rPr>
          <w:spacing w:val="-6"/>
        </w:rPr>
        <w:t> </w:t>
      </w:r>
      <w:r>
        <w:rPr/>
        <w:t>percentage</w:t>
      </w:r>
      <w:r>
        <w:rPr>
          <w:spacing w:val="-9"/>
        </w:rPr>
        <w:t> </w:t>
      </w:r>
      <w:r>
        <w:rPr/>
        <w:t>points</w:t>
      </w:r>
      <w:r>
        <w:rPr>
          <w:spacing w:val="-10"/>
        </w:rPr>
        <w:t> </w:t>
      </w:r>
      <w:r>
        <w:rPr>
          <w:spacing w:val="2"/>
        </w:rPr>
        <w:t>to</w:t>
      </w:r>
      <w:r>
        <w:rPr>
          <w:spacing w:val="-5"/>
        </w:rPr>
        <w:t> </w:t>
      </w:r>
      <w:r>
        <w:rPr/>
        <w:t>5.7%.</w:t>
      </w:r>
      <w:r>
        <w:rPr>
          <w:spacing w:val="41"/>
        </w:rPr>
        <w:t> </w:t>
      </w:r>
      <w:r>
        <w:rPr/>
        <w:t>Seasonal</w:t>
      </w:r>
      <w:r>
        <w:rPr>
          <w:spacing w:val="-9"/>
        </w:rPr>
        <w:t> </w:t>
      </w:r>
      <w:r>
        <w:rPr/>
        <w:t>factors</w:t>
      </w:r>
      <w:r>
        <w:rPr>
          <w:spacing w:val="-9"/>
        </w:rPr>
        <w:t> </w:t>
      </w:r>
      <w:r>
        <w:rPr/>
        <w:t>were</w:t>
      </w:r>
      <w:r>
        <w:rPr>
          <w:spacing w:val="-10"/>
        </w:rPr>
        <w:t> </w:t>
      </w:r>
      <w:r>
        <w:rPr/>
        <w:t>typically</w:t>
      </w:r>
      <w:r>
        <w:rPr>
          <w:spacing w:val="-9"/>
        </w:rPr>
        <w:t> </w:t>
      </w:r>
      <w:r>
        <w:rPr/>
        <w:t>harder</w:t>
      </w:r>
      <w:r>
        <w:rPr>
          <w:spacing w:val="-10"/>
        </w:rPr>
        <w:t> </w:t>
      </w:r>
      <w:r>
        <w:rPr>
          <w:spacing w:val="2"/>
        </w:rPr>
        <w:t>to</w:t>
      </w:r>
      <w:r>
        <w:rPr>
          <w:spacing w:val="-5"/>
        </w:rPr>
        <w:t> </w:t>
      </w:r>
      <w:r>
        <w:rPr/>
        <w:t>establish</w:t>
      </w:r>
      <w:r>
        <w:rPr>
          <w:spacing w:val="-10"/>
        </w:rPr>
        <w:t> </w:t>
      </w:r>
      <w:r>
        <w:rPr/>
        <w:t>in the Christmas period, making the December data especially hard </w:t>
      </w:r>
      <w:r>
        <w:rPr>
          <w:spacing w:val="2"/>
        </w:rPr>
        <w:t>to</w:t>
      </w:r>
      <w:r>
        <w:rPr>
          <w:spacing w:val="-10"/>
        </w:rPr>
        <w:t> </w:t>
      </w:r>
      <w:r>
        <w:rPr/>
        <w:t>interpret.</w:t>
      </w:r>
    </w:p>
    <w:p>
      <w:pPr>
        <w:pStyle w:val="BodyText"/>
        <w:spacing w:before="1"/>
        <w:rPr>
          <w:sz w:val="32"/>
        </w:rPr>
      </w:pPr>
    </w:p>
    <w:p>
      <w:pPr>
        <w:pStyle w:val="BodyText"/>
        <w:tabs>
          <w:tab w:pos="987" w:val="left" w:leader="none"/>
        </w:tabs>
        <w:spacing w:line="321" w:lineRule="auto"/>
        <w:ind w:left="421" w:right="275"/>
      </w:pPr>
      <w:r>
        <w:rPr/>
        <w:t>A3</w:t>
        <w:tab/>
        <w:t>The monthly flow of M4 in November, at £2.1 billion, was well below the average </w:t>
      </w:r>
      <w:r>
        <w:rPr>
          <w:spacing w:val="3"/>
        </w:rPr>
        <w:t>over </w:t>
      </w:r>
      <w:r>
        <w:rPr/>
        <w:t>the rest</w:t>
      </w:r>
      <w:r>
        <w:rPr>
          <w:spacing w:val="-5"/>
        </w:rPr>
        <w:t> </w:t>
      </w:r>
      <w:r>
        <w:rPr/>
        <w:t>of</w:t>
      </w:r>
      <w:r>
        <w:rPr>
          <w:spacing w:val="-3"/>
        </w:rPr>
        <w:t> </w:t>
      </w:r>
      <w:r>
        <w:rPr/>
        <w:t>1998,</w:t>
      </w:r>
      <w:r>
        <w:rPr>
          <w:spacing w:val="-6"/>
        </w:rPr>
        <w:t> </w:t>
      </w:r>
      <w:r>
        <w:rPr/>
        <w:t>and</w:t>
      </w:r>
      <w:r>
        <w:rPr>
          <w:spacing w:val="-7"/>
        </w:rPr>
        <w:t> </w:t>
      </w:r>
      <w:r>
        <w:rPr/>
        <w:t>the</w:t>
      </w:r>
      <w:r>
        <w:rPr>
          <w:spacing w:val="-6"/>
        </w:rPr>
        <w:t> </w:t>
      </w:r>
      <w:r>
        <w:rPr/>
        <w:t>twelve-month</w:t>
      </w:r>
      <w:r>
        <w:rPr>
          <w:spacing w:val="-7"/>
        </w:rPr>
        <w:t> </w:t>
      </w:r>
      <w:r>
        <w:rPr/>
        <w:t>growth</w:t>
      </w:r>
      <w:r>
        <w:rPr>
          <w:spacing w:val="-7"/>
        </w:rPr>
        <w:t> </w:t>
      </w:r>
      <w:r>
        <w:rPr/>
        <w:t>rate</w:t>
      </w:r>
      <w:r>
        <w:rPr>
          <w:spacing w:val="-4"/>
        </w:rPr>
        <w:t> </w:t>
      </w:r>
      <w:r>
        <w:rPr/>
        <w:t>had</w:t>
      </w:r>
      <w:r>
        <w:rPr>
          <w:spacing w:val="-7"/>
        </w:rPr>
        <w:t> </w:t>
      </w:r>
      <w:r>
        <w:rPr/>
        <w:t>fallen</w:t>
      </w:r>
      <w:r>
        <w:rPr>
          <w:spacing w:val="-7"/>
        </w:rPr>
        <w:t> </w:t>
      </w:r>
      <w:r>
        <w:rPr>
          <w:spacing w:val="2"/>
        </w:rPr>
        <w:t>to</w:t>
      </w:r>
      <w:r>
        <w:rPr>
          <w:spacing w:val="-2"/>
        </w:rPr>
        <w:t> </w:t>
      </w:r>
      <w:r>
        <w:rPr/>
        <w:t>8.3%,</w:t>
      </w:r>
      <w:r>
        <w:rPr>
          <w:spacing w:val="-6"/>
        </w:rPr>
        <w:t> </w:t>
      </w:r>
      <w:r>
        <w:rPr/>
        <w:t>the</w:t>
      </w:r>
      <w:r>
        <w:rPr>
          <w:spacing w:val="-7"/>
        </w:rPr>
        <w:t> </w:t>
      </w:r>
      <w:r>
        <w:rPr/>
        <w:t>lowest</w:t>
      </w:r>
      <w:r>
        <w:rPr>
          <w:spacing w:val="-2"/>
        </w:rPr>
        <w:t> </w:t>
      </w:r>
      <w:r>
        <w:rPr/>
        <w:t>since</w:t>
      </w:r>
      <w:r>
        <w:rPr>
          <w:spacing w:val="-7"/>
        </w:rPr>
        <w:t> </w:t>
      </w:r>
      <w:r>
        <w:rPr/>
        <w:t>July</w:t>
      </w:r>
      <w:r>
        <w:rPr>
          <w:spacing w:val="-6"/>
        </w:rPr>
        <w:t> </w:t>
      </w:r>
      <w:r>
        <w:rPr/>
        <w:t>1995.</w:t>
      </w:r>
      <w:r>
        <w:rPr>
          <w:spacing w:val="-7"/>
        </w:rPr>
        <w:t> </w:t>
      </w:r>
      <w:r>
        <w:rPr/>
        <w:t>This was largely accounted for by a £0.7 billion decline in Other Financial Corporations’ </w:t>
      </w:r>
      <w:r>
        <w:rPr>
          <w:spacing w:val="-5"/>
        </w:rPr>
        <w:t>(OFCs’) </w:t>
      </w:r>
      <w:r>
        <w:rPr/>
        <w:t>balances in November and a slightly lower rate of increase of Household sector deposits. The deposits</w:t>
      </w:r>
      <w:r>
        <w:rPr>
          <w:spacing w:val="-15"/>
        </w:rPr>
        <w:t> </w:t>
      </w:r>
      <w:r>
        <w:rPr/>
        <w:t>of</w:t>
      </w:r>
      <w:r>
        <w:rPr>
          <w:spacing w:val="-11"/>
        </w:rPr>
        <w:t> </w:t>
      </w:r>
      <w:r>
        <w:rPr/>
        <w:t>Private</w:t>
      </w:r>
      <w:r>
        <w:rPr>
          <w:spacing w:val="-14"/>
        </w:rPr>
        <w:t> </w:t>
      </w:r>
      <w:r>
        <w:rPr/>
        <w:t>Non-Financial</w:t>
      </w:r>
      <w:r>
        <w:rPr>
          <w:spacing w:val="-14"/>
        </w:rPr>
        <w:t> </w:t>
      </w:r>
      <w:r>
        <w:rPr/>
        <w:t>Corporations</w:t>
      </w:r>
      <w:r>
        <w:rPr>
          <w:spacing w:val="-15"/>
        </w:rPr>
        <w:t> </w:t>
      </w:r>
      <w:r>
        <w:rPr/>
        <w:t>(P</w:t>
      </w:r>
      <w:r>
        <w:rPr>
          <w:spacing w:val="-37"/>
        </w:rPr>
        <w:t> </w:t>
      </w:r>
      <w:r>
        <w:rPr>
          <w:sz w:val="20"/>
        </w:rPr>
        <w:t>NFC</w:t>
      </w:r>
      <w:r>
        <w:rPr/>
        <w:t>s)</w:t>
      </w:r>
      <w:r>
        <w:rPr>
          <w:spacing w:val="-14"/>
        </w:rPr>
        <w:t> </w:t>
      </w:r>
      <w:r>
        <w:rPr/>
        <w:t>had</w:t>
      </w:r>
      <w:r>
        <w:rPr>
          <w:spacing w:val="-15"/>
        </w:rPr>
        <w:t> </w:t>
      </w:r>
      <w:r>
        <w:rPr/>
        <w:t>risen</w:t>
      </w:r>
      <w:r>
        <w:rPr>
          <w:spacing w:val="-13"/>
        </w:rPr>
        <w:t> </w:t>
      </w:r>
      <w:r>
        <w:rPr/>
        <w:t>strongly</w:t>
      </w:r>
      <w:r>
        <w:rPr>
          <w:spacing w:val="-15"/>
        </w:rPr>
        <w:t> </w:t>
      </w:r>
      <w:r>
        <w:rPr/>
        <w:t>in</w:t>
      </w:r>
      <w:r>
        <w:rPr>
          <w:spacing w:val="-14"/>
        </w:rPr>
        <w:t> </w:t>
      </w:r>
      <w:r>
        <w:rPr/>
        <w:t>November,</w:t>
      </w:r>
      <w:r>
        <w:rPr>
          <w:spacing w:val="-15"/>
        </w:rPr>
        <w:t> </w:t>
      </w:r>
      <w:r>
        <w:rPr/>
        <w:t>following a small fall in October. Taking the two months together, </w:t>
      </w:r>
      <w:r>
        <w:rPr>
          <w:spacing w:val="4"/>
        </w:rPr>
        <w:t>P</w:t>
      </w:r>
      <w:r>
        <w:rPr>
          <w:spacing w:val="4"/>
          <w:sz w:val="20"/>
        </w:rPr>
        <w:t>NFC</w:t>
      </w:r>
      <w:r>
        <w:rPr>
          <w:spacing w:val="4"/>
        </w:rPr>
        <w:t>s’ </w:t>
      </w:r>
      <w:r>
        <w:rPr/>
        <w:t>deposits in October and November were in line with the 1998</w:t>
      </w:r>
      <w:r>
        <w:rPr>
          <w:spacing w:val="7"/>
        </w:rPr>
        <w:t> </w:t>
      </w:r>
      <w:r>
        <w:rPr/>
        <w:t>average.</w:t>
      </w:r>
    </w:p>
    <w:p>
      <w:pPr>
        <w:pStyle w:val="BodyText"/>
        <w:rPr>
          <w:sz w:val="32"/>
        </w:rPr>
      </w:pPr>
    </w:p>
    <w:p>
      <w:pPr>
        <w:pStyle w:val="BodyText"/>
        <w:tabs>
          <w:tab w:pos="987" w:val="left" w:leader="none"/>
        </w:tabs>
        <w:spacing w:line="321" w:lineRule="auto"/>
        <w:ind w:left="421" w:right="273"/>
      </w:pPr>
      <w:r>
        <w:rPr/>
        <w:t>A4</w:t>
        <w:tab/>
        <w:t>The</w:t>
      </w:r>
      <w:r>
        <w:rPr>
          <w:spacing w:val="-10"/>
        </w:rPr>
        <w:t> </w:t>
      </w:r>
      <w:r>
        <w:rPr/>
        <w:t>increase</w:t>
      </w:r>
      <w:r>
        <w:rPr>
          <w:spacing w:val="-12"/>
        </w:rPr>
        <w:t> </w:t>
      </w:r>
      <w:r>
        <w:rPr/>
        <w:t>of</w:t>
      </w:r>
      <w:r>
        <w:rPr>
          <w:spacing w:val="-8"/>
        </w:rPr>
        <w:t> </w:t>
      </w:r>
      <w:r>
        <w:rPr/>
        <w:t>£1.8</w:t>
      </w:r>
      <w:r>
        <w:rPr>
          <w:spacing w:val="-15"/>
        </w:rPr>
        <w:t> </w:t>
      </w:r>
      <w:r>
        <w:rPr/>
        <w:t>billion</w:t>
      </w:r>
      <w:r>
        <w:rPr>
          <w:spacing w:val="-12"/>
        </w:rPr>
        <w:t> </w:t>
      </w:r>
      <w:r>
        <w:rPr/>
        <w:t>in</w:t>
      </w:r>
      <w:r>
        <w:rPr>
          <w:spacing w:val="-11"/>
        </w:rPr>
        <w:t> </w:t>
      </w:r>
      <w:r>
        <w:rPr/>
        <w:t>M4</w:t>
      </w:r>
      <w:r>
        <w:rPr>
          <w:spacing w:val="-12"/>
        </w:rPr>
        <w:t> </w:t>
      </w:r>
      <w:r>
        <w:rPr/>
        <w:t>lending</w:t>
      </w:r>
      <w:r>
        <w:rPr>
          <w:spacing w:val="-11"/>
        </w:rPr>
        <w:t> </w:t>
      </w:r>
      <w:r>
        <w:rPr/>
        <w:t>in</w:t>
      </w:r>
      <w:r>
        <w:rPr>
          <w:spacing w:val="-12"/>
        </w:rPr>
        <w:t> </w:t>
      </w:r>
      <w:r>
        <w:rPr/>
        <w:t>November</w:t>
      </w:r>
      <w:r>
        <w:rPr>
          <w:spacing w:val="-11"/>
        </w:rPr>
        <w:t> </w:t>
      </w:r>
      <w:r>
        <w:rPr/>
        <w:t>was</w:t>
      </w:r>
      <w:r>
        <w:rPr>
          <w:spacing w:val="-12"/>
        </w:rPr>
        <w:t> </w:t>
      </w:r>
      <w:r>
        <w:rPr/>
        <w:t>the</w:t>
      </w:r>
      <w:r>
        <w:rPr>
          <w:spacing w:val="-11"/>
        </w:rPr>
        <w:t> </w:t>
      </w:r>
      <w:r>
        <w:rPr/>
        <w:t>lowest</w:t>
      </w:r>
      <w:r>
        <w:rPr>
          <w:spacing w:val="-8"/>
        </w:rPr>
        <w:t> </w:t>
      </w:r>
      <w:r>
        <w:rPr/>
        <w:t>since</w:t>
      </w:r>
      <w:r>
        <w:rPr>
          <w:spacing w:val="-11"/>
        </w:rPr>
        <w:t> </w:t>
      </w:r>
      <w:r>
        <w:rPr/>
        <w:t>December</w:t>
      </w:r>
      <w:r>
        <w:rPr>
          <w:spacing w:val="-12"/>
        </w:rPr>
        <w:t> </w:t>
      </w:r>
      <w:r>
        <w:rPr/>
        <w:t>1996. The sectoral pattern largely mirrored that on the deposits side: OFCs had made a net repayment</w:t>
      </w:r>
      <w:r>
        <w:rPr>
          <w:spacing w:val="-25"/>
        </w:rPr>
        <w:t> </w:t>
      </w:r>
      <w:r>
        <w:rPr/>
        <w:t>of</w:t>
      </w:r>
    </w:p>
    <w:p>
      <w:pPr>
        <w:pStyle w:val="BodyText"/>
        <w:spacing w:line="321" w:lineRule="auto"/>
        <w:ind w:left="421" w:right="636"/>
      </w:pPr>
      <w:r>
        <w:rPr/>
        <w:t>£4.0 billion in November while </w:t>
      </w:r>
      <w:r>
        <w:rPr>
          <w:spacing w:val="2"/>
        </w:rPr>
        <w:t>P</w:t>
      </w:r>
      <w:r>
        <w:rPr>
          <w:spacing w:val="2"/>
          <w:sz w:val="20"/>
        </w:rPr>
        <w:t>NFC</w:t>
      </w:r>
      <w:r>
        <w:rPr>
          <w:spacing w:val="2"/>
        </w:rPr>
        <w:t>s </w:t>
      </w:r>
      <w:r>
        <w:rPr/>
        <w:t>borrowing had increased quite sharply, </w:t>
      </w:r>
      <w:r>
        <w:rPr>
          <w:spacing w:val="2"/>
        </w:rPr>
        <w:t>to </w:t>
      </w:r>
      <w:r>
        <w:rPr/>
        <w:t>£1.9 billion. Anecdotal</w:t>
      </w:r>
      <w:r>
        <w:rPr>
          <w:spacing w:val="-10"/>
        </w:rPr>
        <w:t> </w:t>
      </w:r>
      <w:r>
        <w:rPr/>
        <w:t>evidence</w:t>
      </w:r>
      <w:r>
        <w:rPr>
          <w:spacing w:val="-9"/>
        </w:rPr>
        <w:t> </w:t>
      </w:r>
      <w:r>
        <w:rPr/>
        <w:t>suggested</w:t>
      </w:r>
      <w:r>
        <w:rPr>
          <w:spacing w:val="-10"/>
        </w:rPr>
        <w:t> </w:t>
      </w:r>
      <w:r>
        <w:rPr/>
        <w:t>that</w:t>
      </w:r>
      <w:r>
        <w:rPr>
          <w:spacing w:val="-5"/>
        </w:rPr>
        <w:t> </w:t>
      </w:r>
      <w:r>
        <w:rPr/>
        <w:t>the</w:t>
      </w:r>
      <w:r>
        <w:rPr>
          <w:spacing w:val="-9"/>
        </w:rPr>
        <w:t> </w:t>
      </w:r>
      <w:r>
        <w:rPr/>
        <w:t>OFC</w:t>
      </w:r>
      <w:r>
        <w:rPr>
          <w:spacing w:val="-10"/>
        </w:rPr>
        <w:t> </w:t>
      </w:r>
      <w:r>
        <w:rPr/>
        <w:t>sector</w:t>
      </w:r>
      <w:r>
        <w:rPr>
          <w:spacing w:val="-5"/>
        </w:rPr>
        <w:t> </w:t>
      </w:r>
      <w:r>
        <w:rPr/>
        <w:t>may</w:t>
      </w:r>
      <w:r>
        <w:rPr>
          <w:spacing w:val="-9"/>
        </w:rPr>
        <w:t> </w:t>
      </w:r>
      <w:r>
        <w:rPr/>
        <w:t>have</w:t>
      </w:r>
      <w:r>
        <w:rPr>
          <w:spacing w:val="-10"/>
        </w:rPr>
        <w:t> </w:t>
      </w:r>
      <w:r>
        <w:rPr/>
        <w:t>chosen</w:t>
      </w:r>
      <w:r>
        <w:rPr>
          <w:spacing w:val="-9"/>
        </w:rPr>
        <w:t> </w:t>
      </w:r>
      <w:r>
        <w:rPr>
          <w:spacing w:val="2"/>
        </w:rPr>
        <w:t>to</w:t>
      </w:r>
      <w:r>
        <w:rPr>
          <w:spacing w:val="-5"/>
        </w:rPr>
        <w:t> </w:t>
      </w:r>
      <w:r>
        <w:rPr/>
        <w:t>shrink</w:t>
      </w:r>
      <w:r>
        <w:rPr>
          <w:spacing w:val="-10"/>
        </w:rPr>
        <w:t> </w:t>
      </w:r>
      <w:r>
        <w:rPr/>
        <w:t>balance</w:t>
      </w:r>
      <w:r>
        <w:rPr>
          <w:spacing w:val="-9"/>
        </w:rPr>
        <w:t> </w:t>
      </w:r>
      <w:r>
        <w:rPr/>
        <w:t>sheets</w:t>
      </w:r>
      <w:r>
        <w:rPr>
          <w:spacing w:val="-9"/>
        </w:rPr>
        <w:t> </w:t>
      </w:r>
      <w:r>
        <w:rPr/>
        <w:t>by more than has been typical ahead of the year-end. Major British Banks’ lending </w:t>
      </w:r>
      <w:r>
        <w:rPr>
          <w:spacing w:val="2"/>
        </w:rPr>
        <w:t>to </w:t>
      </w:r>
      <w:r>
        <w:rPr/>
        <w:t>securities dealers had fallen by £1.5 billion in November, consistent with that</w:t>
      </w:r>
      <w:r>
        <w:rPr>
          <w:spacing w:val="-35"/>
        </w:rPr>
        <w:t> </w:t>
      </w:r>
      <w:r>
        <w:rPr/>
        <w:t>interpretation.</w:t>
      </w:r>
    </w:p>
    <w:p>
      <w:pPr>
        <w:pStyle w:val="BodyText"/>
        <w:rPr>
          <w:sz w:val="32"/>
        </w:rPr>
      </w:pPr>
    </w:p>
    <w:p>
      <w:pPr>
        <w:pStyle w:val="BodyText"/>
        <w:tabs>
          <w:tab w:pos="987" w:val="left" w:leader="none"/>
        </w:tabs>
        <w:ind w:left="421"/>
      </w:pPr>
      <w:r>
        <w:rPr/>
        <w:t>A5</w:t>
        <w:tab/>
        <w:t>Households’ borrowing had remained steady in November at £3.0 billion, and</w:t>
      </w:r>
      <w:r>
        <w:rPr>
          <w:spacing w:val="-8"/>
        </w:rPr>
        <w:t> </w:t>
      </w:r>
      <w:r>
        <w:rPr/>
        <w:t>the</w:t>
      </w:r>
    </w:p>
    <w:p>
      <w:pPr>
        <w:pStyle w:val="BodyText"/>
        <w:spacing w:line="321" w:lineRule="auto" w:before="94"/>
        <w:ind w:left="421" w:right="195"/>
      </w:pPr>
      <w:r>
        <w:rPr/>
        <w:t>twelve-month growth rate was still 7.4%, around 0.5 percentage points higher than at the start of 1998. There had been no slowdown on the month in secured borrowing or the number of loan approvals for house purchase. Unsecured credit growth had remained strong: the comprehensive measure of unsecured credit, which includes lending by non-M4 institutions, had increased by 17.3% on a year earlier.</w:t>
      </w:r>
    </w:p>
    <w:p>
      <w:pPr>
        <w:pStyle w:val="BodyText"/>
        <w:rPr>
          <w:sz w:val="32"/>
        </w:rPr>
      </w:pPr>
    </w:p>
    <w:p>
      <w:pPr>
        <w:pStyle w:val="BodyText"/>
        <w:tabs>
          <w:tab w:pos="987" w:val="left" w:leader="none"/>
        </w:tabs>
        <w:spacing w:line="321" w:lineRule="auto"/>
        <w:ind w:left="421" w:right="448"/>
      </w:pPr>
      <w:r>
        <w:rPr/>
        <w:t>A6</w:t>
        <w:tab/>
        <w:t>Net</w:t>
      </w:r>
      <w:r>
        <w:rPr>
          <w:spacing w:val="-8"/>
        </w:rPr>
        <w:t> </w:t>
      </w:r>
      <w:r>
        <w:rPr/>
        <w:t>external</w:t>
      </w:r>
      <w:r>
        <w:rPr>
          <w:spacing w:val="-11"/>
        </w:rPr>
        <w:t> </w:t>
      </w:r>
      <w:r>
        <w:rPr/>
        <w:t>finance</w:t>
      </w:r>
      <w:r>
        <w:rPr>
          <w:spacing w:val="-12"/>
        </w:rPr>
        <w:t> </w:t>
      </w:r>
      <w:r>
        <w:rPr/>
        <w:t>raised</w:t>
      </w:r>
      <w:r>
        <w:rPr>
          <w:spacing w:val="-9"/>
        </w:rPr>
        <w:t> </w:t>
      </w:r>
      <w:r>
        <w:rPr/>
        <w:t>by</w:t>
      </w:r>
      <w:r>
        <w:rPr>
          <w:spacing w:val="-12"/>
        </w:rPr>
        <w:t> </w:t>
      </w:r>
      <w:r>
        <w:rPr/>
        <w:t>P</w:t>
      </w:r>
      <w:r>
        <w:rPr>
          <w:sz w:val="20"/>
        </w:rPr>
        <w:t>NFC</w:t>
      </w:r>
      <w:r>
        <w:rPr/>
        <w:t>s</w:t>
      </w:r>
      <w:r>
        <w:rPr>
          <w:spacing w:val="-11"/>
        </w:rPr>
        <w:t> </w:t>
      </w:r>
      <w:r>
        <w:rPr/>
        <w:t>had</w:t>
      </w:r>
      <w:r>
        <w:rPr>
          <w:spacing w:val="-11"/>
        </w:rPr>
        <w:t> </w:t>
      </w:r>
      <w:r>
        <w:rPr/>
        <w:t>risen</w:t>
      </w:r>
      <w:r>
        <w:rPr>
          <w:spacing w:val="-10"/>
        </w:rPr>
        <w:t> </w:t>
      </w:r>
      <w:r>
        <w:rPr/>
        <w:t>by</w:t>
      </w:r>
      <w:r>
        <w:rPr>
          <w:spacing w:val="-12"/>
        </w:rPr>
        <w:t> </w:t>
      </w:r>
      <w:r>
        <w:rPr/>
        <w:t>£1.4</w:t>
      </w:r>
      <w:r>
        <w:rPr>
          <w:spacing w:val="-14"/>
        </w:rPr>
        <w:t> </w:t>
      </w:r>
      <w:r>
        <w:rPr/>
        <w:t>billion</w:t>
      </w:r>
      <w:r>
        <w:rPr>
          <w:spacing w:val="-11"/>
        </w:rPr>
        <w:t> </w:t>
      </w:r>
      <w:r>
        <w:rPr>
          <w:spacing w:val="2"/>
        </w:rPr>
        <w:t>to</w:t>
      </w:r>
      <w:r>
        <w:rPr>
          <w:spacing w:val="-8"/>
        </w:rPr>
        <w:t> </w:t>
      </w:r>
      <w:r>
        <w:rPr/>
        <w:t>£4.4</w:t>
      </w:r>
      <w:r>
        <w:rPr>
          <w:spacing w:val="-7"/>
        </w:rPr>
        <w:t> </w:t>
      </w:r>
      <w:r>
        <w:rPr/>
        <w:t>billion</w:t>
      </w:r>
      <w:r>
        <w:rPr>
          <w:spacing w:val="-11"/>
        </w:rPr>
        <w:t> </w:t>
      </w:r>
      <w:r>
        <w:rPr/>
        <w:t>in</w:t>
      </w:r>
      <w:r>
        <w:rPr>
          <w:spacing w:val="-11"/>
        </w:rPr>
        <w:t> </w:t>
      </w:r>
      <w:r>
        <w:rPr/>
        <w:t>November. This</w:t>
      </w:r>
      <w:r>
        <w:rPr>
          <w:spacing w:val="-6"/>
        </w:rPr>
        <w:t> </w:t>
      </w:r>
      <w:r>
        <w:rPr/>
        <w:t>included</w:t>
      </w:r>
      <w:r>
        <w:rPr>
          <w:spacing w:val="-7"/>
        </w:rPr>
        <w:t> </w:t>
      </w:r>
      <w:r>
        <w:rPr/>
        <w:t>an</w:t>
      </w:r>
      <w:r>
        <w:rPr>
          <w:spacing w:val="-8"/>
        </w:rPr>
        <w:t> </w:t>
      </w:r>
      <w:r>
        <w:rPr/>
        <w:t>increase</w:t>
      </w:r>
      <w:r>
        <w:rPr>
          <w:spacing w:val="-7"/>
        </w:rPr>
        <w:t> </w:t>
      </w:r>
      <w:r>
        <w:rPr/>
        <w:t>in</w:t>
      </w:r>
      <w:r>
        <w:rPr>
          <w:spacing w:val="-7"/>
        </w:rPr>
        <w:t> </w:t>
      </w:r>
      <w:r>
        <w:rPr/>
        <w:t>P</w:t>
      </w:r>
      <w:r>
        <w:rPr>
          <w:sz w:val="20"/>
        </w:rPr>
        <w:t>NFC</w:t>
      </w:r>
      <w:r>
        <w:rPr/>
        <w:t>s</w:t>
      </w:r>
      <w:r>
        <w:rPr>
          <w:spacing w:val="-8"/>
        </w:rPr>
        <w:t> </w:t>
      </w:r>
      <w:r>
        <w:rPr/>
        <w:t>net</w:t>
      </w:r>
      <w:r>
        <w:rPr>
          <w:spacing w:val="-3"/>
        </w:rPr>
        <w:t> </w:t>
      </w:r>
      <w:r>
        <w:rPr/>
        <w:t>recourse</w:t>
      </w:r>
      <w:r>
        <w:rPr>
          <w:spacing w:val="-5"/>
        </w:rPr>
        <w:t> </w:t>
      </w:r>
      <w:r>
        <w:rPr>
          <w:spacing w:val="2"/>
        </w:rPr>
        <w:t>to</w:t>
      </w:r>
      <w:r>
        <w:rPr>
          <w:spacing w:val="-4"/>
        </w:rPr>
        <w:t> </w:t>
      </w:r>
      <w:r>
        <w:rPr/>
        <w:t>banks</w:t>
      </w:r>
      <w:r>
        <w:rPr>
          <w:spacing w:val="-7"/>
        </w:rPr>
        <w:t> </w:t>
      </w:r>
      <w:r>
        <w:rPr/>
        <w:t>and</w:t>
      </w:r>
      <w:r>
        <w:rPr>
          <w:spacing w:val="-7"/>
        </w:rPr>
        <w:t> </w:t>
      </w:r>
      <w:r>
        <w:rPr/>
        <w:t>a</w:t>
      </w:r>
      <w:r>
        <w:rPr>
          <w:spacing w:val="-8"/>
        </w:rPr>
        <w:t> </w:t>
      </w:r>
      <w:r>
        <w:rPr/>
        <w:t>reduction</w:t>
      </w:r>
      <w:r>
        <w:rPr>
          <w:spacing w:val="-5"/>
        </w:rPr>
        <w:t> </w:t>
      </w:r>
      <w:r>
        <w:rPr/>
        <w:t>in</w:t>
      </w:r>
      <w:r>
        <w:rPr>
          <w:spacing w:val="-8"/>
        </w:rPr>
        <w:t> </w:t>
      </w:r>
      <w:r>
        <w:rPr/>
        <w:t>net</w:t>
      </w:r>
      <w:r>
        <w:rPr>
          <w:spacing w:val="-3"/>
        </w:rPr>
        <w:t> </w:t>
      </w:r>
      <w:r>
        <w:rPr/>
        <w:t>capital</w:t>
      </w:r>
      <w:r>
        <w:rPr>
          <w:spacing w:val="-7"/>
        </w:rPr>
        <w:t> </w:t>
      </w:r>
      <w:r>
        <w:rPr/>
        <w:t>issues.</w:t>
      </w:r>
      <w:r>
        <w:rPr>
          <w:spacing w:val="45"/>
        </w:rPr>
        <w:t> </w:t>
      </w:r>
      <w:r>
        <w:rPr/>
        <w:t>As for capital market conditions, the spread between swaps and government debt, and</w:t>
      </w:r>
      <w:r>
        <w:rPr>
          <w:spacing w:val="-39"/>
        </w:rPr>
        <w:t> </w:t>
      </w:r>
      <w:r>
        <w:rPr/>
        <w:t>between</w:t>
      </w:r>
    </w:p>
    <w:p>
      <w:pPr>
        <w:spacing w:after="0" w:line="321" w:lineRule="auto"/>
        <w:sectPr>
          <w:pgSz w:w="11900" w:h="16840"/>
          <w:pgMar w:header="729" w:footer="0" w:top="1060" w:bottom="280" w:left="860" w:right="880"/>
        </w:sectPr>
      </w:pPr>
    </w:p>
    <w:p>
      <w:pPr>
        <w:pStyle w:val="BodyText"/>
        <w:spacing w:line="321" w:lineRule="auto" w:before="80"/>
        <w:ind w:left="421"/>
      </w:pPr>
      <w:r>
        <w:rPr/>
        <w:t>corporate bonds and government debt, had both been broadly constant during December. These spreads remained high by historic standards but were below the peaks observed in the autumn.</w:t>
      </w:r>
    </w:p>
    <w:p>
      <w:pPr>
        <w:pStyle w:val="BodyText"/>
        <w:spacing w:before="1"/>
        <w:rPr>
          <w:sz w:val="32"/>
        </w:rPr>
      </w:pPr>
    </w:p>
    <w:p>
      <w:pPr>
        <w:pStyle w:val="BodyText"/>
        <w:tabs>
          <w:tab w:pos="987" w:val="left" w:leader="none"/>
        </w:tabs>
        <w:spacing w:line="321" w:lineRule="auto"/>
        <w:ind w:left="421" w:right="489"/>
      </w:pPr>
      <w:r>
        <w:rPr/>
        <w:t>A7</w:t>
        <w:tab/>
        <w:t>Turning</w:t>
      </w:r>
      <w:r>
        <w:rPr>
          <w:spacing w:val="-9"/>
        </w:rPr>
        <w:t> </w:t>
      </w:r>
      <w:r>
        <w:rPr>
          <w:spacing w:val="2"/>
        </w:rPr>
        <w:t>to</w:t>
      </w:r>
      <w:r>
        <w:rPr>
          <w:spacing w:val="-7"/>
        </w:rPr>
        <w:t> </w:t>
      </w:r>
      <w:r>
        <w:rPr/>
        <w:t>price</w:t>
      </w:r>
      <w:r>
        <w:rPr>
          <w:spacing w:val="-11"/>
        </w:rPr>
        <w:t> </w:t>
      </w:r>
      <w:r>
        <w:rPr/>
        <w:t>indicators</w:t>
      </w:r>
      <w:r>
        <w:rPr>
          <w:spacing w:val="-10"/>
        </w:rPr>
        <w:t> </w:t>
      </w:r>
      <w:r>
        <w:rPr/>
        <w:t>of</w:t>
      </w:r>
      <w:r>
        <w:rPr>
          <w:spacing w:val="-7"/>
        </w:rPr>
        <w:t> </w:t>
      </w:r>
      <w:r>
        <w:rPr/>
        <w:t>monetary</w:t>
      </w:r>
      <w:r>
        <w:rPr>
          <w:spacing w:val="-11"/>
        </w:rPr>
        <w:t> </w:t>
      </w:r>
      <w:r>
        <w:rPr/>
        <w:t>conditions,</w:t>
      </w:r>
      <w:r>
        <w:rPr>
          <w:spacing w:val="-10"/>
        </w:rPr>
        <w:t> </w:t>
      </w:r>
      <w:r>
        <w:rPr/>
        <w:t>the</w:t>
      </w:r>
      <w:r>
        <w:rPr>
          <w:spacing w:val="-11"/>
        </w:rPr>
        <w:t> </w:t>
      </w:r>
      <w:r>
        <w:rPr/>
        <w:t>50</w:t>
      </w:r>
      <w:r>
        <w:rPr>
          <w:spacing w:val="-10"/>
        </w:rPr>
        <w:t> </w:t>
      </w:r>
      <w:r>
        <w:rPr/>
        <w:t>basis</w:t>
      </w:r>
      <w:r>
        <w:rPr>
          <w:spacing w:val="-11"/>
        </w:rPr>
        <w:t> </w:t>
      </w:r>
      <w:r>
        <w:rPr/>
        <w:t>point</w:t>
      </w:r>
      <w:r>
        <w:rPr>
          <w:spacing w:val="-7"/>
        </w:rPr>
        <w:t> </w:t>
      </w:r>
      <w:r>
        <w:rPr/>
        <w:t>cut</w:t>
      </w:r>
      <w:r>
        <w:rPr>
          <w:spacing w:val="-6"/>
        </w:rPr>
        <w:t> </w:t>
      </w:r>
      <w:r>
        <w:rPr/>
        <w:t>in</w:t>
      </w:r>
      <w:r>
        <w:rPr>
          <w:spacing w:val="-11"/>
        </w:rPr>
        <w:t> </w:t>
      </w:r>
      <w:r>
        <w:rPr>
          <w:spacing w:val="3"/>
        </w:rPr>
        <w:t>official</w:t>
      </w:r>
      <w:r>
        <w:rPr>
          <w:spacing w:val="-6"/>
        </w:rPr>
        <w:t> </w:t>
      </w:r>
      <w:r>
        <w:rPr/>
        <w:t>rates</w:t>
      </w:r>
      <w:r>
        <w:rPr>
          <w:spacing w:val="-9"/>
        </w:rPr>
        <w:t> </w:t>
      </w:r>
      <w:r>
        <w:rPr/>
        <w:t>in November</w:t>
      </w:r>
      <w:r>
        <w:rPr>
          <w:spacing w:val="-12"/>
        </w:rPr>
        <w:t> </w:t>
      </w:r>
      <w:r>
        <w:rPr/>
        <w:t>had</w:t>
      </w:r>
      <w:r>
        <w:rPr>
          <w:spacing w:val="-11"/>
        </w:rPr>
        <w:t> </w:t>
      </w:r>
      <w:r>
        <w:rPr/>
        <w:t>already</w:t>
      </w:r>
      <w:r>
        <w:rPr>
          <w:spacing w:val="-12"/>
        </w:rPr>
        <w:t> </w:t>
      </w:r>
      <w:r>
        <w:rPr/>
        <w:t>been</w:t>
      </w:r>
      <w:r>
        <w:rPr>
          <w:spacing w:val="-11"/>
        </w:rPr>
        <w:t> </w:t>
      </w:r>
      <w:r>
        <w:rPr/>
        <w:t>fully</w:t>
      </w:r>
      <w:r>
        <w:rPr>
          <w:spacing w:val="-11"/>
        </w:rPr>
        <w:t> </w:t>
      </w:r>
      <w:r>
        <w:rPr/>
        <w:t>passed</w:t>
      </w:r>
      <w:r>
        <w:rPr>
          <w:spacing w:val="-12"/>
        </w:rPr>
        <w:t> </w:t>
      </w:r>
      <w:r>
        <w:rPr/>
        <w:t>through</w:t>
      </w:r>
      <w:r>
        <w:rPr>
          <w:spacing w:val="-11"/>
        </w:rPr>
        <w:t> </w:t>
      </w:r>
      <w:r>
        <w:rPr>
          <w:spacing w:val="2"/>
        </w:rPr>
        <w:t>to</w:t>
      </w:r>
      <w:r>
        <w:rPr>
          <w:spacing w:val="-8"/>
        </w:rPr>
        <w:t> </w:t>
      </w:r>
      <w:r>
        <w:rPr/>
        <w:t>variable-rate</w:t>
      </w:r>
      <w:r>
        <w:rPr>
          <w:spacing w:val="-11"/>
        </w:rPr>
        <w:t> </w:t>
      </w:r>
      <w:r>
        <w:rPr/>
        <w:t>mortgages</w:t>
      </w:r>
      <w:r>
        <w:rPr>
          <w:spacing w:val="-12"/>
        </w:rPr>
        <w:t> </w:t>
      </w:r>
      <w:r>
        <w:rPr/>
        <w:t>advertised</w:t>
      </w:r>
      <w:r>
        <w:rPr>
          <w:spacing w:val="-11"/>
        </w:rPr>
        <w:t> </w:t>
      </w:r>
      <w:r>
        <w:rPr/>
        <w:t>by</w:t>
      </w:r>
      <w:r>
        <w:rPr>
          <w:spacing w:val="-11"/>
        </w:rPr>
        <w:t> </w:t>
      </w:r>
      <w:r>
        <w:rPr/>
        <w:t>banks and building societies; announcements had been made by lenders that the 50 basis point cut in </w:t>
      </w:r>
      <w:r>
        <w:rPr>
          <w:spacing w:val="3"/>
        </w:rPr>
        <w:t>official </w:t>
      </w:r>
      <w:r>
        <w:rPr/>
        <w:t>rates in December would soon be passed</w:t>
      </w:r>
      <w:r>
        <w:rPr>
          <w:spacing w:val="8"/>
        </w:rPr>
        <w:t> </w:t>
      </w:r>
      <w:r>
        <w:rPr>
          <w:spacing w:val="2"/>
        </w:rPr>
        <w:t>on.</w:t>
      </w:r>
    </w:p>
    <w:p>
      <w:pPr>
        <w:pStyle w:val="BodyText"/>
        <w:rPr>
          <w:sz w:val="32"/>
        </w:rPr>
      </w:pPr>
    </w:p>
    <w:p>
      <w:pPr>
        <w:pStyle w:val="BodyText"/>
        <w:tabs>
          <w:tab w:pos="987" w:val="left" w:leader="none"/>
        </w:tabs>
        <w:spacing w:line="321" w:lineRule="auto" w:before="1"/>
        <w:ind w:left="421" w:right="611"/>
      </w:pPr>
      <w:r>
        <w:rPr/>
        <w:t>A8</w:t>
        <w:tab/>
        <w:t>Survey</w:t>
      </w:r>
      <w:r>
        <w:rPr>
          <w:spacing w:val="-12"/>
        </w:rPr>
        <w:t> </w:t>
      </w:r>
      <w:r>
        <w:rPr/>
        <w:t>measures</w:t>
      </w:r>
      <w:r>
        <w:rPr>
          <w:spacing w:val="-12"/>
        </w:rPr>
        <w:t> </w:t>
      </w:r>
      <w:r>
        <w:rPr/>
        <w:t>of</w:t>
      </w:r>
      <w:r>
        <w:rPr>
          <w:spacing w:val="-8"/>
        </w:rPr>
        <w:t> </w:t>
      </w:r>
      <w:r>
        <w:rPr/>
        <w:t>short-run</w:t>
      </w:r>
      <w:r>
        <w:rPr>
          <w:spacing w:val="-12"/>
        </w:rPr>
        <w:t> </w:t>
      </w:r>
      <w:r>
        <w:rPr/>
        <w:t>inflation</w:t>
      </w:r>
      <w:r>
        <w:rPr>
          <w:spacing w:val="-13"/>
        </w:rPr>
        <w:t> </w:t>
      </w:r>
      <w:r>
        <w:rPr/>
        <w:t>expectations</w:t>
      </w:r>
      <w:r>
        <w:rPr>
          <w:spacing w:val="-12"/>
        </w:rPr>
        <w:t> </w:t>
      </w:r>
      <w:r>
        <w:rPr/>
        <w:t>had</w:t>
      </w:r>
      <w:r>
        <w:rPr>
          <w:spacing w:val="-12"/>
        </w:rPr>
        <w:t> </w:t>
      </w:r>
      <w:r>
        <w:rPr/>
        <w:t>fallen</w:t>
      </w:r>
      <w:r>
        <w:rPr>
          <w:spacing w:val="-12"/>
        </w:rPr>
        <w:t> </w:t>
      </w:r>
      <w:r>
        <w:rPr/>
        <w:t>by</w:t>
      </w:r>
      <w:r>
        <w:rPr>
          <w:spacing w:val="-12"/>
        </w:rPr>
        <w:t> </w:t>
      </w:r>
      <w:r>
        <w:rPr/>
        <w:t>between</w:t>
      </w:r>
      <w:r>
        <w:rPr>
          <w:spacing w:val="-12"/>
        </w:rPr>
        <w:t> </w:t>
      </w:r>
      <w:r>
        <w:rPr/>
        <w:t>10</w:t>
      </w:r>
      <w:r>
        <w:rPr>
          <w:spacing w:val="-12"/>
        </w:rPr>
        <w:t> </w:t>
      </w:r>
      <w:r>
        <w:rPr/>
        <w:t>and</w:t>
      </w:r>
      <w:r>
        <w:rPr>
          <w:spacing w:val="-12"/>
        </w:rPr>
        <w:t> </w:t>
      </w:r>
      <w:r>
        <w:rPr/>
        <w:t>20</w:t>
      </w:r>
      <w:r>
        <w:rPr>
          <w:spacing w:val="3"/>
        </w:rPr>
        <w:t> </w:t>
      </w:r>
      <w:r>
        <w:rPr/>
        <w:t>basis points during November, lying largely in a range between 2.2%-2.3%. These surveys had predominantly</w:t>
      </w:r>
      <w:r>
        <w:rPr>
          <w:spacing w:val="-10"/>
        </w:rPr>
        <w:t> </w:t>
      </w:r>
      <w:r>
        <w:rPr/>
        <w:t>been</w:t>
      </w:r>
      <w:r>
        <w:rPr>
          <w:spacing w:val="-9"/>
        </w:rPr>
        <w:t> </w:t>
      </w:r>
      <w:r>
        <w:rPr/>
        <w:t>undertaken</w:t>
      </w:r>
      <w:r>
        <w:rPr>
          <w:spacing w:val="-10"/>
        </w:rPr>
        <w:t> </w:t>
      </w:r>
      <w:r>
        <w:rPr/>
        <w:t>before</w:t>
      </w:r>
      <w:r>
        <w:rPr>
          <w:spacing w:val="-9"/>
        </w:rPr>
        <w:t> </w:t>
      </w:r>
      <w:r>
        <w:rPr/>
        <w:t>the</w:t>
      </w:r>
      <w:r>
        <w:rPr>
          <w:spacing w:val="-10"/>
        </w:rPr>
        <w:t> </w:t>
      </w:r>
      <w:r>
        <w:rPr/>
        <w:t>reduction</w:t>
      </w:r>
      <w:r>
        <w:rPr>
          <w:spacing w:val="-8"/>
        </w:rPr>
        <w:t> </w:t>
      </w:r>
      <w:r>
        <w:rPr/>
        <w:t>in</w:t>
      </w:r>
      <w:r>
        <w:rPr>
          <w:spacing w:val="-9"/>
        </w:rPr>
        <w:t> </w:t>
      </w:r>
      <w:r>
        <w:rPr>
          <w:spacing w:val="3"/>
        </w:rPr>
        <w:t>official</w:t>
      </w:r>
      <w:r>
        <w:rPr>
          <w:spacing w:val="-6"/>
        </w:rPr>
        <w:t> </w:t>
      </w:r>
      <w:r>
        <w:rPr/>
        <w:t>interest</w:t>
      </w:r>
      <w:r>
        <w:rPr>
          <w:spacing w:val="-5"/>
        </w:rPr>
        <w:t> </w:t>
      </w:r>
      <w:r>
        <w:rPr/>
        <w:t>rates</w:t>
      </w:r>
      <w:r>
        <w:rPr>
          <w:spacing w:val="-8"/>
        </w:rPr>
        <w:t> </w:t>
      </w:r>
      <w:r>
        <w:rPr/>
        <w:t>on</w:t>
      </w:r>
      <w:r>
        <w:rPr>
          <w:spacing w:val="-5"/>
        </w:rPr>
        <w:t> </w:t>
      </w:r>
      <w:r>
        <w:rPr/>
        <w:t>10</w:t>
      </w:r>
      <w:r>
        <w:rPr>
          <w:spacing w:val="-24"/>
        </w:rPr>
        <w:t> </w:t>
      </w:r>
      <w:r>
        <w:rPr/>
        <w:t>December.</w:t>
      </w:r>
    </w:p>
    <w:p>
      <w:pPr>
        <w:pStyle w:val="BodyText"/>
        <w:spacing w:line="321" w:lineRule="auto"/>
        <w:ind w:left="421" w:right="210"/>
      </w:pPr>
      <w:r>
        <w:rPr/>
        <w:t>Measures of professionals’ expectations of average annual inflation over the next two years, derived from Consensus Economics and Basix surveys, had fallen by between 25 and 50 basis points on a quarter earlier. Estimates of short real interest rates could be made by subtracting survey measures of inflation expectations from a corresponding maturity wholesale money market rate. These calculations suggested that short real rates had fallen again during November, by around 20 basis points. Estimates of average real interest rates over the next two years derived from the Consensus survey enabled international comparisons to be made; they suggested that over Q4 real rates had fallen by substantially more in the United Kingdom (around 60 basis points) compared with either the United States (around 15 basis point fall) or Germany (around 30 basis point fall).</w:t>
      </w:r>
    </w:p>
    <w:p>
      <w:pPr>
        <w:pStyle w:val="BodyText"/>
        <w:spacing w:before="10"/>
        <w:rPr>
          <w:sz w:val="31"/>
        </w:rPr>
      </w:pPr>
    </w:p>
    <w:p>
      <w:pPr>
        <w:pStyle w:val="BodyText"/>
        <w:tabs>
          <w:tab w:pos="987" w:val="left" w:leader="none"/>
        </w:tabs>
        <w:spacing w:line="321" w:lineRule="auto"/>
        <w:ind w:left="421" w:right="392"/>
      </w:pPr>
      <w:r>
        <w:rPr/>
        <w:t>A9</w:t>
        <w:tab/>
        <w:t>The BASIX general </w:t>
      </w:r>
      <w:r>
        <w:rPr>
          <w:spacing w:val="-4"/>
        </w:rPr>
        <w:t>public’s </w:t>
      </w:r>
      <w:r>
        <w:rPr/>
        <w:t>inflation expectations for the next two years had also fallen markedly </w:t>
      </w:r>
      <w:r>
        <w:rPr>
          <w:spacing w:val="3"/>
        </w:rPr>
        <w:t>over </w:t>
      </w:r>
      <w:r>
        <w:rPr/>
        <w:t>Q4. The mean inflation expectations for </w:t>
      </w:r>
      <w:r>
        <w:rPr>
          <w:spacing w:val="2"/>
        </w:rPr>
        <w:t>one </w:t>
      </w:r>
      <w:r>
        <w:rPr/>
        <w:t>year ahead had fallen from 4.5% to 4.2% </w:t>
      </w:r>
      <w:r>
        <w:rPr>
          <w:spacing w:val="3"/>
        </w:rPr>
        <w:t>over </w:t>
      </w:r>
      <w:r>
        <w:rPr/>
        <w:t>the quarter. Expected inflation two years ahead had fallen from 5.1% </w:t>
      </w:r>
      <w:r>
        <w:rPr>
          <w:spacing w:val="2"/>
        </w:rPr>
        <w:t>to </w:t>
      </w:r>
      <w:r>
        <w:rPr/>
        <w:t>4.7% </w:t>
      </w:r>
      <w:r>
        <w:rPr>
          <w:spacing w:val="3"/>
        </w:rPr>
        <w:t>over</w:t>
      </w:r>
      <w:r>
        <w:rPr>
          <w:spacing w:val="-22"/>
        </w:rPr>
        <w:t> </w:t>
      </w:r>
      <w:r>
        <w:rPr/>
        <w:t>the quarter. There had also been a shift in the distribution of inflation expectations away from 4% or above, </w:t>
      </w:r>
      <w:r>
        <w:rPr>
          <w:spacing w:val="2"/>
        </w:rPr>
        <w:t>to </w:t>
      </w:r>
      <w:r>
        <w:rPr/>
        <w:t>3% or below. The expectations of inflation formed by the general public still remained well above </w:t>
      </w:r>
      <w:r>
        <w:rPr>
          <w:spacing w:val="3"/>
        </w:rPr>
        <w:t>other</w:t>
      </w:r>
      <w:r>
        <w:rPr>
          <w:spacing w:val="9"/>
        </w:rPr>
        <w:t> </w:t>
      </w:r>
      <w:r>
        <w:rPr/>
        <w:t>measures.</w:t>
      </w:r>
    </w:p>
    <w:p>
      <w:pPr>
        <w:pStyle w:val="BodyText"/>
        <w:spacing w:before="5"/>
        <w:rPr>
          <w:sz w:val="32"/>
        </w:rPr>
      </w:pPr>
    </w:p>
    <w:p>
      <w:pPr>
        <w:pStyle w:val="Heading1"/>
        <w:numPr>
          <w:ilvl w:val="0"/>
          <w:numId w:val="2"/>
        </w:numPr>
        <w:tabs>
          <w:tab w:pos="987" w:val="left" w:leader="none"/>
          <w:tab w:pos="988" w:val="left" w:leader="none"/>
        </w:tabs>
        <w:spacing w:line="240" w:lineRule="auto" w:before="0" w:after="0"/>
        <w:ind w:left="988" w:right="0" w:hanging="567"/>
        <w:jc w:val="left"/>
      </w:pPr>
      <w:r>
        <w:rPr/>
        <w:t>Demand and</w:t>
      </w:r>
      <w:r>
        <w:rPr>
          <w:spacing w:val="3"/>
        </w:rPr>
        <w:t> </w:t>
      </w:r>
      <w:r>
        <w:rPr/>
        <w:t>output</w:t>
      </w:r>
    </w:p>
    <w:p>
      <w:pPr>
        <w:pStyle w:val="BodyText"/>
        <w:rPr>
          <w:b/>
          <w:sz w:val="26"/>
        </w:rPr>
      </w:pPr>
    </w:p>
    <w:p>
      <w:pPr>
        <w:pStyle w:val="BodyText"/>
        <w:spacing w:line="321" w:lineRule="auto" w:before="160"/>
        <w:ind w:left="421" w:right="250"/>
      </w:pPr>
      <w:r>
        <w:rPr/>
        <w:t>A10 According </w:t>
      </w:r>
      <w:r>
        <w:rPr>
          <w:spacing w:val="2"/>
        </w:rPr>
        <w:t>to </w:t>
      </w:r>
      <w:r>
        <w:rPr/>
        <w:t>the National Accounts release, GDP at market prices had grown by an unrevised 0.4% in 1998 Q3 on a quarter earlier, and by 2.3% at an annual rate. But downward revisions</w:t>
      </w:r>
      <w:r>
        <w:rPr>
          <w:spacing w:val="-4"/>
        </w:rPr>
        <w:t> </w:t>
      </w:r>
      <w:r>
        <w:rPr>
          <w:spacing w:val="2"/>
        </w:rPr>
        <w:t>to</w:t>
      </w:r>
      <w:r>
        <w:rPr>
          <w:spacing w:val="-2"/>
        </w:rPr>
        <w:t> </w:t>
      </w:r>
      <w:r>
        <w:rPr/>
        <w:t>growth</w:t>
      </w:r>
      <w:r>
        <w:rPr>
          <w:spacing w:val="-6"/>
        </w:rPr>
        <w:t> </w:t>
      </w:r>
      <w:r>
        <w:rPr/>
        <w:t>in</w:t>
      </w:r>
      <w:r>
        <w:rPr>
          <w:spacing w:val="-5"/>
        </w:rPr>
        <w:t> </w:t>
      </w:r>
      <w:r>
        <w:rPr/>
        <w:t>1997</w:t>
      </w:r>
      <w:r>
        <w:rPr>
          <w:spacing w:val="-6"/>
        </w:rPr>
        <w:t> </w:t>
      </w:r>
      <w:r>
        <w:rPr/>
        <w:t>and</w:t>
      </w:r>
      <w:r>
        <w:rPr>
          <w:spacing w:val="-6"/>
        </w:rPr>
        <w:t> </w:t>
      </w:r>
      <w:r>
        <w:rPr/>
        <w:t>the</w:t>
      </w:r>
      <w:r>
        <w:rPr>
          <w:spacing w:val="-5"/>
        </w:rPr>
        <w:t> </w:t>
      </w:r>
      <w:r>
        <w:rPr/>
        <w:t>first</w:t>
      </w:r>
      <w:r>
        <w:rPr>
          <w:spacing w:val="-2"/>
        </w:rPr>
        <w:t> </w:t>
      </w:r>
      <w:r>
        <w:rPr/>
        <w:t>half</w:t>
      </w:r>
      <w:r>
        <w:rPr>
          <w:spacing w:val="-5"/>
        </w:rPr>
        <w:t> </w:t>
      </w:r>
      <w:r>
        <w:rPr/>
        <w:t>of</w:t>
      </w:r>
      <w:r>
        <w:rPr>
          <w:spacing w:val="-2"/>
        </w:rPr>
        <w:t> </w:t>
      </w:r>
      <w:r>
        <w:rPr/>
        <w:t>1998</w:t>
      </w:r>
      <w:r>
        <w:rPr>
          <w:spacing w:val="-6"/>
        </w:rPr>
        <w:t> </w:t>
      </w:r>
      <w:r>
        <w:rPr/>
        <w:t>had</w:t>
      </w:r>
      <w:r>
        <w:rPr>
          <w:spacing w:val="-5"/>
        </w:rPr>
        <w:t> </w:t>
      </w:r>
      <w:r>
        <w:rPr/>
        <w:t>reduced</w:t>
      </w:r>
      <w:r>
        <w:rPr>
          <w:spacing w:val="-4"/>
        </w:rPr>
        <w:t> </w:t>
      </w:r>
      <w:r>
        <w:rPr/>
        <w:t>the</w:t>
      </w:r>
      <w:r>
        <w:rPr>
          <w:spacing w:val="-6"/>
        </w:rPr>
        <w:t> </w:t>
      </w:r>
      <w:r>
        <w:rPr/>
        <w:t>level</w:t>
      </w:r>
      <w:r>
        <w:rPr>
          <w:spacing w:val="-6"/>
        </w:rPr>
        <w:t> </w:t>
      </w:r>
      <w:r>
        <w:rPr/>
        <w:t>of</w:t>
      </w:r>
      <w:r>
        <w:rPr>
          <w:spacing w:val="-1"/>
        </w:rPr>
        <w:t> </w:t>
      </w:r>
      <w:r>
        <w:rPr/>
        <w:t>GDP</w:t>
      </w:r>
      <w:r>
        <w:rPr>
          <w:spacing w:val="-6"/>
        </w:rPr>
        <w:t> </w:t>
      </w:r>
      <w:r>
        <w:rPr/>
        <w:t>by</w:t>
      </w:r>
      <w:r>
        <w:rPr>
          <w:spacing w:val="-5"/>
        </w:rPr>
        <w:t> </w:t>
      </w:r>
      <w:r>
        <w:rPr/>
        <w:t>around</w:t>
      </w:r>
      <w:r>
        <w:rPr>
          <w:spacing w:val="-6"/>
        </w:rPr>
        <w:t> </w:t>
      </w:r>
      <w:r>
        <w:rPr/>
        <w:t>£350 million (or 0.2%). There had been revisions </w:t>
      </w:r>
      <w:r>
        <w:rPr>
          <w:spacing w:val="2"/>
        </w:rPr>
        <w:t>to </w:t>
      </w:r>
      <w:r>
        <w:rPr/>
        <w:t>the expenditure composition of growth in Q3, with a slightly stronger contribution from net trade </w:t>
      </w:r>
      <w:r>
        <w:rPr>
          <w:spacing w:val="3"/>
        </w:rPr>
        <w:t>offsetting </w:t>
      </w:r>
      <w:r>
        <w:rPr/>
        <w:t>weaker domestic demand. And the divergence between the </w:t>
      </w:r>
      <w:r>
        <w:rPr>
          <w:spacing w:val="3"/>
        </w:rPr>
        <w:t>output </w:t>
      </w:r>
      <w:r>
        <w:rPr/>
        <w:t>and expenditure measures of GDP had widened markedly </w:t>
      </w:r>
      <w:r>
        <w:rPr>
          <w:spacing w:val="2"/>
        </w:rPr>
        <w:t>to </w:t>
      </w:r>
      <w:r>
        <w:rPr/>
        <w:t>£865 million, compared with almost zero in 1997</w:t>
      </w:r>
      <w:r>
        <w:rPr>
          <w:spacing w:val="9"/>
        </w:rPr>
        <w:t> </w:t>
      </w:r>
      <w:r>
        <w:rPr/>
        <w:t>Q3.</w:t>
      </w:r>
    </w:p>
    <w:p>
      <w:pPr>
        <w:spacing w:after="0" w:line="321" w:lineRule="auto"/>
        <w:sectPr>
          <w:pgSz w:w="11900" w:h="16840"/>
          <w:pgMar w:header="729" w:footer="0" w:top="1060" w:bottom="280" w:left="860" w:right="880"/>
        </w:sectPr>
      </w:pPr>
    </w:p>
    <w:p>
      <w:pPr>
        <w:pStyle w:val="BodyText"/>
        <w:spacing w:line="321" w:lineRule="auto" w:before="80"/>
        <w:ind w:left="421" w:right="261"/>
      </w:pPr>
      <w:r>
        <w:rPr/>
        <w:t>A11 Household consumption growth in Q3 had been revised down from 0.4% to 0.3%. Within this, service sector spending had grown by 1.4%, but expenditure on both non-durable and durable goods had fallen. Analysis by Bank staff suggested that part of the recent decline in durables spending might reflect the unwinding of unusually high spending in 1997 and the start of 1998.</w:t>
      </w:r>
    </w:p>
    <w:p>
      <w:pPr>
        <w:pStyle w:val="BodyText"/>
        <w:spacing w:line="321" w:lineRule="auto"/>
        <w:ind w:left="421" w:right="993"/>
      </w:pPr>
      <w:r>
        <w:rPr/>
        <w:t>This</w:t>
      </w:r>
      <w:r>
        <w:rPr>
          <w:spacing w:val="-15"/>
        </w:rPr>
        <w:t> </w:t>
      </w:r>
      <w:r>
        <w:rPr/>
        <w:t>high</w:t>
      </w:r>
      <w:r>
        <w:rPr>
          <w:spacing w:val="-16"/>
        </w:rPr>
        <w:t> </w:t>
      </w:r>
      <w:r>
        <w:rPr/>
        <w:t>spending</w:t>
      </w:r>
      <w:r>
        <w:rPr>
          <w:spacing w:val="-16"/>
        </w:rPr>
        <w:t> </w:t>
      </w:r>
      <w:r>
        <w:rPr/>
        <w:t>had</w:t>
      </w:r>
      <w:r>
        <w:rPr>
          <w:spacing w:val="-16"/>
        </w:rPr>
        <w:t> </w:t>
      </w:r>
      <w:r>
        <w:rPr/>
        <w:t>perhaps</w:t>
      </w:r>
      <w:r>
        <w:rPr>
          <w:spacing w:val="-16"/>
        </w:rPr>
        <w:t> </w:t>
      </w:r>
      <w:r>
        <w:rPr/>
        <w:t>been</w:t>
      </w:r>
      <w:r>
        <w:rPr>
          <w:spacing w:val="-16"/>
        </w:rPr>
        <w:t> </w:t>
      </w:r>
      <w:r>
        <w:rPr/>
        <w:t>caused</w:t>
      </w:r>
      <w:r>
        <w:rPr>
          <w:spacing w:val="-16"/>
        </w:rPr>
        <w:t> </w:t>
      </w:r>
      <w:r>
        <w:rPr/>
        <w:t>by</w:t>
      </w:r>
      <w:r>
        <w:rPr>
          <w:spacing w:val="-16"/>
        </w:rPr>
        <w:t> </w:t>
      </w:r>
      <w:r>
        <w:rPr/>
        <w:t>building</w:t>
      </w:r>
      <w:r>
        <w:rPr>
          <w:spacing w:val="-16"/>
        </w:rPr>
        <w:t> </w:t>
      </w:r>
      <w:r>
        <w:rPr/>
        <w:t>society</w:t>
      </w:r>
      <w:r>
        <w:rPr>
          <w:spacing w:val="-16"/>
        </w:rPr>
        <w:t> </w:t>
      </w:r>
      <w:r>
        <w:rPr/>
        <w:t>windfalls,</w:t>
      </w:r>
      <w:r>
        <w:rPr>
          <w:spacing w:val="-16"/>
        </w:rPr>
        <w:t> </w:t>
      </w:r>
      <w:r>
        <w:rPr/>
        <w:t>though</w:t>
      </w:r>
      <w:r>
        <w:rPr>
          <w:spacing w:val="-15"/>
        </w:rPr>
        <w:t> </w:t>
      </w:r>
      <w:r>
        <w:rPr/>
        <w:t>this</w:t>
      </w:r>
      <w:r>
        <w:rPr>
          <w:spacing w:val="-16"/>
        </w:rPr>
        <w:t> </w:t>
      </w:r>
      <w:r>
        <w:rPr/>
        <w:t>effect appeared </w:t>
      </w:r>
      <w:r>
        <w:rPr>
          <w:spacing w:val="2"/>
        </w:rPr>
        <w:t>to </w:t>
      </w:r>
      <w:r>
        <w:rPr/>
        <w:t>have been rather smaller than expected and had been contrasted with a marked weakening in the growth of consumption of non-durables since</w:t>
      </w:r>
      <w:r>
        <w:rPr>
          <w:spacing w:val="2"/>
        </w:rPr>
        <w:t> </w:t>
      </w:r>
      <w:r>
        <w:rPr/>
        <w:t>1996.</w:t>
      </w:r>
    </w:p>
    <w:p>
      <w:pPr>
        <w:pStyle w:val="BodyText"/>
        <w:spacing w:before="11"/>
        <w:rPr>
          <w:sz w:val="31"/>
        </w:rPr>
      </w:pPr>
    </w:p>
    <w:p>
      <w:pPr>
        <w:pStyle w:val="BodyText"/>
        <w:spacing w:line="321" w:lineRule="auto"/>
        <w:ind w:left="421" w:right="418"/>
      </w:pPr>
      <w:r>
        <w:rPr/>
        <w:t>A12 Investment growth in Q3 had been revised down from 2.5% </w:t>
      </w:r>
      <w:r>
        <w:rPr>
          <w:spacing w:val="2"/>
        </w:rPr>
        <w:t>to </w:t>
      </w:r>
      <w:r>
        <w:rPr/>
        <w:t>1.1%, but the level of investment</w:t>
      </w:r>
      <w:r>
        <w:rPr>
          <w:spacing w:val="-10"/>
        </w:rPr>
        <w:t> </w:t>
      </w:r>
      <w:r>
        <w:rPr/>
        <w:t>had</w:t>
      </w:r>
      <w:r>
        <w:rPr>
          <w:spacing w:val="-14"/>
        </w:rPr>
        <w:t> </w:t>
      </w:r>
      <w:r>
        <w:rPr/>
        <w:t>been</w:t>
      </w:r>
      <w:r>
        <w:rPr>
          <w:spacing w:val="-13"/>
        </w:rPr>
        <w:t> </w:t>
      </w:r>
      <w:r>
        <w:rPr/>
        <w:t>revised</w:t>
      </w:r>
      <w:r>
        <w:rPr>
          <w:spacing w:val="-12"/>
        </w:rPr>
        <w:t> </w:t>
      </w:r>
      <w:r>
        <w:rPr/>
        <w:t>up</w:t>
      </w:r>
      <w:r>
        <w:rPr>
          <w:spacing w:val="-13"/>
        </w:rPr>
        <w:t> </w:t>
      </w:r>
      <w:r>
        <w:rPr/>
        <w:t>by</w:t>
      </w:r>
      <w:r>
        <w:rPr>
          <w:spacing w:val="-14"/>
        </w:rPr>
        <w:t> </w:t>
      </w:r>
      <w:r>
        <w:rPr/>
        <w:t>0.6%,</w:t>
      </w:r>
      <w:r>
        <w:rPr>
          <w:spacing w:val="-13"/>
        </w:rPr>
        <w:t> </w:t>
      </w:r>
      <w:r>
        <w:rPr/>
        <w:t>reflecting</w:t>
      </w:r>
      <w:r>
        <w:rPr>
          <w:spacing w:val="-12"/>
        </w:rPr>
        <w:t> </w:t>
      </w:r>
      <w:r>
        <w:rPr/>
        <w:t>new</w:t>
      </w:r>
      <w:r>
        <w:rPr>
          <w:spacing w:val="-13"/>
        </w:rPr>
        <w:t> </w:t>
      </w:r>
      <w:r>
        <w:rPr/>
        <w:t>information</w:t>
      </w:r>
      <w:r>
        <w:rPr>
          <w:spacing w:val="-14"/>
        </w:rPr>
        <w:t> </w:t>
      </w:r>
      <w:r>
        <w:rPr/>
        <w:t>about</w:t>
      </w:r>
      <w:r>
        <w:rPr>
          <w:spacing w:val="-9"/>
        </w:rPr>
        <w:t> </w:t>
      </w:r>
      <w:r>
        <w:rPr/>
        <w:t>investment</w:t>
      </w:r>
      <w:r>
        <w:rPr>
          <w:spacing w:val="-10"/>
        </w:rPr>
        <w:t> </w:t>
      </w:r>
      <w:r>
        <w:rPr/>
        <w:t>in</w:t>
      </w:r>
      <w:r>
        <w:rPr>
          <w:spacing w:val="-13"/>
        </w:rPr>
        <w:t> </w:t>
      </w:r>
      <w:r>
        <w:rPr/>
        <w:t>previous quarters. (Business investment had been revised up by 2.8%). These upwards revisions had been concentrated</w:t>
      </w:r>
      <w:r>
        <w:rPr>
          <w:spacing w:val="-15"/>
        </w:rPr>
        <w:t> </w:t>
      </w:r>
      <w:r>
        <w:rPr/>
        <w:t>in</w:t>
      </w:r>
      <w:r>
        <w:rPr>
          <w:spacing w:val="-14"/>
        </w:rPr>
        <w:t> </w:t>
      </w:r>
      <w:r>
        <w:rPr/>
        <w:t>the</w:t>
      </w:r>
      <w:r>
        <w:rPr>
          <w:spacing w:val="-15"/>
        </w:rPr>
        <w:t> </w:t>
      </w:r>
      <w:r>
        <w:rPr/>
        <w:t>private</w:t>
      </w:r>
      <w:r>
        <w:rPr>
          <w:spacing w:val="-14"/>
        </w:rPr>
        <w:t> </w:t>
      </w:r>
      <w:r>
        <w:rPr/>
        <w:t>services</w:t>
      </w:r>
      <w:r>
        <w:rPr>
          <w:spacing w:val="-15"/>
        </w:rPr>
        <w:t> </w:t>
      </w:r>
      <w:r>
        <w:rPr/>
        <w:t>sectors,</w:t>
      </w:r>
      <w:r>
        <w:rPr>
          <w:spacing w:val="-14"/>
        </w:rPr>
        <w:t> </w:t>
      </w:r>
      <w:r>
        <w:rPr/>
        <w:t>and</w:t>
      </w:r>
      <w:r>
        <w:rPr>
          <w:spacing w:val="-15"/>
        </w:rPr>
        <w:t> </w:t>
      </w:r>
      <w:r>
        <w:rPr/>
        <w:t>mainly</w:t>
      </w:r>
      <w:r>
        <w:rPr>
          <w:spacing w:val="-14"/>
        </w:rPr>
        <w:t> </w:t>
      </w:r>
      <w:r>
        <w:rPr/>
        <w:t>reflected</w:t>
      </w:r>
      <w:r>
        <w:rPr>
          <w:spacing w:val="-13"/>
        </w:rPr>
        <w:t> </w:t>
      </w:r>
      <w:r>
        <w:rPr/>
        <w:t>increased</w:t>
      </w:r>
      <w:r>
        <w:rPr>
          <w:spacing w:val="-14"/>
        </w:rPr>
        <w:t> </w:t>
      </w:r>
      <w:r>
        <w:rPr/>
        <w:t>spending</w:t>
      </w:r>
      <w:r>
        <w:rPr>
          <w:spacing w:val="-15"/>
        </w:rPr>
        <w:t> </w:t>
      </w:r>
      <w:r>
        <w:rPr/>
        <w:t>on</w:t>
      </w:r>
      <w:r>
        <w:rPr>
          <w:spacing w:val="-11"/>
        </w:rPr>
        <w:t> </w:t>
      </w:r>
      <w:r>
        <w:rPr/>
        <w:t>machinery and</w:t>
      </w:r>
      <w:r>
        <w:rPr>
          <w:spacing w:val="1"/>
        </w:rPr>
        <w:t> </w:t>
      </w:r>
      <w:r>
        <w:rPr/>
        <w:t>equipment.</w:t>
      </w:r>
    </w:p>
    <w:p>
      <w:pPr>
        <w:pStyle w:val="BodyText"/>
        <w:spacing w:before="1"/>
        <w:rPr>
          <w:sz w:val="32"/>
        </w:rPr>
      </w:pPr>
    </w:p>
    <w:p>
      <w:pPr>
        <w:pStyle w:val="BodyText"/>
        <w:spacing w:line="321" w:lineRule="auto"/>
        <w:ind w:left="421" w:right="275"/>
      </w:pPr>
      <w:r>
        <w:rPr/>
        <w:t>A13</w:t>
      </w:r>
      <w:r>
        <w:rPr>
          <w:spacing w:val="44"/>
        </w:rPr>
        <w:t> </w:t>
      </w:r>
      <w:r>
        <w:rPr/>
        <w:t>A</w:t>
      </w:r>
      <w:r>
        <w:rPr>
          <w:spacing w:val="-19"/>
        </w:rPr>
        <w:t> </w:t>
      </w:r>
      <w:r>
        <w:rPr/>
        <w:t>rise</w:t>
      </w:r>
      <w:r>
        <w:rPr>
          <w:spacing w:val="-17"/>
        </w:rPr>
        <w:t> </w:t>
      </w:r>
      <w:r>
        <w:rPr/>
        <w:t>in</w:t>
      </w:r>
      <w:r>
        <w:rPr>
          <w:spacing w:val="-19"/>
        </w:rPr>
        <w:t> </w:t>
      </w:r>
      <w:r>
        <w:rPr/>
        <w:t>inventories—</w:t>
      </w:r>
      <w:r>
        <w:rPr>
          <w:spacing w:val="10"/>
        </w:rPr>
        <w:t> </w:t>
      </w:r>
      <w:r>
        <w:rPr/>
        <w:t>most</w:t>
      </w:r>
      <w:r>
        <w:rPr>
          <w:spacing w:val="-16"/>
        </w:rPr>
        <w:t> </w:t>
      </w:r>
      <w:r>
        <w:rPr/>
        <w:t>marked</w:t>
      </w:r>
      <w:r>
        <w:rPr>
          <w:spacing w:val="-19"/>
        </w:rPr>
        <w:t> </w:t>
      </w:r>
      <w:r>
        <w:rPr/>
        <w:t>in</w:t>
      </w:r>
      <w:r>
        <w:rPr>
          <w:spacing w:val="-19"/>
        </w:rPr>
        <w:t> </w:t>
      </w:r>
      <w:r>
        <w:rPr/>
        <w:t>the</w:t>
      </w:r>
      <w:r>
        <w:rPr>
          <w:spacing w:val="-19"/>
        </w:rPr>
        <w:t> </w:t>
      </w:r>
      <w:r>
        <w:rPr/>
        <w:t>manufacturing</w:t>
      </w:r>
      <w:r>
        <w:rPr>
          <w:spacing w:val="-19"/>
        </w:rPr>
        <w:t> </w:t>
      </w:r>
      <w:r>
        <w:rPr/>
        <w:t>and</w:t>
      </w:r>
      <w:r>
        <w:rPr>
          <w:spacing w:val="-18"/>
        </w:rPr>
        <w:t> </w:t>
      </w:r>
      <w:r>
        <w:rPr/>
        <w:t>retail</w:t>
      </w:r>
      <w:r>
        <w:rPr>
          <w:spacing w:val="-18"/>
        </w:rPr>
        <w:t> </w:t>
      </w:r>
      <w:r>
        <w:rPr/>
        <w:t>sectors—</w:t>
      </w:r>
      <w:r>
        <w:rPr>
          <w:spacing w:val="10"/>
        </w:rPr>
        <w:t> </w:t>
      </w:r>
      <w:r>
        <w:rPr/>
        <w:t>had</w:t>
      </w:r>
      <w:r>
        <w:rPr>
          <w:spacing w:val="-19"/>
        </w:rPr>
        <w:t> </w:t>
      </w:r>
      <w:r>
        <w:rPr/>
        <w:t>contributed 0.2% </w:t>
      </w:r>
      <w:r>
        <w:rPr>
          <w:spacing w:val="2"/>
        </w:rPr>
        <w:t>to </w:t>
      </w:r>
      <w:r>
        <w:rPr/>
        <w:t>GDP growth in Q3. But the cumulative increase in stocks through 1998 as a whole had been revised down by around £1.8 billion. It was possible that there was now less of an overhang in</w:t>
      </w:r>
      <w:r>
        <w:rPr>
          <w:spacing w:val="-9"/>
        </w:rPr>
        <w:t> </w:t>
      </w:r>
      <w:r>
        <w:rPr/>
        <w:t>stocks</w:t>
      </w:r>
      <w:r>
        <w:rPr>
          <w:spacing w:val="-9"/>
        </w:rPr>
        <w:t> </w:t>
      </w:r>
      <w:r>
        <w:rPr/>
        <w:t>than</w:t>
      </w:r>
      <w:r>
        <w:rPr>
          <w:spacing w:val="-9"/>
        </w:rPr>
        <w:t> </w:t>
      </w:r>
      <w:r>
        <w:rPr/>
        <w:t>previously</w:t>
      </w:r>
      <w:r>
        <w:rPr>
          <w:spacing w:val="-9"/>
        </w:rPr>
        <w:t> </w:t>
      </w:r>
      <w:r>
        <w:rPr/>
        <w:t>thought.</w:t>
      </w:r>
      <w:r>
        <w:rPr>
          <w:spacing w:val="47"/>
        </w:rPr>
        <w:t> </w:t>
      </w:r>
      <w:r>
        <w:rPr/>
        <w:t>But</w:t>
      </w:r>
      <w:r>
        <w:rPr>
          <w:spacing w:val="-5"/>
        </w:rPr>
        <w:t> </w:t>
      </w:r>
      <w:r>
        <w:rPr/>
        <w:t>interpretation</w:t>
      </w:r>
      <w:r>
        <w:rPr>
          <w:spacing w:val="-9"/>
        </w:rPr>
        <w:t> </w:t>
      </w:r>
      <w:r>
        <w:rPr/>
        <w:t>was</w:t>
      </w:r>
      <w:r>
        <w:rPr>
          <w:spacing w:val="-8"/>
        </w:rPr>
        <w:t> </w:t>
      </w:r>
      <w:r>
        <w:rPr/>
        <w:t>complicated</w:t>
      </w:r>
      <w:r>
        <w:rPr>
          <w:spacing w:val="-9"/>
        </w:rPr>
        <w:t> </w:t>
      </w:r>
      <w:r>
        <w:rPr/>
        <w:t>by</w:t>
      </w:r>
      <w:r>
        <w:rPr>
          <w:spacing w:val="-9"/>
        </w:rPr>
        <w:t> </w:t>
      </w:r>
      <w:r>
        <w:rPr/>
        <w:t>the</w:t>
      </w:r>
      <w:r>
        <w:rPr>
          <w:spacing w:val="-9"/>
        </w:rPr>
        <w:t> </w:t>
      </w:r>
      <w:r>
        <w:rPr/>
        <w:t>fact</w:t>
      </w:r>
      <w:r>
        <w:rPr>
          <w:spacing w:val="-5"/>
        </w:rPr>
        <w:t> </w:t>
      </w:r>
      <w:r>
        <w:rPr/>
        <w:t>that</w:t>
      </w:r>
      <w:r>
        <w:rPr>
          <w:spacing w:val="-5"/>
        </w:rPr>
        <w:t> </w:t>
      </w:r>
      <w:r>
        <w:rPr/>
        <w:t>the</w:t>
      </w:r>
      <w:r>
        <w:rPr>
          <w:spacing w:val="-9"/>
        </w:rPr>
        <w:t> </w:t>
      </w:r>
      <w:r>
        <w:rPr/>
        <w:t>reduction had largely reflected a reallocation </w:t>
      </w:r>
      <w:r>
        <w:rPr>
          <w:spacing w:val="2"/>
        </w:rPr>
        <w:t>out </w:t>
      </w:r>
      <w:r>
        <w:rPr/>
        <w:t>of the alignment adjustment and into the statistical discrepancy.</w:t>
      </w:r>
      <w:r>
        <w:rPr>
          <w:spacing w:val="36"/>
        </w:rPr>
        <w:t> </w:t>
      </w:r>
      <w:r>
        <w:rPr/>
        <w:t>Evidence</w:t>
      </w:r>
      <w:r>
        <w:rPr>
          <w:spacing w:val="-11"/>
        </w:rPr>
        <w:t> </w:t>
      </w:r>
      <w:r>
        <w:rPr/>
        <w:t>from</w:t>
      </w:r>
      <w:r>
        <w:rPr>
          <w:spacing w:val="-11"/>
        </w:rPr>
        <w:t> </w:t>
      </w:r>
      <w:r>
        <w:rPr/>
        <w:t>the</w:t>
      </w:r>
      <w:r>
        <w:rPr>
          <w:spacing w:val="-12"/>
        </w:rPr>
        <w:t> </w:t>
      </w:r>
      <w:r>
        <w:rPr/>
        <w:t>Confederation</w:t>
      </w:r>
      <w:r>
        <w:rPr>
          <w:spacing w:val="-12"/>
        </w:rPr>
        <w:t> </w:t>
      </w:r>
      <w:r>
        <w:rPr/>
        <w:t>of</w:t>
      </w:r>
      <w:r>
        <w:rPr>
          <w:spacing w:val="-8"/>
        </w:rPr>
        <w:t> </w:t>
      </w:r>
      <w:r>
        <w:rPr/>
        <w:t>British</w:t>
      </w:r>
      <w:r>
        <w:rPr>
          <w:spacing w:val="-12"/>
        </w:rPr>
        <w:t> </w:t>
      </w:r>
      <w:r>
        <w:rPr/>
        <w:t>Industry</w:t>
      </w:r>
      <w:r>
        <w:rPr>
          <w:spacing w:val="-10"/>
        </w:rPr>
        <w:t> </w:t>
      </w:r>
      <w:r>
        <w:rPr/>
        <w:t>(CBI)</w:t>
      </w:r>
      <w:r>
        <w:rPr>
          <w:spacing w:val="-11"/>
        </w:rPr>
        <w:t> </w:t>
      </w:r>
      <w:r>
        <w:rPr/>
        <w:t>monthly</w:t>
      </w:r>
      <w:r>
        <w:rPr>
          <w:spacing w:val="-12"/>
        </w:rPr>
        <w:t> </w:t>
      </w:r>
      <w:r>
        <w:rPr/>
        <w:t>Industrial</w:t>
      </w:r>
      <w:r>
        <w:rPr>
          <w:spacing w:val="-10"/>
        </w:rPr>
        <w:t> </w:t>
      </w:r>
      <w:r>
        <w:rPr/>
        <w:t>Trends survey</w:t>
      </w:r>
      <w:r>
        <w:rPr>
          <w:spacing w:val="-4"/>
        </w:rPr>
        <w:t> </w:t>
      </w:r>
      <w:r>
        <w:rPr/>
        <w:t>suggested</w:t>
      </w:r>
      <w:r>
        <w:rPr>
          <w:spacing w:val="-3"/>
        </w:rPr>
        <w:t> </w:t>
      </w:r>
      <w:r>
        <w:rPr/>
        <w:t>that</w:t>
      </w:r>
      <w:r>
        <w:rPr>
          <w:spacing w:val="2"/>
        </w:rPr>
        <w:t> </w:t>
      </w:r>
      <w:r>
        <w:rPr/>
        <w:t>manufacturers’</w:t>
      </w:r>
      <w:r>
        <w:rPr>
          <w:spacing w:val="-31"/>
        </w:rPr>
        <w:t> </w:t>
      </w:r>
      <w:r>
        <w:rPr/>
        <w:t>stocks</w:t>
      </w:r>
      <w:r>
        <w:rPr>
          <w:spacing w:val="-3"/>
        </w:rPr>
        <w:t> </w:t>
      </w:r>
      <w:r>
        <w:rPr/>
        <w:t>had</w:t>
      </w:r>
      <w:r>
        <w:rPr>
          <w:spacing w:val="-3"/>
        </w:rPr>
        <w:t> </w:t>
      </w:r>
      <w:r>
        <w:rPr/>
        <w:t>risen</w:t>
      </w:r>
      <w:r>
        <w:rPr>
          <w:spacing w:val="-2"/>
        </w:rPr>
        <w:t> </w:t>
      </w:r>
      <w:r>
        <w:rPr/>
        <w:t>further</w:t>
      </w:r>
      <w:r>
        <w:rPr>
          <w:spacing w:val="-3"/>
        </w:rPr>
        <w:t> </w:t>
      </w:r>
      <w:r>
        <w:rPr/>
        <w:t>above</w:t>
      </w:r>
      <w:r>
        <w:rPr>
          <w:spacing w:val="-3"/>
        </w:rPr>
        <w:t> </w:t>
      </w:r>
      <w:r>
        <w:rPr/>
        <w:t>desired</w:t>
      </w:r>
      <w:r>
        <w:rPr>
          <w:spacing w:val="-3"/>
        </w:rPr>
        <w:t> </w:t>
      </w:r>
      <w:r>
        <w:rPr/>
        <w:t>levels</w:t>
      </w:r>
      <w:r>
        <w:rPr>
          <w:spacing w:val="-3"/>
        </w:rPr>
        <w:t> </w:t>
      </w:r>
      <w:r>
        <w:rPr/>
        <w:t>in</w:t>
      </w:r>
      <w:r>
        <w:rPr>
          <w:spacing w:val="-3"/>
        </w:rPr>
        <w:t> </w:t>
      </w:r>
      <w:r>
        <w:rPr/>
        <w:t>Q4.</w:t>
      </w:r>
    </w:p>
    <w:p>
      <w:pPr>
        <w:pStyle w:val="BodyText"/>
        <w:rPr>
          <w:sz w:val="32"/>
        </w:rPr>
      </w:pPr>
    </w:p>
    <w:p>
      <w:pPr>
        <w:pStyle w:val="BodyText"/>
        <w:spacing w:line="321" w:lineRule="auto"/>
        <w:ind w:left="421" w:right="487"/>
      </w:pPr>
      <w:r>
        <w:rPr/>
        <w:t>A14 Government consumption growth had been revised down by 0.4 percentage points in Q3 to 0.2% and by 0.5 percentage points in Q2 to 0.4%.</w:t>
      </w:r>
    </w:p>
    <w:p>
      <w:pPr>
        <w:pStyle w:val="BodyText"/>
        <w:spacing w:before="1"/>
        <w:rPr>
          <w:sz w:val="32"/>
        </w:rPr>
      </w:pPr>
    </w:p>
    <w:p>
      <w:pPr>
        <w:pStyle w:val="BodyText"/>
        <w:spacing w:line="321" w:lineRule="auto"/>
        <w:ind w:left="421" w:right="210"/>
      </w:pPr>
      <w:r>
        <w:rPr/>
        <w:t>A15 The current account had been in surplus by £2.3 billion in Q3, but this was accounted for by a large surplus on investment income, reflecting losses on overseas investments by foreign-owned financial institutions based in the United Kingdom. Net trade had continued to deteriorate, making a –0.5 percentage point contribution to GDP growth in Q3 (revised up slightly from –0.6 percentage points). This fourth consecutive quarterly negative contribution had reflected a rise in the deficit on trade in goods to the highest level since 1990 Q2. Trade in services had continued to provide a small positive contribution to GDP growth, despite a fall in services exports, as lower spending abroad by UK residents had reduced services imports. Net trade in goods appeared to have weakened further in Q4: exports to the non-EU had fallen by 1.9% in November and imports had risen by 2.2%. But the deficit with the EU had remained broadly stable.</w:t>
      </w:r>
    </w:p>
    <w:p>
      <w:pPr>
        <w:pStyle w:val="BodyText"/>
        <w:spacing w:before="11"/>
        <w:rPr>
          <w:sz w:val="31"/>
        </w:rPr>
      </w:pPr>
    </w:p>
    <w:p>
      <w:pPr>
        <w:pStyle w:val="BodyText"/>
        <w:spacing w:line="321" w:lineRule="auto"/>
        <w:ind w:left="421" w:right="381"/>
      </w:pPr>
      <w:r>
        <w:rPr/>
        <w:t>A16 Retail sales had risen by 0.8% in November, in contrast to the British Retail Consortium (BRC) and CBI Distributive Trades surveys which had indicated a continuing decline. Part of the difference might be explained by the broader sample used by the ONS. On an annual basis,</w:t>
      </w:r>
    </w:p>
    <w:p>
      <w:pPr>
        <w:spacing w:after="0" w:line="321" w:lineRule="auto"/>
        <w:sectPr>
          <w:pgSz w:w="11900" w:h="16840"/>
          <w:pgMar w:header="729" w:footer="0" w:top="1060" w:bottom="280" w:left="860" w:right="880"/>
        </w:sectPr>
      </w:pPr>
    </w:p>
    <w:p>
      <w:pPr>
        <w:pStyle w:val="BodyText"/>
        <w:spacing w:line="321" w:lineRule="auto" w:before="80"/>
        <w:ind w:left="421" w:right="331"/>
      </w:pPr>
      <w:r>
        <w:rPr/>
        <w:t>comparing the three months </w:t>
      </w:r>
      <w:r>
        <w:rPr>
          <w:spacing w:val="2"/>
        </w:rPr>
        <w:t>to </w:t>
      </w:r>
      <w:r>
        <w:rPr/>
        <w:t>November with the same period a year ago, retail sales had grown by 2.6%, closer </w:t>
      </w:r>
      <w:r>
        <w:rPr>
          <w:spacing w:val="2"/>
        </w:rPr>
        <w:t>to </w:t>
      </w:r>
      <w:r>
        <w:rPr/>
        <w:t>the </w:t>
      </w:r>
      <w:r>
        <w:rPr>
          <w:spacing w:val="-7"/>
        </w:rPr>
        <w:t>BRC’s </w:t>
      </w:r>
      <w:r>
        <w:rPr/>
        <w:t>total sales volume measure, but still rather stronger than the CBI survey. Consumer confidence had remained weak: the GfK index had fallen back in December from –5.8% to –6.9%, and the MORI balance had been –30 in November. Most indicators had suggested a continued moderation in the housing market. Compared with a year earlier, the Nationwide</w:t>
      </w:r>
      <w:r>
        <w:rPr>
          <w:spacing w:val="-11"/>
        </w:rPr>
        <w:t> </w:t>
      </w:r>
      <w:r>
        <w:rPr/>
        <w:t>house</w:t>
      </w:r>
      <w:r>
        <w:rPr>
          <w:spacing w:val="-10"/>
        </w:rPr>
        <w:t> </w:t>
      </w:r>
      <w:r>
        <w:rPr/>
        <w:t>price</w:t>
      </w:r>
      <w:r>
        <w:rPr>
          <w:spacing w:val="-10"/>
        </w:rPr>
        <w:t> </w:t>
      </w:r>
      <w:r>
        <w:rPr/>
        <w:t>index</w:t>
      </w:r>
      <w:r>
        <w:rPr>
          <w:spacing w:val="-11"/>
        </w:rPr>
        <w:t> </w:t>
      </w:r>
      <w:r>
        <w:rPr/>
        <w:t>had</w:t>
      </w:r>
      <w:r>
        <w:rPr>
          <w:spacing w:val="-10"/>
        </w:rPr>
        <w:t> </w:t>
      </w:r>
      <w:r>
        <w:rPr/>
        <w:t>grown</w:t>
      </w:r>
      <w:r>
        <w:rPr>
          <w:spacing w:val="-10"/>
        </w:rPr>
        <w:t> </w:t>
      </w:r>
      <w:r>
        <w:rPr/>
        <w:t>by</w:t>
      </w:r>
      <w:r>
        <w:rPr>
          <w:spacing w:val="-11"/>
        </w:rPr>
        <w:t> </w:t>
      </w:r>
      <w:r>
        <w:rPr/>
        <w:t>7%</w:t>
      </w:r>
      <w:r>
        <w:rPr>
          <w:spacing w:val="-10"/>
        </w:rPr>
        <w:t> </w:t>
      </w:r>
      <w:r>
        <w:rPr/>
        <w:t>in</w:t>
      </w:r>
      <w:r>
        <w:rPr>
          <w:spacing w:val="-10"/>
        </w:rPr>
        <w:t> </w:t>
      </w:r>
      <w:r>
        <w:rPr/>
        <w:t>December;</w:t>
      </w:r>
      <w:r>
        <w:rPr>
          <w:spacing w:val="39"/>
        </w:rPr>
        <w:t> </w:t>
      </w:r>
      <w:r>
        <w:rPr/>
        <w:t>and</w:t>
      </w:r>
      <w:r>
        <w:rPr>
          <w:spacing w:val="-10"/>
        </w:rPr>
        <w:t> </w:t>
      </w:r>
      <w:r>
        <w:rPr/>
        <w:t>the</w:t>
      </w:r>
      <w:r>
        <w:rPr>
          <w:spacing w:val="-11"/>
        </w:rPr>
        <w:t> </w:t>
      </w:r>
      <w:r>
        <w:rPr/>
        <w:t>Halifax</w:t>
      </w:r>
      <w:r>
        <w:rPr>
          <w:spacing w:val="-10"/>
        </w:rPr>
        <w:t> </w:t>
      </w:r>
      <w:r>
        <w:rPr/>
        <w:t>index</w:t>
      </w:r>
      <w:r>
        <w:rPr>
          <w:spacing w:val="-10"/>
        </w:rPr>
        <w:t> </w:t>
      </w:r>
      <w:r>
        <w:rPr/>
        <w:t>had</w:t>
      </w:r>
      <w:r>
        <w:rPr>
          <w:spacing w:val="-11"/>
        </w:rPr>
        <w:t> </w:t>
      </w:r>
      <w:r>
        <w:rPr/>
        <w:t>grown</w:t>
      </w:r>
      <w:r>
        <w:rPr>
          <w:spacing w:val="-10"/>
        </w:rPr>
        <w:t> </w:t>
      </w:r>
      <w:r>
        <w:rPr/>
        <w:t>by 4.6%; particulars delivered had fallen </w:t>
      </w:r>
      <w:r>
        <w:rPr>
          <w:spacing w:val="2"/>
        </w:rPr>
        <w:t>to </w:t>
      </w:r>
      <w:r>
        <w:rPr/>
        <w:t>103,000 in November— the lowest for </w:t>
      </w:r>
      <w:r>
        <w:rPr>
          <w:spacing w:val="3"/>
        </w:rPr>
        <w:t>over </w:t>
      </w:r>
      <w:r>
        <w:rPr/>
        <w:t>two years – and the House Builders Federation survey of new house building had remained</w:t>
      </w:r>
      <w:r>
        <w:rPr>
          <w:spacing w:val="-26"/>
        </w:rPr>
        <w:t> </w:t>
      </w:r>
      <w:r>
        <w:rPr/>
        <w:t>weak.</w:t>
      </w:r>
    </w:p>
    <w:p>
      <w:pPr>
        <w:pStyle w:val="BodyText"/>
        <w:spacing w:before="11"/>
        <w:rPr>
          <w:sz w:val="31"/>
        </w:rPr>
      </w:pPr>
    </w:p>
    <w:p>
      <w:pPr>
        <w:pStyle w:val="BodyText"/>
        <w:spacing w:line="321" w:lineRule="auto"/>
        <w:ind w:left="421" w:right="195"/>
      </w:pPr>
      <w:r>
        <w:rPr/>
        <w:t>A17 Manufacturing output had fallen by 0.4% in October, the third consecutive monthly fall. Lower demand in domestic markets had appeared to be the main reason for lower car production and engineering new orders. Both the CBI and British Chambers of Commerce (BCC) surveys had pointed to a fall in manufacturing output in Q4 as a whole. But there was some evidence from the CBI and Chartered Institute of Purchasing Supply (C</w:t>
      </w:r>
      <w:r>
        <w:rPr>
          <w:sz w:val="20"/>
        </w:rPr>
        <w:t>IPS</w:t>
      </w:r>
      <w:r>
        <w:rPr/>
        <w:t>) surveys that the pace of decline had bottomed out. Growth rates derived from the BCC survey for Q3 suggested that service sector output had grown at around trend in Q4, but the C</w:t>
      </w:r>
      <w:r>
        <w:rPr>
          <w:sz w:val="20"/>
        </w:rPr>
        <w:t>IPS </w:t>
      </w:r>
      <w:r>
        <w:rPr/>
        <w:t>survey had pointed to a fall in service sector activity in December for the second consecutive month.</w:t>
      </w:r>
    </w:p>
    <w:p>
      <w:pPr>
        <w:pStyle w:val="BodyText"/>
        <w:rPr>
          <w:sz w:val="26"/>
        </w:rPr>
      </w:pPr>
    </w:p>
    <w:p>
      <w:pPr>
        <w:pStyle w:val="BodyText"/>
        <w:spacing w:before="6"/>
        <w:rPr>
          <w:sz w:val="38"/>
        </w:rPr>
      </w:pPr>
    </w:p>
    <w:p>
      <w:pPr>
        <w:pStyle w:val="Heading1"/>
        <w:numPr>
          <w:ilvl w:val="0"/>
          <w:numId w:val="2"/>
        </w:numPr>
        <w:tabs>
          <w:tab w:pos="987" w:val="left" w:leader="none"/>
          <w:tab w:pos="988" w:val="left" w:leader="none"/>
        </w:tabs>
        <w:spacing w:line="240" w:lineRule="auto" w:before="0" w:after="0"/>
        <w:ind w:left="988" w:right="0" w:hanging="567"/>
        <w:jc w:val="left"/>
      </w:pPr>
      <w:r>
        <w:rPr/>
        <w:t>The labour</w:t>
      </w:r>
      <w:r>
        <w:rPr>
          <w:spacing w:val="3"/>
        </w:rPr>
        <w:t> </w:t>
      </w:r>
      <w:r>
        <w:rPr/>
        <w:t>market</w:t>
      </w:r>
    </w:p>
    <w:p>
      <w:pPr>
        <w:pStyle w:val="BodyText"/>
        <w:rPr>
          <w:b/>
          <w:sz w:val="26"/>
        </w:rPr>
      </w:pPr>
    </w:p>
    <w:p>
      <w:pPr>
        <w:pStyle w:val="BodyText"/>
        <w:spacing w:line="321" w:lineRule="auto" w:before="160"/>
        <w:ind w:left="421" w:right="283"/>
      </w:pPr>
      <w:r>
        <w:rPr/>
        <w:t>A18 Both of the ONS measures of employment had increased according </w:t>
      </w:r>
      <w:r>
        <w:rPr>
          <w:spacing w:val="2"/>
        </w:rPr>
        <w:t>to </w:t>
      </w:r>
      <w:r>
        <w:rPr/>
        <w:t>the latest data. LFS employment had increased by 80,000 (0.3%) in the three months </w:t>
      </w:r>
      <w:r>
        <w:rPr>
          <w:spacing w:val="2"/>
        </w:rPr>
        <w:t>to </w:t>
      </w:r>
      <w:r>
        <w:rPr/>
        <w:t>October compared with the previous three months, while the Workforce jobs measure had bounced back in Q3, rising by 97,000</w:t>
      </w:r>
      <w:r>
        <w:rPr>
          <w:spacing w:val="-9"/>
        </w:rPr>
        <w:t> </w:t>
      </w:r>
      <w:r>
        <w:rPr/>
        <w:t>(0.4%)</w:t>
      </w:r>
      <w:r>
        <w:rPr>
          <w:spacing w:val="-8"/>
        </w:rPr>
        <w:t> </w:t>
      </w:r>
      <w:r>
        <w:rPr/>
        <w:t>after</w:t>
      </w:r>
      <w:r>
        <w:rPr>
          <w:spacing w:val="-9"/>
        </w:rPr>
        <w:t> </w:t>
      </w:r>
      <w:r>
        <w:rPr/>
        <w:t>a</w:t>
      </w:r>
      <w:r>
        <w:rPr>
          <w:spacing w:val="-8"/>
        </w:rPr>
        <w:t> </w:t>
      </w:r>
      <w:r>
        <w:rPr/>
        <w:t>fall</w:t>
      </w:r>
      <w:r>
        <w:rPr>
          <w:spacing w:val="-9"/>
        </w:rPr>
        <w:t> </w:t>
      </w:r>
      <w:r>
        <w:rPr/>
        <w:t>in</w:t>
      </w:r>
      <w:r>
        <w:rPr>
          <w:spacing w:val="-9"/>
        </w:rPr>
        <w:t> </w:t>
      </w:r>
      <w:r>
        <w:rPr/>
        <w:t>Q2.</w:t>
      </w:r>
      <w:r>
        <w:rPr>
          <w:spacing w:val="-9"/>
        </w:rPr>
        <w:t> </w:t>
      </w:r>
      <w:r>
        <w:rPr/>
        <w:t>The</w:t>
      </w:r>
      <w:r>
        <w:rPr>
          <w:spacing w:val="-7"/>
        </w:rPr>
        <w:t> </w:t>
      </w:r>
      <w:r>
        <w:rPr/>
        <w:t>two</w:t>
      </w:r>
      <w:r>
        <w:rPr>
          <w:spacing w:val="-9"/>
        </w:rPr>
        <w:t> </w:t>
      </w:r>
      <w:r>
        <w:rPr/>
        <w:t>measures</w:t>
      </w:r>
      <w:r>
        <w:rPr>
          <w:spacing w:val="-9"/>
        </w:rPr>
        <w:t> </w:t>
      </w:r>
      <w:r>
        <w:rPr/>
        <w:t>were</w:t>
      </w:r>
      <w:r>
        <w:rPr>
          <w:spacing w:val="-9"/>
        </w:rPr>
        <w:t> </w:t>
      </w:r>
      <w:r>
        <w:rPr/>
        <w:t>consistent</w:t>
      </w:r>
      <w:r>
        <w:rPr>
          <w:spacing w:val="-5"/>
        </w:rPr>
        <w:t> </w:t>
      </w:r>
      <w:r>
        <w:rPr/>
        <w:t>in</w:t>
      </w:r>
      <w:r>
        <w:rPr>
          <w:spacing w:val="-9"/>
        </w:rPr>
        <w:t> </w:t>
      </w:r>
      <w:r>
        <w:rPr/>
        <w:t>showing</w:t>
      </w:r>
      <w:r>
        <w:rPr>
          <w:spacing w:val="-9"/>
        </w:rPr>
        <w:t> </w:t>
      </w:r>
      <w:r>
        <w:rPr/>
        <w:t>employment</w:t>
      </w:r>
      <w:r>
        <w:rPr>
          <w:spacing w:val="-4"/>
        </w:rPr>
        <w:t> </w:t>
      </w:r>
      <w:r>
        <w:rPr/>
        <w:t>growth of around 1% </w:t>
      </w:r>
      <w:r>
        <w:rPr>
          <w:spacing w:val="3"/>
        </w:rPr>
        <w:t>over </w:t>
      </w:r>
      <w:r>
        <w:rPr/>
        <w:t>the past year. And, as </w:t>
      </w:r>
      <w:r>
        <w:rPr>
          <w:spacing w:val="3"/>
        </w:rPr>
        <w:t>over </w:t>
      </w:r>
      <w:r>
        <w:rPr/>
        <w:t>the previous year, the rise in Workforce jobs in Q3 was accounted for by a strong rise in employees, partly </w:t>
      </w:r>
      <w:r>
        <w:rPr>
          <w:spacing w:val="3"/>
        </w:rPr>
        <w:t>offset </w:t>
      </w:r>
      <w:r>
        <w:rPr/>
        <w:t>by a fall in the number of self- employed. By industry, the recent rise in employee jobs had been in the services and construction sectors, partly </w:t>
      </w:r>
      <w:r>
        <w:rPr>
          <w:spacing w:val="3"/>
        </w:rPr>
        <w:t>offset </w:t>
      </w:r>
      <w:r>
        <w:rPr/>
        <w:t>by falls in manufacturing and in the </w:t>
      </w:r>
      <w:r>
        <w:rPr>
          <w:spacing w:val="3"/>
        </w:rPr>
        <w:t>other </w:t>
      </w:r>
      <w:r>
        <w:rPr/>
        <w:t>sectors. Within services, industries which had experienced strong employment growth </w:t>
      </w:r>
      <w:r>
        <w:rPr>
          <w:spacing w:val="3"/>
        </w:rPr>
        <w:t>over </w:t>
      </w:r>
      <w:r>
        <w:rPr/>
        <w:t>the past year included distribution, hotels and</w:t>
      </w:r>
      <w:r>
        <w:rPr>
          <w:spacing w:val="-15"/>
        </w:rPr>
        <w:t> </w:t>
      </w:r>
      <w:r>
        <w:rPr/>
        <w:t>restaurants;</w:t>
      </w:r>
      <w:r>
        <w:rPr>
          <w:spacing w:val="-12"/>
        </w:rPr>
        <w:t> </w:t>
      </w:r>
      <w:r>
        <w:rPr/>
        <w:t>finance;</w:t>
      </w:r>
      <w:r>
        <w:rPr>
          <w:spacing w:val="-14"/>
        </w:rPr>
        <w:t> </w:t>
      </w:r>
      <w:r>
        <w:rPr/>
        <w:t>and</w:t>
      </w:r>
      <w:r>
        <w:rPr>
          <w:spacing w:val="-14"/>
        </w:rPr>
        <w:t> </w:t>
      </w:r>
      <w:r>
        <w:rPr/>
        <w:t>transport</w:t>
      </w:r>
      <w:r>
        <w:rPr>
          <w:spacing w:val="-10"/>
        </w:rPr>
        <w:t> </w:t>
      </w:r>
      <w:r>
        <w:rPr/>
        <w:t>and</w:t>
      </w:r>
      <w:r>
        <w:rPr>
          <w:spacing w:val="-14"/>
        </w:rPr>
        <w:t> </w:t>
      </w:r>
      <w:r>
        <w:rPr/>
        <w:t>communications.</w:t>
      </w:r>
      <w:r>
        <w:rPr>
          <w:spacing w:val="-14"/>
        </w:rPr>
        <w:t> </w:t>
      </w:r>
      <w:r>
        <w:rPr/>
        <w:t>Within</w:t>
      </w:r>
      <w:r>
        <w:rPr>
          <w:spacing w:val="-14"/>
        </w:rPr>
        <w:t> </w:t>
      </w:r>
      <w:r>
        <w:rPr/>
        <w:t>manufacturing,</w:t>
      </w:r>
      <w:r>
        <w:rPr>
          <w:spacing w:val="-14"/>
        </w:rPr>
        <w:t> </w:t>
      </w:r>
      <w:r>
        <w:rPr/>
        <w:t>more</w:t>
      </w:r>
      <w:r>
        <w:rPr>
          <w:spacing w:val="-14"/>
        </w:rPr>
        <w:t> </w:t>
      </w:r>
      <w:r>
        <w:rPr/>
        <w:t>than</w:t>
      </w:r>
      <w:r>
        <w:rPr>
          <w:spacing w:val="-14"/>
        </w:rPr>
        <w:t> </w:t>
      </w:r>
      <w:r>
        <w:rPr/>
        <w:t>half the</w:t>
      </w:r>
      <w:r>
        <w:rPr>
          <w:spacing w:val="-10"/>
        </w:rPr>
        <w:t> </w:t>
      </w:r>
      <w:r>
        <w:rPr/>
        <w:t>net</w:t>
      </w:r>
      <w:r>
        <w:rPr>
          <w:spacing w:val="-6"/>
        </w:rPr>
        <w:t> </w:t>
      </w:r>
      <w:r>
        <w:rPr/>
        <w:t>loss</w:t>
      </w:r>
      <w:r>
        <w:rPr>
          <w:spacing w:val="-9"/>
        </w:rPr>
        <w:t> </w:t>
      </w:r>
      <w:r>
        <w:rPr/>
        <w:t>in</w:t>
      </w:r>
      <w:r>
        <w:rPr>
          <w:spacing w:val="-10"/>
        </w:rPr>
        <w:t> </w:t>
      </w:r>
      <w:r>
        <w:rPr/>
        <w:t>jobs</w:t>
      </w:r>
      <w:r>
        <w:rPr>
          <w:spacing w:val="-9"/>
        </w:rPr>
        <w:t> </w:t>
      </w:r>
      <w:r>
        <w:rPr>
          <w:spacing w:val="3"/>
        </w:rPr>
        <w:t>over</w:t>
      </w:r>
      <w:r>
        <w:rPr>
          <w:spacing w:val="-6"/>
        </w:rPr>
        <w:t> </w:t>
      </w:r>
      <w:r>
        <w:rPr/>
        <w:t>the</w:t>
      </w:r>
      <w:r>
        <w:rPr>
          <w:spacing w:val="-9"/>
        </w:rPr>
        <w:t> </w:t>
      </w:r>
      <w:r>
        <w:rPr/>
        <w:t>past</w:t>
      </w:r>
      <w:r>
        <w:rPr>
          <w:spacing w:val="-6"/>
        </w:rPr>
        <w:t> </w:t>
      </w:r>
      <w:r>
        <w:rPr/>
        <w:t>year</w:t>
      </w:r>
      <w:r>
        <w:rPr>
          <w:spacing w:val="-9"/>
        </w:rPr>
        <w:t> </w:t>
      </w:r>
      <w:r>
        <w:rPr/>
        <w:t>had</w:t>
      </w:r>
      <w:r>
        <w:rPr>
          <w:spacing w:val="-10"/>
        </w:rPr>
        <w:t> </w:t>
      </w:r>
      <w:r>
        <w:rPr/>
        <w:t>been</w:t>
      </w:r>
      <w:r>
        <w:rPr>
          <w:spacing w:val="-10"/>
        </w:rPr>
        <w:t> </w:t>
      </w:r>
      <w:r>
        <w:rPr/>
        <w:t>in</w:t>
      </w:r>
      <w:r>
        <w:rPr>
          <w:spacing w:val="-9"/>
        </w:rPr>
        <w:t> </w:t>
      </w:r>
      <w:r>
        <w:rPr/>
        <w:t>textiles,</w:t>
      </w:r>
      <w:r>
        <w:rPr>
          <w:spacing w:val="-10"/>
        </w:rPr>
        <w:t> </w:t>
      </w:r>
      <w:r>
        <w:rPr/>
        <w:t>although</w:t>
      </w:r>
      <w:r>
        <w:rPr>
          <w:spacing w:val="-9"/>
        </w:rPr>
        <w:t> </w:t>
      </w:r>
      <w:r>
        <w:rPr/>
        <w:t>recent</w:t>
      </w:r>
      <w:r>
        <w:rPr>
          <w:spacing w:val="-8"/>
        </w:rPr>
        <w:t> </w:t>
      </w:r>
      <w:r>
        <w:rPr/>
        <w:t>falls</w:t>
      </w:r>
      <w:r>
        <w:rPr>
          <w:spacing w:val="-10"/>
        </w:rPr>
        <w:t> </w:t>
      </w:r>
      <w:r>
        <w:rPr/>
        <w:t>in</w:t>
      </w:r>
      <w:r>
        <w:rPr>
          <w:spacing w:val="-9"/>
        </w:rPr>
        <w:t> </w:t>
      </w:r>
      <w:r>
        <w:rPr/>
        <w:t>employment</w:t>
      </w:r>
      <w:r>
        <w:rPr>
          <w:spacing w:val="-6"/>
        </w:rPr>
        <w:t> </w:t>
      </w:r>
      <w:r>
        <w:rPr/>
        <w:t>had been more evenly</w:t>
      </w:r>
      <w:r>
        <w:rPr>
          <w:spacing w:val="4"/>
        </w:rPr>
        <w:t> </w:t>
      </w:r>
      <w:r>
        <w:rPr/>
        <w:t>spread.</w:t>
      </w:r>
    </w:p>
    <w:p>
      <w:pPr>
        <w:pStyle w:val="BodyText"/>
        <w:spacing w:before="10"/>
        <w:rPr>
          <w:sz w:val="31"/>
        </w:rPr>
      </w:pPr>
    </w:p>
    <w:p>
      <w:pPr>
        <w:pStyle w:val="BodyText"/>
        <w:spacing w:line="321" w:lineRule="auto"/>
        <w:ind w:left="421" w:right="195"/>
      </w:pPr>
      <w:r>
        <w:rPr/>
        <w:t>A19 Revisions to the Workforce jobs data in the latest release had increased the level of employee jobs by around 430,000 in September 1997, and had increased the rate of employment growth during 1997. These changes, along with GDP revisions, had reduced productivity growth since 1997. Productivity had grown by 1.6% over the year to 1998Q3.</w:t>
      </w:r>
    </w:p>
    <w:p>
      <w:pPr>
        <w:spacing w:after="0" w:line="321" w:lineRule="auto"/>
        <w:sectPr>
          <w:pgSz w:w="11900" w:h="16840"/>
          <w:pgMar w:header="729" w:footer="0" w:top="1060" w:bottom="280" w:left="860" w:right="880"/>
        </w:sectPr>
      </w:pPr>
    </w:p>
    <w:p>
      <w:pPr>
        <w:pStyle w:val="BodyText"/>
        <w:spacing w:line="321" w:lineRule="auto" w:before="80"/>
        <w:ind w:left="421" w:right="257"/>
        <w:jc w:val="both"/>
      </w:pPr>
      <w:r>
        <w:rPr/>
        <w:t>A20</w:t>
      </w:r>
      <w:r>
        <w:rPr>
          <w:spacing w:val="-4"/>
        </w:rPr>
        <w:t> </w:t>
      </w:r>
      <w:r>
        <w:rPr/>
        <w:t>Turning </w:t>
      </w:r>
      <w:r>
        <w:rPr>
          <w:spacing w:val="2"/>
        </w:rPr>
        <w:t>to </w:t>
      </w:r>
      <w:r>
        <w:rPr>
          <w:spacing w:val="3"/>
        </w:rPr>
        <w:t>other </w:t>
      </w:r>
      <w:r>
        <w:rPr/>
        <w:t>measures of employment demand, LFS total hours worked had increased by 0.3% in August-October, although there had been no change in average hours per worker.</w:t>
      </w:r>
      <w:r>
        <w:rPr>
          <w:spacing w:val="-41"/>
        </w:rPr>
        <w:t> </w:t>
      </w:r>
      <w:r>
        <w:rPr/>
        <w:t>The C</w:t>
      </w:r>
      <w:r>
        <w:rPr>
          <w:sz w:val="16"/>
        </w:rPr>
        <w:t>IPS </w:t>
      </w:r>
      <w:r>
        <w:rPr/>
        <w:t>employment surveys had reported sharp falls in employment in both construction</w:t>
      </w:r>
      <w:r>
        <w:rPr>
          <w:spacing w:val="-32"/>
        </w:rPr>
        <w:t> </w:t>
      </w:r>
      <w:r>
        <w:rPr/>
        <w:t>and</w:t>
      </w:r>
    </w:p>
    <w:p>
      <w:pPr>
        <w:pStyle w:val="BodyText"/>
        <w:spacing w:line="321" w:lineRule="auto"/>
        <w:ind w:left="421" w:right="282"/>
      </w:pPr>
      <w:r>
        <w:rPr/>
        <w:t>manufacturing</w:t>
      </w:r>
      <w:r>
        <w:rPr>
          <w:spacing w:val="-13"/>
        </w:rPr>
        <w:t> </w:t>
      </w:r>
      <w:r>
        <w:rPr/>
        <w:t>in</w:t>
      </w:r>
      <w:r>
        <w:rPr>
          <w:spacing w:val="-12"/>
        </w:rPr>
        <w:t> </w:t>
      </w:r>
      <w:r>
        <w:rPr/>
        <w:t>December.</w:t>
      </w:r>
      <w:r>
        <w:rPr>
          <w:spacing w:val="-12"/>
        </w:rPr>
        <w:t> </w:t>
      </w:r>
      <w:r>
        <w:rPr/>
        <w:t>Service</w:t>
      </w:r>
      <w:r>
        <w:rPr>
          <w:spacing w:val="-11"/>
        </w:rPr>
        <w:t> </w:t>
      </w:r>
      <w:r>
        <w:rPr/>
        <w:t>sector</w:t>
      </w:r>
      <w:r>
        <w:rPr>
          <w:spacing w:val="-8"/>
        </w:rPr>
        <w:t> </w:t>
      </w:r>
      <w:r>
        <w:rPr/>
        <w:t>employment</w:t>
      </w:r>
      <w:r>
        <w:rPr>
          <w:spacing w:val="-8"/>
        </w:rPr>
        <w:t> </w:t>
      </w:r>
      <w:r>
        <w:rPr/>
        <w:t>had</w:t>
      </w:r>
      <w:r>
        <w:rPr>
          <w:spacing w:val="-12"/>
        </w:rPr>
        <w:t> </w:t>
      </w:r>
      <w:r>
        <w:rPr/>
        <w:t>edged</w:t>
      </w:r>
      <w:r>
        <w:rPr>
          <w:spacing w:val="-13"/>
        </w:rPr>
        <w:t> </w:t>
      </w:r>
      <w:r>
        <w:rPr/>
        <w:t>down</w:t>
      </w:r>
      <w:r>
        <w:rPr>
          <w:spacing w:val="-12"/>
        </w:rPr>
        <w:t> </w:t>
      </w:r>
      <w:r>
        <w:rPr/>
        <w:t>for</w:t>
      </w:r>
      <w:r>
        <w:rPr>
          <w:spacing w:val="-12"/>
        </w:rPr>
        <w:t> </w:t>
      </w:r>
      <w:r>
        <w:rPr/>
        <w:t>the</w:t>
      </w:r>
      <w:r>
        <w:rPr>
          <w:spacing w:val="-12"/>
        </w:rPr>
        <w:t> </w:t>
      </w:r>
      <w:r>
        <w:rPr/>
        <w:t>first</w:t>
      </w:r>
      <w:r>
        <w:rPr>
          <w:spacing w:val="-8"/>
        </w:rPr>
        <w:t> </w:t>
      </w:r>
      <w:r>
        <w:rPr/>
        <w:t>time</w:t>
      </w:r>
      <w:r>
        <w:rPr>
          <w:spacing w:val="-12"/>
        </w:rPr>
        <w:t> </w:t>
      </w:r>
      <w:r>
        <w:rPr/>
        <w:t>since</w:t>
      </w:r>
      <w:r>
        <w:rPr>
          <w:spacing w:val="-12"/>
        </w:rPr>
        <w:t> </w:t>
      </w:r>
      <w:r>
        <w:rPr/>
        <w:t>the survey began in 1996. The Manpower survey of employment intentions had shown a sharp deterioration looking ahead </w:t>
      </w:r>
      <w:r>
        <w:rPr>
          <w:spacing w:val="2"/>
        </w:rPr>
        <w:t>to </w:t>
      </w:r>
      <w:r>
        <w:rPr/>
        <w:t>1999 Q1. The net balance was at its lowest for 5 years, though after seasonal adjustment by Bank staff it remained around its historical average since</w:t>
      </w:r>
      <w:r>
        <w:rPr>
          <w:spacing w:val="-34"/>
        </w:rPr>
        <w:t> </w:t>
      </w:r>
      <w:r>
        <w:rPr/>
        <w:t>1981.</w:t>
      </w:r>
    </w:p>
    <w:p>
      <w:pPr>
        <w:pStyle w:val="BodyText"/>
        <w:spacing w:before="11"/>
        <w:rPr>
          <w:sz w:val="31"/>
        </w:rPr>
      </w:pPr>
    </w:p>
    <w:p>
      <w:pPr>
        <w:pStyle w:val="BodyText"/>
        <w:spacing w:line="321" w:lineRule="auto"/>
        <w:ind w:left="421" w:right="319"/>
      </w:pPr>
      <w:r>
        <w:rPr/>
        <w:t>A21 Notifications of new vacancies had fallen by 13,000 in November, although they remained high.</w:t>
      </w:r>
      <w:r>
        <w:rPr>
          <w:spacing w:val="-9"/>
        </w:rPr>
        <w:t> </w:t>
      </w:r>
      <w:r>
        <w:rPr/>
        <w:t>The</w:t>
      </w:r>
      <w:r>
        <w:rPr>
          <w:spacing w:val="-6"/>
        </w:rPr>
        <w:t> </w:t>
      </w:r>
      <w:r>
        <w:rPr/>
        <w:t>stock</w:t>
      </w:r>
      <w:r>
        <w:rPr>
          <w:spacing w:val="-8"/>
        </w:rPr>
        <w:t> </w:t>
      </w:r>
      <w:r>
        <w:rPr/>
        <w:t>of</w:t>
      </w:r>
      <w:r>
        <w:rPr>
          <w:spacing w:val="-4"/>
        </w:rPr>
        <w:t> </w:t>
      </w:r>
      <w:r>
        <w:rPr/>
        <w:t>unfilled</w:t>
      </w:r>
      <w:r>
        <w:rPr>
          <w:spacing w:val="-8"/>
        </w:rPr>
        <w:t> </w:t>
      </w:r>
      <w:r>
        <w:rPr/>
        <w:t>vacancies</w:t>
      </w:r>
      <w:r>
        <w:rPr>
          <w:spacing w:val="-9"/>
        </w:rPr>
        <w:t> </w:t>
      </w:r>
      <w:r>
        <w:rPr/>
        <w:t>had</w:t>
      </w:r>
      <w:r>
        <w:rPr>
          <w:spacing w:val="-8"/>
        </w:rPr>
        <w:t> </w:t>
      </w:r>
      <w:r>
        <w:rPr/>
        <w:t>increased</w:t>
      </w:r>
      <w:r>
        <w:rPr>
          <w:spacing w:val="-8"/>
        </w:rPr>
        <w:t> </w:t>
      </w:r>
      <w:r>
        <w:rPr/>
        <w:t>by</w:t>
      </w:r>
      <w:r>
        <w:rPr>
          <w:spacing w:val="-8"/>
        </w:rPr>
        <w:t> </w:t>
      </w:r>
      <w:r>
        <w:rPr/>
        <w:t>4,000</w:t>
      </w:r>
      <w:r>
        <w:rPr>
          <w:spacing w:val="-8"/>
        </w:rPr>
        <w:t> </w:t>
      </w:r>
      <w:r>
        <w:rPr>
          <w:spacing w:val="2"/>
        </w:rPr>
        <w:t>to</w:t>
      </w:r>
      <w:r>
        <w:rPr>
          <w:spacing w:val="-4"/>
        </w:rPr>
        <w:t> </w:t>
      </w:r>
      <w:r>
        <w:rPr/>
        <w:t>a</w:t>
      </w:r>
      <w:r>
        <w:rPr>
          <w:spacing w:val="-8"/>
        </w:rPr>
        <w:t> </w:t>
      </w:r>
      <w:r>
        <w:rPr/>
        <w:t>new</w:t>
      </w:r>
      <w:r>
        <w:rPr>
          <w:spacing w:val="-8"/>
        </w:rPr>
        <w:t> </w:t>
      </w:r>
      <w:r>
        <w:rPr/>
        <w:t>record.</w:t>
      </w:r>
      <w:r>
        <w:rPr>
          <w:spacing w:val="-7"/>
        </w:rPr>
        <w:t> </w:t>
      </w:r>
      <w:r>
        <w:rPr/>
        <w:t>But</w:t>
      </w:r>
      <w:r>
        <w:rPr>
          <w:spacing w:val="-4"/>
        </w:rPr>
        <w:t> </w:t>
      </w:r>
      <w:r>
        <w:rPr/>
        <w:t>press</w:t>
      </w:r>
      <w:r>
        <w:rPr>
          <w:spacing w:val="-8"/>
        </w:rPr>
        <w:t> </w:t>
      </w:r>
      <w:r>
        <w:rPr/>
        <w:t>advertising had</w:t>
      </w:r>
      <w:r>
        <w:rPr>
          <w:spacing w:val="-15"/>
        </w:rPr>
        <w:t> </w:t>
      </w:r>
      <w:r>
        <w:rPr/>
        <w:t>shown</w:t>
      </w:r>
      <w:r>
        <w:rPr>
          <w:spacing w:val="-15"/>
        </w:rPr>
        <w:t> </w:t>
      </w:r>
      <w:r>
        <w:rPr/>
        <w:t>a</w:t>
      </w:r>
      <w:r>
        <w:rPr>
          <w:spacing w:val="-15"/>
        </w:rPr>
        <w:t> </w:t>
      </w:r>
      <w:r>
        <w:rPr/>
        <w:t>slightly</w:t>
      </w:r>
      <w:r>
        <w:rPr>
          <w:spacing w:val="-15"/>
        </w:rPr>
        <w:t> </w:t>
      </w:r>
      <w:r>
        <w:rPr/>
        <w:t>weaker</w:t>
      </w:r>
      <w:r>
        <w:rPr>
          <w:spacing w:val="-14"/>
        </w:rPr>
        <w:t> </w:t>
      </w:r>
      <w:r>
        <w:rPr/>
        <w:t>picture,</w:t>
      </w:r>
      <w:r>
        <w:rPr>
          <w:spacing w:val="-15"/>
        </w:rPr>
        <w:t> </w:t>
      </w:r>
      <w:r>
        <w:rPr/>
        <w:t>with</w:t>
      </w:r>
      <w:r>
        <w:rPr>
          <w:spacing w:val="-15"/>
        </w:rPr>
        <w:t> </w:t>
      </w:r>
      <w:r>
        <w:rPr/>
        <w:t>National</w:t>
      </w:r>
      <w:r>
        <w:rPr>
          <w:spacing w:val="-15"/>
        </w:rPr>
        <w:t> </w:t>
      </w:r>
      <w:r>
        <w:rPr/>
        <w:t>Press</w:t>
      </w:r>
      <w:r>
        <w:rPr>
          <w:spacing w:val="-14"/>
        </w:rPr>
        <w:t> </w:t>
      </w:r>
      <w:r>
        <w:rPr/>
        <w:t>Recruitment</w:t>
      </w:r>
      <w:r>
        <w:rPr>
          <w:spacing w:val="-11"/>
        </w:rPr>
        <w:t> </w:t>
      </w:r>
      <w:r>
        <w:rPr/>
        <w:t>Advertising</w:t>
      </w:r>
      <w:r>
        <w:rPr>
          <w:spacing w:val="-15"/>
        </w:rPr>
        <w:t> </w:t>
      </w:r>
      <w:r>
        <w:rPr/>
        <w:t>index</w:t>
      </w:r>
      <w:r>
        <w:rPr>
          <w:spacing w:val="-15"/>
        </w:rPr>
        <w:t> </w:t>
      </w:r>
      <w:r>
        <w:rPr/>
        <w:t>beginning </w:t>
      </w:r>
      <w:r>
        <w:rPr>
          <w:spacing w:val="2"/>
        </w:rPr>
        <w:t>to </w:t>
      </w:r>
      <w:r>
        <w:rPr/>
        <w:t>turn down, according </w:t>
      </w:r>
      <w:r>
        <w:rPr>
          <w:spacing w:val="2"/>
        </w:rPr>
        <w:t>to </w:t>
      </w:r>
      <w:r>
        <w:rPr/>
        <w:t>the Federation of Recruitment and Employment Services survey. And reports from the </w:t>
      </w:r>
      <w:r>
        <w:rPr>
          <w:spacing w:val="-6"/>
        </w:rPr>
        <w:t>Bank’s </w:t>
      </w:r>
      <w:r>
        <w:rPr/>
        <w:t>regional Agents suggested that there had been a downturn in local press advertising in recent</w:t>
      </w:r>
      <w:r>
        <w:rPr>
          <w:spacing w:val="6"/>
        </w:rPr>
        <w:t> </w:t>
      </w:r>
      <w:r>
        <w:rPr/>
        <w:t>months.</w:t>
      </w:r>
    </w:p>
    <w:p>
      <w:pPr>
        <w:pStyle w:val="BodyText"/>
        <w:rPr>
          <w:sz w:val="32"/>
        </w:rPr>
      </w:pPr>
    </w:p>
    <w:p>
      <w:pPr>
        <w:pStyle w:val="BodyText"/>
        <w:spacing w:line="321" w:lineRule="auto" w:before="1"/>
        <w:ind w:left="421" w:right="259"/>
      </w:pPr>
      <w:r>
        <w:rPr/>
        <w:t>A22 Both LFS unemployment and claimant unemployment had started </w:t>
      </w:r>
      <w:r>
        <w:rPr>
          <w:spacing w:val="2"/>
        </w:rPr>
        <w:t>to </w:t>
      </w:r>
      <w:r>
        <w:rPr/>
        <w:t>rise according </w:t>
      </w:r>
      <w:r>
        <w:rPr>
          <w:spacing w:val="2"/>
        </w:rPr>
        <w:t>to </w:t>
      </w:r>
      <w:r>
        <w:rPr/>
        <w:t>the latest data. LFS unemployment increased by 16,000, though the rate remained unchanged at 6.2%. Within</w:t>
      </w:r>
      <w:r>
        <w:rPr>
          <w:spacing w:val="-11"/>
        </w:rPr>
        <w:t> </w:t>
      </w:r>
      <w:r>
        <w:rPr/>
        <w:t>that</w:t>
      </w:r>
      <w:r>
        <w:rPr>
          <w:spacing w:val="-7"/>
        </w:rPr>
        <w:t> </w:t>
      </w:r>
      <w:r>
        <w:rPr/>
        <w:t>rise,</w:t>
      </w:r>
      <w:r>
        <w:rPr>
          <w:spacing w:val="-10"/>
        </w:rPr>
        <w:t> </w:t>
      </w:r>
      <w:r>
        <w:rPr/>
        <w:t>the</w:t>
      </w:r>
      <w:r>
        <w:rPr>
          <w:spacing w:val="-11"/>
        </w:rPr>
        <w:t> </w:t>
      </w:r>
      <w:r>
        <w:rPr/>
        <w:t>number</w:t>
      </w:r>
      <w:r>
        <w:rPr>
          <w:spacing w:val="-11"/>
        </w:rPr>
        <w:t> </w:t>
      </w:r>
      <w:r>
        <w:rPr/>
        <w:t>unemployed</w:t>
      </w:r>
      <w:r>
        <w:rPr>
          <w:spacing w:val="-11"/>
        </w:rPr>
        <w:t> </w:t>
      </w:r>
      <w:r>
        <w:rPr/>
        <w:t>for</w:t>
      </w:r>
      <w:r>
        <w:rPr>
          <w:spacing w:val="-11"/>
        </w:rPr>
        <w:t> </w:t>
      </w:r>
      <w:r>
        <w:rPr/>
        <w:t>less</w:t>
      </w:r>
      <w:r>
        <w:rPr>
          <w:spacing w:val="-11"/>
        </w:rPr>
        <w:t> </w:t>
      </w:r>
      <w:r>
        <w:rPr/>
        <w:t>than</w:t>
      </w:r>
      <w:r>
        <w:rPr>
          <w:spacing w:val="-10"/>
        </w:rPr>
        <w:t> </w:t>
      </w:r>
      <w:r>
        <w:rPr>
          <w:spacing w:val="2"/>
        </w:rPr>
        <w:t>one</w:t>
      </w:r>
      <w:r>
        <w:rPr>
          <w:spacing w:val="-7"/>
        </w:rPr>
        <w:t> </w:t>
      </w:r>
      <w:r>
        <w:rPr/>
        <w:t>year</w:t>
      </w:r>
      <w:r>
        <w:rPr>
          <w:spacing w:val="-11"/>
        </w:rPr>
        <w:t> </w:t>
      </w:r>
      <w:r>
        <w:rPr/>
        <w:t>had</w:t>
      </w:r>
      <w:r>
        <w:rPr>
          <w:spacing w:val="-11"/>
        </w:rPr>
        <w:t> </w:t>
      </w:r>
      <w:r>
        <w:rPr/>
        <w:t>risen</w:t>
      </w:r>
      <w:r>
        <w:rPr>
          <w:spacing w:val="-10"/>
        </w:rPr>
        <w:t> </w:t>
      </w:r>
      <w:r>
        <w:rPr/>
        <w:t>by</w:t>
      </w:r>
      <w:r>
        <w:rPr>
          <w:spacing w:val="-11"/>
        </w:rPr>
        <w:t> </w:t>
      </w:r>
      <w:r>
        <w:rPr/>
        <w:t>38,000,</w:t>
      </w:r>
      <w:r>
        <w:rPr>
          <w:spacing w:val="-11"/>
        </w:rPr>
        <w:t> </w:t>
      </w:r>
      <w:r>
        <w:rPr/>
        <w:t>partly</w:t>
      </w:r>
      <w:r>
        <w:rPr>
          <w:spacing w:val="-11"/>
        </w:rPr>
        <w:t> </w:t>
      </w:r>
      <w:r>
        <w:rPr>
          <w:spacing w:val="3"/>
        </w:rPr>
        <w:t>offset</w:t>
      </w:r>
      <w:r>
        <w:rPr>
          <w:spacing w:val="-7"/>
        </w:rPr>
        <w:t> </w:t>
      </w:r>
      <w:r>
        <w:rPr/>
        <w:t>by a 21,000 fall in the long-term unemployed. Claimant unemployment had risen by 6,000 in November, and unlike </w:t>
      </w:r>
      <w:r>
        <w:rPr>
          <w:spacing w:val="-3"/>
        </w:rPr>
        <w:t>October’s </w:t>
      </w:r>
      <w:r>
        <w:rPr/>
        <w:t>data, there were no special factors </w:t>
      </w:r>
      <w:r>
        <w:rPr>
          <w:spacing w:val="2"/>
        </w:rPr>
        <w:t>to </w:t>
      </w:r>
      <w:r>
        <w:rPr/>
        <w:t>explain the rise. The rises in claimant unemployment had mainly been in the regions with higher unemployment rates. Inflows into the claimant count had increased by 9,000 in November, although they remained low by historical</w:t>
      </w:r>
      <w:r>
        <w:rPr>
          <w:spacing w:val="1"/>
        </w:rPr>
        <w:t> </w:t>
      </w:r>
      <w:r>
        <w:rPr/>
        <w:t>standards.</w:t>
      </w:r>
    </w:p>
    <w:p>
      <w:pPr>
        <w:pStyle w:val="BodyText"/>
        <w:spacing w:before="11"/>
        <w:rPr>
          <w:sz w:val="31"/>
        </w:rPr>
      </w:pPr>
    </w:p>
    <w:p>
      <w:pPr>
        <w:pStyle w:val="BodyText"/>
        <w:spacing w:line="321" w:lineRule="auto"/>
        <w:ind w:left="421" w:right="566"/>
        <w:jc w:val="both"/>
      </w:pPr>
      <w:r>
        <w:rPr/>
        <w:t>A23 The</w:t>
      </w:r>
      <w:r>
        <w:rPr>
          <w:spacing w:val="-12"/>
        </w:rPr>
        <w:t> </w:t>
      </w:r>
      <w:r>
        <w:rPr/>
        <w:t>rise</w:t>
      </w:r>
      <w:r>
        <w:rPr>
          <w:spacing w:val="-11"/>
        </w:rPr>
        <w:t> </w:t>
      </w:r>
      <w:r>
        <w:rPr/>
        <w:t>in</w:t>
      </w:r>
      <w:r>
        <w:rPr>
          <w:spacing w:val="-13"/>
        </w:rPr>
        <w:t> </w:t>
      </w:r>
      <w:r>
        <w:rPr/>
        <w:t>both</w:t>
      </w:r>
      <w:r>
        <w:rPr>
          <w:spacing w:val="-13"/>
        </w:rPr>
        <w:t> </w:t>
      </w:r>
      <w:r>
        <w:rPr/>
        <w:t>LFS</w:t>
      </w:r>
      <w:r>
        <w:rPr>
          <w:spacing w:val="-13"/>
        </w:rPr>
        <w:t> </w:t>
      </w:r>
      <w:r>
        <w:rPr/>
        <w:t>employment</w:t>
      </w:r>
      <w:r>
        <w:rPr>
          <w:spacing w:val="-9"/>
        </w:rPr>
        <w:t> </w:t>
      </w:r>
      <w:r>
        <w:rPr/>
        <w:t>and</w:t>
      </w:r>
      <w:r>
        <w:rPr>
          <w:spacing w:val="-13"/>
        </w:rPr>
        <w:t> </w:t>
      </w:r>
      <w:r>
        <w:rPr/>
        <w:t>unemployment</w:t>
      </w:r>
      <w:r>
        <w:rPr>
          <w:spacing w:val="-9"/>
        </w:rPr>
        <w:t> </w:t>
      </w:r>
      <w:r>
        <w:rPr/>
        <w:t>was</w:t>
      </w:r>
      <w:r>
        <w:rPr>
          <w:spacing w:val="-13"/>
        </w:rPr>
        <w:t> </w:t>
      </w:r>
      <w:r>
        <w:rPr/>
        <w:t>reconciled</w:t>
      </w:r>
      <w:r>
        <w:rPr>
          <w:spacing w:val="-11"/>
        </w:rPr>
        <w:t> </w:t>
      </w:r>
      <w:r>
        <w:rPr/>
        <w:t>by</w:t>
      </w:r>
      <w:r>
        <w:rPr>
          <w:spacing w:val="-13"/>
        </w:rPr>
        <w:t> </w:t>
      </w:r>
      <w:r>
        <w:rPr/>
        <w:t>a</w:t>
      </w:r>
      <w:r>
        <w:rPr>
          <w:spacing w:val="-13"/>
        </w:rPr>
        <w:t> </w:t>
      </w:r>
      <w:r>
        <w:rPr/>
        <w:t>fall</w:t>
      </w:r>
      <w:r>
        <w:rPr>
          <w:spacing w:val="-13"/>
        </w:rPr>
        <w:t> </w:t>
      </w:r>
      <w:r>
        <w:rPr/>
        <w:t>in</w:t>
      </w:r>
      <w:r>
        <w:rPr>
          <w:spacing w:val="-12"/>
        </w:rPr>
        <w:t> </w:t>
      </w:r>
      <w:r>
        <w:rPr/>
        <w:t>inactivity. This</w:t>
      </w:r>
      <w:r>
        <w:rPr>
          <w:spacing w:val="-11"/>
        </w:rPr>
        <w:t> </w:t>
      </w:r>
      <w:r>
        <w:rPr/>
        <w:t>fall</w:t>
      </w:r>
      <w:r>
        <w:rPr>
          <w:spacing w:val="-12"/>
        </w:rPr>
        <w:t> </w:t>
      </w:r>
      <w:r>
        <w:rPr/>
        <w:t>was</w:t>
      </w:r>
      <w:r>
        <w:rPr>
          <w:spacing w:val="-12"/>
        </w:rPr>
        <w:t> </w:t>
      </w:r>
      <w:r>
        <w:rPr/>
        <w:t>concentrated</w:t>
      </w:r>
      <w:r>
        <w:rPr>
          <w:spacing w:val="-12"/>
        </w:rPr>
        <w:t> </w:t>
      </w:r>
      <w:r>
        <w:rPr/>
        <w:t>entirely</w:t>
      </w:r>
      <w:r>
        <w:rPr>
          <w:spacing w:val="-12"/>
        </w:rPr>
        <w:t> </w:t>
      </w:r>
      <w:r>
        <w:rPr/>
        <w:t>among</w:t>
      </w:r>
      <w:r>
        <w:rPr>
          <w:spacing w:val="-12"/>
        </w:rPr>
        <w:t> </w:t>
      </w:r>
      <w:r>
        <w:rPr/>
        <w:t>those</w:t>
      </w:r>
      <w:r>
        <w:rPr>
          <w:spacing w:val="-12"/>
        </w:rPr>
        <w:t> </w:t>
      </w:r>
      <w:r>
        <w:rPr/>
        <w:t>not</w:t>
      </w:r>
      <w:r>
        <w:rPr>
          <w:spacing w:val="-8"/>
        </w:rPr>
        <w:t> </w:t>
      </w:r>
      <w:r>
        <w:rPr/>
        <w:t>wanting</w:t>
      </w:r>
      <w:r>
        <w:rPr>
          <w:spacing w:val="-12"/>
        </w:rPr>
        <w:t> </w:t>
      </w:r>
      <w:r>
        <w:rPr/>
        <w:t>a</w:t>
      </w:r>
      <w:r>
        <w:rPr>
          <w:spacing w:val="-12"/>
        </w:rPr>
        <w:t> </w:t>
      </w:r>
      <w:r>
        <w:rPr/>
        <w:t>job,</w:t>
      </w:r>
      <w:r>
        <w:rPr>
          <w:spacing w:val="-12"/>
        </w:rPr>
        <w:t> </w:t>
      </w:r>
      <w:r>
        <w:rPr/>
        <w:t>suggesting</w:t>
      </w:r>
      <w:r>
        <w:rPr>
          <w:spacing w:val="-12"/>
        </w:rPr>
        <w:t> </w:t>
      </w:r>
      <w:r>
        <w:rPr/>
        <w:t>a</w:t>
      </w:r>
      <w:r>
        <w:rPr>
          <w:spacing w:val="-12"/>
        </w:rPr>
        <w:t> </w:t>
      </w:r>
      <w:r>
        <w:rPr/>
        <w:t>slight</w:t>
      </w:r>
      <w:r>
        <w:rPr>
          <w:spacing w:val="-8"/>
        </w:rPr>
        <w:t> </w:t>
      </w:r>
      <w:r>
        <w:rPr/>
        <w:t>increase</w:t>
      </w:r>
      <w:r>
        <w:rPr>
          <w:spacing w:val="-12"/>
        </w:rPr>
        <w:t> </w:t>
      </w:r>
      <w:r>
        <w:rPr/>
        <w:t>in labour market</w:t>
      </w:r>
      <w:r>
        <w:rPr>
          <w:spacing w:val="8"/>
        </w:rPr>
        <w:t> </w:t>
      </w:r>
      <w:r>
        <w:rPr/>
        <w:t>attachment.</w:t>
      </w:r>
    </w:p>
    <w:p>
      <w:pPr>
        <w:pStyle w:val="BodyText"/>
        <w:spacing w:before="1"/>
        <w:rPr>
          <w:sz w:val="32"/>
        </w:rPr>
      </w:pPr>
    </w:p>
    <w:p>
      <w:pPr>
        <w:pStyle w:val="BodyText"/>
        <w:spacing w:line="321" w:lineRule="auto"/>
        <w:ind w:left="421" w:right="429"/>
        <w:jc w:val="both"/>
      </w:pPr>
      <w:r>
        <w:rPr/>
        <w:t>A24</w:t>
      </w:r>
      <w:r>
        <w:rPr>
          <w:spacing w:val="13"/>
        </w:rPr>
        <w:t> </w:t>
      </w:r>
      <w:r>
        <w:rPr/>
        <w:t>There were no new ONS earnings data, the Average Earnings Index having been suspended in</w:t>
      </w:r>
      <w:r>
        <w:rPr>
          <w:spacing w:val="-9"/>
        </w:rPr>
        <w:t> </w:t>
      </w:r>
      <w:r>
        <w:rPr/>
        <w:t>November.</w:t>
      </w:r>
      <w:r>
        <w:rPr>
          <w:spacing w:val="42"/>
        </w:rPr>
        <w:t> </w:t>
      </w:r>
      <w:r>
        <w:rPr/>
        <w:t>The</w:t>
      </w:r>
      <w:r>
        <w:rPr>
          <w:spacing w:val="-7"/>
        </w:rPr>
        <w:t> </w:t>
      </w:r>
      <w:r>
        <w:rPr/>
        <w:t>Reward</w:t>
      </w:r>
      <w:r>
        <w:rPr>
          <w:spacing w:val="-8"/>
        </w:rPr>
        <w:t> </w:t>
      </w:r>
      <w:r>
        <w:rPr/>
        <w:t>index</w:t>
      </w:r>
      <w:r>
        <w:rPr>
          <w:spacing w:val="-9"/>
        </w:rPr>
        <w:t> </w:t>
      </w:r>
      <w:r>
        <w:rPr/>
        <w:t>suggested</w:t>
      </w:r>
      <w:r>
        <w:rPr>
          <w:spacing w:val="-9"/>
        </w:rPr>
        <w:t> </w:t>
      </w:r>
      <w:r>
        <w:rPr/>
        <w:t>that</w:t>
      </w:r>
      <w:r>
        <w:rPr>
          <w:spacing w:val="-5"/>
        </w:rPr>
        <w:t> </w:t>
      </w:r>
      <w:r>
        <w:rPr/>
        <w:t>earnings</w:t>
      </w:r>
      <w:r>
        <w:rPr>
          <w:spacing w:val="-8"/>
        </w:rPr>
        <w:t> </w:t>
      </w:r>
      <w:r>
        <w:rPr/>
        <w:t>growth</w:t>
      </w:r>
      <w:r>
        <w:rPr>
          <w:spacing w:val="-9"/>
        </w:rPr>
        <w:t> </w:t>
      </w:r>
      <w:r>
        <w:rPr/>
        <w:t>had</w:t>
      </w:r>
      <w:r>
        <w:rPr>
          <w:spacing w:val="-9"/>
        </w:rPr>
        <w:t> </w:t>
      </w:r>
      <w:r>
        <w:rPr/>
        <w:t>slowed</w:t>
      </w:r>
      <w:r>
        <w:rPr>
          <w:spacing w:val="-8"/>
        </w:rPr>
        <w:t> </w:t>
      </w:r>
      <w:r>
        <w:rPr/>
        <w:t>a</w:t>
      </w:r>
      <w:r>
        <w:rPr>
          <w:spacing w:val="-9"/>
        </w:rPr>
        <w:t> </w:t>
      </w:r>
      <w:r>
        <w:rPr/>
        <w:t>little</w:t>
      </w:r>
      <w:r>
        <w:rPr>
          <w:spacing w:val="-9"/>
        </w:rPr>
        <w:t> </w:t>
      </w:r>
      <w:r>
        <w:rPr/>
        <w:t>in</w:t>
      </w:r>
      <w:r>
        <w:rPr>
          <w:spacing w:val="-9"/>
        </w:rPr>
        <w:t> </w:t>
      </w:r>
      <w:r>
        <w:rPr/>
        <w:t>November </w:t>
      </w:r>
      <w:r>
        <w:rPr>
          <w:spacing w:val="2"/>
        </w:rPr>
        <w:t>to</w:t>
      </w:r>
      <w:r>
        <w:rPr>
          <w:spacing w:val="7"/>
        </w:rPr>
        <w:t> </w:t>
      </w:r>
      <w:r>
        <w:rPr/>
        <w:t>4.9%.</w:t>
      </w:r>
    </w:p>
    <w:p>
      <w:pPr>
        <w:pStyle w:val="BodyText"/>
        <w:spacing w:before="1"/>
        <w:rPr>
          <w:sz w:val="32"/>
        </w:rPr>
      </w:pPr>
    </w:p>
    <w:p>
      <w:pPr>
        <w:pStyle w:val="BodyText"/>
        <w:spacing w:line="321" w:lineRule="auto"/>
        <w:ind w:left="421" w:right="227"/>
      </w:pPr>
      <w:r>
        <w:rPr/>
        <w:t>A25 Turning to settlements, the Bank’s measure of the twelve-month employment weight ed mean wage settlement had remained at 3.7% for the seventh successive month in November. But most settlements were concentrated between January and April, so the twelve-month measure tended to be relatively stable during other periods. Private and public sector settlements were unchanged at 4.0% and 3.3% respectively. The three-month employment-weighted mean settlement increased from 3.7% to 3.9%, while the median was unchanged at 4.0%. Using a matched sample (ie only including firms where data were available for both years) suggested that settlements had been</w:t>
      </w:r>
    </w:p>
    <w:p>
      <w:pPr>
        <w:spacing w:after="0" w:line="321" w:lineRule="auto"/>
        <w:sectPr>
          <w:pgSz w:w="11900" w:h="16840"/>
          <w:pgMar w:header="729" w:footer="0" w:top="1060" w:bottom="280" w:left="860" w:right="880"/>
        </w:sectPr>
      </w:pPr>
    </w:p>
    <w:p>
      <w:pPr>
        <w:pStyle w:val="BodyText"/>
        <w:spacing w:line="321" w:lineRule="auto" w:before="80"/>
        <w:ind w:left="421" w:right="334"/>
        <w:jc w:val="both"/>
      </w:pPr>
      <w:r>
        <w:rPr/>
        <w:t>higher</w:t>
      </w:r>
      <w:r>
        <w:rPr>
          <w:spacing w:val="-9"/>
        </w:rPr>
        <w:t> </w:t>
      </w:r>
      <w:r>
        <w:rPr/>
        <w:t>in</w:t>
      </w:r>
      <w:r>
        <w:rPr>
          <w:spacing w:val="-9"/>
        </w:rPr>
        <w:t> </w:t>
      </w:r>
      <w:r>
        <w:rPr/>
        <w:t>the</w:t>
      </w:r>
      <w:r>
        <w:rPr>
          <w:spacing w:val="-9"/>
        </w:rPr>
        <w:t> </w:t>
      </w:r>
      <w:r>
        <w:rPr/>
        <w:t>five</w:t>
      </w:r>
      <w:r>
        <w:rPr>
          <w:spacing w:val="-9"/>
        </w:rPr>
        <w:t> </w:t>
      </w:r>
      <w:r>
        <w:rPr/>
        <w:t>months</w:t>
      </w:r>
      <w:r>
        <w:rPr>
          <w:spacing w:val="-9"/>
        </w:rPr>
        <w:t> </w:t>
      </w:r>
      <w:r>
        <w:rPr>
          <w:spacing w:val="2"/>
        </w:rPr>
        <w:t>to</w:t>
      </w:r>
      <w:r>
        <w:rPr>
          <w:spacing w:val="-5"/>
        </w:rPr>
        <w:t> </w:t>
      </w:r>
      <w:r>
        <w:rPr/>
        <w:t>November</w:t>
      </w:r>
      <w:r>
        <w:rPr>
          <w:spacing w:val="-8"/>
        </w:rPr>
        <w:t> </w:t>
      </w:r>
      <w:r>
        <w:rPr/>
        <w:t>1998</w:t>
      </w:r>
      <w:r>
        <w:rPr>
          <w:spacing w:val="-9"/>
        </w:rPr>
        <w:t> </w:t>
      </w:r>
      <w:r>
        <w:rPr/>
        <w:t>than</w:t>
      </w:r>
      <w:r>
        <w:rPr>
          <w:spacing w:val="-9"/>
        </w:rPr>
        <w:t> </w:t>
      </w:r>
      <w:r>
        <w:rPr/>
        <w:t>in</w:t>
      </w:r>
      <w:r>
        <w:rPr>
          <w:spacing w:val="-9"/>
        </w:rPr>
        <w:t> </w:t>
      </w:r>
      <w:r>
        <w:rPr/>
        <w:t>the</w:t>
      </w:r>
      <w:r>
        <w:rPr>
          <w:spacing w:val="-9"/>
        </w:rPr>
        <w:t> </w:t>
      </w:r>
      <w:r>
        <w:rPr/>
        <w:t>previous</w:t>
      </w:r>
      <w:r>
        <w:rPr>
          <w:spacing w:val="-9"/>
        </w:rPr>
        <w:t> </w:t>
      </w:r>
      <w:r>
        <w:rPr/>
        <w:t>year.</w:t>
      </w:r>
      <w:r>
        <w:rPr>
          <w:spacing w:val="43"/>
        </w:rPr>
        <w:t> </w:t>
      </w:r>
      <w:r>
        <w:rPr/>
        <w:t>74%</w:t>
      </w:r>
      <w:r>
        <w:rPr>
          <w:spacing w:val="-9"/>
        </w:rPr>
        <w:t> </w:t>
      </w:r>
      <w:r>
        <w:rPr/>
        <w:t>of</w:t>
      </w:r>
      <w:r>
        <w:rPr>
          <w:spacing w:val="-5"/>
        </w:rPr>
        <w:t> </w:t>
      </w:r>
      <w:r>
        <w:rPr/>
        <w:t>employees</w:t>
      </w:r>
      <w:r>
        <w:rPr>
          <w:spacing w:val="-9"/>
        </w:rPr>
        <w:t> </w:t>
      </w:r>
      <w:r>
        <w:rPr/>
        <w:t>covered by the </w:t>
      </w:r>
      <w:r>
        <w:rPr>
          <w:spacing w:val="-6"/>
        </w:rPr>
        <w:t>Bank’s </w:t>
      </w:r>
      <w:r>
        <w:rPr/>
        <w:t>database (and 55% of firms) awarded higher settlements in 1998 than in 1997. On a sectoral</w:t>
      </w:r>
      <w:r>
        <w:rPr>
          <w:spacing w:val="-11"/>
        </w:rPr>
        <w:t> </w:t>
      </w:r>
      <w:r>
        <w:rPr/>
        <w:t>basis,</w:t>
      </w:r>
      <w:r>
        <w:rPr>
          <w:spacing w:val="-10"/>
        </w:rPr>
        <w:t> </w:t>
      </w:r>
      <w:r>
        <w:rPr/>
        <w:t>77%</w:t>
      </w:r>
      <w:r>
        <w:rPr>
          <w:spacing w:val="-10"/>
        </w:rPr>
        <w:t> </w:t>
      </w:r>
      <w:r>
        <w:rPr/>
        <w:t>of</w:t>
      </w:r>
      <w:r>
        <w:rPr>
          <w:spacing w:val="-6"/>
        </w:rPr>
        <w:t> </w:t>
      </w:r>
      <w:r>
        <w:rPr/>
        <w:t>service</w:t>
      </w:r>
      <w:r>
        <w:rPr>
          <w:spacing w:val="-10"/>
        </w:rPr>
        <w:t> </w:t>
      </w:r>
      <w:r>
        <w:rPr/>
        <w:t>sector</w:t>
      </w:r>
      <w:r>
        <w:rPr>
          <w:spacing w:val="-6"/>
        </w:rPr>
        <w:t> </w:t>
      </w:r>
      <w:r>
        <w:rPr/>
        <w:t>employees</w:t>
      </w:r>
      <w:r>
        <w:rPr>
          <w:spacing w:val="-10"/>
        </w:rPr>
        <w:t> </w:t>
      </w:r>
      <w:r>
        <w:rPr/>
        <w:t>had</w:t>
      </w:r>
      <w:r>
        <w:rPr>
          <w:spacing w:val="-10"/>
        </w:rPr>
        <w:t> </w:t>
      </w:r>
      <w:r>
        <w:rPr/>
        <w:t>received</w:t>
      </w:r>
      <w:r>
        <w:rPr>
          <w:spacing w:val="-8"/>
        </w:rPr>
        <w:t> </w:t>
      </w:r>
      <w:r>
        <w:rPr/>
        <w:t>higher</w:t>
      </w:r>
      <w:r>
        <w:rPr>
          <w:spacing w:val="-10"/>
        </w:rPr>
        <w:t> </w:t>
      </w:r>
      <w:r>
        <w:rPr/>
        <w:t>settlements</w:t>
      </w:r>
      <w:r>
        <w:rPr>
          <w:spacing w:val="-10"/>
        </w:rPr>
        <w:t> </w:t>
      </w:r>
      <w:r>
        <w:rPr/>
        <w:t>in</w:t>
      </w:r>
      <w:r>
        <w:rPr>
          <w:spacing w:val="-10"/>
        </w:rPr>
        <w:t> </w:t>
      </w:r>
      <w:r>
        <w:rPr/>
        <w:t>1998,</w:t>
      </w:r>
      <w:r>
        <w:rPr>
          <w:spacing w:val="-10"/>
        </w:rPr>
        <w:t> </w:t>
      </w:r>
      <w:r>
        <w:rPr/>
        <w:t>compared with just 43% in the production</w:t>
      </w:r>
      <w:r>
        <w:rPr>
          <w:spacing w:val="13"/>
        </w:rPr>
        <w:t> </w:t>
      </w:r>
      <w:r>
        <w:rPr/>
        <w:t>sector.</w:t>
      </w:r>
    </w:p>
    <w:p>
      <w:pPr>
        <w:pStyle w:val="BodyText"/>
        <w:rPr>
          <w:sz w:val="32"/>
        </w:rPr>
      </w:pPr>
    </w:p>
    <w:p>
      <w:pPr>
        <w:pStyle w:val="BodyText"/>
        <w:spacing w:line="321" w:lineRule="auto"/>
        <w:ind w:left="421" w:right="263"/>
      </w:pPr>
      <w:r>
        <w:rPr/>
        <w:t>A26 In the absence of average earnings data, the ONS had used other sources of data to estimate the growth in wages and salaries for the National Accounts. The ONS suggested that wages and salaries per head had increased by 4.4% in Q3, and growth in Q2 was revised down from 5.6% to 5.1%. Despite this, unit wage cost growth was revised up in the year to 1998Q1 because of changes to the productivity data. The ONS estimated that unit wage costs had risen by 3.5% in the year to Q2 and by 2.8% in the year to Q3.</w:t>
      </w:r>
    </w:p>
    <w:p>
      <w:pPr>
        <w:pStyle w:val="BodyText"/>
        <w:rPr>
          <w:sz w:val="32"/>
        </w:rPr>
      </w:pPr>
    </w:p>
    <w:p>
      <w:pPr>
        <w:pStyle w:val="BodyText"/>
        <w:spacing w:line="321" w:lineRule="auto" w:before="1"/>
        <w:ind w:left="421" w:right="634"/>
      </w:pPr>
      <w:r>
        <w:rPr/>
        <w:t>A27</w:t>
      </w:r>
      <w:r>
        <w:rPr>
          <w:spacing w:val="-9"/>
        </w:rPr>
        <w:t> </w:t>
      </w:r>
      <w:r>
        <w:rPr/>
        <w:t>Real consumption wages had grown by 1% in the year </w:t>
      </w:r>
      <w:r>
        <w:rPr>
          <w:spacing w:val="2"/>
        </w:rPr>
        <w:t>to </w:t>
      </w:r>
      <w:r>
        <w:rPr/>
        <w:t>Q3 because the taxes and prices index (TPI) had risen by </w:t>
      </w:r>
      <w:r>
        <w:rPr>
          <w:spacing w:val="3"/>
        </w:rPr>
        <w:t>over </w:t>
      </w:r>
      <w:r>
        <w:rPr/>
        <w:t>3%. Real product wages, on the </w:t>
      </w:r>
      <w:r>
        <w:rPr>
          <w:spacing w:val="3"/>
        </w:rPr>
        <w:t>other </w:t>
      </w:r>
      <w:r>
        <w:rPr/>
        <w:t>hand, had grown more strongly,</w:t>
      </w:r>
      <w:r>
        <w:rPr>
          <w:spacing w:val="-8"/>
        </w:rPr>
        <w:t> </w:t>
      </w:r>
      <w:r>
        <w:rPr/>
        <w:t>by</w:t>
      </w:r>
      <w:r>
        <w:rPr>
          <w:spacing w:val="-8"/>
        </w:rPr>
        <w:t> </w:t>
      </w:r>
      <w:r>
        <w:rPr/>
        <w:t>3.4%.</w:t>
      </w:r>
      <w:r>
        <w:rPr>
          <w:spacing w:val="-8"/>
        </w:rPr>
        <w:t> </w:t>
      </w:r>
      <w:r>
        <w:rPr/>
        <w:t>Real</w:t>
      </w:r>
      <w:r>
        <w:rPr>
          <w:spacing w:val="-7"/>
        </w:rPr>
        <w:t> </w:t>
      </w:r>
      <w:r>
        <w:rPr/>
        <w:t>product</w:t>
      </w:r>
      <w:r>
        <w:rPr>
          <w:spacing w:val="-4"/>
        </w:rPr>
        <w:t> </w:t>
      </w:r>
      <w:r>
        <w:rPr/>
        <w:t>wages</w:t>
      </w:r>
      <w:r>
        <w:rPr>
          <w:spacing w:val="-8"/>
        </w:rPr>
        <w:t> </w:t>
      </w:r>
      <w:r>
        <w:rPr/>
        <w:t>are</w:t>
      </w:r>
      <w:r>
        <w:rPr>
          <w:spacing w:val="-7"/>
        </w:rPr>
        <w:t> </w:t>
      </w:r>
      <w:r>
        <w:rPr/>
        <w:t>deflated</w:t>
      </w:r>
      <w:r>
        <w:rPr>
          <w:spacing w:val="-8"/>
        </w:rPr>
        <w:t> </w:t>
      </w:r>
      <w:r>
        <w:rPr/>
        <w:t>by</w:t>
      </w:r>
      <w:r>
        <w:rPr>
          <w:spacing w:val="-8"/>
        </w:rPr>
        <w:t> </w:t>
      </w:r>
      <w:r>
        <w:rPr/>
        <w:t>the</w:t>
      </w:r>
      <w:r>
        <w:rPr>
          <w:spacing w:val="-7"/>
        </w:rPr>
        <w:t> </w:t>
      </w:r>
      <w:r>
        <w:rPr/>
        <w:t>GDP</w:t>
      </w:r>
      <w:r>
        <w:rPr>
          <w:spacing w:val="-8"/>
        </w:rPr>
        <w:t> </w:t>
      </w:r>
      <w:r>
        <w:rPr/>
        <w:t>deflator</w:t>
      </w:r>
      <w:r>
        <w:rPr>
          <w:spacing w:val="-4"/>
        </w:rPr>
        <w:t> </w:t>
      </w:r>
      <w:r>
        <w:rPr/>
        <w:t>(at</w:t>
      </w:r>
      <w:r>
        <w:rPr>
          <w:spacing w:val="-6"/>
        </w:rPr>
        <w:t> </w:t>
      </w:r>
      <w:r>
        <w:rPr/>
        <w:t>basic</w:t>
      </w:r>
      <w:r>
        <w:rPr>
          <w:spacing w:val="-7"/>
        </w:rPr>
        <w:t> </w:t>
      </w:r>
      <w:r>
        <w:rPr/>
        <w:t>prices),</w:t>
      </w:r>
      <w:r>
        <w:rPr>
          <w:spacing w:val="-8"/>
        </w:rPr>
        <w:t> </w:t>
      </w:r>
      <w:r>
        <w:rPr/>
        <w:t>which had grown less strongly than the TPI, explaining the large</w:t>
      </w:r>
      <w:r>
        <w:rPr>
          <w:spacing w:val="-6"/>
        </w:rPr>
        <w:t> </w:t>
      </w:r>
      <w:r>
        <w:rPr/>
        <w:t>difference.</w:t>
      </w:r>
    </w:p>
    <w:p>
      <w:pPr>
        <w:pStyle w:val="BodyText"/>
        <w:spacing w:before="5"/>
        <w:rPr>
          <w:sz w:val="32"/>
        </w:rPr>
      </w:pPr>
    </w:p>
    <w:p>
      <w:pPr>
        <w:pStyle w:val="Heading1"/>
        <w:numPr>
          <w:ilvl w:val="0"/>
          <w:numId w:val="2"/>
        </w:numPr>
        <w:tabs>
          <w:tab w:pos="987" w:val="left" w:leader="none"/>
          <w:tab w:pos="988" w:val="left" w:leader="none"/>
        </w:tabs>
        <w:spacing w:line="240" w:lineRule="auto" w:before="0" w:after="0"/>
        <w:ind w:left="988" w:right="0" w:hanging="567"/>
        <w:jc w:val="left"/>
      </w:pPr>
      <w:r>
        <w:rPr/>
        <w:t>Agents’ national</w:t>
      </w:r>
      <w:r>
        <w:rPr>
          <w:spacing w:val="-22"/>
        </w:rPr>
        <w:t> </w:t>
      </w:r>
      <w:r>
        <w:rPr/>
        <w:t>summary</w:t>
      </w:r>
    </w:p>
    <w:p>
      <w:pPr>
        <w:pStyle w:val="BodyText"/>
        <w:rPr>
          <w:b/>
          <w:sz w:val="26"/>
        </w:rPr>
      </w:pPr>
    </w:p>
    <w:p>
      <w:pPr>
        <w:pStyle w:val="BodyText"/>
        <w:spacing w:line="321" w:lineRule="auto" w:before="160"/>
        <w:ind w:left="421" w:right="334"/>
      </w:pPr>
      <w:r>
        <w:rPr/>
        <w:t>A28 The Bank’s regional Agents reported on their assessment of the economy drawn from their discussions with contacts over the past month. The slowdown in activity had become more widespread. The fall in manufacturing output and orders had persisted; domestic demand in particular had weakened and import competition had strengthened. But the decline in export demand had begun to ease somewhat. Service sector growth had continued to slow, with a significant fall in demand from manufacturers. Consumer demand had weakened: inward tourism demand in 1999 was expected to be below that of 1998. However, telecoms and IT firms had reported strong growth and warehouse activity reflected the high stock levels. Manufacturers had reported high levels of unwanted stocks of finished goods and some had extended their Christmas stoppages to help unwind that position. The growth in the official retail sales data in November contrasted with reports from Agents’ retailing contacts, which suggested that there had been sluggish sales growth, more in line with the CBI Distributive Trades survey. Sales growth in the first half of December had also been weak but there had been a noticeable pick-up in the week before Christmas. Price discounting in December had been greater than in 1997.</w:t>
      </w:r>
    </w:p>
    <w:p>
      <w:pPr>
        <w:pStyle w:val="BodyText"/>
        <w:spacing w:before="10"/>
        <w:rPr>
          <w:sz w:val="31"/>
        </w:rPr>
      </w:pPr>
    </w:p>
    <w:p>
      <w:pPr>
        <w:pStyle w:val="BodyText"/>
        <w:spacing w:line="321" w:lineRule="auto"/>
        <w:ind w:left="421" w:right="464"/>
      </w:pPr>
      <w:r>
        <w:rPr/>
        <w:t>A29 Upward pressure on wages had continued to ease. Even sectors of previously intense pressure (such as IT) had reported some easing. An increasing emphasis on job security had lowered wage expectations. The Working Time Directive would increase firms’ costs not only through increased paid holiday provision and lost shift flexibility, but also via increased administration and monitoring. A number of contacts had sought opt-out agreements with their</w:t>
      </w:r>
    </w:p>
    <w:p>
      <w:pPr>
        <w:spacing w:after="0" w:line="321" w:lineRule="auto"/>
        <w:sectPr>
          <w:pgSz w:w="11900" w:h="16840"/>
          <w:pgMar w:header="729" w:footer="0" w:top="1060" w:bottom="280" w:left="860" w:right="880"/>
        </w:sectPr>
      </w:pPr>
    </w:p>
    <w:p>
      <w:pPr>
        <w:pStyle w:val="BodyText"/>
        <w:spacing w:line="321" w:lineRule="auto" w:before="80"/>
        <w:ind w:left="421" w:right="195"/>
      </w:pPr>
      <w:r>
        <w:rPr/>
        <w:t>staff. Employment growth had continued, albeit more slowly, in the service sector, which contrasted with the decline in the November C</w:t>
      </w:r>
      <w:r>
        <w:rPr>
          <w:sz w:val="20"/>
        </w:rPr>
        <w:t>IPS </w:t>
      </w:r>
      <w:r>
        <w:rPr/>
        <w:t>survey. Nonetheless, overall unemployment was expected to rise in 1999 as service sector growth would no longer balance job losses in manufacturing.</w:t>
      </w:r>
    </w:p>
    <w:p>
      <w:pPr>
        <w:pStyle w:val="BodyText"/>
        <w:spacing w:before="5"/>
        <w:rPr>
          <w:sz w:val="32"/>
        </w:rPr>
      </w:pPr>
    </w:p>
    <w:p>
      <w:pPr>
        <w:pStyle w:val="Heading1"/>
        <w:numPr>
          <w:ilvl w:val="0"/>
          <w:numId w:val="2"/>
        </w:numPr>
        <w:tabs>
          <w:tab w:pos="987" w:val="left" w:leader="none"/>
          <w:tab w:pos="988" w:val="left" w:leader="none"/>
        </w:tabs>
        <w:spacing w:line="240" w:lineRule="auto" w:before="0" w:after="0"/>
        <w:ind w:left="988" w:right="0" w:hanging="567"/>
        <w:jc w:val="left"/>
      </w:pPr>
      <w:r>
        <w:rPr/>
        <w:t>International</w:t>
      </w:r>
      <w:r>
        <w:rPr>
          <w:spacing w:val="1"/>
        </w:rPr>
        <w:t> </w:t>
      </w:r>
      <w:r>
        <w:rPr/>
        <w:t>environment</w:t>
      </w:r>
    </w:p>
    <w:p>
      <w:pPr>
        <w:pStyle w:val="BodyText"/>
        <w:rPr>
          <w:b/>
          <w:sz w:val="26"/>
        </w:rPr>
      </w:pPr>
    </w:p>
    <w:p>
      <w:pPr>
        <w:pStyle w:val="BodyText"/>
        <w:spacing w:line="321" w:lineRule="auto" w:before="160"/>
        <w:ind w:left="421" w:right="354"/>
      </w:pPr>
      <w:r>
        <w:rPr/>
        <w:t>A30 Evidence from the United States had remained mixed. GDP growth in Q3 had been revised down slightly, </w:t>
      </w:r>
      <w:r>
        <w:rPr>
          <w:spacing w:val="2"/>
        </w:rPr>
        <w:t>to </w:t>
      </w:r>
      <w:r>
        <w:rPr/>
        <w:t>+0.9%, reflecting weaker net exports. Industrial production had continued to weaken,</w:t>
      </w:r>
      <w:r>
        <w:rPr>
          <w:spacing w:val="-9"/>
        </w:rPr>
        <w:t> </w:t>
      </w:r>
      <w:r>
        <w:rPr/>
        <w:t>growing</w:t>
      </w:r>
      <w:r>
        <w:rPr>
          <w:spacing w:val="-9"/>
        </w:rPr>
        <w:t> </w:t>
      </w:r>
      <w:r>
        <w:rPr/>
        <w:t>by</w:t>
      </w:r>
      <w:r>
        <w:rPr>
          <w:spacing w:val="-9"/>
        </w:rPr>
        <w:t> </w:t>
      </w:r>
      <w:r>
        <w:rPr/>
        <w:t>1.5%</w:t>
      </w:r>
      <w:r>
        <w:rPr>
          <w:spacing w:val="-9"/>
        </w:rPr>
        <w:t> </w:t>
      </w:r>
      <w:r>
        <w:rPr/>
        <w:t>in</w:t>
      </w:r>
      <w:r>
        <w:rPr>
          <w:spacing w:val="-9"/>
        </w:rPr>
        <w:t> </w:t>
      </w:r>
      <w:r>
        <w:rPr/>
        <w:t>the</w:t>
      </w:r>
      <w:r>
        <w:rPr>
          <w:spacing w:val="-9"/>
        </w:rPr>
        <w:t> </w:t>
      </w:r>
      <w:r>
        <w:rPr/>
        <w:t>year</w:t>
      </w:r>
      <w:r>
        <w:rPr>
          <w:spacing w:val="-8"/>
        </w:rPr>
        <w:t> </w:t>
      </w:r>
      <w:r>
        <w:rPr>
          <w:spacing w:val="2"/>
        </w:rPr>
        <w:t>to</w:t>
      </w:r>
      <w:r>
        <w:rPr>
          <w:spacing w:val="-5"/>
        </w:rPr>
        <w:t> </w:t>
      </w:r>
      <w:r>
        <w:rPr/>
        <w:t>November.</w:t>
      </w:r>
      <w:r>
        <w:rPr>
          <w:spacing w:val="42"/>
        </w:rPr>
        <w:t> </w:t>
      </w:r>
      <w:r>
        <w:rPr/>
        <w:t>Consumer</w:t>
      </w:r>
      <w:r>
        <w:rPr>
          <w:spacing w:val="-9"/>
        </w:rPr>
        <w:t> </w:t>
      </w:r>
      <w:r>
        <w:rPr/>
        <w:t>confidence</w:t>
      </w:r>
      <w:r>
        <w:rPr>
          <w:spacing w:val="-9"/>
        </w:rPr>
        <w:t> </w:t>
      </w:r>
      <w:r>
        <w:rPr/>
        <w:t>had</w:t>
      </w:r>
      <w:r>
        <w:rPr>
          <w:spacing w:val="-8"/>
        </w:rPr>
        <w:t> </w:t>
      </w:r>
      <w:r>
        <w:rPr/>
        <w:t>remained</w:t>
      </w:r>
      <w:r>
        <w:rPr>
          <w:spacing w:val="-8"/>
        </w:rPr>
        <w:t> </w:t>
      </w:r>
      <w:r>
        <w:rPr/>
        <w:t>strong</w:t>
      </w:r>
      <w:r>
        <w:rPr>
          <w:spacing w:val="-9"/>
        </w:rPr>
        <w:t> </w:t>
      </w:r>
      <w:r>
        <w:rPr/>
        <w:t>in November,</w:t>
      </w:r>
      <w:r>
        <w:rPr>
          <w:spacing w:val="-17"/>
        </w:rPr>
        <w:t> </w:t>
      </w:r>
      <w:r>
        <w:rPr/>
        <w:t>but</w:t>
      </w:r>
      <w:r>
        <w:rPr>
          <w:spacing w:val="-12"/>
        </w:rPr>
        <w:t> </w:t>
      </w:r>
      <w:r>
        <w:rPr>
          <w:spacing w:val="3"/>
        </w:rPr>
        <w:t>optimism</w:t>
      </w:r>
      <w:r>
        <w:rPr>
          <w:spacing w:val="-13"/>
        </w:rPr>
        <w:t> </w:t>
      </w:r>
      <w:r>
        <w:rPr/>
        <w:t>about</w:t>
      </w:r>
      <w:r>
        <w:rPr>
          <w:spacing w:val="-13"/>
        </w:rPr>
        <w:t> </w:t>
      </w:r>
      <w:r>
        <w:rPr/>
        <w:t>future</w:t>
      </w:r>
      <w:r>
        <w:rPr>
          <w:spacing w:val="-16"/>
        </w:rPr>
        <w:t> </w:t>
      </w:r>
      <w:r>
        <w:rPr/>
        <w:t>employment</w:t>
      </w:r>
      <w:r>
        <w:rPr>
          <w:spacing w:val="-13"/>
        </w:rPr>
        <w:t> </w:t>
      </w:r>
      <w:r>
        <w:rPr/>
        <w:t>and</w:t>
      </w:r>
      <w:r>
        <w:rPr>
          <w:spacing w:val="-16"/>
        </w:rPr>
        <w:t> </w:t>
      </w:r>
      <w:r>
        <w:rPr/>
        <w:t>incomes</w:t>
      </w:r>
      <w:r>
        <w:rPr>
          <w:spacing w:val="-16"/>
        </w:rPr>
        <w:t> </w:t>
      </w:r>
      <w:r>
        <w:rPr/>
        <w:t>had</w:t>
      </w:r>
      <w:r>
        <w:rPr>
          <w:spacing w:val="-16"/>
        </w:rPr>
        <w:t> </w:t>
      </w:r>
      <w:r>
        <w:rPr/>
        <w:t>fallen.</w:t>
      </w:r>
      <w:r>
        <w:rPr>
          <w:spacing w:val="27"/>
        </w:rPr>
        <w:t> </w:t>
      </w:r>
      <w:r>
        <w:rPr/>
        <w:t>Non-farm</w:t>
      </w:r>
      <w:r>
        <w:rPr>
          <w:spacing w:val="-16"/>
        </w:rPr>
        <w:t> </w:t>
      </w:r>
      <w:r>
        <w:rPr/>
        <w:t>payrolls</w:t>
      </w:r>
      <w:r>
        <w:rPr>
          <w:spacing w:val="-16"/>
        </w:rPr>
        <w:t> </w:t>
      </w:r>
      <w:r>
        <w:rPr/>
        <w:t>had also</w:t>
      </w:r>
      <w:r>
        <w:rPr>
          <w:spacing w:val="-8"/>
        </w:rPr>
        <w:t> </w:t>
      </w:r>
      <w:r>
        <w:rPr/>
        <w:t>continued</w:t>
      </w:r>
      <w:r>
        <w:rPr>
          <w:spacing w:val="-8"/>
        </w:rPr>
        <w:t> </w:t>
      </w:r>
      <w:r>
        <w:rPr>
          <w:spacing w:val="2"/>
        </w:rPr>
        <w:t>to</w:t>
      </w:r>
      <w:r>
        <w:rPr>
          <w:spacing w:val="-3"/>
        </w:rPr>
        <w:t> </w:t>
      </w:r>
      <w:r>
        <w:rPr/>
        <w:t>grow</w:t>
      </w:r>
      <w:r>
        <w:rPr>
          <w:spacing w:val="-8"/>
        </w:rPr>
        <w:t> </w:t>
      </w:r>
      <w:r>
        <w:rPr/>
        <w:t>strongly</w:t>
      </w:r>
      <w:r>
        <w:rPr>
          <w:spacing w:val="-8"/>
        </w:rPr>
        <w:t> </w:t>
      </w:r>
      <w:r>
        <w:rPr/>
        <w:t>in</w:t>
      </w:r>
      <w:r>
        <w:rPr>
          <w:spacing w:val="-7"/>
        </w:rPr>
        <w:t> </w:t>
      </w:r>
      <w:r>
        <w:rPr/>
        <w:t>November,</w:t>
      </w:r>
      <w:r>
        <w:rPr>
          <w:spacing w:val="-8"/>
        </w:rPr>
        <w:t> </w:t>
      </w:r>
      <w:r>
        <w:rPr/>
        <w:t>but</w:t>
      </w:r>
      <w:r>
        <w:rPr>
          <w:spacing w:val="-4"/>
        </w:rPr>
        <w:t> </w:t>
      </w:r>
      <w:r>
        <w:rPr/>
        <w:t>this</w:t>
      </w:r>
      <w:r>
        <w:rPr>
          <w:spacing w:val="-7"/>
        </w:rPr>
        <w:t> </w:t>
      </w:r>
      <w:r>
        <w:rPr/>
        <w:t>was</w:t>
      </w:r>
      <w:r>
        <w:rPr>
          <w:spacing w:val="-8"/>
        </w:rPr>
        <w:t> </w:t>
      </w:r>
      <w:r>
        <w:rPr/>
        <w:t>due</w:t>
      </w:r>
      <w:r>
        <w:rPr>
          <w:spacing w:val="-8"/>
        </w:rPr>
        <w:t> </w:t>
      </w:r>
      <w:r>
        <w:rPr>
          <w:spacing w:val="2"/>
        </w:rPr>
        <w:t>to</w:t>
      </w:r>
      <w:r>
        <w:rPr>
          <w:spacing w:val="-3"/>
        </w:rPr>
        <w:t> </w:t>
      </w:r>
      <w:r>
        <w:rPr/>
        <w:t>seasonal</w:t>
      </w:r>
      <w:r>
        <w:rPr>
          <w:spacing w:val="-8"/>
        </w:rPr>
        <w:t> </w:t>
      </w:r>
      <w:r>
        <w:rPr/>
        <w:t>effects,</w:t>
      </w:r>
      <w:r>
        <w:rPr>
          <w:spacing w:val="-7"/>
        </w:rPr>
        <w:t> </w:t>
      </w:r>
      <w:r>
        <w:rPr/>
        <w:t>and</w:t>
      </w:r>
      <w:r>
        <w:rPr>
          <w:spacing w:val="-8"/>
        </w:rPr>
        <w:t> </w:t>
      </w:r>
      <w:r>
        <w:rPr/>
        <w:t>the</w:t>
      </w:r>
      <w:r>
        <w:rPr>
          <w:spacing w:val="-8"/>
        </w:rPr>
        <w:t> </w:t>
      </w:r>
      <w:r>
        <w:rPr/>
        <w:t>annual growth</w:t>
      </w:r>
      <w:r>
        <w:rPr>
          <w:spacing w:val="-11"/>
        </w:rPr>
        <w:t> </w:t>
      </w:r>
      <w:r>
        <w:rPr/>
        <w:t>rate</w:t>
      </w:r>
      <w:r>
        <w:rPr>
          <w:spacing w:val="-8"/>
        </w:rPr>
        <w:t> </w:t>
      </w:r>
      <w:r>
        <w:rPr/>
        <w:t>had</w:t>
      </w:r>
      <w:r>
        <w:rPr>
          <w:spacing w:val="-11"/>
        </w:rPr>
        <w:t> </w:t>
      </w:r>
      <w:r>
        <w:rPr/>
        <w:t>been</w:t>
      </w:r>
      <w:r>
        <w:rPr>
          <w:spacing w:val="-10"/>
        </w:rPr>
        <w:t> </w:t>
      </w:r>
      <w:r>
        <w:rPr/>
        <w:t>slowing</w:t>
      </w:r>
      <w:r>
        <w:rPr>
          <w:spacing w:val="-10"/>
        </w:rPr>
        <w:t> </w:t>
      </w:r>
      <w:r>
        <w:rPr/>
        <w:t>since</w:t>
      </w:r>
      <w:r>
        <w:rPr>
          <w:spacing w:val="-10"/>
        </w:rPr>
        <w:t> </w:t>
      </w:r>
      <w:r>
        <w:rPr/>
        <w:t>August.</w:t>
      </w:r>
      <w:r>
        <w:rPr>
          <w:spacing w:val="-7"/>
        </w:rPr>
        <w:t> </w:t>
      </w:r>
      <w:r>
        <w:rPr/>
        <w:t>Nominal</w:t>
      </w:r>
      <w:r>
        <w:rPr>
          <w:spacing w:val="-10"/>
        </w:rPr>
        <w:t> </w:t>
      </w:r>
      <w:r>
        <w:rPr/>
        <w:t>retail</w:t>
      </w:r>
      <w:r>
        <w:rPr>
          <w:spacing w:val="-8"/>
        </w:rPr>
        <w:t> </w:t>
      </w:r>
      <w:r>
        <w:rPr/>
        <w:t>sales</w:t>
      </w:r>
      <w:r>
        <w:rPr>
          <w:spacing w:val="-11"/>
        </w:rPr>
        <w:t> </w:t>
      </w:r>
      <w:r>
        <w:rPr/>
        <w:t>had</w:t>
      </w:r>
      <w:r>
        <w:rPr>
          <w:spacing w:val="-10"/>
        </w:rPr>
        <w:t> </w:t>
      </w:r>
      <w:r>
        <w:rPr/>
        <w:t>grown</w:t>
      </w:r>
      <w:r>
        <w:rPr>
          <w:spacing w:val="-10"/>
        </w:rPr>
        <w:t> </w:t>
      </w:r>
      <w:r>
        <w:rPr/>
        <w:t>by</w:t>
      </w:r>
      <w:r>
        <w:rPr>
          <w:spacing w:val="-10"/>
        </w:rPr>
        <w:t> </w:t>
      </w:r>
      <w:r>
        <w:rPr/>
        <w:t>0.6%</w:t>
      </w:r>
      <w:r>
        <w:rPr>
          <w:spacing w:val="-11"/>
        </w:rPr>
        <w:t> </w:t>
      </w:r>
      <w:r>
        <w:rPr/>
        <w:t>in</w:t>
      </w:r>
      <w:r>
        <w:rPr>
          <w:spacing w:val="-10"/>
        </w:rPr>
        <w:t> </w:t>
      </w:r>
      <w:r>
        <w:rPr/>
        <w:t>November, but real personal consumption had remained unchanged. M2 increased 8.8% in the year to November.</w:t>
      </w:r>
    </w:p>
    <w:p>
      <w:pPr>
        <w:pStyle w:val="BodyText"/>
        <w:spacing w:before="11"/>
        <w:rPr>
          <w:sz w:val="31"/>
        </w:rPr>
      </w:pPr>
    </w:p>
    <w:p>
      <w:pPr>
        <w:pStyle w:val="BodyText"/>
        <w:spacing w:line="321" w:lineRule="auto"/>
        <w:ind w:left="421" w:right="263"/>
      </w:pPr>
      <w:r>
        <w:rPr/>
        <w:t>A31 There were few signs that activity had bottomed-out in Japan. The </w:t>
      </w:r>
      <w:r>
        <w:rPr>
          <w:spacing w:val="2"/>
        </w:rPr>
        <w:t>December </w:t>
      </w:r>
      <w:r>
        <w:rPr/>
        <w:t>Tankan survey had been weak: the balance for large manufacturers had been recorded at -56 and was now back to February</w:t>
      </w:r>
      <w:r>
        <w:rPr>
          <w:spacing w:val="-12"/>
        </w:rPr>
        <w:t> </w:t>
      </w:r>
      <w:r>
        <w:rPr>
          <w:spacing w:val="-6"/>
        </w:rPr>
        <w:t>1994’s</w:t>
      </w:r>
      <w:r>
        <w:rPr>
          <w:spacing w:val="-11"/>
        </w:rPr>
        <w:t> </w:t>
      </w:r>
      <w:r>
        <w:rPr/>
        <w:t>low</w:t>
      </w:r>
      <w:r>
        <w:rPr>
          <w:spacing w:val="-11"/>
        </w:rPr>
        <w:t> </w:t>
      </w:r>
      <w:r>
        <w:rPr/>
        <w:t>point.</w:t>
      </w:r>
      <w:r>
        <w:rPr>
          <w:spacing w:val="42"/>
        </w:rPr>
        <w:t> </w:t>
      </w:r>
      <w:r>
        <w:rPr/>
        <w:t>The</w:t>
      </w:r>
      <w:r>
        <w:rPr>
          <w:spacing w:val="-10"/>
        </w:rPr>
        <w:t> </w:t>
      </w:r>
      <w:r>
        <w:rPr/>
        <w:t>balance</w:t>
      </w:r>
      <w:r>
        <w:rPr>
          <w:spacing w:val="-11"/>
        </w:rPr>
        <w:t> </w:t>
      </w:r>
      <w:r>
        <w:rPr/>
        <w:t>of</w:t>
      </w:r>
      <w:r>
        <w:rPr>
          <w:spacing w:val="-8"/>
        </w:rPr>
        <w:t> </w:t>
      </w:r>
      <w:r>
        <w:rPr/>
        <w:t>firms</w:t>
      </w:r>
      <w:r>
        <w:rPr>
          <w:spacing w:val="-11"/>
        </w:rPr>
        <w:t> </w:t>
      </w:r>
      <w:r>
        <w:rPr/>
        <w:t>with</w:t>
      </w:r>
      <w:r>
        <w:rPr>
          <w:spacing w:val="-11"/>
        </w:rPr>
        <w:t> </w:t>
      </w:r>
      <w:r>
        <w:rPr/>
        <w:t>above</w:t>
      </w:r>
      <w:r>
        <w:rPr>
          <w:spacing w:val="-32"/>
        </w:rPr>
        <w:t> </w:t>
      </w:r>
      <w:r>
        <w:rPr/>
        <w:t>-desired</w:t>
      </w:r>
      <w:r>
        <w:rPr>
          <w:spacing w:val="-10"/>
        </w:rPr>
        <w:t> </w:t>
      </w:r>
      <w:r>
        <w:rPr/>
        <w:t>levels</w:t>
      </w:r>
      <w:r>
        <w:rPr>
          <w:spacing w:val="-11"/>
        </w:rPr>
        <w:t> </w:t>
      </w:r>
      <w:r>
        <w:rPr/>
        <w:t>of</w:t>
      </w:r>
      <w:r>
        <w:rPr>
          <w:spacing w:val="-8"/>
        </w:rPr>
        <w:t> </w:t>
      </w:r>
      <w:r>
        <w:rPr/>
        <w:t>employees</w:t>
      </w:r>
      <w:r>
        <w:rPr>
          <w:spacing w:val="-11"/>
        </w:rPr>
        <w:t> </w:t>
      </w:r>
      <w:r>
        <w:rPr/>
        <w:t>continued </w:t>
      </w:r>
      <w:r>
        <w:rPr>
          <w:spacing w:val="2"/>
        </w:rPr>
        <w:t>to</w:t>
      </w:r>
      <w:r>
        <w:rPr>
          <w:spacing w:val="-7"/>
        </w:rPr>
        <w:t> </w:t>
      </w:r>
      <w:r>
        <w:rPr/>
        <w:t>increase.</w:t>
      </w:r>
      <w:r>
        <w:rPr>
          <w:spacing w:val="40"/>
        </w:rPr>
        <w:t> </w:t>
      </w:r>
      <w:r>
        <w:rPr/>
        <w:t>The</w:t>
      </w:r>
      <w:r>
        <w:rPr>
          <w:spacing w:val="-8"/>
        </w:rPr>
        <w:t> </w:t>
      </w:r>
      <w:r>
        <w:rPr/>
        <w:t>average</w:t>
      </w:r>
      <w:r>
        <w:rPr>
          <w:spacing w:val="-11"/>
        </w:rPr>
        <w:t> </w:t>
      </w:r>
      <w:r>
        <w:rPr/>
        <w:t>propensity</w:t>
      </w:r>
      <w:r>
        <w:rPr>
          <w:spacing w:val="-10"/>
        </w:rPr>
        <w:t> </w:t>
      </w:r>
      <w:r>
        <w:rPr>
          <w:spacing w:val="2"/>
        </w:rPr>
        <w:t>to</w:t>
      </w:r>
      <w:r>
        <w:rPr>
          <w:spacing w:val="-6"/>
        </w:rPr>
        <w:t> </w:t>
      </w:r>
      <w:r>
        <w:rPr/>
        <w:t>consume</w:t>
      </w:r>
      <w:r>
        <w:rPr>
          <w:spacing w:val="-10"/>
        </w:rPr>
        <w:t> </w:t>
      </w:r>
      <w:r>
        <w:rPr/>
        <w:t>had</w:t>
      </w:r>
      <w:r>
        <w:rPr>
          <w:spacing w:val="-10"/>
        </w:rPr>
        <w:t> </w:t>
      </w:r>
      <w:r>
        <w:rPr/>
        <w:t>fallen</w:t>
      </w:r>
      <w:r>
        <w:rPr>
          <w:spacing w:val="-10"/>
        </w:rPr>
        <w:t> </w:t>
      </w:r>
      <w:r>
        <w:rPr/>
        <w:t>in</w:t>
      </w:r>
      <w:r>
        <w:rPr>
          <w:spacing w:val="-10"/>
        </w:rPr>
        <w:t> </w:t>
      </w:r>
      <w:r>
        <w:rPr/>
        <w:t>November,</w:t>
      </w:r>
      <w:r>
        <w:rPr>
          <w:spacing w:val="-11"/>
        </w:rPr>
        <w:t> </w:t>
      </w:r>
      <w:r>
        <w:rPr/>
        <w:t>and</w:t>
      </w:r>
      <w:r>
        <w:rPr>
          <w:spacing w:val="-10"/>
        </w:rPr>
        <w:t> </w:t>
      </w:r>
      <w:r>
        <w:rPr/>
        <w:t>retail</w:t>
      </w:r>
      <w:r>
        <w:rPr>
          <w:spacing w:val="-8"/>
        </w:rPr>
        <w:t> </w:t>
      </w:r>
      <w:r>
        <w:rPr/>
        <w:t>sales</w:t>
      </w:r>
      <w:r>
        <w:rPr>
          <w:spacing w:val="-10"/>
        </w:rPr>
        <w:t> </w:t>
      </w:r>
      <w:r>
        <w:rPr/>
        <w:t>had</w:t>
      </w:r>
      <w:r>
        <w:rPr>
          <w:spacing w:val="-11"/>
        </w:rPr>
        <w:t> </w:t>
      </w:r>
      <w:r>
        <w:rPr/>
        <w:t>fallen 1.5% on a year earlier (the seventh consecutive month of annual decline). The Tankan survey showed that corporate financial conditions had continued </w:t>
      </w:r>
      <w:r>
        <w:rPr>
          <w:spacing w:val="2"/>
        </w:rPr>
        <w:t>to </w:t>
      </w:r>
      <w:r>
        <w:rPr/>
        <w:t>deteriorate and that banks remained unwilling</w:t>
      </w:r>
      <w:r>
        <w:rPr>
          <w:spacing w:val="-12"/>
        </w:rPr>
        <w:t> </w:t>
      </w:r>
      <w:r>
        <w:rPr>
          <w:spacing w:val="2"/>
        </w:rPr>
        <w:t>to</w:t>
      </w:r>
      <w:r>
        <w:rPr>
          <w:spacing w:val="-7"/>
        </w:rPr>
        <w:t> </w:t>
      </w:r>
      <w:r>
        <w:rPr/>
        <w:t>lend</w:t>
      </w:r>
      <w:r>
        <w:rPr>
          <w:spacing w:val="-12"/>
        </w:rPr>
        <w:t> </w:t>
      </w:r>
      <w:r>
        <w:rPr/>
        <w:t>(confirmed</w:t>
      </w:r>
      <w:r>
        <w:rPr>
          <w:spacing w:val="-10"/>
        </w:rPr>
        <w:t> </w:t>
      </w:r>
      <w:r>
        <w:rPr/>
        <w:t>by</w:t>
      </w:r>
      <w:r>
        <w:rPr>
          <w:spacing w:val="-11"/>
        </w:rPr>
        <w:t> </w:t>
      </w:r>
      <w:r>
        <w:rPr>
          <w:spacing w:val="3"/>
        </w:rPr>
        <w:t>official</w:t>
      </w:r>
      <w:r>
        <w:rPr>
          <w:spacing w:val="-8"/>
        </w:rPr>
        <w:t> </w:t>
      </w:r>
      <w:r>
        <w:rPr/>
        <w:t>data</w:t>
      </w:r>
      <w:r>
        <w:rPr>
          <w:spacing w:val="-11"/>
        </w:rPr>
        <w:t> </w:t>
      </w:r>
      <w:r>
        <w:rPr/>
        <w:t>which</w:t>
      </w:r>
      <w:r>
        <w:rPr>
          <w:spacing w:val="-11"/>
        </w:rPr>
        <w:t> </w:t>
      </w:r>
      <w:r>
        <w:rPr/>
        <w:t>showed</w:t>
      </w:r>
      <w:r>
        <w:rPr>
          <w:spacing w:val="-12"/>
        </w:rPr>
        <w:t> </w:t>
      </w:r>
      <w:r>
        <w:rPr/>
        <w:t>that</w:t>
      </w:r>
      <w:r>
        <w:rPr>
          <w:spacing w:val="-7"/>
        </w:rPr>
        <w:t> </w:t>
      </w:r>
      <w:r>
        <w:rPr/>
        <w:t>bank</w:t>
      </w:r>
      <w:r>
        <w:rPr>
          <w:spacing w:val="-12"/>
        </w:rPr>
        <w:t> </w:t>
      </w:r>
      <w:r>
        <w:rPr/>
        <w:t>lending</w:t>
      </w:r>
      <w:r>
        <w:rPr>
          <w:spacing w:val="-11"/>
        </w:rPr>
        <w:t> </w:t>
      </w:r>
      <w:r>
        <w:rPr/>
        <w:t>had</w:t>
      </w:r>
      <w:r>
        <w:rPr>
          <w:spacing w:val="-11"/>
        </w:rPr>
        <w:t> </w:t>
      </w:r>
      <w:r>
        <w:rPr/>
        <w:t>fallen</w:t>
      </w:r>
      <w:r>
        <w:rPr>
          <w:spacing w:val="-12"/>
        </w:rPr>
        <w:t> </w:t>
      </w:r>
      <w:r>
        <w:rPr/>
        <w:t>4.0%</w:t>
      </w:r>
      <w:r>
        <w:rPr>
          <w:spacing w:val="-11"/>
        </w:rPr>
        <w:t> </w:t>
      </w:r>
      <w:r>
        <w:rPr/>
        <w:t>on</w:t>
      </w:r>
      <w:r>
        <w:rPr>
          <w:spacing w:val="-8"/>
        </w:rPr>
        <w:t> </w:t>
      </w:r>
      <w:r>
        <w:rPr/>
        <w:t>a year</w:t>
      </w:r>
      <w:r>
        <w:rPr>
          <w:spacing w:val="-8"/>
        </w:rPr>
        <w:t> </w:t>
      </w:r>
      <w:r>
        <w:rPr/>
        <w:t>earlier</w:t>
      </w:r>
      <w:r>
        <w:rPr>
          <w:spacing w:val="-8"/>
        </w:rPr>
        <w:t> </w:t>
      </w:r>
      <w:r>
        <w:rPr/>
        <w:t>in</w:t>
      </w:r>
      <w:r>
        <w:rPr>
          <w:spacing w:val="-7"/>
        </w:rPr>
        <w:t> </w:t>
      </w:r>
      <w:r>
        <w:rPr/>
        <w:t>November,</w:t>
      </w:r>
      <w:r>
        <w:rPr>
          <w:spacing w:val="-8"/>
        </w:rPr>
        <w:t> </w:t>
      </w:r>
      <w:r>
        <w:rPr/>
        <w:t>although</w:t>
      </w:r>
      <w:r>
        <w:rPr>
          <w:spacing w:val="-8"/>
        </w:rPr>
        <w:t> </w:t>
      </w:r>
      <w:r>
        <w:rPr/>
        <w:t>this</w:t>
      </w:r>
      <w:r>
        <w:rPr>
          <w:spacing w:val="-7"/>
        </w:rPr>
        <w:t> </w:t>
      </w:r>
      <w:r>
        <w:rPr/>
        <w:t>may</w:t>
      </w:r>
      <w:r>
        <w:rPr>
          <w:spacing w:val="-8"/>
        </w:rPr>
        <w:t> </w:t>
      </w:r>
      <w:r>
        <w:rPr/>
        <w:t>have</w:t>
      </w:r>
      <w:r>
        <w:rPr>
          <w:spacing w:val="-7"/>
        </w:rPr>
        <w:t> </w:t>
      </w:r>
      <w:r>
        <w:rPr/>
        <w:t>been</w:t>
      </w:r>
      <w:r>
        <w:rPr>
          <w:spacing w:val="-8"/>
        </w:rPr>
        <w:t> </w:t>
      </w:r>
      <w:r>
        <w:rPr>
          <w:spacing w:val="3"/>
        </w:rPr>
        <w:t>overstated</w:t>
      </w:r>
      <w:r>
        <w:rPr>
          <w:spacing w:val="-3"/>
        </w:rPr>
        <w:t> </w:t>
      </w:r>
      <w:r>
        <w:rPr/>
        <w:t>as</w:t>
      </w:r>
      <w:r>
        <w:rPr>
          <w:spacing w:val="-8"/>
        </w:rPr>
        <w:t> </w:t>
      </w:r>
      <w:r>
        <w:rPr/>
        <w:t>a</w:t>
      </w:r>
      <w:r>
        <w:rPr>
          <w:spacing w:val="-8"/>
        </w:rPr>
        <w:t> </w:t>
      </w:r>
      <w:r>
        <w:rPr/>
        <w:t>result</w:t>
      </w:r>
      <w:r>
        <w:rPr>
          <w:spacing w:val="-6"/>
        </w:rPr>
        <w:t> </w:t>
      </w:r>
      <w:r>
        <w:rPr/>
        <w:t>of</w:t>
      </w:r>
      <w:r>
        <w:rPr>
          <w:spacing w:val="-3"/>
        </w:rPr>
        <w:t> </w:t>
      </w:r>
      <w:r>
        <w:rPr/>
        <w:t>debt</w:t>
      </w:r>
      <w:r>
        <w:rPr>
          <w:spacing w:val="-3"/>
        </w:rPr>
        <w:t> </w:t>
      </w:r>
      <w:r>
        <w:rPr/>
        <w:t>write-offs).</w:t>
      </w:r>
    </w:p>
    <w:p>
      <w:pPr>
        <w:pStyle w:val="BodyText"/>
        <w:spacing w:line="321" w:lineRule="auto"/>
        <w:ind w:left="421"/>
      </w:pPr>
      <w:r>
        <w:rPr/>
        <w:t>There</w:t>
      </w:r>
      <w:r>
        <w:rPr>
          <w:spacing w:val="-16"/>
        </w:rPr>
        <w:t> </w:t>
      </w:r>
      <w:r>
        <w:rPr/>
        <w:t>was</w:t>
      </w:r>
      <w:r>
        <w:rPr>
          <w:spacing w:val="-17"/>
        </w:rPr>
        <w:t> </w:t>
      </w:r>
      <w:r>
        <w:rPr/>
        <w:t>little</w:t>
      </w:r>
      <w:r>
        <w:rPr>
          <w:spacing w:val="-17"/>
        </w:rPr>
        <w:t> </w:t>
      </w:r>
      <w:r>
        <w:rPr/>
        <w:t>evidence</w:t>
      </w:r>
      <w:r>
        <w:rPr>
          <w:spacing w:val="-17"/>
        </w:rPr>
        <w:t> </w:t>
      </w:r>
      <w:r>
        <w:rPr/>
        <w:t>of</w:t>
      </w:r>
      <w:r>
        <w:rPr>
          <w:spacing w:val="-13"/>
        </w:rPr>
        <w:t> </w:t>
      </w:r>
      <w:r>
        <w:rPr/>
        <w:t>fiscal</w:t>
      </w:r>
      <w:r>
        <w:rPr>
          <w:spacing w:val="-17"/>
        </w:rPr>
        <w:t> </w:t>
      </w:r>
      <w:r>
        <w:rPr/>
        <w:t>policy</w:t>
      </w:r>
      <w:r>
        <w:rPr>
          <w:spacing w:val="-17"/>
        </w:rPr>
        <w:t> </w:t>
      </w:r>
      <w:r>
        <w:rPr/>
        <w:t>supporting</w:t>
      </w:r>
      <w:r>
        <w:rPr>
          <w:spacing w:val="-17"/>
        </w:rPr>
        <w:t> </w:t>
      </w:r>
      <w:r>
        <w:rPr/>
        <w:t>public</w:t>
      </w:r>
      <w:r>
        <w:rPr>
          <w:spacing w:val="-17"/>
        </w:rPr>
        <w:t> </w:t>
      </w:r>
      <w:r>
        <w:rPr/>
        <w:t>construction</w:t>
      </w:r>
      <w:r>
        <w:rPr>
          <w:spacing w:val="-16"/>
        </w:rPr>
        <w:t> </w:t>
      </w:r>
      <w:r>
        <w:rPr>
          <w:spacing w:val="3"/>
        </w:rPr>
        <w:t>orders</w:t>
      </w:r>
      <w:r>
        <w:rPr>
          <w:spacing w:val="-14"/>
        </w:rPr>
        <w:t> </w:t>
      </w:r>
      <w:r>
        <w:rPr>
          <w:w w:val="95"/>
        </w:rPr>
        <w:t>—</w:t>
      </w:r>
      <w:r>
        <w:rPr>
          <w:spacing w:val="3"/>
          <w:w w:val="95"/>
        </w:rPr>
        <w:t> </w:t>
      </w:r>
      <w:r>
        <w:rPr/>
        <w:t>these</w:t>
      </w:r>
      <w:r>
        <w:rPr>
          <w:spacing w:val="-17"/>
        </w:rPr>
        <w:t> </w:t>
      </w:r>
      <w:r>
        <w:rPr/>
        <w:t>had</w:t>
      </w:r>
      <w:r>
        <w:rPr>
          <w:spacing w:val="-17"/>
        </w:rPr>
        <w:t> </w:t>
      </w:r>
      <w:r>
        <w:rPr/>
        <w:t>fallen 14.7% on a year</w:t>
      </w:r>
      <w:r>
        <w:rPr>
          <w:spacing w:val="11"/>
        </w:rPr>
        <w:t> </w:t>
      </w:r>
      <w:r>
        <w:rPr/>
        <w:t>earlier.</w:t>
      </w:r>
    </w:p>
    <w:p>
      <w:pPr>
        <w:pStyle w:val="BodyText"/>
        <w:spacing w:before="11"/>
        <w:rPr>
          <w:sz w:val="31"/>
        </w:rPr>
      </w:pPr>
    </w:p>
    <w:p>
      <w:pPr>
        <w:pStyle w:val="BodyText"/>
        <w:spacing w:line="321" w:lineRule="auto"/>
        <w:ind w:left="421" w:right="362"/>
      </w:pPr>
      <w:r>
        <w:rPr/>
        <w:t>A32 The quarterly growth rate of the EU5 (France, Germany, Italy, the Netherlands and Spain) had</w:t>
      </w:r>
      <w:r>
        <w:rPr>
          <w:spacing w:val="-12"/>
        </w:rPr>
        <w:t> </w:t>
      </w:r>
      <w:r>
        <w:rPr/>
        <w:t>remained</w:t>
      </w:r>
      <w:r>
        <w:rPr>
          <w:spacing w:val="-9"/>
        </w:rPr>
        <w:t> </w:t>
      </w:r>
      <w:r>
        <w:rPr/>
        <w:t>broadly</w:t>
      </w:r>
      <w:r>
        <w:rPr>
          <w:spacing w:val="-11"/>
        </w:rPr>
        <w:t> </w:t>
      </w:r>
      <w:r>
        <w:rPr/>
        <w:t>unchanged</w:t>
      </w:r>
      <w:r>
        <w:rPr>
          <w:spacing w:val="-12"/>
        </w:rPr>
        <w:t> </w:t>
      </w:r>
      <w:r>
        <w:rPr/>
        <w:t>in</w:t>
      </w:r>
      <w:r>
        <w:rPr>
          <w:spacing w:val="-11"/>
        </w:rPr>
        <w:t> </w:t>
      </w:r>
      <w:r>
        <w:rPr/>
        <w:t>Q3.</w:t>
      </w:r>
      <w:r>
        <w:rPr>
          <w:spacing w:val="38"/>
        </w:rPr>
        <w:t> </w:t>
      </w:r>
      <w:r>
        <w:rPr/>
        <w:t>Private</w:t>
      </w:r>
      <w:r>
        <w:rPr>
          <w:spacing w:val="-11"/>
        </w:rPr>
        <w:t> </w:t>
      </w:r>
      <w:r>
        <w:rPr/>
        <w:t>consumption</w:t>
      </w:r>
      <w:r>
        <w:rPr>
          <w:spacing w:val="-11"/>
        </w:rPr>
        <w:t> </w:t>
      </w:r>
      <w:r>
        <w:rPr/>
        <w:t>had</w:t>
      </w:r>
      <w:r>
        <w:rPr>
          <w:spacing w:val="-11"/>
        </w:rPr>
        <w:t> </w:t>
      </w:r>
      <w:r>
        <w:rPr/>
        <w:t>held</w:t>
      </w:r>
      <w:r>
        <w:rPr>
          <w:spacing w:val="-11"/>
        </w:rPr>
        <w:t> </w:t>
      </w:r>
      <w:r>
        <w:rPr/>
        <w:t>up</w:t>
      </w:r>
      <w:r>
        <w:rPr>
          <w:spacing w:val="-11"/>
        </w:rPr>
        <w:t> </w:t>
      </w:r>
      <w:r>
        <w:rPr/>
        <w:t>in</w:t>
      </w:r>
      <w:r>
        <w:rPr>
          <w:spacing w:val="-11"/>
        </w:rPr>
        <w:t> </w:t>
      </w:r>
      <w:r>
        <w:rPr/>
        <w:t>Germany,</w:t>
      </w:r>
      <w:r>
        <w:rPr>
          <w:spacing w:val="-12"/>
        </w:rPr>
        <w:t> </w:t>
      </w:r>
      <w:r>
        <w:rPr/>
        <w:t>France</w:t>
      </w:r>
      <w:r>
        <w:rPr>
          <w:spacing w:val="-11"/>
        </w:rPr>
        <w:t> </w:t>
      </w:r>
      <w:r>
        <w:rPr/>
        <w:t>and Italy. While net trade had contributed positively </w:t>
      </w:r>
      <w:r>
        <w:rPr>
          <w:spacing w:val="2"/>
        </w:rPr>
        <w:t>to </w:t>
      </w:r>
      <w:r>
        <w:rPr/>
        <w:t>GDP growth, largely reflecting weaker import growth, this had been </w:t>
      </w:r>
      <w:r>
        <w:rPr>
          <w:spacing w:val="3"/>
        </w:rPr>
        <w:t>offset </w:t>
      </w:r>
      <w:r>
        <w:rPr/>
        <w:t>by weaker stockbuilding. In Q4, industrial confidence had continued </w:t>
      </w:r>
      <w:r>
        <w:rPr>
          <w:spacing w:val="2"/>
        </w:rPr>
        <w:t>to </w:t>
      </w:r>
      <w:r>
        <w:rPr/>
        <w:t>weaken, the annual rate of industrial production growth had continued </w:t>
      </w:r>
      <w:r>
        <w:rPr>
          <w:spacing w:val="2"/>
        </w:rPr>
        <w:t>to </w:t>
      </w:r>
      <w:r>
        <w:rPr/>
        <w:t>slow, and euro area capacity utilisation had fallen for the first time since 1997 Q1. Against this, consumer confidence had continued </w:t>
      </w:r>
      <w:r>
        <w:rPr>
          <w:spacing w:val="2"/>
        </w:rPr>
        <w:t>to </w:t>
      </w:r>
      <w:r>
        <w:rPr/>
        <w:t>strengthen in November. Inflation had remained weak (0.9% on the harmonised measure), and growth of the </w:t>
      </w:r>
      <w:r>
        <w:rPr>
          <w:spacing w:val="-6"/>
        </w:rPr>
        <w:t>ECB’s </w:t>
      </w:r>
      <w:r>
        <w:rPr/>
        <w:t>new euro area M3 measure had been close </w:t>
      </w:r>
      <w:r>
        <w:rPr>
          <w:spacing w:val="2"/>
        </w:rPr>
        <w:t>to </w:t>
      </w:r>
      <w:r>
        <w:rPr/>
        <w:t>the reference rate.</w:t>
      </w:r>
    </w:p>
    <w:p>
      <w:pPr>
        <w:pStyle w:val="BodyText"/>
        <w:rPr>
          <w:sz w:val="32"/>
        </w:rPr>
      </w:pPr>
    </w:p>
    <w:p>
      <w:pPr>
        <w:pStyle w:val="BodyText"/>
        <w:spacing w:line="321" w:lineRule="auto"/>
        <w:ind w:left="421"/>
      </w:pPr>
      <w:r>
        <w:rPr/>
        <w:t>A33 December Consensus Economics forecasts for 1999, were stronger for the United States, unchanged for Japan, and had been revised down for Germany, France and Italy.</w:t>
      </w:r>
    </w:p>
    <w:p>
      <w:pPr>
        <w:spacing w:after="0" w:line="321" w:lineRule="auto"/>
        <w:sectPr>
          <w:pgSz w:w="11900" w:h="16840"/>
          <w:pgMar w:header="729" w:footer="0" w:top="1060" w:bottom="280" w:left="860" w:right="880"/>
        </w:sectPr>
      </w:pPr>
    </w:p>
    <w:p>
      <w:pPr>
        <w:pStyle w:val="BodyText"/>
        <w:rPr>
          <w:sz w:val="20"/>
        </w:rPr>
      </w:pPr>
    </w:p>
    <w:p>
      <w:pPr>
        <w:pStyle w:val="BodyText"/>
        <w:spacing w:line="321" w:lineRule="auto" w:before="219"/>
        <w:ind w:left="421"/>
      </w:pPr>
      <w:r>
        <w:rPr/>
        <w:t>A34 Between October and December, the IMF had revised down its 1999 GDP forecasts, most significantly for Japan. World trade forecasts had also been revised down slightly.</w:t>
      </w:r>
    </w:p>
    <w:p>
      <w:pPr>
        <w:pStyle w:val="BodyText"/>
        <w:spacing w:before="6"/>
        <w:rPr>
          <w:sz w:val="32"/>
        </w:rPr>
      </w:pPr>
    </w:p>
    <w:p>
      <w:pPr>
        <w:pStyle w:val="Heading1"/>
        <w:numPr>
          <w:ilvl w:val="0"/>
          <w:numId w:val="2"/>
        </w:numPr>
        <w:tabs>
          <w:tab w:pos="987" w:val="left" w:leader="none"/>
          <w:tab w:pos="988" w:val="left" w:leader="none"/>
        </w:tabs>
        <w:spacing w:line="240" w:lineRule="auto" w:before="0" w:after="0"/>
        <w:ind w:left="988" w:right="0" w:hanging="567"/>
        <w:jc w:val="left"/>
      </w:pPr>
      <w:r>
        <w:rPr/>
        <w:t>Prices</w:t>
      </w:r>
    </w:p>
    <w:p>
      <w:pPr>
        <w:pStyle w:val="BodyText"/>
        <w:rPr>
          <w:b/>
          <w:sz w:val="26"/>
        </w:rPr>
      </w:pPr>
    </w:p>
    <w:p>
      <w:pPr>
        <w:pStyle w:val="BodyText"/>
        <w:spacing w:line="321" w:lineRule="auto" w:before="160"/>
        <w:ind w:left="421" w:right="359"/>
      </w:pPr>
      <w:r>
        <w:rPr/>
        <w:t>A35 The </w:t>
      </w:r>
      <w:r>
        <w:rPr>
          <w:spacing w:val="-6"/>
        </w:rPr>
        <w:t>Bank’s </w:t>
      </w:r>
      <w:r>
        <w:rPr/>
        <w:t>index of commodity prices excluding </w:t>
      </w:r>
      <w:r>
        <w:rPr>
          <w:spacing w:val="2"/>
        </w:rPr>
        <w:t>oil </w:t>
      </w:r>
      <w:r>
        <w:rPr/>
        <w:t>had risen by 0.8% in November, the biggest</w:t>
      </w:r>
      <w:r>
        <w:rPr>
          <w:spacing w:val="-6"/>
        </w:rPr>
        <w:t> </w:t>
      </w:r>
      <w:r>
        <w:rPr/>
        <w:t>monthly</w:t>
      </w:r>
      <w:r>
        <w:rPr>
          <w:spacing w:val="-9"/>
        </w:rPr>
        <w:t> </w:t>
      </w:r>
      <w:r>
        <w:rPr/>
        <w:t>rise</w:t>
      </w:r>
      <w:r>
        <w:rPr>
          <w:spacing w:val="-8"/>
        </w:rPr>
        <w:t> </w:t>
      </w:r>
      <w:r>
        <w:rPr/>
        <w:t>since</w:t>
      </w:r>
      <w:r>
        <w:rPr>
          <w:spacing w:val="-10"/>
        </w:rPr>
        <w:t> </w:t>
      </w:r>
      <w:r>
        <w:rPr/>
        <w:t>June</w:t>
      </w:r>
      <w:r>
        <w:rPr>
          <w:spacing w:val="-9"/>
        </w:rPr>
        <w:t> </w:t>
      </w:r>
      <w:r>
        <w:rPr/>
        <w:t>1997.</w:t>
      </w:r>
      <w:r>
        <w:rPr>
          <w:spacing w:val="40"/>
        </w:rPr>
        <w:t> </w:t>
      </w:r>
      <w:r>
        <w:rPr/>
        <w:t>The</w:t>
      </w:r>
      <w:r>
        <w:rPr>
          <w:spacing w:val="-7"/>
        </w:rPr>
        <w:t> </w:t>
      </w:r>
      <w:r>
        <w:rPr/>
        <w:t>annual</w:t>
      </w:r>
      <w:r>
        <w:rPr>
          <w:spacing w:val="-10"/>
        </w:rPr>
        <w:t> </w:t>
      </w:r>
      <w:r>
        <w:rPr/>
        <w:t>rate</w:t>
      </w:r>
      <w:r>
        <w:rPr>
          <w:spacing w:val="-8"/>
        </w:rPr>
        <w:t> </w:t>
      </w:r>
      <w:r>
        <w:rPr/>
        <w:t>of</w:t>
      </w:r>
      <w:r>
        <w:rPr>
          <w:spacing w:val="-5"/>
        </w:rPr>
        <w:t> </w:t>
      </w:r>
      <w:r>
        <w:rPr/>
        <w:t>inflation</w:t>
      </w:r>
      <w:r>
        <w:rPr>
          <w:spacing w:val="-10"/>
        </w:rPr>
        <w:t> </w:t>
      </w:r>
      <w:r>
        <w:rPr/>
        <w:t>had</w:t>
      </w:r>
      <w:r>
        <w:rPr>
          <w:spacing w:val="-9"/>
        </w:rPr>
        <w:t> </w:t>
      </w:r>
      <w:r>
        <w:rPr/>
        <w:t>risen</w:t>
      </w:r>
      <w:r>
        <w:rPr>
          <w:spacing w:val="-8"/>
        </w:rPr>
        <w:t> </w:t>
      </w:r>
      <w:r>
        <w:rPr>
          <w:spacing w:val="2"/>
        </w:rPr>
        <w:t>to</w:t>
      </w:r>
      <w:r>
        <w:rPr>
          <w:spacing w:val="-6"/>
        </w:rPr>
        <w:t> </w:t>
      </w:r>
      <w:r>
        <w:rPr/>
        <w:t>-6.7%</w:t>
      </w:r>
      <w:r>
        <w:rPr>
          <w:spacing w:val="-8"/>
        </w:rPr>
        <w:t> </w:t>
      </w:r>
      <w:r>
        <w:rPr/>
        <w:t>in</w:t>
      </w:r>
      <w:r>
        <w:rPr>
          <w:spacing w:val="-9"/>
        </w:rPr>
        <w:t> </w:t>
      </w:r>
      <w:r>
        <w:rPr/>
        <w:t>November from -9.2%. But the suggestion that non-oil commodity price deflation had started </w:t>
      </w:r>
      <w:r>
        <w:rPr>
          <w:spacing w:val="2"/>
        </w:rPr>
        <w:t>to </w:t>
      </w:r>
      <w:r>
        <w:rPr/>
        <w:t>abate had not been supported by the most recent three-month-on-three-month data: at -3.2% the rate of deflation had been the strongest since January. And commodity prices including </w:t>
      </w:r>
      <w:r>
        <w:rPr>
          <w:spacing w:val="2"/>
        </w:rPr>
        <w:t>oil </w:t>
      </w:r>
      <w:r>
        <w:rPr/>
        <w:t>continued to fall, by 1.1% in November according </w:t>
      </w:r>
      <w:r>
        <w:rPr>
          <w:spacing w:val="2"/>
        </w:rPr>
        <w:t>to </w:t>
      </w:r>
      <w:r>
        <w:rPr/>
        <w:t>the </w:t>
      </w:r>
      <w:r>
        <w:rPr>
          <w:spacing w:val="-6"/>
        </w:rPr>
        <w:t>Bank’s</w:t>
      </w:r>
      <w:r>
        <w:rPr>
          <w:spacing w:val="6"/>
        </w:rPr>
        <w:t> </w:t>
      </w:r>
      <w:r>
        <w:rPr/>
        <w:t>index.</w:t>
      </w:r>
    </w:p>
    <w:p>
      <w:pPr>
        <w:pStyle w:val="BodyText"/>
        <w:rPr>
          <w:sz w:val="32"/>
        </w:rPr>
      </w:pPr>
    </w:p>
    <w:p>
      <w:pPr>
        <w:pStyle w:val="BodyText"/>
        <w:spacing w:line="321" w:lineRule="auto"/>
        <w:ind w:left="421" w:right="273"/>
      </w:pPr>
      <w:r>
        <w:rPr/>
        <w:t>A36 Oil prices had stabilised in December following the sharp fall during November. Despite a brief increase at the beginning of the air strikes against Iraq, the one-month future price of Brent crude </w:t>
      </w:r>
      <w:r>
        <w:rPr>
          <w:spacing w:val="2"/>
        </w:rPr>
        <w:t>oil </w:t>
      </w:r>
      <w:r>
        <w:rPr/>
        <w:t>had risen </w:t>
      </w:r>
      <w:r>
        <w:rPr>
          <w:spacing w:val="2"/>
        </w:rPr>
        <w:t>to </w:t>
      </w:r>
      <w:r>
        <w:rPr/>
        <w:t>$10.53 by the end of December from $10.46 at the beginning. The effect on the</w:t>
      </w:r>
      <w:r>
        <w:rPr>
          <w:spacing w:val="-10"/>
        </w:rPr>
        <w:t> </w:t>
      </w:r>
      <w:r>
        <w:rPr/>
        <w:t>UK</w:t>
      </w:r>
      <w:r>
        <w:rPr>
          <w:spacing w:val="-9"/>
        </w:rPr>
        <w:t> </w:t>
      </w:r>
      <w:r>
        <w:rPr/>
        <w:t>real</w:t>
      </w:r>
      <w:r>
        <w:rPr>
          <w:spacing w:val="-7"/>
        </w:rPr>
        <w:t> </w:t>
      </w:r>
      <w:r>
        <w:rPr/>
        <w:t>economy</w:t>
      </w:r>
      <w:r>
        <w:rPr>
          <w:spacing w:val="-9"/>
        </w:rPr>
        <w:t> </w:t>
      </w:r>
      <w:r>
        <w:rPr/>
        <w:t>of</w:t>
      </w:r>
      <w:r>
        <w:rPr>
          <w:spacing w:val="-6"/>
        </w:rPr>
        <w:t> </w:t>
      </w:r>
      <w:r>
        <w:rPr/>
        <w:t>low</w:t>
      </w:r>
      <w:r>
        <w:rPr>
          <w:spacing w:val="-9"/>
        </w:rPr>
        <w:t> </w:t>
      </w:r>
      <w:r>
        <w:rPr>
          <w:spacing w:val="2"/>
        </w:rPr>
        <w:t>oil</w:t>
      </w:r>
      <w:r>
        <w:rPr>
          <w:spacing w:val="-5"/>
        </w:rPr>
        <w:t> </w:t>
      </w:r>
      <w:r>
        <w:rPr/>
        <w:t>prices</w:t>
      </w:r>
      <w:r>
        <w:rPr>
          <w:spacing w:val="-9"/>
        </w:rPr>
        <w:t> </w:t>
      </w:r>
      <w:r>
        <w:rPr/>
        <w:t>was</w:t>
      </w:r>
      <w:r>
        <w:rPr>
          <w:spacing w:val="-9"/>
        </w:rPr>
        <w:t> </w:t>
      </w:r>
      <w:r>
        <w:rPr/>
        <w:t>likely</w:t>
      </w:r>
      <w:r>
        <w:rPr>
          <w:spacing w:val="-9"/>
        </w:rPr>
        <w:t> </w:t>
      </w:r>
      <w:r>
        <w:rPr>
          <w:spacing w:val="2"/>
        </w:rPr>
        <w:t>to</w:t>
      </w:r>
      <w:r>
        <w:rPr>
          <w:spacing w:val="-5"/>
        </w:rPr>
        <w:t> </w:t>
      </w:r>
      <w:r>
        <w:rPr/>
        <w:t>be</w:t>
      </w:r>
      <w:r>
        <w:rPr>
          <w:spacing w:val="-9"/>
        </w:rPr>
        <w:t> </w:t>
      </w:r>
      <w:r>
        <w:rPr/>
        <w:t>small</w:t>
      </w:r>
      <w:r>
        <w:rPr>
          <w:spacing w:val="-10"/>
        </w:rPr>
        <w:t> </w:t>
      </w:r>
      <w:r>
        <w:rPr/>
        <w:t>relative</w:t>
      </w:r>
      <w:r>
        <w:rPr>
          <w:spacing w:val="-7"/>
        </w:rPr>
        <w:t> </w:t>
      </w:r>
      <w:r>
        <w:rPr>
          <w:spacing w:val="2"/>
        </w:rPr>
        <w:t>to</w:t>
      </w:r>
      <w:r>
        <w:rPr>
          <w:spacing w:val="-5"/>
        </w:rPr>
        <w:t> </w:t>
      </w:r>
      <w:r>
        <w:rPr/>
        <w:t>the</w:t>
      </w:r>
      <w:r>
        <w:rPr>
          <w:spacing w:val="-9"/>
        </w:rPr>
        <w:t> </w:t>
      </w:r>
      <w:r>
        <w:rPr/>
        <w:t>mid</w:t>
      </w:r>
      <w:r>
        <w:rPr>
          <w:spacing w:val="-9"/>
        </w:rPr>
        <w:t> </w:t>
      </w:r>
      <w:r>
        <w:rPr/>
        <w:t>1980s</w:t>
      </w:r>
      <w:r>
        <w:rPr>
          <w:spacing w:val="-10"/>
        </w:rPr>
        <w:t> </w:t>
      </w:r>
      <w:r>
        <w:rPr/>
        <w:t>as</w:t>
      </w:r>
      <w:r>
        <w:rPr>
          <w:spacing w:val="-9"/>
        </w:rPr>
        <w:t> </w:t>
      </w:r>
      <w:r>
        <w:rPr>
          <w:spacing w:val="-5"/>
        </w:rPr>
        <w:t>oil’s</w:t>
      </w:r>
      <w:r>
        <w:rPr>
          <w:spacing w:val="-9"/>
        </w:rPr>
        <w:t> </w:t>
      </w:r>
      <w:r>
        <w:rPr/>
        <w:t>share of</w:t>
      </w:r>
      <w:r>
        <w:rPr>
          <w:spacing w:val="-9"/>
        </w:rPr>
        <w:t> </w:t>
      </w:r>
      <w:r>
        <w:rPr>
          <w:spacing w:val="3"/>
        </w:rPr>
        <w:t>output,</w:t>
      </w:r>
      <w:r>
        <w:rPr>
          <w:spacing w:val="-8"/>
        </w:rPr>
        <w:t> </w:t>
      </w:r>
      <w:r>
        <w:rPr/>
        <w:t>profits</w:t>
      </w:r>
      <w:r>
        <w:rPr>
          <w:spacing w:val="-12"/>
        </w:rPr>
        <w:t> </w:t>
      </w:r>
      <w:r>
        <w:rPr/>
        <w:t>and</w:t>
      </w:r>
      <w:r>
        <w:rPr>
          <w:spacing w:val="-12"/>
        </w:rPr>
        <w:t> </w:t>
      </w:r>
      <w:r>
        <w:rPr/>
        <w:t>net</w:t>
      </w:r>
      <w:r>
        <w:rPr>
          <w:spacing w:val="-8"/>
        </w:rPr>
        <w:t> </w:t>
      </w:r>
      <w:r>
        <w:rPr/>
        <w:t>exports</w:t>
      </w:r>
      <w:r>
        <w:rPr>
          <w:spacing w:val="-13"/>
        </w:rPr>
        <w:t> </w:t>
      </w:r>
      <w:r>
        <w:rPr/>
        <w:t>had</w:t>
      </w:r>
      <w:r>
        <w:rPr>
          <w:spacing w:val="-12"/>
        </w:rPr>
        <w:t> </w:t>
      </w:r>
      <w:r>
        <w:rPr/>
        <w:t>declined</w:t>
      </w:r>
      <w:r>
        <w:rPr>
          <w:spacing w:val="-12"/>
        </w:rPr>
        <w:t> </w:t>
      </w:r>
      <w:r>
        <w:rPr/>
        <w:t>significantly.</w:t>
      </w:r>
      <w:r>
        <w:rPr>
          <w:spacing w:val="36"/>
        </w:rPr>
        <w:t> </w:t>
      </w:r>
      <w:r>
        <w:rPr/>
        <w:t>And</w:t>
      </w:r>
      <w:r>
        <w:rPr>
          <w:spacing w:val="-12"/>
        </w:rPr>
        <w:t> </w:t>
      </w:r>
      <w:r>
        <w:rPr/>
        <w:t>the</w:t>
      </w:r>
      <w:r>
        <w:rPr>
          <w:spacing w:val="-12"/>
        </w:rPr>
        <w:t> </w:t>
      </w:r>
      <w:r>
        <w:rPr/>
        <w:t>effect</w:t>
      </w:r>
      <w:r>
        <w:rPr>
          <w:spacing w:val="-9"/>
        </w:rPr>
        <w:t> </w:t>
      </w:r>
      <w:r>
        <w:rPr/>
        <w:t>on</w:t>
      </w:r>
      <w:r>
        <w:rPr>
          <w:spacing w:val="-8"/>
        </w:rPr>
        <w:t> </w:t>
      </w:r>
      <w:r>
        <w:rPr/>
        <w:t>retail</w:t>
      </w:r>
      <w:r>
        <w:rPr>
          <w:spacing w:val="-10"/>
        </w:rPr>
        <w:t> </w:t>
      </w:r>
      <w:r>
        <w:rPr/>
        <w:t>prices</w:t>
      </w:r>
      <w:r>
        <w:rPr>
          <w:spacing w:val="-12"/>
        </w:rPr>
        <w:t> </w:t>
      </w:r>
      <w:r>
        <w:rPr/>
        <w:t>inflation had continued </w:t>
      </w:r>
      <w:r>
        <w:rPr>
          <w:spacing w:val="2"/>
        </w:rPr>
        <w:t>to </w:t>
      </w:r>
      <w:r>
        <w:rPr/>
        <w:t>be more than </w:t>
      </w:r>
      <w:r>
        <w:rPr>
          <w:spacing w:val="3"/>
        </w:rPr>
        <w:t>offset </w:t>
      </w:r>
      <w:r>
        <w:rPr/>
        <w:t>by taxes and excise duties. The rate of fuel price inflation in the United Kingdom had been the highest of any EU country in</w:t>
      </w:r>
      <w:r>
        <w:rPr>
          <w:spacing w:val="10"/>
        </w:rPr>
        <w:t> </w:t>
      </w:r>
      <w:r>
        <w:rPr/>
        <w:t>October.</w:t>
      </w:r>
    </w:p>
    <w:p>
      <w:pPr>
        <w:pStyle w:val="BodyText"/>
        <w:rPr>
          <w:sz w:val="32"/>
        </w:rPr>
      </w:pPr>
    </w:p>
    <w:p>
      <w:pPr>
        <w:pStyle w:val="BodyText"/>
        <w:spacing w:line="321" w:lineRule="auto"/>
        <w:ind w:left="421" w:right="248"/>
      </w:pPr>
      <w:r>
        <w:rPr/>
        <w:t>A37 Producer prices had fallen again in November: input prices had fallen by 0.6%, as in October, and output prices (excluding excise duties) had fallen by 0.1%. The C</w:t>
      </w:r>
      <w:r>
        <w:rPr>
          <w:sz w:val="20"/>
        </w:rPr>
        <w:t>IPS </w:t>
      </w:r>
      <w:r>
        <w:rPr/>
        <w:t>and CBI surveys had suggested further falls in December.</w:t>
      </w:r>
    </w:p>
    <w:p>
      <w:pPr>
        <w:pStyle w:val="BodyText"/>
        <w:spacing w:before="1"/>
        <w:rPr>
          <w:sz w:val="32"/>
        </w:rPr>
      </w:pPr>
    </w:p>
    <w:p>
      <w:pPr>
        <w:pStyle w:val="BodyText"/>
        <w:spacing w:line="321" w:lineRule="auto"/>
        <w:ind w:left="421" w:right="195"/>
      </w:pPr>
      <w:r>
        <w:rPr/>
        <w:t>A38 Other measures of inflation had remained almost unchanged since the December MPC meeting. Annual retail sales deflator inflation had remained at 0.9% in November. The GDP at market prices deflator had increased by 1.8% in the year to the third quarter.</w:t>
      </w:r>
    </w:p>
    <w:p>
      <w:pPr>
        <w:pStyle w:val="BodyText"/>
        <w:spacing w:before="1"/>
        <w:rPr>
          <w:sz w:val="32"/>
        </w:rPr>
      </w:pPr>
    </w:p>
    <w:p>
      <w:pPr>
        <w:pStyle w:val="BodyText"/>
        <w:spacing w:line="321" w:lineRule="auto"/>
        <w:ind w:left="421" w:right="240"/>
      </w:pPr>
      <w:r>
        <w:rPr/>
        <w:t>A39 RPIX inflation had remained equal to the target for the fourth consecutive month in November; RPIY inflation had remained at 1.8%. RPI inflation had fallen by 0.1 percentage points since October, to 3.0%. Goods price inflation had remained much lower than that in services: RPIY goods inflation had remained just below zero in November.</w:t>
      </w:r>
    </w:p>
    <w:p>
      <w:pPr>
        <w:spacing w:after="0" w:line="321" w:lineRule="auto"/>
        <w:sectPr>
          <w:pgSz w:w="11900" w:h="16840"/>
          <w:pgMar w:header="729" w:footer="0" w:top="1060" w:bottom="280" w:left="860" w:right="880"/>
        </w:sectPr>
      </w:pPr>
    </w:p>
    <w:p>
      <w:pPr>
        <w:pStyle w:val="BodyText"/>
        <w:rPr>
          <w:sz w:val="20"/>
        </w:rPr>
      </w:pPr>
    </w:p>
    <w:p>
      <w:pPr>
        <w:pStyle w:val="Heading1"/>
        <w:numPr>
          <w:ilvl w:val="0"/>
          <w:numId w:val="2"/>
        </w:numPr>
        <w:tabs>
          <w:tab w:pos="987" w:val="left" w:leader="none"/>
          <w:tab w:pos="988" w:val="left" w:leader="none"/>
        </w:tabs>
        <w:spacing w:line="240" w:lineRule="auto" w:before="224" w:after="0"/>
        <w:ind w:left="988" w:right="0" w:hanging="567"/>
        <w:jc w:val="left"/>
      </w:pPr>
      <w:r>
        <w:rPr/>
        <w:t>Information from financial</w:t>
      </w:r>
      <w:r>
        <w:rPr>
          <w:spacing w:val="4"/>
        </w:rPr>
        <w:t> </w:t>
      </w:r>
      <w:r>
        <w:rPr/>
        <w:t>markets</w:t>
      </w:r>
    </w:p>
    <w:p>
      <w:pPr>
        <w:pStyle w:val="BodyText"/>
        <w:rPr>
          <w:b/>
          <w:sz w:val="26"/>
        </w:rPr>
      </w:pPr>
    </w:p>
    <w:p>
      <w:pPr>
        <w:spacing w:before="159"/>
        <w:ind w:left="421" w:right="0" w:firstLine="0"/>
        <w:jc w:val="left"/>
        <w:rPr>
          <w:i/>
          <w:sz w:val="24"/>
        </w:rPr>
      </w:pPr>
      <w:r>
        <w:rPr>
          <w:i/>
          <w:sz w:val="24"/>
        </w:rPr>
        <w:t>Foreign exchange</w:t>
      </w:r>
    </w:p>
    <w:p>
      <w:pPr>
        <w:pStyle w:val="BodyText"/>
        <w:rPr>
          <w:i/>
          <w:sz w:val="26"/>
        </w:rPr>
      </w:pPr>
    </w:p>
    <w:p>
      <w:pPr>
        <w:pStyle w:val="BodyText"/>
        <w:spacing w:line="321" w:lineRule="auto" w:before="165"/>
        <w:ind w:left="421" w:right="522"/>
      </w:pPr>
      <w:r>
        <w:rPr/>
        <w:t>A40 Since the previous MPC meeting, </w:t>
      </w:r>
      <w:r>
        <w:rPr>
          <w:spacing w:val="5"/>
        </w:rPr>
        <w:t>the </w:t>
      </w:r>
      <w:r>
        <w:rPr/>
        <w:t>dollar had weakened by about 4.4% against the yen. The dollar had remained fairly constant against the Deutsche Mark, with a temporary weakness within</w:t>
      </w:r>
      <w:r>
        <w:rPr>
          <w:spacing w:val="-12"/>
        </w:rPr>
        <w:t> </w:t>
      </w:r>
      <w:r>
        <w:rPr/>
        <w:t>the</w:t>
      </w:r>
      <w:r>
        <w:rPr>
          <w:spacing w:val="-11"/>
        </w:rPr>
        <w:t> </w:t>
      </w:r>
      <w:r>
        <w:rPr/>
        <w:t>month</w:t>
      </w:r>
      <w:r>
        <w:rPr>
          <w:spacing w:val="-11"/>
        </w:rPr>
        <w:t> </w:t>
      </w:r>
      <w:r>
        <w:rPr/>
        <w:t>around</w:t>
      </w:r>
      <w:r>
        <w:rPr>
          <w:spacing w:val="-12"/>
        </w:rPr>
        <w:t> </w:t>
      </w:r>
      <w:r>
        <w:rPr/>
        <w:t>the</w:t>
      </w:r>
      <w:r>
        <w:rPr>
          <w:spacing w:val="-11"/>
        </w:rPr>
        <w:t> </w:t>
      </w:r>
      <w:r>
        <w:rPr/>
        <w:t>time</w:t>
      </w:r>
      <w:r>
        <w:rPr>
          <w:spacing w:val="-11"/>
        </w:rPr>
        <w:t> </w:t>
      </w:r>
      <w:r>
        <w:rPr/>
        <w:t>of</w:t>
      </w:r>
      <w:r>
        <w:rPr>
          <w:spacing w:val="-7"/>
        </w:rPr>
        <w:t> </w:t>
      </w:r>
      <w:r>
        <w:rPr/>
        <w:t>developments</w:t>
      </w:r>
      <w:r>
        <w:rPr>
          <w:spacing w:val="-12"/>
        </w:rPr>
        <w:t> </w:t>
      </w:r>
      <w:r>
        <w:rPr/>
        <w:t>in</w:t>
      </w:r>
      <w:r>
        <w:rPr>
          <w:spacing w:val="-11"/>
        </w:rPr>
        <w:t> </w:t>
      </w:r>
      <w:r>
        <w:rPr/>
        <w:t>the</w:t>
      </w:r>
      <w:r>
        <w:rPr>
          <w:spacing w:val="-11"/>
        </w:rPr>
        <w:t> </w:t>
      </w:r>
      <w:r>
        <w:rPr/>
        <w:t>Clinton</w:t>
      </w:r>
      <w:r>
        <w:rPr>
          <w:spacing w:val="-11"/>
        </w:rPr>
        <w:t> </w:t>
      </w:r>
      <w:r>
        <w:rPr/>
        <w:t>impeachment</w:t>
      </w:r>
      <w:r>
        <w:rPr>
          <w:spacing w:val="-8"/>
        </w:rPr>
        <w:t> </w:t>
      </w:r>
      <w:r>
        <w:rPr/>
        <w:t>case.</w:t>
      </w:r>
      <w:r>
        <w:rPr>
          <w:spacing w:val="38"/>
        </w:rPr>
        <w:t> </w:t>
      </w:r>
      <w:r>
        <w:rPr/>
        <w:t>Contrary</w:t>
      </w:r>
      <w:r>
        <w:rPr>
          <w:spacing w:val="-11"/>
        </w:rPr>
        <w:t> </w:t>
      </w:r>
      <w:r>
        <w:rPr/>
        <w:t>to market</w:t>
      </w:r>
      <w:r>
        <w:rPr>
          <w:spacing w:val="-9"/>
        </w:rPr>
        <w:t> </w:t>
      </w:r>
      <w:r>
        <w:rPr/>
        <w:t>expectations</w:t>
      </w:r>
      <w:r>
        <w:rPr>
          <w:spacing w:val="-11"/>
        </w:rPr>
        <w:t> </w:t>
      </w:r>
      <w:r>
        <w:rPr/>
        <w:t>sterling</w:t>
      </w:r>
      <w:r>
        <w:rPr>
          <w:spacing w:val="-12"/>
        </w:rPr>
        <w:t> </w:t>
      </w:r>
      <w:r>
        <w:rPr/>
        <w:t>had</w:t>
      </w:r>
      <w:r>
        <w:rPr>
          <w:spacing w:val="-12"/>
        </w:rPr>
        <w:t> </w:t>
      </w:r>
      <w:r>
        <w:rPr/>
        <w:t>initially</w:t>
      </w:r>
      <w:r>
        <w:rPr>
          <w:spacing w:val="-12"/>
        </w:rPr>
        <w:t> </w:t>
      </w:r>
      <w:r>
        <w:rPr/>
        <w:t>moved</w:t>
      </w:r>
      <w:r>
        <w:rPr>
          <w:spacing w:val="-12"/>
        </w:rPr>
        <w:t> </w:t>
      </w:r>
      <w:r>
        <w:rPr/>
        <w:t>higher</w:t>
      </w:r>
      <w:r>
        <w:rPr>
          <w:spacing w:val="-12"/>
        </w:rPr>
        <w:t> </w:t>
      </w:r>
      <w:r>
        <w:rPr/>
        <w:t>against</w:t>
      </w:r>
      <w:r>
        <w:rPr>
          <w:spacing w:val="-8"/>
        </w:rPr>
        <w:t> </w:t>
      </w:r>
      <w:r>
        <w:rPr/>
        <w:t>both</w:t>
      </w:r>
      <w:r>
        <w:rPr>
          <w:spacing w:val="-12"/>
        </w:rPr>
        <w:t> </w:t>
      </w:r>
      <w:r>
        <w:rPr/>
        <w:t>the</w:t>
      </w:r>
      <w:r>
        <w:rPr>
          <w:spacing w:val="-12"/>
        </w:rPr>
        <w:t> </w:t>
      </w:r>
      <w:r>
        <w:rPr/>
        <w:t>dollar</w:t>
      </w:r>
      <w:r>
        <w:rPr>
          <w:spacing w:val="-12"/>
        </w:rPr>
        <w:t> </w:t>
      </w:r>
      <w:r>
        <w:rPr/>
        <w:t>and</w:t>
      </w:r>
      <w:r>
        <w:rPr>
          <w:spacing w:val="-12"/>
        </w:rPr>
        <w:t> </w:t>
      </w:r>
      <w:r>
        <w:rPr/>
        <w:t>the</w:t>
      </w:r>
      <w:r>
        <w:rPr>
          <w:spacing w:val="-12"/>
        </w:rPr>
        <w:t> </w:t>
      </w:r>
      <w:r>
        <w:rPr/>
        <w:t>Deutsche Mark before falling back in the last few days. Since 29 December the sterling ERI had fallen by around 2%, returning it </w:t>
      </w:r>
      <w:r>
        <w:rPr>
          <w:spacing w:val="2"/>
        </w:rPr>
        <w:t>to </w:t>
      </w:r>
      <w:r>
        <w:rPr/>
        <w:t>the levels prevailing at the previous MPC</w:t>
      </w:r>
      <w:r>
        <w:rPr>
          <w:spacing w:val="-3"/>
        </w:rPr>
        <w:t> </w:t>
      </w:r>
      <w:r>
        <w:rPr/>
        <w:t>meeting.</w:t>
      </w:r>
    </w:p>
    <w:p>
      <w:pPr>
        <w:pStyle w:val="BodyText"/>
        <w:rPr>
          <w:sz w:val="32"/>
        </w:rPr>
      </w:pPr>
    </w:p>
    <w:p>
      <w:pPr>
        <w:pStyle w:val="BodyText"/>
        <w:spacing w:line="321" w:lineRule="auto"/>
        <w:ind w:left="421"/>
      </w:pPr>
      <w:r>
        <w:rPr/>
        <w:t>A41 The transition to the euro had been smooth. In its first 24 hours of trading, the euro had appreciated against most other currencies, including sterling.</w:t>
      </w:r>
    </w:p>
    <w:p>
      <w:pPr>
        <w:pStyle w:val="BodyText"/>
        <w:spacing w:before="1"/>
        <w:rPr>
          <w:sz w:val="32"/>
        </w:rPr>
      </w:pPr>
    </w:p>
    <w:p>
      <w:pPr>
        <w:spacing w:before="0"/>
        <w:ind w:left="421" w:right="0" w:firstLine="0"/>
        <w:jc w:val="left"/>
        <w:rPr>
          <w:i/>
          <w:sz w:val="24"/>
        </w:rPr>
      </w:pPr>
      <w:r>
        <w:rPr>
          <w:i/>
          <w:sz w:val="24"/>
        </w:rPr>
        <w:t>Government bond and money markets</w:t>
      </w:r>
    </w:p>
    <w:p>
      <w:pPr>
        <w:pStyle w:val="BodyText"/>
        <w:rPr>
          <w:i/>
          <w:sz w:val="26"/>
        </w:rPr>
      </w:pPr>
    </w:p>
    <w:p>
      <w:pPr>
        <w:pStyle w:val="BodyText"/>
        <w:spacing w:line="321" w:lineRule="auto" w:before="164"/>
        <w:ind w:left="421" w:right="323"/>
      </w:pPr>
      <w:r>
        <w:rPr/>
        <w:t>A42 Since the previous MPC meeting, the short-term interest rates implied by short sterling futures contracts had fallen further, and indicated that the current interest rate cycle was expected </w:t>
      </w:r>
      <w:r>
        <w:rPr>
          <w:spacing w:val="2"/>
        </w:rPr>
        <w:t>to </w:t>
      </w:r>
      <w:r>
        <w:rPr/>
        <w:t>bottom </w:t>
      </w:r>
      <w:r>
        <w:rPr>
          <w:spacing w:val="2"/>
        </w:rPr>
        <w:t>out </w:t>
      </w:r>
      <w:r>
        <w:rPr/>
        <w:t>in June 2000. New economic data had had little impact on expectations. The implied</w:t>
      </w:r>
      <w:r>
        <w:rPr>
          <w:spacing w:val="-8"/>
        </w:rPr>
        <w:t> </w:t>
      </w:r>
      <w:r>
        <w:rPr/>
        <w:t>two-week</w:t>
      </w:r>
      <w:r>
        <w:rPr>
          <w:spacing w:val="-8"/>
        </w:rPr>
        <w:t> </w:t>
      </w:r>
      <w:r>
        <w:rPr/>
        <w:t>repo</w:t>
      </w:r>
      <w:r>
        <w:rPr>
          <w:spacing w:val="-7"/>
        </w:rPr>
        <w:t> </w:t>
      </w:r>
      <w:r>
        <w:rPr/>
        <w:t>rate</w:t>
      </w:r>
      <w:r>
        <w:rPr>
          <w:spacing w:val="-6"/>
        </w:rPr>
        <w:t> </w:t>
      </w:r>
      <w:r>
        <w:rPr/>
        <w:t>two</w:t>
      </w:r>
      <w:r>
        <w:rPr>
          <w:spacing w:val="-8"/>
        </w:rPr>
        <w:t> </w:t>
      </w:r>
      <w:r>
        <w:rPr/>
        <w:t>weeks</w:t>
      </w:r>
      <w:r>
        <w:rPr>
          <w:spacing w:val="-8"/>
        </w:rPr>
        <w:t> </w:t>
      </w:r>
      <w:r>
        <w:rPr/>
        <w:t>forward</w:t>
      </w:r>
      <w:r>
        <w:rPr>
          <w:spacing w:val="-8"/>
        </w:rPr>
        <w:t> </w:t>
      </w:r>
      <w:r>
        <w:rPr/>
        <w:t>was</w:t>
      </w:r>
      <w:r>
        <w:rPr>
          <w:spacing w:val="-8"/>
        </w:rPr>
        <w:t> </w:t>
      </w:r>
      <w:r>
        <w:rPr/>
        <w:t>14</w:t>
      </w:r>
      <w:r>
        <w:rPr>
          <w:spacing w:val="-8"/>
        </w:rPr>
        <w:t> </w:t>
      </w:r>
      <w:r>
        <w:rPr/>
        <w:t>basis</w:t>
      </w:r>
      <w:r>
        <w:rPr>
          <w:spacing w:val="-8"/>
        </w:rPr>
        <w:t> </w:t>
      </w:r>
      <w:r>
        <w:rPr/>
        <w:t>points</w:t>
      </w:r>
      <w:r>
        <w:rPr>
          <w:spacing w:val="-8"/>
        </w:rPr>
        <w:t> </w:t>
      </w:r>
      <w:r>
        <w:rPr/>
        <w:t>below</w:t>
      </w:r>
      <w:r>
        <w:rPr>
          <w:spacing w:val="-8"/>
        </w:rPr>
        <w:t> </w:t>
      </w:r>
      <w:r>
        <w:rPr/>
        <w:t>the</w:t>
      </w:r>
      <w:r>
        <w:rPr>
          <w:spacing w:val="-8"/>
        </w:rPr>
        <w:t> </w:t>
      </w:r>
      <w:r>
        <w:rPr/>
        <w:t>prevailing</w:t>
      </w:r>
      <w:r>
        <w:rPr>
          <w:spacing w:val="-8"/>
        </w:rPr>
        <w:t> </w:t>
      </w:r>
      <w:r>
        <w:rPr/>
        <w:t>two-week repo rate. This was consistent with anecdotes suggesting that the market believed there was an evens chance of a 25 basis point cut in rates this</w:t>
      </w:r>
      <w:r>
        <w:rPr>
          <w:spacing w:val="23"/>
        </w:rPr>
        <w:t> </w:t>
      </w:r>
      <w:r>
        <w:rPr/>
        <w:t>month.</w:t>
      </w:r>
    </w:p>
    <w:p>
      <w:pPr>
        <w:pStyle w:val="BodyText"/>
        <w:spacing w:before="1"/>
        <w:rPr>
          <w:sz w:val="32"/>
        </w:rPr>
      </w:pPr>
    </w:p>
    <w:p>
      <w:pPr>
        <w:pStyle w:val="BodyText"/>
        <w:spacing w:line="321" w:lineRule="auto"/>
        <w:ind w:left="421"/>
      </w:pPr>
      <w:r>
        <w:rPr/>
        <w:t>A43 Euro-area rates had fallen, while United States rates had mainly risen. United Kingdom rates were close to short dollar rates from December 2000 onwards.</w:t>
      </w:r>
    </w:p>
    <w:p>
      <w:pPr>
        <w:pStyle w:val="BodyText"/>
        <w:spacing w:before="1"/>
        <w:rPr>
          <w:sz w:val="32"/>
        </w:rPr>
      </w:pPr>
    </w:p>
    <w:p>
      <w:pPr>
        <w:pStyle w:val="BodyText"/>
        <w:spacing w:line="321" w:lineRule="auto"/>
        <w:ind w:left="421" w:right="195"/>
      </w:pPr>
      <w:r>
        <w:rPr/>
        <w:t>A44 There had been a large rise in Japanese bond yields of around 80 basis points over the month. Market commentators had suggested that this was associated with an announcement that government trust funds would not buy a material amount of bonds in the current year, when bond issuance is set to rise.</w:t>
      </w:r>
    </w:p>
    <w:p>
      <w:pPr>
        <w:pStyle w:val="BodyText"/>
        <w:spacing w:before="1"/>
        <w:rPr>
          <w:sz w:val="32"/>
        </w:rPr>
      </w:pPr>
    </w:p>
    <w:p>
      <w:pPr>
        <w:pStyle w:val="BodyText"/>
        <w:spacing w:line="321" w:lineRule="auto"/>
        <w:ind w:left="421" w:right="340"/>
      </w:pPr>
      <w:r>
        <w:rPr/>
        <w:t>A45 United Kingdom yields at medium maturities were around 45 basis points below those in the United States, and some 60 basis points above those in Germany and France. In forward rate terms, this meant that United Kingdom yields beyond 5 years were now below German levels.</w:t>
      </w:r>
    </w:p>
    <w:p>
      <w:pPr>
        <w:pStyle w:val="BodyText"/>
        <w:spacing w:before="1"/>
        <w:rPr>
          <w:sz w:val="32"/>
        </w:rPr>
      </w:pPr>
    </w:p>
    <w:p>
      <w:pPr>
        <w:pStyle w:val="BodyText"/>
        <w:spacing w:line="321" w:lineRule="auto"/>
        <w:ind w:left="421" w:right="433"/>
        <w:jc w:val="both"/>
      </w:pPr>
      <w:r>
        <w:rPr/>
        <w:t>A46</w:t>
      </w:r>
      <w:r>
        <w:rPr>
          <w:spacing w:val="59"/>
        </w:rPr>
        <w:t> </w:t>
      </w:r>
      <w:r>
        <w:rPr/>
        <w:t>The</w:t>
      </w:r>
      <w:r>
        <w:rPr>
          <w:spacing w:val="-12"/>
        </w:rPr>
        <w:t> </w:t>
      </w:r>
      <w:r>
        <w:rPr/>
        <w:t>United</w:t>
      </w:r>
      <w:r>
        <w:rPr>
          <w:spacing w:val="-13"/>
        </w:rPr>
        <w:t> </w:t>
      </w:r>
      <w:r>
        <w:rPr/>
        <w:t>Kingdom</w:t>
      </w:r>
      <w:r>
        <w:rPr>
          <w:spacing w:val="-13"/>
        </w:rPr>
        <w:t> </w:t>
      </w:r>
      <w:r>
        <w:rPr/>
        <w:t>had</w:t>
      </w:r>
      <w:r>
        <w:rPr>
          <w:spacing w:val="-13"/>
        </w:rPr>
        <w:t> </w:t>
      </w:r>
      <w:r>
        <w:rPr/>
        <w:t>experienced</w:t>
      </w:r>
      <w:r>
        <w:rPr>
          <w:spacing w:val="-13"/>
        </w:rPr>
        <w:t> </w:t>
      </w:r>
      <w:r>
        <w:rPr/>
        <w:t>a</w:t>
      </w:r>
      <w:r>
        <w:rPr>
          <w:spacing w:val="-14"/>
        </w:rPr>
        <w:t> </w:t>
      </w:r>
      <w:r>
        <w:rPr/>
        <w:t>decline</w:t>
      </w:r>
      <w:r>
        <w:rPr>
          <w:spacing w:val="-13"/>
        </w:rPr>
        <w:t> </w:t>
      </w:r>
      <w:r>
        <w:rPr/>
        <w:t>in</w:t>
      </w:r>
      <w:r>
        <w:rPr>
          <w:spacing w:val="-13"/>
        </w:rPr>
        <w:t> </w:t>
      </w:r>
      <w:r>
        <w:rPr/>
        <w:t>index-linked</w:t>
      </w:r>
      <w:r>
        <w:rPr>
          <w:spacing w:val="-13"/>
        </w:rPr>
        <w:t> </w:t>
      </w:r>
      <w:r>
        <w:rPr/>
        <w:t>government</w:t>
      </w:r>
      <w:r>
        <w:rPr>
          <w:spacing w:val="-10"/>
        </w:rPr>
        <w:t> </w:t>
      </w:r>
      <w:r>
        <w:rPr/>
        <w:t>bond</w:t>
      </w:r>
      <w:r>
        <w:rPr>
          <w:spacing w:val="-13"/>
        </w:rPr>
        <w:t> </w:t>
      </w:r>
      <w:r>
        <w:rPr/>
        <w:t>yields</w:t>
      </w:r>
      <w:r>
        <w:rPr>
          <w:spacing w:val="-13"/>
        </w:rPr>
        <w:t> </w:t>
      </w:r>
      <w:r>
        <w:rPr/>
        <w:t>that had</w:t>
      </w:r>
      <w:r>
        <w:rPr>
          <w:spacing w:val="-13"/>
        </w:rPr>
        <w:t> </w:t>
      </w:r>
      <w:r>
        <w:rPr/>
        <w:t>not</w:t>
      </w:r>
      <w:r>
        <w:rPr>
          <w:spacing w:val="-8"/>
        </w:rPr>
        <w:t> </w:t>
      </w:r>
      <w:r>
        <w:rPr/>
        <w:t>been</w:t>
      </w:r>
      <w:r>
        <w:rPr>
          <w:spacing w:val="-12"/>
        </w:rPr>
        <w:t> </w:t>
      </w:r>
      <w:r>
        <w:rPr/>
        <w:t>shared</w:t>
      </w:r>
      <w:r>
        <w:rPr>
          <w:spacing w:val="-12"/>
        </w:rPr>
        <w:t> </w:t>
      </w:r>
      <w:r>
        <w:rPr/>
        <w:t>with</w:t>
      </w:r>
      <w:r>
        <w:rPr>
          <w:spacing w:val="-13"/>
        </w:rPr>
        <w:t> </w:t>
      </w:r>
      <w:r>
        <w:rPr>
          <w:spacing w:val="3"/>
        </w:rPr>
        <w:t>other</w:t>
      </w:r>
      <w:r>
        <w:rPr>
          <w:spacing w:val="-8"/>
        </w:rPr>
        <w:t> </w:t>
      </w:r>
      <w:r>
        <w:rPr/>
        <w:t>countries.</w:t>
      </w:r>
      <w:r>
        <w:rPr>
          <w:spacing w:val="36"/>
        </w:rPr>
        <w:t> </w:t>
      </w:r>
      <w:r>
        <w:rPr/>
        <w:t>This</w:t>
      </w:r>
      <w:r>
        <w:rPr>
          <w:spacing w:val="-11"/>
        </w:rPr>
        <w:t> </w:t>
      </w:r>
      <w:r>
        <w:rPr/>
        <w:t>was</w:t>
      </w:r>
      <w:r>
        <w:rPr>
          <w:spacing w:val="-12"/>
        </w:rPr>
        <w:t> </w:t>
      </w:r>
      <w:r>
        <w:rPr/>
        <w:t>sufficient</w:t>
      </w:r>
      <w:r>
        <w:rPr>
          <w:spacing w:val="-9"/>
        </w:rPr>
        <w:t> </w:t>
      </w:r>
      <w:r>
        <w:rPr>
          <w:spacing w:val="2"/>
        </w:rPr>
        <w:t>to</w:t>
      </w:r>
      <w:r>
        <w:rPr>
          <w:spacing w:val="-8"/>
        </w:rPr>
        <w:t> </w:t>
      </w:r>
      <w:r>
        <w:rPr/>
        <w:t>explain</w:t>
      </w:r>
      <w:r>
        <w:rPr>
          <w:spacing w:val="-12"/>
        </w:rPr>
        <w:t> </w:t>
      </w:r>
      <w:r>
        <w:rPr/>
        <w:t>the</w:t>
      </w:r>
      <w:r>
        <w:rPr>
          <w:spacing w:val="-12"/>
        </w:rPr>
        <w:t> </w:t>
      </w:r>
      <w:r>
        <w:rPr/>
        <w:t>fall</w:t>
      </w:r>
      <w:r>
        <w:rPr>
          <w:spacing w:val="-13"/>
        </w:rPr>
        <w:t> </w:t>
      </w:r>
      <w:r>
        <w:rPr/>
        <w:t>in</w:t>
      </w:r>
      <w:r>
        <w:rPr>
          <w:spacing w:val="-12"/>
        </w:rPr>
        <w:t> </w:t>
      </w:r>
      <w:r>
        <w:rPr/>
        <w:t>nominal</w:t>
      </w:r>
      <w:r>
        <w:rPr>
          <w:spacing w:val="-12"/>
        </w:rPr>
        <w:t> </w:t>
      </w:r>
      <w:r>
        <w:rPr/>
        <w:t>yields, especially at the long end, but was not itself easily</w:t>
      </w:r>
      <w:r>
        <w:rPr>
          <w:spacing w:val="9"/>
        </w:rPr>
        <w:t> </w:t>
      </w:r>
      <w:r>
        <w:rPr/>
        <w:t>explained.</w:t>
      </w:r>
    </w:p>
    <w:p>
      <w:pPr>
        <w:spacing w:after="0" w:line="321" w:lineRule="auto"/>
        <w:jc w:val="both"/>
        <w:sectPr>
          <w:pgSz w:w="11900" w:h="16840"/>
          <w:pgMar w:header="729" w:footer="0" w:top="1060" w:bottom="280" w:left="860" w:right="880"/>
        </w:sectPr>
      </w:pPr>
    </w:p>
    <w:p>
      <w:pPr>
        <w:pStyle w:val="BodyText"/>
        <w:rPr>
          <w:sz w:val="20"/>
        </w:rPr>
      </w:pPr>
    </w:p>
    <w:p>
      <w:pPr>
        <w:spacing w:before="219"/>
        <w:ind w:left="421" w:right="0" w:firstLine="0"/>
        <w:jc w:val="left"/>
        <w:rPr>
          <w:i/>
          <w:sz w:val="24"/>
        </w:rPr>
      </w:pPr>
      <w:r>
        <w:rPr>
          <w:i/>
          <w:sz w:val="24"/>
        </w:rPr>
        <w:t>Equity and corporate debt markets</w:t>
      </w:r>
    </w:p>
    <w:p>
      <w:pPr>
        <w:pStyle w:val="BodyText"/>
        <w:rPr>
          <w:i/>
          <w:sz w:val="26"/>
        </w:rPr>
      </w:pPr>
    </w:p>
    <w:p>
      <w:pPr>
        <w:pStyle w:val="BodyText"/>
        <w:spacing w:line="321" w:lineRule="auto" w:before="164"/>
        <w:ind w:left="421" w:right="566"/>
      </w:pPr>
      <w:r>
        <w:rPr/>
        <w:t>A47 Most equity markets had risen since the last MPC. The US market was 7% above the July pre-crisis peak. The Japanese market had fallen a further 10%. The rise in the UK market had been broadly based, possibly reflecting lower real interest rates.</w:t>
      </w:r>
    </w:p>
    <w:p>
      <w:pPr>
        <w:pStyle w:val="BodyText"/>
        <w:spacing w:before="1"/>
        <w:rPr>
          <w:sz w:val="32"/>
        </w:rPr>
      </w:pPr>
    </w:p>
    <w:p>
      <w:pPr>
        <w:pStyle w:val="BodyText"/>
        <w:spacing w:line="321" w:lineRule="auto"/>
        <w:ind w:left="421" w:right="315"/>
      </w:pPr>
      <w:r>
        <w:rPr/>
        <w:t>A48 Analysts’ forecast s of the growth in earnings per share for </w:t>
      </w:r>
      <w:r>
        <w:rPr>
          <w:spacing w:val="3"/>
        </w:rPr>
        <w:t>F</w:t>
      </w:r>
      <w:r>
        <w:rPr>
          <w:spacing w:val="3"/>
          <w:sz w:val="20"/>
        </w:rPr>
        <w:t>T-SE </w:t>
      </w:r>
      <w:r>
        <w:rPr/>
        <w:t>100 companies for the current</w:t>
      </w:r>
      <w:r>
        <w:rPr>
          <w:spacing w:val="-7"/>
        </w:rPr>
        <w:t> </w:t>
      </w:r>
      <w:r>
        <w:rPr/>
        <w:t>financial</w:t>
      </w:r>
      <w:r>
        <w:rPr>
          <w:spacing w:val="-11"/>
        </w:rPr>
        <w:t> </w:t>
      </w:r>
      <w:r>
        <w:rPr/>
        <w:t>year</w:t>
      </w:r>
      <w:r>
        <w:rPr>
          <w:spacing w:val="-11"/>
        </w:rPr>
        <w:t> </w:t>
      </w:r>
      <w:r>
        <w:rPr/>
        <w:t>had</w:t>
      </w:r>
      <w:r>
        <w:rPr>
          <w:spacing w:val="-10"/>
        </w:rPr>
        <w:t> </w:t>
      </w:r>
      <w:r>
        <w:rPr/>
        <w:t>continued</w:t>
      </w:r>
      <w:r>
        <w:rPr>
          <w:spacing w:val="-11"/>
        </w:rPr>
        <w:t> </w:t>
      </w:r>
      <w:r>
        <w:rPr>
          <w:spacing w:val="2"/>
        </w:rPr>
        <w:t>to</w:t>
      </w:r>
      <w:r>
        <w:rPr>
          <w:spacing w:val="-7"/>
        </w:rPr>
        <w:t> </w:t>
      </w:r>
      <w:r>
        <w:rPr/>
        <w:t>be</w:t>
      </w:r>
      <w:r>
        <w:rPr>
          <w:spacing w:val="-11"/>
        </w:rPr>
        <w:t> </w:t>
      </w:r>
      <w:r>
        <w:rPr/>
        <w:t>revised</w:t>
      </w:r>
      <w:r>
        <w:rPr>
          <w:spacing w:val="-9"/>
        </w:rPr>
        <w:t> </w:t>
      </w:r>
      <w:r>
        <w:rPr/>
        <w:t>downwards,</w:t>
      </w:r>
      <w:r>
        <w:rPr>
          <w:spacing w:val="-11"/>
        </w:rPr>
        <w:t> </w:t>
      </w:r>
      <w:r>
        <w:rPr/>
        <w:t>and</w:t>
      </w:r>
      <w:r>
        <w:rPr>
          <w:spacing w:val="-10"/>
        </w:rPr>
        <w:t> </w:t>
      </w:r>
      <w:r>
        <w:rPr/>
        <w:t>the</w:t>
      </w:r>
      <w:r>
        <w:rPr>
          <w:spacing w:val="-11"/>
        </w:rPr>
        <w:t> </w:t>
      </w:r>
      <w:r>
        <w:rPr/>
        <w:t>median</w:t>
      </w:r>
      <w:r>
        <w:rPr>
          <w:spacing w:val="-11"/>
        </w:rPr>
        <w:t> </w:t>
      </w:r>
      <w:r>
        <w:rPr/>
        <w:t>forecast</w:t>
      </w:r>
      <w:r>
        <w:rPr>
          <w:spacing w:val="-7"/>
        </w:rPr>
        <w:t> </w:t>
      </w:r>
      <w:r>
        <w:rPr/>
        <w:t>had</w:t>
      </w:r>
      <w:r>
        <w:rPr>
          <w:spacing w:val="-10"/>
        </w:rPr>
        <w:t> </w:t>
      </w:r>
      <w:r>
        <w:rPr/>
        <w:t>become negative. The path of revisions seen during 1998 was much sharper than since</w:t>
      </w:r>
      <w:r>
        <w:rPr>
          <w:spacing w:val="-15"/>
        </w:rPr>
        <w:t> </w:t>
      </w:r>
      <w:r>
        <w:rPr/>
        <w:t>1992.</w:t>
      </w:r>
    </w:p>
    <w:p>
      <w:pPr>
        <w:pStyle w:val="BodyText"/>
        <w:spacing w:before="1"/>
        <w:rPr>
          <w:sz w:val="32"/>
        </w:rPr>
      </w:pPr>
    </w:p>
    <w:p>
      <w:pPr>
        <w:pStyle w:val="BodyText"/>
        <w:spacing w:line="321" w:lineRule="auto"/>
        <w:ind w:left="421" w:right="294"/>
        <w:jc w:val="both"/>
      </w:pPr>
      <w:r>
        <w:rPr/>
        <w:t>A49</w:t>
      </w:r>
      <w:r>
        <w:rPr>
          <w:spacing w:val="13"/>
        </w:rPr>
        <w:t> </w:t>
      </w:r>
      <w:r>
        <w:rPr/>
        <w:t>The number of profit warnings was running at a higher level than last year. Fewer companies were</w:t>
      </w:r>
      <w:r>
        <w:rPr>
          <w:spacing w:val="-8"/>
        </w:rPr>
        <w:t> </w:t>
      </w:r>
      <w:r>
        <w:rPr/>
        <w:t>citing</w:t>
      </w:r>
      <w:r>
        <w:rPr>
          <w:spacing w:val="-8"/>
        </w:rPr>
        <w:t> </w:t>
      </w:r>
      <w:r>
        <w:rPr/>
        <w:t>the</w:t>
      </w:r>
      <w:r>
        <w:rPr>
          <w:spacing w:val="-8"/>
        </w:rPr>
        <w:t> </w:t>
      </w:r>
      <w:r>
        <w:rPr/>
        <w:t>level</w:t>
      </w:r>
      <w:r>
        <w:rPr>
          <w:spacing w:val="-7"/>
        </w:rPr>
        <w:t> </w:t>
      </w:r>
      <w:r>
        <w:rPr/>
        <w:t>of</w:t>
      </w:r>
      <w:r>
        <w:rPr>
          <w:spacing w:val="-4"/>
        </w:rPr>
        <w:t> </w:t>
      </w:r>
      <w:r>
        <w:rPr/>
        <w:t>sterling</w:t>
      </w:r>
      <w:r>
        <w:rPr>
          <w:spacing w:val="-8"/>
        </w:rPr>
        <w:t> </w:t>
      </w:r>
      <w:r>
        <w:rPr/>
        <w:t>as</w:t>
      </w:r>
      <w:r>
        <w:rPr>
          <w:spacing w:val="-7"/>
        </w:rPr>
        <w:t> </w:t>
      </w:r>
      <w:r>
        <w:rPr/>
        <w:t>a</w:t>
      </w:r>
      <w:r>
        <w:rPr>
          <w:spacing w:val="-8"/>
        </w:rPr>
        <w:t> </w:t>
      </w:r>
      <w:r>
        <w:rPr/>
        <w:t>cause</w:t>
      </w:r>
      <w:r>
        <w:rPr>
          <w:spacing w:val="-8"/>
        </w:rPr>
        <w:t> </w:t>
      </w:r>
      <w:r>
        <w:rPr/>
        <w:t>of</w:t>
      </w:r>
      <w:r>
        <w:rPr>
          <w:spacing w:val="-4"/>
        </w:rPr>
        <w:t> </w:t>
      </w:r>
      <w:r>
        <w:rPr/>
        <w:t>the</w:t>
      </w:r>
      <w:r>
        <w:rPr>
          <w:spacing w:val="-7"/>
        </w:rPr>
        <w:t> </w:t>
      </w:r>
      <w:r>
        <w:rPr/>
        <w:t>lower</w:t>
      </w:r>
      <w:r>
        <w:rPr>
          <w:spacing w:val="-8"/>
        </w:rPr>
        <w:t> </w:t>
      </w:r>
      <w:r>
        <w:rPr/>
        <w:t>profits,</w:t>
      </w:r>
      <w:r>
        <w:rPr>
          <w:spacing w:val="-8"/>
        </w:rPr>
        <w:t> </w:t>
      </w:r>
      <w:r>
        <w:rPr/>
        <w:t>but</w:t>
      </w:r>
      <w:r>
        <w:rPr>
          <w:spacing w:val="-3"/>
        </w:rPr>
        <w:t> </w:t>
      </w:r>
      <w:r>
        <w:rPr/>
        <w:t>more</w:t>
      </w:r>
      <w:r>
        <w:rPr>
          <w:spacing w:val="-8"/>
        </w:rPr>
        <w:t> </w:t>
      </w:r>
      <w:r>
        <w:rPr/>
        <w:t>were</w:t>
      </w:r>
      <w:r>
        <w:rPr>
          <w:spacing w:val="-8"/>
        </w:rPr>
        <w:t> </w:t>
      </w:r>
      <w:r>
        <w:rPr/>
        <w:t>citing</w:t>
      </w:r>
      <w:r>
        <w:rPr>
          <w:spacing w:val="-8"/>
        </w:rPr>
        <w:t> </w:t>
      </w:r>
      <w:r>
        <w:rPr/>
        <w:t>weak</w:t>
      </w:r>
      <w:r>
        <w:rPr>
          <w:spacing w:val="-7"/>
        </w:rPr>
        <w:t> </w:t>
      </w:r>
      <w:r>
        <w:rPr/>
        <w:t>domestic demand.</w:t>
      </w:r>
    </w:p>
    <w:p>
      <w:pPr>
        <w:pStyle w:val="BodyText"/>
        <w:spacing w:before="1"/>
        <w:rPr>
          <w:sz w:val="32"/>
        </w:rPr>
      </w:pPr>
    </w:p>
    <w:p>
      <w:pPr>
        <w:pStyle w:val="BodyText"/>
        <w:spacing w:line="321" w:lineRule="auto"/>
        <w:ind w:left="421" w:right="486"/>
      </w:pPr>
      <w:r>
        <w:rPr/>
        <w:t>A50</w:t>
      </w:r>
      <w:r>
        <w:rPr>
          <w:spacing w:val="57"/>
        </w:rPr>
        <w:t> </w:t>
      </w:r>
      <w:r>
        <w:rPr/>
        <w:t>The</w:t>
      </w:r>
      <w:r>
        <w:rPr>
          <w:spacing w:val="-12"/>
        </w:rPr>
        <w:t> </w:t>
      </w:r>
      <w:r>
        <w:rPr/>
        <w:t>level</w:t>
      </w:r>
      <w:r>
        <w:rPr>
          <w:spacing w:val="-14"/>
        </w:rPr>
        <w:t> </w:t>
      </w:r>
      <w:r>
        <w:rPr/>
        <w:t>of</w:t>
      </w:r>
      <w:r>
        <w:rPr>
          <w:spacing w:val="-10"/>
        </w:rPr>
        <w:t> </w:t>
      </w:r>
      <w:r>
        <w:rPr/>
        <w:t>equity</w:t>
      </w:r>
      <w:r>
        <w:rPr>
          <w:spacing w:val="-14"/>
        </w:rPr>
        <w:t> </w:t>
      </w:r>
      <w:r>
        <w:rPr/>
        <w:t>market</w:t>
      </w:r>
      <w:r>
        <w:rPr>
          <w:spacing w:val="-10"/>
        </w:rPr>
        <w:t> </w:t>
      </w:r>
      <w:r>
        <w:rPr/>
        <w:t>uncertainty,</w:t>
      </w:r>
      <w:r>
        <w:rPr>
          <w:spacing w:val="-14"/>
        </w:rPr>
        <w:t> </w:t>
      </w:r>
      <w:r>
        <w:rPr/>
        <w:t>as</w:t>
      </w:r>
      <w:r>
        <w:rPr>
          <w:spacing w:val="-13"/>
        </w:rPr>
        <w:t> </w:t>
      </w:r>
      <w:r>
        <w:rPr/>
        <w:t>measured</w:t>
      </w:r>
      <w:r>
        <w:rPr>
          <w:spacing w:val="-13"/>
        </w:rPr>
        <w:t> </w:t>
      </w:r>
      <w:r>
        <w:rPr/>
        <w:t>by</w:t>
      </w:r>
      <w:r>
        <w:rPr>
          <w:spacing w:val="-14"/>
        </w:rPr>
        <w:t> </w:t>
      </w:r>
      <w:r>
        <w:rPr/>
        <w:t>implied</w:t>
      </w:r>
      <w:r>
        <w:rPr>
          <w:spacing w:val="-13"/>
        </w:rPr>
        <w:t> </w:t>
      </w:r>
      <w:r>
        <w:rPr/>
        <w:t>volatility,</w:t>
      </w:r>
      <w:r>
        <w:rPr>
          <w:spacing w:val="-14"/>
        </w:rPr>
        <w:t> </w:t>
      </w:r>
      <w:r>
        <w:rPr/>
        <w:t>was</w:t>
      </w:r>
      <w:r>
        <w:rPr>
          <w:spacing w:val="-14"/>
        </w:rPr>
        <w:t> </w:t>
      </w:r>
      <w:r>
        <w:rPr/>
        <w:t>slightly</w:t>
      </w:r>
      <w:r>
        <w:rPr>
          <w:spacing w:val="-14"/>
        </w:rPr>
        <w:t> </w:t>
      </w:r>
      <w:r>
        <w:rPr/>
        <w:t>down since the previous MPC meeting, but was still higher than before the recent</w:t>
      </w:r>
      <w:r>
        <w:rPr>
          <w:spacing w:val="-43"/>
        </w:rPr>
        <w:t> </w:t>
      </w:r>
      <w:r>
        <w:rPr/>
        <w:t>turbulence.</w:t>
      </w:r>
    </w:p>
    <w:p>
      <w:pPr>
        <w:pStyle w:val="BodyText"/>
        <w:spacing w:before="1"/>
        <w:rPr>
          <w:sz w:val="32"/>
        </w:rPr>
      </w:pPr>
    </w:p>
    <w:p>
      <w:pPr>
        <w:pStyle w:val="BodyText"/>
        <w:spacing w:line="321" w:lineRule="auto" w:before="1"/>
        <w:ind w:left="421"/>
      </w:pPr>
      <w:r>
        <w:rPr/>
        <w:t>A51 There had been little movement in credit spreads in the United Kingdom or the United States. The yield spread of an index of UK bank bonds over high-rated corporates had remained at a high level, possibly reflecting greater uncertainty over the outlook for banks since the Russian crisis.</w:t>
      </w:r>
    </w:p>
    <w:sectPr>
      <w:pgSz w:w="11900" w:h="16840"/>
      <w:pgMar w:header="729" w:footer="0" w:top="106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3.799988pt;margin-top:35.42664pt;width:18pt;height:15.3pt;mso-position-horizontal-relative:page;mso-position-vertical-relative:page;z-index:-25199820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988" w:hanging="567"/>
        <w:jc w:val="left"/>
      </w:pPr>
      <w:rPr>
        <w:rFonts w:hint="default" w:ascii="Times New Roman" w:hAnsi="Times New Roman" w:eastAsia="Times New Roman" w:cs="Times New Roman"/>
        <w:b/>
        <w:bCs/>
        <w:w w:val="97"/>
        <w:sz w:val="24"/>
        <w:szCs w:val="24"/>
      </w:rPr>
    </w:lvl>
    <w:lvl w:ilvl="1">
      <w:start w:val="0"/>
      <w:numFmt w:val="bullet"/>
      <w:lvlText w:val="•"/>
      <w:lvlJc w:val="left"/>
      <w:pPr>
        <w:ind w:left="1898" w:hanging="567"/>
      </w:pPr>
      <w:rPr>
        <w:rFonts w:hint="default"/>
      </w:rPr>
    </w:lvl>
    <w:lvl w:ilvl="2">
      <w:start w:val="0"/>
      <w:numFmt w:val="bullet"/>
      <w:lvlText w:val="•"/>
      <w:lvlJc w:val="left"/>
      <w:pPr>
        <w:ind w:left="2816" w:hanging="567"/>
      </w:pPr>
      <w:rPr>
        <w:rFonts w:hint="default"/>
      </w:rPr>
    </w:lvl>
    <w:lvl w:ilvl="3">
      <w:start w:val="0"/>
      <w:numFmt w:val="bullet"/>
      <w:lvlText w:val="•"/>
      <w:lvlJc w:val="left"/>
      <w:pPr>
        <w:ind w:left="3734" w:hanging="567"/>
      </w:pPr>
      <w:rPr>
        <w:rFonts w:hint="default"/>
      </w:rPr>
    </w:lvl>
    <w:lvl w:ilvl="4">
      <w:start w:val="0"/>
      <w:numFmt w:val="bullet"/>
      <w:lvlText w:val="•"/>
      <w:lvlJc w:val="left"/>
      <w:pPr>
        <w:ind w:left="4652" w:hanging="567"/>
      </w:pPr>
      <w:rPr>
        <w:rFonts w:hint="default"/>
      </w:rPr>
    </w:lvl>
    <w:lvl w:ilvl="5">
      <w:start w:val="0"/>
      <w:numFmt w:val="bullet"/>
      <w:lvlText w:val="•"/>
      <w:lvlJc w:val="left"/>
      <w:pPr>
        <w:ind w:left="5570" w:hanging="567"/>
      </w:pPr>
      <w:rPr>
        <w:rFonts w:hint="default"/>
      </w:rPr>
    </w:lvl>
    <w:lvl w:ilvl="6">
      <w:start w:val="0"/>
      <w:numFmt w:val="bullet"/>
      <w:lvlText w:val="•"/>
      <w:lvlJc w:val="left"/>
      <w:pPr>
        <w:ind w:left="6488" w:hanging="567"/>
      </w:pPr>
      <w:rPr>
        <w:rFonts w:hint="default"/>
      </w:rPr>
    </w:lvl>
    <w:lvl w:ilvl="7">
      <w:start w:val="0"/>
      <w:numFmt w:val="bullet"/>
      <w:lvlText w:val="•"/>
      <w:lvlJc w:val="left"/>
      <w:pPr>
        <w:ind w:left="7406" w:hanging="567"/>
      </w:pPr>
      <w:rPr>
        <w:rFonts w:hint="default"/>
      </w:rPr>
    </w:lvl>
    <w:lvl w:ilvl="8">
      <w:start w:val="0"/>
      <w:numFmt w:val="bullet"/>
      <w:lvlText w:val="•"/>
      <w:lvlJc w:val="left"/>
      <w:pPr>
        <w:ind w:left="8324" w:hanging="567"/>
      </w:pPr>
      <w:rPr>
        <w:rFonts w:hint="default"/>
      </w:rPr>
    </w:lvl>
  </w:abstractNum>
  <w:abstractNum w:abstractNumId="0">
    <w:multiLevelType w:val="hybridMultilevel"/>
    <w:lvl w:ilvl="0">
      <w:start w:val="1"/>
      <w:numFmt w:val="decimal"/>
      <w:lvlText w:val="%1"/>
      <w:lvlJc w:val="left"/>
      <w:pPr>
        <w:ind w:left="421" w:hanging="360"/>
        <w:jc w:val="left"/>
      </w:pPr>
      <w:rPr>
        <w:rFonts w:hint="default" w:ascii="Times New Roman" w:hAnsi="Times New Roman" w:eastAsia="Times New Roman" w:cs="Times New Roman"/>
        <w:w w:val="86"/>
        <w:sz w:val="24"/>
        <w:szCs w:val="24"/>
      </w:rPr>
    </w:lvl>
    <w:lvl w:ilvl="1">
      <w:start w:val="0"/>
      <w:numFmt w:val="bullet"/>
      <w:lvlText w:val="•"/>
      <w:lvlJc w:val="left"/>
      <w:pPr>
        <w:ind w:left="1394" w:hanging="360"/>
      </w:pPr>
      <w:rPr>
        <w:rFonts w:hint="default"/>
      </w:rPr>
    </w:lvl>
    <w:lvl w:ilvl="2">
      <w:start w:val="0"/>
      <w:numFmt w:val="bullet"/>
      <w:lvlText w:val="•"/>
      <w:lvlJc w:val="left"/>
      <w:pPr>
        <w:ind w:left="2368" w:hanging="360"/>
      </w:pPr>
      <w:rPr>
        <w:rFonts w:hint="default"/>
      </w:rPr>
    </w:lvl>
    <w:lvl w:ilvl="3">
      <w:start w:val="0"/>
      <w:numFmt w:val="bullet"/>
      <w:lvlText w:val="•"/>
      <w:lvlJc w:val="left"/>
      <w:pPr>
        <w:ind w:left="33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290" w:hanging="360"/>
      </w:pPr>
      <w:rPr>
        <w:rFonts w:hint="default"/>
      </w:rPr>
    </w:lvl>
    <w:lvl w:ilvl="6">
      <w:start w:val="0"/>
      <w:numFmt w:val="bullet"/>
      <w:lvlText w:val="•"/>
      <w:lvlJc w:val="left"/>
      <w:pPr>
        <w:ind w:left="6264" w:hanging="360"/>
      </w:pPr>
      <w:rPr>
        <w:rFonts w:hint="default"/>
      </w:rPr>
    </w:lvl>
    <w:lvl w:ilvl="7">
      <w:start w:val="0"/>
      <w:numFmt w:val="bullet"/>
      <w:lvlText w:val="•"/>
      <w:lvlJc w:val="left"/>
      <w:pPr>
        <w:ind w:left="7238" w:hanging="360"/>
      </w:pPr>
      <w:rPr>
        <w:rFonts w:hint="default"/>
      </w:rPr>
    </w:lvl>
    <w:lvl w:ilvl="8">
      <w:start w:val="0"/>
      <w:numFmt w:val="bullet"/>
      <w:lvlText w:val="•"/>
      <w:lvlJc w:val="left"/>
      <w:pPr>
        <w:ind w:left="8212"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421"/>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42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caa</dc:creator>
  <dc:title>MPC MINUTES FOR 7 JANUARY.PDF</dc:title>
  <dcterms:created xsi:type="dcterms:W3CDTF">2020-06-01T02:13:52Z</dcterms:created>
  <dcterms:modified xsi:type="dcterms:W3CDTF">2020-06-01T02:13:52Z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2000-04-25T00:00:00Z</vt:filetime>
  </property>
  <property fmtid="{D5CDD505-2E9C-101B-9397-08002B2CF9AE}" pid="3" name="Creator">
    <vt:lpwstr>Microsoft Word - MPC MINUTES FOR 7 JANUARY.doc</vt:lpwstr>
  </property>
  <property fmtid="{D5CDD505-2E9C-101B-9397-08002B2CF9AE}" pid="4" name="LastSaved">
    <vt:filetime>2020-06-01T00:00:00Z</vt:filetime>
  </property>
</Properties>
</file>