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18 May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1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88" w:right="3297" w:firstLine="0"/>
        <w:jc w:val="center"/>
        <w:rPr>
          <w:rFonts w:ascii="Book Antiqua"/>
          <w:b/>
          <w:sz w:val="48"/>
        </w:rPr>
      </w:pPr>
      <w:r>
        <w:rPr>
          <w:rFonts w:ascii="Book Antiqua"/>
          <w:b/>
          <w:sz w:val="48"/>
        </w:rPr>
        <w:t>6 and 9 May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41" w:right="1619" w:firstLine="0"/>
        <w:jc w:val="left"/>
        <w:rPr>
          <w:rFonts w:ascii="Book Antiqua"/>
          <w:sz w:val="26"/>
        </w:rPr>
      </w:pPr>
      <w:r>
        <w:rPr>
          <w:rFonts w:ascii="Book Antiqua"/>
          <w:sz w:val="26"/>
        </w:rPr>
        <w:t>These are the minutes of the Monetary Policy Committee meeting held on 6 and 9 May 2005.</w:t>
      </w:r>
    </w:p>
    <w:p>
      <w:pPr>
        <w:pStyle w:val="BodyText"/>
        <w:spacing w:before="7"/>
        <w:rPr>
          <w:rFonts w:ascii="Book Antiqua"/>
          <w:sz w:val="22"/>
        </w:rPr>
      </w:pPr>
    </w:p>
    <w:p>
      <w:pPr>
        <w:spacing w:line="288" w:lineRule="auto" w:before="0"/>
        <w:ind w:left="141" w:right="356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(http://www.bankofengland.co.uk/mpc/mpc0505.pdf).</w:t>
        </w:r>
      </w:hyperlink>
    </w:p>
    <w:p>
      <w:pPr>
        <w:pStyle w:val="BodyText"/>
        <w:spacing w:before="6"/>
        <w:rPr>
          <w:rFonts w:ascii="Book Antiqua"/>
          <w:sz w:val="22"/>
        </w:rPr>
      </w:pPr>
    </w:p>
    <w:p>
      <w:pPr>
        <w:spacing w:line="288" w:lineRule="auto" w:before="0"/>
        <w:ind w:left="141" w:right="25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June will be published on</w:t>
      </w:r>
    </w:p>
    <w:p>
      <w:pPr>
        <w:spacing w:before="1"/>
        <w:ind w:left="141" w:right="0" w:firstLine="0"/>
        <w:jc w:val="left"/>
        <w:rPr>
          <w:rFonts w:ascii="Book Antiqua"/>
          <w:sz w:val="26"/>
        </w:rPr>
      </w:pPr>
      <w:r>
        <w:rPr>
          <w:rFonts w:ascii="Book Antiqua"/>
          <w:sz w:val="26"/>
        </w:rPr>
        <w:t>22 June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880" w:right="7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9"/>
        </w:rPr>
      </w:pPr>
    </w:p>
    <w:p>
      <w:pPr>
        <w:spacing w:line="249" w:lineRule="auto" w:before="94"/>
        <w:ind w:left="247" w:right="484" w:firstLine="0"/>
        <w:jc w:val="left"/>
        <w:rPr>
          <w:b/>
          <w:sz w:val="27"/>
        </w:rPr>
      </w:pPr>
      <w:r>
        <w:rPr>
          <w:b/>
          <w:sz w:val="27"/>
        </w:rPr>
        <w:t>MINUTES OF THE MONETARY POLICY COMMITTEE MEETING HELD ON 6 AND 9 MAY 2005</w:t>
      </w:r>
    </w:p>
    <w:p>
      <w:pPr>
        <w:pStyle w:val="BodyText"/>
        <w:rPr>
          <w:b/>
          <w:sz w:val="30"/>
        </w:rPr>
      </w:pPr>
    </w:p>
    <w:p>
      <w:pPr>
        <w:pStyle w:val="ListParagraph"/>
        <w:numPr>
          <w:ilvl w:val="0"/>
          <w:numId w:val="1"/>
        </w:numPr>
        <w:tabs>
          <w:tab w:pos="811" w:val="left" w:leader="none"/>
          <w:tab w:pos="812" w:val="left" w:leader="none"/>
        </w:tabs>
        <w:spacing w:line="360" w:lineRule="auto" w:before="202" w:after="0"/>
        <w:ind w:left="247" w:right="307" w:firstLine="0"/>
        <w:jc w:val="left"/>
        <w:rPr>
          <w:sz w:val="24"/>
        </w:rPr>
      </w:pPr>
      <w:r>
        <w:rPr>
          <w:sz w:val="24"/>
        </w:rPr>
        <w:t>Before turning to its immediate policy decision, and against the background of its latest projections for output and inflation, the Committee discussed developments in financial </w:t>
      </w:r>
      <w:r>
        <w:rPr>
          <w:spacing w:val="-3"/>
          <w:sz w:val="24"/>
        </w:rPr>
        <w:t>markets; the </w:t>
      </w:r>
      <w:r>
        <w:rPr>
          <w:sz w:val="24"/>
        </w:rPr>
        <w:t>international economy; money, credit, demand and output; and supply, costs and</w:t>
      </w:r>
      <w:r>
        <w:rPr>
          <w:spacing w:val="-6"/>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55" w:lineRule="auto" w:before="0" w:after="0"/>
        <w:ind w:left="247" w:right="565" w:firstLine="0"/>
        <w:jc w:val="left"/>
        <w:rPr>
          <w:sz w:val="24"/>
        </w:rPr>
      </w:pPr>
      <w:r>
        <w:rPr>
          <w:sz w:val="24"/>
        </w:rPr>
        <w:t>Equity prices had fallen and the sterling effective exchange rate index (ERI) had</w:t>
      </w:r>
      <w:r>
        <w:rPr>
          <w:spacing w:val="-38"/>
          <w:sz w:val="24"/>
        </w:rPr>
        <w:t> </w:t>
      </w:r>
      <w:r>
        <w:rPr>
          <w:sz w:val="24"/>
        </w:rPr>
        <w:t>appreciated slightly since the February </w:t>
      </w:r>
      <w:r>
        <w:rPr>
          <w:i/>
          <w:spacing w:val="2"/>
          <w:sz w:val="24"/>
        </w:rPr>
        <w:t>Inflation</w:t>
      </w:r>
      <w:r>
        <w:rPr>
          <w:i/>
          <w:spacing w:val="4"/>
          <w:sz w:val="24"/>
        </w:rPr>
        <w:t> </w:t>
      </w:r>
      <w:r>
        <w:rPr>
          <w:i/>
          <w:sz w:val="24"/>
        </w:rPr>
        <w:t>Report</w:t>
      </w:r>
      <w:r>
        <w:rPr>
          <w:sz w:val="24"/>
        </w:rPr>
        <w:t>.</w:t>
      </w:r>
    </w:p>
    <w:p>
      <w:pPr>
        <w:pStyle w:val="BodyText"/>
        <w:spacing w:before="5"/>
        <w:rPr>
          <w:sz w:val="36"/>
        </w:rPr>
      </w:pPr>
    </w:p>
    <w:p>
      <w:pPr>
        <w:pStyle w:val="ListParagraph"/>
        <w:numPr>
          <w:ilvl w:val="0"/>
          <w:numId w:val="1"/>
        </w:numPr>
        <w:tabs>
          <w:tab w:pos="812" w:val="left" w:leader="none"/>
        </w:tabs>
        <w:spacing w:line="360" w:lineRule="auto" w:before="0" w:after="0"/>
        <w:ind w:left="247" w:right="521" w:firstLine="0"/>
        <w:jc w:val="both"/>
        <w:rPr>
          <w:sz w:val="24"/>
        </w:rPr>
      </w:pPr>
      <w:r>
        <w:rPr>
          <w:sz w:val="24"/>
        </w:rPr>
        <w:t>Most of the decline in equity prices had taken place in the past month, with the major</w:t>
      </w:r>
      <w:r>
        <w:rPr>
          <w:spacing w:val="-25"/>
          <w:sz w:val="24"/>
        </w:rPr>
        <w:t> </w:t>
      </w:r>
      <w:r>
        <w:rPr>
          <w:sz w:val="24"/>
        </w:rPr>
        <w:t>indices around the world down by 1-2½% in local currency terms. This decline could not be explained by movements in real interest rates, which had remained unchanged or fallen a little over the</w:t>
      </w:r>
      <w:r>
        <w:rPr>
          <w:spacing w:val="-40"/>
          <w:sz w:val="24"/>
        </w:rPr>
        <w:t> </w:t>
      </w:r>
      <w:r>
        <w:rPr>
          <w:sz w:val="24"/>
        </w:rPr>
        <w:t>month.</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60" w:firstLine="0"/>
        <w:jc w:val="left"/>
        <w:rPr>
          <w:sz w:val="24"/>
        </w:rPr>
      </w:pPr>
      <w:r>
        <w:rPr>
          <w:sz w:val="24"/>
        </w:rPr>
        <w:t>One possible explanation of the decline in equity prices was a fall in the expected growth rate of corporate earnings. This was consistent with the somewhat adverse macroeconomic news over the </w:t>
      </w:r>
      <w:r>
        <w:rPr>
          <w:spacing w:val="-3"/>
          <w:sz w:val="24"/>
        </w:rPr>
        <w:t>past month </w:t>
      </w:r>
      <w:r>
        <w:rPr>
          <w:spacing w:val="4"/>
          <w:sz w:val="24"/>
        </w:rPr>
        <w:t>in </w:t>
      </w:r>
      <w:r>
        <w:rPr>
          <w:sz w:val="24"/>
        </w:rPr>
        <w:t>the United Kingdom and elsewhere. In the United States, companies had generally been revising down their forecasts for earnings per share over 2005, and that might be indicative of a more widespread deterioration in corporate prospects. The downgrading of GM and Ford debt might also have weighed on investor sentiment. In the United Kingdom, within the FTSE 100, the share prices of retailers had fallen some 7½ percentage points relative to the rest of the index since the beginning of the year, reflecting the perceived prospects for household</w:t>
      </w:r>
      <w:r>
        <w:rPr>
          <w:spacing w:val="-3"/>
          <w:sz w:val="24"/>
        </w:rPr>
        <w:t> </w:t>
      </w:r>
      <w:r>
        <w:rPr>
          <w:sz w:val="24"/>
        </w:rPr>
        <w:t>spending.</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116" w:firstLine="0"/>
        <w:jc w:val="left"/>
        <w:rPr>
          <w:sz w:val="24"/>
        </w:rPr>
      </w:pPr>
      <w:r>
        <w:rPr>
          <w:sz w:val="24"/>
        </w:rPr>
        <w:t>A second possible explanation was that the risk premium had increased. The expected volatility of the major equity indices implied by options prices had increased, possibly reflecting recent increases in historical volatility. Spreads on investment-grade and high-yield corporate bonds had continued to widen, and were now on average around 30 basis points and 140 basis points respectively above their March lows. That suggested some combination of a rise in perceived corporate default</w:t>
      </w:r>
      <w:r>
        <w:rPr>
          <w:spacing w:val="-41"/>
          <w:sz w:val="24"/>
        </w:rPr>
        <w:t> </w:t>
      </w:r>
      <w:r>
        <w:rPr>
          <w:sz w:val="24"/>
        </w:rPr>
        <w:t>risk and greater risk aversion. The </w:t>
      </w:r>
      <w:r>
        <w:rPr>
          <w:spacing w:val="-4"/>
          <w:sz w:val="24"/>
        </w:rPr>
        <w:t>change </w:t>
      </w:r>
      <w:r>
        <w:rPr>
          <w:sz w:val="24"/>
        </w:rPr>
        <w:t>was not surprising given the unusually compressed</w:t>
      </w:r>
      <w:r>
        <w:rPr>
          <w:spacing w:val="9"/>
          <w:sz w:val="24"/>
        </w:rPr>
        <w:t> </w:t>
      </w:r>
      <w:r>
        <w:rPr>
          <w:sz w:val="24"/>
        </w:rPr>
        <w:t>spreads</w:t>
      </w:r>
    </w:p>
    <w:p>
      <w:pPr>
        <w:spacing w:after="0" w:line="360" w:lineRule="auto"/>
        <w:jc w:val="left"/>
        <w:rPr>
          <w:sz w:val="24"/>
        </w:rPr>
        <w:sectPr>
          <w:pgSz w:w="11900" w:h="16840"/>
          <w:pgMar w:top="1600" w:bottom="280" w:left="880" w:right="760"/>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earlier this year. The rise in spreads had helped partly to offset the impact of the fall in longer-term yields on the cost of capital to companies.</w:t>
      </w:r>
    </w:p>
    <w:p>
      <w:pPr>
        <w:pStyle w:val="BodyText"/>
        <w:spacing w:before="6"/>
        <w:rPr>
          <w:sz w:val="35"/>
        </w:rPr>
      </w:pPr>
    </w:p>
    <w:p>
      <w:pPr>
        <w:pStyle w:val="ListParagraph"/>
        <w:numPr>
          <w:ilvl w:val="0"/>
          <w:numId w:val="1"/>
        </w:numPr>
        <w:tabs>
          <w:tab w:pos="811" w:val="left" w:leader="none"/>
          <w:tab w:pos="812" w:val="left" w:leader="none"/>
        </w:tabs>
        <w:spacing w:line="357" w:lineRule="auto" w:before="0" w:after="0"/>
        <w:ind w:left="247" w:right="601" w:firstLine="0"/>
        <w:jc w:val="left"/>
        <w:rPr>
          <w:sz w:val="24"/>
        </w:rPr>
      </w:pPr>
      <w:r>
        <w:rPr>
          <w:sz w:val="24"/>
        </w:rPr>
        <w:t>The sterling ERI had appreciated by 0.6% over the past month, and the starting point in the </w:t>
      </w:r>
      <w:r>
        <w:rPr>
          <w:i/>
          <w:sz w:val="24"/>
        </w:rPr>
        <w:t>Inflation </w:t>
      </w:r>
      <w:r>
        <w:rPr>
          <w:i/>
          <w:spacing w:val="-3"/>
          <w:sz w:val="24"/>
        </w:rPr>
        <w:t>Report </w:t>
      </w:r>
      <w:r>
        <w:rPr>
          <w:sz w:val="24"/>
        </w:rPr>
        <w:t>was 1.7% higher than in </w:t>
      </w:r>
      <w:r>
        <w:rPr>
          <w:spacing w:val="-4"/>
          <w:sz w:val="24"/>
        </w:rPr>
        <w:t>the </w:t>
      </w:r>
      <w:r>
        <w:rPr>
          <w:sz w:val="24"/>
        </w:rPr>
        <w:t>February </w:t>
      </w:r>
      <w:r>
        <w:rPr>
          <w:i/>
          <w:sz w:val="24"/>
        </w:rPr>
        <w:t>Inflation Report </w:t>
      </w:r>
      <w:r>
        <w:rPr>
          <w:sz w:val="24"/>
        </w:rPr>
        <w:t>– not a large movement by historical standards but enough to </w:t>
      </w:r>
      <w:r>
        <w:rPr>
          <w:spacing w:val="-6"/>
          <w:sz w:val="24"/>
        </w:rPr>
        <w:t>have </w:t>
      </w:r>
      <w:r>
        <w:rPr>
          <w:sz w:val="24"/>
        </w:rPr>
        <w:t>an impact on the forecast. It was not readily explained by relative </w:t>
      </w:r>
      <w:r>
        <w:rPr>
          <w:spacing w:val="-5"/>
          <w:sz w:val="24"/>
        </w:rPr>
        <w:t>movements </w:t>
      </w:r>
      <w:r>
        <w:rPr>
          <w:sz w:val="24"/>
        </w:rPr>
        <w:t>in interest rates around the</w:t>
      </w:r>
      <w:r>
        <w:rPr>
          <w:spacing w:val="14"/>
          <w:sz w:val="24"/>
        </w:rPr>
        <w:t> </w:t>
      </w:r>
      <w:r>
        <w:rPr>
          <w:sz w:val="24"/>
        </w:rPr>
        <w:t>world.</w:t>
      </w:r>
    </w:p>
    <w:p>
      <w:pPr>
        <w:pStyle w:val="BodyText"/>
        <w:spacing w:before="5"/>
        <w:rPr>
          <w:sz w:val="36"/>
        </w:rPr>
      </w:pPr>
    </w:p>
    <w:p>
      <w:pPr>
        <w:pStyle w:val="ListParagraph"/>
        <w:numPr>
          <w:ilvl w:val="0"/>
          <w:numId w:val="1"/>
        </w:numPr>
        <w:tabs>
          <w:tab w:pos="811" w:val="left" w:leader="none"/>
          <w:tab w:pos="812" w:val="left" w:leader="none"/>
        </w:tabs>
        <w:spacing w:line="362" w:lineRule="auto" w:before="1" w:after="0"/>
        <w:ind w:left="247" w:right="398" w:firstLine="0"/>
        <w:jc w:val="left"/>
        <w:rPr>
          <w:sz w:val="24"/>
        </w:rPr>
      </w:pPr>
      <w:r>
        <w:rPr>
          <w:sz w:val="24"/>
        </w:rPr>
        <w:t>Out</w:t>
      </w:r>
      <w:r>
        <w:rPr>
          <w:spacing w:val="-4"/>
          <w:sz w:val="24"/>
        </w:rPr>
        <w:t> </w:t>
      </w:r>
      <w:r>
        <w:rPr>
          <w:sz w:val="24"/>
        </w:rPr>
        <w:t>of</w:t>
      </w:r>
      <w:r>
        <w:rPr>
          <w:spacing w:val="-4"/>
          <w:sz w:val="24"/>
        </w:rPr>
        <w:t> </w:t>
      </w:r>
      <w:r>
        <w:rPr>
          <w:sz w:val="24"/>
        </w:rPr>
        <w:t>45</w:t>
      </w:r>
      <w:r>
        <w:rPr>
          <w:spacing w:val="-4"/>
          <w:sz w:val="24"/>
        </w:rPr>
        <w:t> </w:t>
      </w:r>
      <w:r>
        <w:rPr>
          <w:sz w:val="24"/>
        </w:rPr>
        <w:t>economists</w:t>
      </w:r>
      <w:r>
        <w:rPr>
          <w:spacing w:val="-3"/>
          <w:sz w:val="24"/>
        </w:rPr>
        <w:t> </w:t>
      </w:r>
      <w:r>
        <w:rPr>
          <w:sz w:val="24"/>
        </w:rPr>
        <w:t>surveyed</w:t>
      </w:r>
      <w:r>
        <w:rPr>
          <w:spacing w:val="-4"/>
          <w:sz w:val="24"/>
        </w:rPr>
        <w:t> </w:t>
      </w:r>
      <w:r>
        <w:rPr>
          <w:sz w:val="24"/>
        </w:rPr>
        <w:t>by</w:t>
      </w:r>
      <w:r>
        <w:rPr>
          <w:spacing w:val="-4"/>
          <w:sz w:val="24"/>
        </w:rPr>
        <w:t> </w:t>
      </w:r>
      <w:r>
        <w:rPr>
          <w:sz w:val="24"/>
        </w:rPr>
        <w:t>Reuters,</w:t>
      </w:r>
      <w:r>
        <w:rPr>
          <w:spacing w:val="-3"/>
          <w:sz w:val="24"/>
        </w:rPr>
        <w:t> </w:t>
      </w:r>
      <w:r>
        <w:rPr>
          <w:sz w:val="24"/>
        </w:rPr>
        <w:t>43</w:t>
      </w:r>
      <w:r>
        <w:rPr>
          <w:spacing w:val="-4"/>
          <w:sz w:val="24"/>
        </w:rPr>
        <w:t> </w:t>
      </w:r>
      <w:r>
        <w:rPr>
          <w:sz w:val="24"/>
        </w:rPr>
        <w:t>expected</w:t>
      </w:r>
      <w:r>
        <w:rPr>
          <w:spacing w:val="-4"/>
          <w:sz w:val="24"/>
        </w:rPr>
        <w:t> </w:t>
      </w:r>
      <w:r>
        <w:rPr>
          <w:sz w:val="24"/>
        </w:rPr>
        <w:t>no</w:t>
      </w:r>
      <w:r>
        <w:rPr>
          <w:spacing w:val="-3"/>
          <w:sz w:val="24"/>
        </w:rPr>
        <w:t> </w:t>
      </w:r>
      <w:r>
        <w:rPr>
          <w:sz w:val="24"/>
        </w:rPr>
        <w:t>change</w:t>
      </w:r>
      <w:r>
        <w:rPr>
          <w:spacing w:val="-4"/>
          <w:sz w:val="24"/>
        </w:rPr>
        <w:t> </w:t>
      </w:r>
      <w:r>
        <w:rPr>
          <w:sz w:val="24"/>
        </w:rPr>
        <w:t>in</w:t>
      </w:r>
      <w:r>
        <w:rPr>
          <w:spacing w:val="-4"/>
          <w:sz w:val="24"/>
        </w:rPr>
        <w:t> </w:t>
      </w:r>
      <w:r>
        <w:rPr>
          <w:sz w:val="24"/>
        </w:rPr>
        <w:t>the</w:t>
      </w:r>
      <w:r>
        <w:rPr>
          <w:spacing w:val="-3"/>
          <w:sz w:val="24"/>
        </w:rPr>
        <w:t> </w:t>
      </w:r>
      <w:r>
        <w:rPr>
          <w:sz w:val="24"/>
        </w:rPr>
        <w:t>official</w:t>
      </w:r>
      <w:r>
        <w:rPr>
          <w:spacing w:val="-4"/>
          <w:sz w:val="24"/>
        </w:rPr>
        <w:t> </w:t>
      </w:r>
      <w:r>
        <w:rPr>
          <w:sz w:val="24"/>
        </w:rPr>
        <w:t>repo</w:t>
      </w:r>
      <w:r>
        <w:rPr>
          <w:spacing w:val="-4"/>
          <w:sz w:val="24"/>
        </w:rPr>
        <w:t> </w:t>
      </w:r>
      <w:r>
        <w:rPr>
          <w:sz w:val="24"/>
        </w:rPr>
        <w:t>rate</w:t>
      </w:r>
      <w:r>
        <w:rPr>
          <w:spacing w:val="-3"/>
          <w:sz w:val="24"/>
        </w:rPr>
        <w:t> </w:t>
      </w:r>
      <w:r>
        <w:rPr>
          <w:sz w:val="24"/>
        </w:rPr>
        <w:t>this month, and the mean probability attached to a rise of 25 basis points was only 25%. </w:t>
      </w:r>
      <w:r>
        <w:rPr>
          <w:spacing w:val="-2"/>
          <w:sz w:val="24"/>
        </w:rPr>
        <w:t>Market </w:t>
      </w:r>
      <w:r>
        <w:rPr>
          <w:sz w:val="24"/>
        </w:rPr>
        <w:t>expectations of </w:t>
      </w:r>
      <w:r>
        <w:rPr>
          <w:spacing w:val="-3"/>
          <w:sz w:val="24"/>
        </w:rPr>
        <w:t>short-term </w:t>
      </w:r>
      <w:r>
        <w:rPr>
          <w:sz w:val="24"/>
        </w:rPr>
        <w:t>interest rates at the end of 2005 had fallen some 20 basis points over the </w:t>
      </w:r>
      <w:r>
        <w:rPr>
          <w:spacing w:val="-3"/>
          <w:sz w:val="24"/>
        </w:rPr>
        <w:t>month.</w:t>
      </w:r>
    </w:p>
    <w:p>
      <w:pPr>
        <w:pStyle w:val="BodyText"/>
        <w:spacing w:before="6"/>
        <w:rPr>
          <w:sz w:val="35"/>
        </w:rPr>
      </w:pPr>
    </w:p>
    <w:p>
      <w:pPr>
        <w:pStyle w:val="ListParagraph"/>
        <w:numPr>
          <w:ilvl w:val="0"/>
          <w:numId w:val="1"/>
        </w:numPr>
        <w:tabs>
          <w:tab w:pos="811" w:val="left" w:leader="none"/>
          <w:tab w:pos="812" w:val="left" w:leader="none"/>
        </w:tabs>
        <w:spacing w:line="355" w:lineRule="auto" w:before="0" w:after="0"/>
        <w:ind w:left="247" w:right="181" w:firstLine="0"/>
        <w:jc w:val="left"/>
        <w:rPr>
          <w:sz w:val="24"/>
        </w:rPr>
      </w:pPr>
      <w:r>
        <w:rPr>
          <w:sz w:val="24"/>
        </w:rPr>
        <w:t>Financial market prices had not moved significantly in the wake of the General Election</w:t>
      </w:r>
      <w:r>
        <w:rPr>
          <w:spacing w:val="-43"/>
          <w:sz w:val="24"/>
        </w:rPr>
        <w:t> </w:t>
      </w:r>
      <w:r>
        <w:rPr>
          <w:sz w:val="24"/>
        </w:rPr>
        <w:t>held </w:t>
      </w:r>
      <w:r>
        <w:rPr>
          <w:spacing w:val="-2"/>
          <w:sz w:val="24"/>
        </w:rPr>
        <w:t>the </w:t>
      </w:r>
      <w:r>
        <w:rPr>
          <w:sz w:val="24"/>
        </w:rPr>
        <w:t>day before the start of the Committee’s</w:t>
      </w:r>
      <w:r>
        <w:rPr>
          <w:spacing w:val="5"/>
          <w:sz w:val="24"/>
        </w:rPr>
        <w:t> </w:t>
      </w:r>
      <w:r>
        <w:rPr>
          <w:sz w:val="24"/>
        </w:rPr>
        <w:t>meeting.</w:t>
      </w:r>
    </w:p>
    <w:p>
      <w:pPr>
        <w:pStyle w:val="BodyText"/>
        <w:spacing w:before="5"/>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85" w:firstLine="0"/>
        <w:jc w:val="left"/>
        <w:rPr>
          <w:sz w:val="24"/>
        </w:rPr>
      </w:pPr>
      <w:r>
        <w:rPr>
          <w:sz w:val="24"/>
        </w:rPr>
        <w:t>News on the month about world demand had generally been a little softer. In the United States, the initial estimate of GDP growth in Q1 had been 0.8%, below market forecasts. Investment in particular had slowed </w:t>
      </w:r>
      <w:r>
        <w:rPr>
          <w:spacing w:val="-3"/>
          <w:sz w:val="24"/>
        </w:rPr>
        <w:t>markedly. </w:t>
      </w:r>
      <w:r>
        <w:rPr>
          <w:sz w:val="24"/>
        </w:rPr>
        <w:t>That might partly have reflected the expiry of the temporary depreciation tax provisions at the end of last year. However, corporate profits remained robust and pressures on capacity were growing, so it still seemed likely that investment would </w:t>
      </w:r>
      <w:r>
        <w:rPr>
          <w:spacing w:val="-3"/>
          <w:sz w:val="24"/>
        </w:rPr>
        <w:t>continue </w:t>
      </w:r>
      <w:r>
        <w:rPr>
          <w:sz w:val="24"/>
        </w:rPr>
        <w:t>to </w:t>
      </w:r>
      <w:r>
        <w:rPr>
          <w:spacing w:val="-3"/>
          <w:sz w:val="24"/>
        </w:rPr>
        <w:t>make </w:t>
      </w:r>
      <w:r>
        <w:rPr>
          <w:sz w:val="24"/>
        </w:rPr>
        <w:t>a strong contribution to growth during 2005 as a whole. Stockbuilding had made a large positive contribution to Q1 growth. Net trade had made a large negative </w:t>
      </w:r>
      <w:r>
        <w:rPr>
          <w:spacing w:val="-3"/>
          <w:sz w:val="24"/>
        </w:rPr>
        <w:t>contribution, </w:t>
      </w:r>
      <w:r>
        <w:rPr>
          <w:sz w:val="24"/>
        </w:rPr>
        <w:t>with a strong</w:t>
      </w:r>
      <w:r>
        <w:rPr>
          <w:spacing w:val="30"/>
          <w:sz w:val="24"/>
        </w:rPr>
        <w:t> </w:t>
      </w:r>
      <w:r>
        <w:rPr>
          <w:sz w:val="24"/>
        </w:rPr>
        <w:t>and</w:t>
      </w:r>
    </w:p>
    <w:p>
      <w:pPr>
        <w:pStyle w:val="BodyText"/>
        <w:spacing w:line="355" w:lineRule="auto" w:before="7"/>
        <w:ind w:left="247"/>
      </w:pPr>
      <w:r>
        <w:rPr/>
        <w:t>broad-based rise in imports. Finally, consumption growth in Q1 had remained robust. So far, past and prospective increases in interest rates had not led to a marked slowdown in household spending.</w:t>
      </w:r>
    </w:p>
    <w:p>
      <w:pPr>
        <w:pStyle w:val="BodyText"/>
        <w:spacing w:before="5"/>
        <w:rPr>
          <w:sz w:val="36"/>
        </w:rPr>
      </w:pPr>
    </w:p>
    <w:p>
      <w:pPr>
        <w:pStyle w:val="ListParagraph"/>
        <w:numPr>
          <w:ilvl w:val="0"/>
          <w:numId w:val="1"/>
        </w:numPr>
        <w:tabs>
          <w:tab w:pos="811" w:val="left" w:leader="none"/>
          <w:tab w:pos="812" w:val="left" w:leader="none"/>
        </w:tabs>
        <w:spacing w:line="362" w:lineRule="auto" w:before="0" w:after="0"/>
        <w:ind w:left="247" w:right="110" w:firstLine="0"/>
        <w:jc w:val="left"/>
        <w:rPr>
          <w:sz w:val="24"/>
        </w:rPr>
      </w:pPr>
      <w:r>
        <w:rPr>
          <w:sz w:val="24"/>
        </w:rPr>
        <w:t>There was not yet much evidence about </w:t>
      </w:r>
      <w:r>
        <w:rPr>
          <w:spacing w:val="-5"/>
          <w:sz w:val="24"/>
        </w:rPr>
        <w:t>US </w:t>
      </w:r>
      <w:r>
        <w:rPr>
          <w:sz w:val="24"/>
        </w:rPr>
        <w:t>growth prospects in the second quarter. The Institute for Supply </w:t>
      </w:r>
      <w:r>
        <w:rPr>
          <w:spacing w:val="-3"/>
          <w:sz w:val="24"/>
        </w:rPr>
        <w:t>Management’s </w:t>
      </w:r>
      <w:r>
        <w:rPr>
          <w:sz w:val="24"/>
        </w:rPr>
        <w:t>manufacturing and non-manufacturing indices had eased back a little in April, but the most recent non-farm payroll data had been strong. At present, it still seemed likely that growth would be around its trend rate during 2005. One uncertainty was what the impact of</w:t>
      </w:r>
      <w:r>
        <w:rPr>
          <w:spacing w:val="-24"/>
          <w:sz w:val="24"/>
        </w:rPr>
        <w:t> </w:t>
      </w:r>
      <w:r>
        <w:rPr>
          <w:sz w:val="24"/>
        </w:rPr>
        <w:t>higher</w:t>
      </w:r>
    </w:p>
    <w:p>
      <w:pPr>
        <w:spacing w:after="0" w:line="362" w:lineRule="auto"/>
        <w:jc w:val="left"/>
        <w:rPr>
          <w:sz w:val="24"/>
        </w:rPr>
        <w:sectPr>
          <w:headerReference w:type="default" r:id="rId7"/>
          <w:pgSz w:w="11900" w:h="16840"/>
          <w:pgMar w:header="1134" w:footer="0" w:top="1380" w:bottom="280" w:left="880" w:right="76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energy prices would be on demand. In the meantime, inflation had edged up on most of the main measures, including the FOMC’s preferred ‘core’ personal consumption expenditure deflator measure.</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18" w:firstLine="0"/>
        <w:jc w:val="left"/>
        <w:rPr>
          <w:sz w:val="24"/>
        </w:rPr>
      </w:pPr>
      <w:r>
        <w:rPr>
          <w:sz w:val="24"/>
        </w:rPr>
        <w:t>In the euro area, industrial production had fallen according to the latest data. There had also </w:t>
      </w:r>
      <w:r>
        <w:rPr>
          <w:spacing w:val="-3"/>
          <w:sz w:val="24"/>
        </w:rPr>
        <w:t>been </w:t>
      </w:r>
      <w:r>
        <w:rPr>
          <w:sz w:val="24"/>
        </w:rPr>
        <w:t>a little downside news from the manufacturing and services Purchasing Managers’ Indices, with the former below the neutral 50 level for the three biggest countries. Euro-area industrial confidence </w:t>
      </w:r>
      <w:r>
        <w:rPr>
          <w:spacing w:val="-3"/>
          <w:sz w:val="24"/>
        </w:rPr>
        <w:t>had </w:t>
      </w:r>
      <w:r>
        <w:rPr>
          <w:sz w:val="24"/>
        </w:rPr>
        <w:t>fallen again in April and was now slightly below its long-run average.</w:t>
      </w:r>
      <w:r>
        <w:rPr>
          <w:spacing w:val="16"/>
          <w:sz w:val="24"/>
        </w:rPr>
        <w:t> </w:t>
      </w:r>
      <w:r>
        <w:rPr>
          <w:sz w:val="24"/>
        </w:rPr>
        <w:t>However, there had been a 0.3% increase in retail sales in March, contrasting with </w:t>
      </w:r>
      <w:r>
        <w:rPr>
          <w:spacing w:val="-4"/>
          <w:sz w:val="24"/>
        </w:rPr>
        <w:t>market </w:t>
      </w:r>
      <w:r>
        <w:rPr>
          <w:sz w:val="24"/>
        </w:rPr>
        <w:t>expectations of a decline. The picture was far from uniform across countries, but, for the euro area as a whole, the outlook for GDP growth this year was </w:t>
      </w:r>
      <w:r>
        <w:rPr>
          <w:spacing w:val="-4"/>
          <w:sz w:val="24"/>
        </w:rPr>
        <w:t>slightly </w:t>
      </w:r>
      <w:r>
        <w:rPr>
          <w:sz w:val="24"/>
        </w:rPr>
        <w:t>weaker than in</w:t>
      </w:r>
      <w:r>
        <w:rPr>
          <w:spacing w:val="1"/>
          <w:sz w:val="24"/>
        </w:rPr>
        <w:t> </w:t>
      </w:r>
      <w:r>
        <w:rPr>
          <w:sz w:val="24"/>
        </w:rPr>
        <w:t>February.</w:t>
      </w:r>
    </w:p>
    <w:p>
      <w:pPr>
        <w:pStyle w:val="BodyText"/>
        <w:rPr>
          <w:sz w:val="36"/>
        </w:rPr>
      </w:pPr>
    </w:p>
    <w:p>
      <w:pPr>
        <w:pStyle w:val="ListParagraph"/>
        <w:numPr>
          <w:ilvl w:val="0"/>
          <w:numId w:val="1"/>
        </w:numPr>
        <w:tabs>
          <w:tab w:pos="811" w:val="left" w:leader="none"/>
          <w:tab w:pos="812" w:val="left" w:leader="none"/>
        </w:tabs>
        <w:spacing w:line="357" w:lineRule="auto" w:before="1" w:after="0"/>
        <w:ind w:left="247" w:right="194" w:firstLine="0"/>
        <w:jc w:val="left"/>
        <w:rPr>
          <w:sz w:val="24"/>
        </w:rPr>
      </w:pPr>
      <w:r>
        <w:rPr>
          <w:sz w:val="24"/>
        </w:rPr>
        <w:t>In Asia, however, there had been some more encouraging data from Japan – </w:t>
      </w:r>
      <w:r>
        <w:rPr>
          <w:spacing w:val="-3"/>
          <w:sz w:val="24"/>
        </w:rPr>
        <w:t>for </w:t>
      </w:r>
      <w:r>
        <w:rPr>
          <w:sz w:val="24"/>
        </w:rPr>
        <w:t>example, </w:t>
      </w:r>
      <w:r>
        <w:rPr>
          <w:spacing w:val="-3"/>
          <w:sz w:val="24"/>
        </w:rPr>
        <w:t>from </w:t>
      </w:r>
      <w:r>
        <w:rPr>
          <w:sz w:val="24"/>
        </w:rPr>
        <w:t>the monthly household expenditure survey – and the Chinese economy had continued to expand rapidly, growing at a reported annual rate of 9½% in the first quarter.</w:t>
      </w:r>
      <w:r>
        <w:rPr>
          <w:spacing w:val="1"/>
          <w:sz w:val="24"/>
        </w:rPr>
        <w:t> </w:t>
      </w:r>
      <w:r>
        <w:rPr>
          <w:sz w:val="24"/>
        </w:rPr>
        <w:t>There had been some signs that growth was slowing a little elsewhere in Asia, </w:t>
      </w:r>
      <w:r>
        <w:rPr>
          <w:spacing w:val="-4"/>
          <w:sz w:val="24"/>
        </w:rPr>
        <w:t>but </w:t>
      </w:r>
      <w:r>
        <w:rPr>
          <w:sz w:val="24"/>
        </w:rPr>
        <w:t>from high</w:t>
      </w:r>
      <w:r>
        <w:rPr>
          <w:spacing w:val="9"/>
          <w:sz w:val="24"/>
        </w:rPr>
        <w:t> </w:t>
      </w:r>
      <w:r>
        <w:rPr>
          <w:sz w:val="24"/>
        </w:rPr>
        <w:t>levels.</w:t>
      </w:r>
    </w:p>
    <w:p>
      <w:pPr>
        <w:pStyle w:val="BodyText"/>
        <w:spacing w:before="5"/>
        <w:rPr>
          <w:sz w:val="36"/>
        </w:rPr>
      </w:pPr>
    </w:p>
    <w:p>
      <w:pPr>
        <w:pStyle w:val="ListParagraph"/>
        <w:numPr>
          <w:ilvl w:val="0"/>
          <w:numId w:val="1"/>
        </w:numPr>
        <w:tabs>
          <w:tab w:pos="811" w:val="left" w:leader="none"/>
          <w:tab w:pos="812" w:val="left" w:leader="none"/>
        </w:tabs>
        <w:spacing w:line="360" w:lineRule="auto" w:before="0" w:after="0"/>
        <w:ind w:left="247" w:right="260" w:firstLine="0"/>
        <w:jc w:val="left"/>
        <w:rPr>
          <w:sz w:val="24"/>
        </w:rPr>
      </w:pPr>
      <w:r>
        <w:rPr>
          <w:sz w:val="24"/>
        </w:rPr>
        <w:t>Although</w:t>
      </w:r>
      <w:r>
        <w:rPr>
          <w:spacing w:val="-5"/>
          <w:sz w:val="24"/>
        </w:rPr>
        <w:t> </w:t>
      </w:r>
      <w:r>
        <w:rPr>
          <w:sz w:val="24"/>
        </w:rPr>
        <w:t>spot</w:t>
      </w:r>
      <w:r>
        <w:rPr>
          <w:spacing w:val="-4"/>
          <w:sz w:val="24"/>
        </w:rPr>
        <w:t> </w:t>
      </w:r>
      <w:r>
        <w:rPr>
          <w:sz w:val="24"/>
        </w:rPr>
        <w:t>oil</w:t>
      </w:r>
      <w:r>
        <w:rPr>
          <w:spacing w:val="-4"/>
          <w:sz w:val="24"/>
        </w:rPr>
        <w:t> </w:t>
      </w:r>
      <w:r>
        <w:rPr>
          <w:sz w:val="24"/>
        </w:rPr>
        <w:t>prices</w:t>
      </w:r>
      <w:r>
        <w:rPr>
          <w:spacing w:val="-5"/>
          <w:sz w:val="24"/>
        </w:rPr>
        <w:t> </w:t>
      </w:r>
      <w:r>
        <w:rPr>
          <w:sz w:val="24"/>
        </w:rPr>
        <w:t>had</w:t>
      </w:r>
      <w:r>
        <w:rPr>
          <w:spacing w:val="-4"/>
          <w:sz w:val="24"/>
        </w:rPr>
        <w:t> </w:t>
      </w:r>
      <w:r>
        <w:rPr>
          <w:sz w:val="24"/>
        </w:rPr>
        <w:t>fallen</w:t>
      </w:r>
      <w:r>
        <w:rPr>
          <w:spacing w:val="-4"/>
          <w:sz w:val="24"/>
        </w:rPr>
        <w:t> </w:t>
      </w:r>
      <w:r>
        <w:rPr>
          <w:sz w:val="24"/>
        </w:rPr>
        <w:t>a</w:t>
      </w:r>
      <w:r>
        <w:rPr>
          <w:spacing w:val="-4"/>
          <w:sz w:val="24"/>
        </w:rPr>
        <w:t> </w:t>
      </w:r>
      <w:r>
        <w:rPr>
          <w:sz w:val="24"/>
        </w:rPr>
        <w:t>little</w:t>
      </w:r>
      <w:r>
        <w:rPr>
          <w:spacing w:val="-5"/>
          <w:sz w:val="24"/>
        </w:rPr>
        <w:t> </w:t>
      </w:r>
      <w:r>
        <w:rPr>
          <w:sz w:val="24"/>
        </w:rPr>
        <w:t>over</w:t>
      </w:r>
      <w:r>
        <w:rPr>
          <w:spacing w:val="-4"/>
          <w:sz w:val="24"/>
        </w:rPr>
        <w:t> </w:t>
      </w:r>
      <w:r>
        <w:rPr>
          <w:sz w:val="24"/>
        </w:rPr>
        <w:t>the</w:t>
      </w:r>
      <w:r>
        <w:rPr>
          <w:spacing w:val="-4"/>
          <w:sz w:val="24"/>
        </w:rPr>
        <w:t> </w:t>
      </w:r>
      <w:r>
        <w:rPr>
          <w:sz w:val="24"/>
        </w:rPr>
        <w:t>past</w:t>
      </w:r>
      <w:r>
        <w:rPr>
          <w:spacing w:val="-4"/>
          <w:sz w:val="24"/>
        </w:rPr>
        <w:t> </w:t>
      </w:r>
      <w:r>
        <w:rPr>
          <w:sz w:val="24"/>
        </w:rPr>
        <w:t>month,</w:t>
      </w:r>
      <w:r>
        <w:rPr>
          <w:spacing w:val="-5"/>
          <w:sz w:val="24"/>
        </w:rPr>
        <w:t> </w:t>
      </w:r>
      <w:r>
        <w:rPr>
          <w:sz w:val="24"/>
        </w:rPr>
        <w:t>they</w:t>
      </w:r>
      <w:r>
        <w:rPr>
          <w:spacing w:val="-4"/>
          <w:sz w:val="24"/>
        </w:rPr>
        <w:t> </w:t>
      </w:r>
      <w:r>
        <w:rPr>
          <w:sz w:val="24"/>
        </w:rPr>
        <w:t>remained</w:t>
      </w:r>
      <w:r>
        <w:rPr>
          <w:spacing w:val="-4"/>
          <w:sz w:val="24"/>
        </w:rPr>
        <w:t> </w:t>
      </w:r>
      <w:r>
        <w:rPr>
          <w:sz w:val="24"/>
        </w:rPr>
        <w:t>about</w:t>
      </w:r>
      <w:r>
        <w:rPr>
          <w:spacing w:val="8"/>
          <w:sz w:val="24"/>
        </w:rPr>
        <w:t> </w:t>
      </w:r>
      <w:r>
        <w:rPr>
          <w:sz w:val="24"/>
        </w:rPr>
        <w:t>15% </w:t>
      </w:r>
      <w:r>
        <w:rPr>
          <w:spacing w:val="-2"/>
          <w:sz w:val="24"/>
        </w:rPr>
        <w:t>higher </w:t>
      </w:r>
      <w:r>
        <w:rPr>
          <w:sz w:val="24"/>
        </w:rPr>
        <w:t>in US dollar terms than at the time of the February </w:t>
      </w:r>
      <w:r>
        <w:rPr>
          <w:i/>
          <w:sz w:val="24"/>
        </w:rPr>
        <w:t>Inflation Report</w:t>
      </w:r>
      <w:r>
        <w:rPr>
          <w:sz w:val="24"/>
        </w:rPr>
        <w:t>; and futures prices were on average some 20% higher. The substantial increase in oil prices over the past year was likely to have acted as a drag on output growth, even though it partly reflected current and prospective increases in global demand for oil. The high price of oil was likely to continue to dampen growth during</w:t>
      </w:r>
      <w:r>
        <w:rPr>
          <w:spacing w:val="-17"/>
          <w:sz w:val="24"/>
        </w:rPr>
        <w:t> </w:t>
      </w:r>
      <w:r>
        <w:rPr>
          <w:sz w:val="24"/>
        </w:rPr>
        <w:t>2005.</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94" w:firstLine="0"/>
        <w:jc w:val="left"/>
        <w:rPr>
          <w:sz w:val="24"/>
        </w:rPr>
      </w:pPr>
      <w:r>
        <w:rPr>
          <w:sz w:val="24"/>
        </w:rPr>
        <w:t>However, there were several reasons why the economic impact of the oil price rise might be</w:t>
      </w:r>
      <w:r>
        <w:rPr>
          <w:spacing w:val="-41"/>
          <w:sz w:val="24"/>
        </w:rPr>
        <w:t> </w:t>
      </w:r>
      <w:r>
        <w:rPr>
          <w:sz w:val="24"/>
        </w:rPr>
        <w:t>less than in previous episodes. The oil price in </w:t>
      </w:r>
      <w:r>
        <w:rPr>
          <w:spacing w:val="2"/>
          <w:sz w:val="24"/>
        </w:rPr>
        <w:t>real </w:t>
      </w:r>
      <w:r>
        <w:rPr>
          <w:sz w:val="24"/>
        </w:rPr>
        <w:t>terms was still low relative to its previous peak </w:t>
      </w:r>
      <w:r>
        <w:rPr>
          <w:spacing w:val="-4"/>
          <w:sz w:val="24"/>
        </w:rPr>
        <w:t>in </w:t>
      </w:r>
      <w:r>
        <w:rPr>
          <w:sz w:val="24"/>
        </w:rPr>
        <w:t>1979-80 and the oil intensity of production </w:t>
      </w:r>
      <w:r>
        <w:rPr>
          <w:spacing w:val="-9"/>
          <w:sz w:val="24"/>
        </w:rPr>
        <w:t>had </w:t>
      </w:r>
      <w:r>
        <w:rPr>
          <w:sz w:val="24"/>
        </w:rPr>
        <w:t>fallen, as had the share of oil and related products in consumer spending. In most industrial countries, labour markets had become more flexible and inflation expectations were better anchored, so that second-round effects on inflation were likely to be less than before; that would give monetary authorities more scope to address any adverse consequences of the oil price rise for demand. However, it was too soon to be sure about</w:t>
      </w:r>
      <w:r>
        <w:rPr>
          <w:spacing w:val="-25"/>
          <w:sz w:val="24"/>
        </w:rPr>
        <w:t> </w:t>
      </w:r>
      <w:r>
        <w:rPr>
          <w:spacing w:val="-2"/>
          <w:sz w:val="24"/>
        </w:rPr>
        <w:t>the</w:t>
      </w:r>
    </w:p>
    <w:p>
      <w:pPr>
        <w:pStyle w:val="BodyText"/>
        <w:spacing w:line="355" w:lineRule="auto" w:before="6"/>
        <w:ind w:left="247" w:right="252"/>
      </w:pPr>
      <w:r>
        <w:rPr/>
        <w:t>second-round effects on wages and prices, as the first-round effects were still working their way through the supply chain.</w:t>
      </w:r>
    </w:p>
    <w:p>
      <w:pPr>
        <w:spacing w:after="0" w:line="355" w:lineRule="auto"/>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Heading1"/>
        <w:spacing w:before="90"/>
      </w:pPr>
      <w:r>
        <w:rPr/>
        <w:t>Money, credit, demand and output</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33" w:firstLine="0"/>
        <w:jc w:val="left"/>
        <w:rPr>
          <w:sz w:val="24"/>
        </w:rPr>
      </w:pPr>
      <w:r>
        <w:rPr>
          <w:sz w:val="24"/>
        </w:rPr>
        <w:t>Evidence had been mounting </w:t>
      </w:r>
      <w:r>
        <w:rPr>
          <w:spacing w:val="-3"/>
          <w:sz w:val="24"/>
        </w:rPr>
        <w:t>that </w:t>
      </w:r>
      <w:r>
        <w:rPr>
          <w:sz w:val="24"/>
        </w:rPr>
        <w:t>the slowdown in the pace of UK consumers’ spending in 2004 Q4 had persisted in 2005 Q1. Retail sales had risen by only 0.3% in the first quarter of 2005 and private car registrations had fallen by nearly 6% (on a seasonally adjusted basis) in the three months to April. The April CBI </w:t>
      </w:r>
      <w:r>
        <w:rPr>
          <w:i/>
          <w:sz w:val="24"/>
        </w:rPr>
        <w:t>Distributive Trades Survey </w:t>
      </w:r>
      <w:r>
        <w:rPr>
          <w:sz w:val="24"/>
        </w:rPr>
        <w:t>had been very weak, with the retailers’ balance for reported sales falling to its lowest level since July 1992, although the balances for wholesalers and the motor trade had risen a little. The Committee noted that the sharp deceleration in spending had been driven by durables </w:t>
      </w:r>
      <w:r>
        <w:rPr>
          <w:spacing w:val="-4"/>
          <w:sz w:val="24"/>
        </w:rPr>
        <w:t>and </w:t>
      </w:r>
      <w:r>
        <w:rPr>
          <w:sz w:val="24"/>
        </w:rPr>
        <w:t>semi-durables, </w:t>
      </w:r>
      <w:r>
        <w:rPr>
          <w:spacing w:val="-3"/>
          <w:sz w:val="24"/>
        </w:rPr>
        <w:t>which </w:t>
      </w:r>
      <w:r>
        <w:rPr>
          <w:sz w:val="24"/>
        </w:rPr>
        <w:t>had fallen by 0.3 per cent in 2004 Q4. Consumers’ spending on services appeared to have held up better than spending on goods:</w:t>
      </w:r>
      <w:r>
        <w:rPr>
          <w:spacing w:val="-14"/>
          <w:sz w:val="24"/>
        </w:rPr>
        <w:t> </w:t>
      </w:r>
      <w:r>
        <w:rPr>
          <w:sz w:val="24"/>
        </w:rPr>
        <w:t>the CBI/Grant Thornton consumer services </w:t>
      </w:r>
      <w:r>
        <w:rPr>
          <w:spacing w:val="-5"/>
          <w:sz w:val="24"/>
        </w:rPr>
        <w:t>output </w:t>
      </w:r>
      <w:r>
        <w:rPr>
          <w:sz w:val="24"/>
        </w:rPr>
        <w:t>balance pointed to robust growth in the first quarter, and the Bank’s regional Agents reported that the growth rate of spending on services had been steady. Narrow money </w:t>
      </w:r>
      <w:r>
        <w:rPr>
          <w:spacing w:val="-2"/>
          <w:sz w:val="24"/>
        </w:rPr>
        <w:t>growth </w:t>
      </w:r>
      <w:r>
        <w:rPr>
          <w:sz w:val="24"/>
        </w:rPr>
        <w:t>had continued to slow gradually, which was broadly consistent with the decline in retail sales growth. But the annual rate of broad money growth had risen in March, reflecting the deposits of ‘other financial corporations’, and the strength in household deposits growth suggested an upside risk to the consumption outlook. Unsecured lending </w:t>
      </w:r>
      <w:r>
        <w:rPr>
          <w:spacing w:val="-3"/>
          <w:sz w:val="24"/>
        </w:rPr>
        <w:t>had </w:t>
      </w:r>
      <w:r>
        <w:rPr>
          <w:sz w:val="24"/>
        </w:rPr>
        <w:t>continued to expand</w:t>
      </w:r>
      <w:r>
        <w:rPr>
          <w:spacing w:val="13"/>
          <w:sz w:val="24"/>
        </w:rPr>
        <w:t> </w:t>
      </w:r>
      <w:r>
        <w:rPr>
          <w:sz w:val="24"/>
        </w:rPr>
        <w:t>rapidly.</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8" w:right="196" w:firstLine="0"/>
        <w:jc w:val="left"/>
        <w:rPr>
          <w:sz w:val="24"/>
        </w:rPr>
      </w:pPr>
      <w:r>
        <w:rPr>
          <w:sz w:val="24"/>
        </w:rPr>
        <w:t>The Committee identified a range of possible factors behind the slowing in consumer spending. Disentangling</w:t>
      </w:r>
      <w:r>
        <w:rPr>
          <w:spacing w:val="-5"/>
          <w:sz w:val="24"/>
        </w:rPr>
        <w:t> </w:t>
      </w:r>
      <w:r>
        <w:rPr>
          <w:sz w:val="24"/>
        </w:rPr>
        <w:t>the</w:t>
      </w:r>
      <w:r>
        <w:rPr>
          <w:spacing w:val="-5"/>
          <w:sz w:val="24"/>
        </w:rPr>
        <w:t> </w:t>
      </w:r>
      <w:r>
        <w:rPr>
          <w:sz w:val="24"/>
        </w:rPr>
        <w:t>various</w:t>
      </w:r>
      <w:r>
        <w:rPr>
          <w:spacing w:val="-4"/>
          <w:sz w:val="24"/>
        </w:rPr>
        <w:t> </w:t>
      </w:r>
      <w:r>
        <w:rPr>
          <w:sz w:val="24"/>
        </w:rPr>
        <w:t>effects</w:t>
      </w:r>
      <w:r>
        <w:rPr>
          <w:spacing w:val="-5"/>
          <w:sz w:val="24"/>
        </w:rPr>
        <w:t> </w:t>
      </w:r>
      <w:r>
        <w:rPr>
          <w:sz w:val="24"/>
        </w:rPr>
        <w:t>of</w:t>
      </w:r>
      <w:r>
        <w:rPr>
          <w:spacing w:val="-4"/>
          <w:sz w:val="24"/>
        </w:rPr>
        <w:t> </w:t>
      </w:r>
      <w:r>
        <w:rPr>
          <w:sz w:val="24"/>
        </w:rPr>
        <w:t>these</w:t>
      </w:r>
      <w:r>
        <w:rPr>
          <w:spacing w:val="-5"/>
          <w:sz w:val="24"/>
        </w:rPr>
        <w:t> </w:t>
      </w:r>
      <w:r>
        <w:rPr>
          <w:sz w:val="24"/>
        </w:rPr>
        <w:t>factors</w:t>
      </w:r>
      <w:r>
        <w:rPr>
          <w:spacing w:val="-4"/>
          <w:sz w:val="24"/>
        </w:rPr>
        <w:t> </w:t>
      </w:r>
      <w:r>
        <w:rPr>
          <w:sz w:val="24"/>
        </w:rPr>
        <w:t>was</w:t>
      </w:r>
      <w:r>
        <w:rPr>
          <w:spacing w:val="-5"/>
          <w:sz w:val="24"/>
        </w:rPr>
        <w:t> </w:t>
      </w:r>
      <w:r>
        <w:rPr>
          <w:sz w:val="24"/>
        </w:rPr>
        <w:t>far</w:t>
      </w:r>
      <w:r>
        <w:rPr>
          <w:spacing w:val="-5"/>
          <w:sz w:val="24"/>
        </w:rPr>
        <w:t> </w:t>
      </w:r>
      <w:r>
        <w:rPr>
          <w:sz w:val="24"/>
        </w:rPr>
        <w:t>from</w:t>
      </w:r>
      <w:r>
        <w:rPr>
          <w:spacing w:val="-4"/>
          <w:sz w:val="24"/>
        </w:rPr>
        <w:t> </w:t>
      </w:r>
      <w:r>
        <w:rPr>
          <w:sz w:val="24"/>
        </w:rPr>
        <w:t>straightforward,</w:t>
      </w:r>
      <w:r>
        <w:rPr>
          <w:spacing w:val="-5"/>
          <w:sz w:val="24"/>
        </w:rPr>
        <w:t> </w:t>
      </w:r>
      <w:r>
        <w:rPr>
          <w:sz w:val="24"/>
        </w:rPr>
        <w:t>making</w:t>
      </w:r>
      <w:r>
        <w:rPr>
          <w:spacing w:val="-4"/>
          <w:sz w:val="24"/>
        </w:rPr>
        <w:t> </w:t>
      </w:r>
      <w:r>
        <w:rPr>
          <w:sz w:val="24"/>
        </w:rPr>
        <w:t>the</w:t>
      </w:r>
      <w:r>
        <w:rPr>
          <w:spacing w:val="-5"/>
          <w:sz w:val="24"/>
        </w:rPr>
        <w:t> </w:t>
      </w:r>
      <w:r>
        <w:rPr>
          <w:sz w:val="24"/>
        </w:rPr>
        <w:t>assessment of the outlook for consumption particularly uncertain. Overall, the cumulative slowdown in consumer spending since the middle of 2004 could be broadly accounted for by changes in its key determinants: post-tax income, household wealth and interest</w:t>
      </w:r>
      <w:r>
        <w:rPr>
          <w:spacing w:val="2"/>
          <w:sz w:val="24"/>
        </w:rPr>
        <w:t> </w:t>
      </w:r>
      <w:r>
        <w:rPr>
          <w:sz w:val="24"/>
        </w:rPr>
        <w:t>rates.</w:t>
      </w:r>
    </w:p>
    <w:p>
      <w:pPr>
        <w:pStyle w:val="BodyText"/>
        <w:rPr>
          <w:sz w:val="36"/>
        </w:rPr>
      </w:pPr>
    </w:p>
    <w:p>
      <w:pPr>
        <w:pStyle w:val="ListParagraph"/>
        <w:numPr>
          <w:ilvl w:val="0"/>
          <w:numId w:val="1"/>
        </w:numPr>
        <w:tabs>
          <w:tab w:pos="811" w:val="left" w:leader="none"/>
          <w:tab w:pos="812" w:val="left" w:leader="none"/>
        </w:tabs>
        <w:spacing w:line="357" w:lineRule="auto" w:before="1" w:after="0"/>
        <w:ind w:left="248" w:right="291" w:firstLine="0"/>
        <w:jc w:val="left"/>
        <w:rPr>
          <w:sz w:val="24"/>
        </w:rPr>
      </w:pPr>
      <w:r>
        <w:rPr>
          <w:sz w:val="24"/>
        </w:rPr>
        <w:t>However, it was more difficult to rationalise </w:t>
      </w:r>
      <w:r>
        <w:rPr>
          <w:spacing w:val="-3"/>
          <w:sz w:val="24"/>
        </w:rPr>
        <w:t>the </w:t>
      </w:r>
      <w:r>
        <w:rPr>
          <w:sz w:val="24"/>
        </w:rPr>
        <w:t>steepness of the slowdown since the end of </w:t>
      </w:r>
      <w:r>
        <w:rPr>
          <w:spacing w:val="-2"/>
          <w:sz w:val="24"/>
        </w:rPr>
        <w:t>the </w:t>
      </w:r>
      <w:r>
        <w:rPr>
          <w:sz w:val="24"/>
        </w:rPr>
        <w:t>year. The lags between changes in the determinants of consumption and changes in household spending were </w:t>
      </w:r>
      <w:r>
        <w:rPr>
          <w:spacing w:val="-3"/>
          <w:sz w:val="24"/>
        </w:rPr>
        <w:t>uncertain. </w:t>
      </w:r>
      <w:r>
        <w:rPr>
          <w:sz w:val="24"/>
        </w:rPr>
        <w:t>And that complicated the task of understanding why household spending had slowed so sharply from December</w:t>
      </w:r>
      <w:r>
        <w:rPr>
          <w:spacing w:val="-8"/>
          <w:sz w:val="24"/>
        </w:rPr>
        <w:t> </w:t>
      </w:r>
      <w:r>
        <w:rPr>
          <w:sz w:val="24"/>
        </w:rPr>
        <w:t>2004.</w:t>
      </w:r>
    </w:p>
    <w:p>
      <w:pPr>
        <w:pStyle w:val="BodyText"/>
        <w:spacing w:before="5"/>
        <w:rPr>
          <w:sz w:val="36"/>
        </w:rPr>
      </w:pPr>
    </w:p>
    <w:p>
      <w:pPr>
        <w:pStyle w:val="ListParagraph"/>
        <w:numPr>
          <w:ilvl w:val="0"/>
          <w:numId w:val="1"/>
        </w:numPr>
        <w:tabs>
          <w:tab w:pos="871" w:val="left" w:leader="none"/>
          <w:tab w:pos="872" w:val="left" w:leader="none"/>
        </w:tabs>
        <w:spacing w:line="362" w:lineRule="auto" w:before="0" w:after="0"/>
        <w:ind w:left="248" w:right="409" w:firstLine="0"/>
        <w:jc w:val="left"/>
        <w:rPr>
          <w:sz w:val="24"/>
        </w:rPr>
      </w:pPr>
      <w:r>
        <w:rPr>
          <w:sz w:val="24"/>
        </w:rPr>
        <w:t>One possibility was </w:t>
      </w:r>
      <w:r>
        <w:rPr>
          <w:spacing w:val="-5"/>
          <w:sz w:val="24"/>
        </w:rPr>
        <w:t>that, </w:t>
      </w:r>
      <w:r>
        <w:rPr>
          <w:sz w:val="24"/>
        </w:rPr>
        <w:t>after a period of unusually rapid spending growth, households </w:t>
      </w:r>
      <w:r>
        <w:rPr>
          <w:spacing w:val="-4"/>
          <w:sz w:val="24"/>
        </w:rPr>
        <w:t>might </w:t>
      </w:r>
      <w:r>
        <w:rPr>
          <w:sz w:val="24"/>
        </w:rPr>
        <w:t>have reduced their demand for the services derived from consumer durables, leading to a ‘stock adjustment’ effect on the investment in new durables. Such an effect was likely to be temporary, so spending on durables would in due course</w:t>
      </w:r>
      <w:r>
        <w:rPr>
          <w:spacing w:val="-7"/>
          <w:sz w:val="24"/>
        </w:rPr>
        <w:t> </w:t>
      </w:r>
      <w:r>
        <w:rPr>
          <w:sz w:val="24"/>
        </w:rPr>
        <w:t>rebound.</w:t>
      </w:r>
    </w:p>
    <w:p>
      <w:pPr>
        <w:spacing w:after="0" w:line="362"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8" w:right="135" w:firstLine="0"/>
        <w:jc w:val="left"/>
        <w:rPr>
          <w:sz w:val="24"/>
        </w:rPr>
      </w:pPr>
      <w:r>
        <w:rPr>
          <w:sz w:val="24"/>
        </w:rPr>
        <w:t>Second, past interest rate rises might be having a particularly marked impact because of higher levels of debt. Interest rate rises would have increased both the servicing costs paid by debtors and the receipts earned by savers. But it was probable that debtors were more likely than savers to spend any additional income that they earned, so that – in aggregate – higher interest rates may have depressed consumer spending via this channel. In previous meetings, the Committee had noted that the impact of policy tightening on debtor households was likely to be particularly uncertain in the light of the large increases in borrowing in recent</w:t>
      </w:r>
      <w:r>
        <w:rPr>
          <w:spacing w:val="3"/>
          <w:sz w:val="24"/>
        </w:rPr>
        <w:t> </w:t>
      </w:r>
      <w:r>
        <w:rPr>
          <w:sz w:val="24"/>
        </w:rPr>
        <w:t>years.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45" w:firstLine="0"/>
        <w:jc w:val="left"/>
        <w:rPr>
          <w:sz w:val="24"/>
        </w:rPr>
      </w:pPr>
      <w:r>
        <w:rPr>
          <w:sz w:val="24"/>
        </w:rPr>
        <w:t>A third possible explanation was that the slowing of the housing market had affected consumer spending more than expected. There were two channels whereby this might </w:t>
      </w:r>
      <w:r>
        <w:rPr>
          <w:spacing w:val="-3"/>
          <w:sz w:val="24"/>
        </w:rPr>
        <w:t>have </w:t>
      </w:r>
      <w:r>
        <w:rPr>
          <w:sz w:val="24"/>
        </w:rPr>
        <w:t>arisen: the ‘direct transactions’ </w:t>
      </w:r>
      <w:r>
        <w:rPr>
          <w:spacing w:val="-4"/>
          <w:sz w:val="24"/>
        </w:rPr>
        <w:t>effect, </w:t>
      </w:r>
      <w:r>
        <w:rPr>
          <w:sz w:val="24"/>
        </w:rPr>
        <w:t>whereby lower housing market activity reduces spending on durable goods normally associated with moving house; and the ‘collateral’ </w:t>
      </w:r>
      <w:r>
        <w:rPr>
          <w:spacing w:val="-3"/>
          <w:sz w:val="24"/>
        </w:rPr>
        <w:t>effect, </w:t>
      </w:r>
      <w:r>
        <w:rPr>
          <w:sz w:val="24"/>
        </w:rPr>
        <w:t>whereby weakening house prices reduce the amount of collateral at households’ disposal. Analysis by Bank of England staff suggested that the ‘direct transactions’ effect was small. And, for most households, the impact of the ‘collateral’ effect was likely to be mitigated by the substantial gains in house prices seen in recent years. However, the impact of house prices on household expenditure was difficult to pin down. It was also possible that households’ uncertainty about the housing market towards to the end of 2004 had </w:t>
      </w:r>
      <w:r>
        <w:rPr>
          <w:spacing w:val="-2"/>
          <w:sz w:val="24"/>
        </w:rPr>
        <w:t>led </w:t>
      </w:r>
      <w:r>
        <w:rPr>
          <w:sz w:val="24"/>
        </w:rPr>
        <w:t>them to defer major purchases. If that were the case, then spending </w:t>
      </w:r>
      <w:r>
        <w:rPr>
          <w:spacing w:val="-4"/>
          <w:sz w:val="24"/>
        </w:rPr>
        <w:t>might </w:t>
      </w:r>
      <w:r>
        <w:rPr>
          <w:sz w:val="24"/>
        </w:rPr>
        <w:t>rebound once uncertainty about housing market prospects faded. The housing market seemed to be stabilising. The three-month on three-month increase in house prices (averaging the Nationwide and Halifax measures) had remained positive in April.</w:t>
      </w:r>
      <w:r>
        <w:rPr>
          <w:spacing w:val="14"/>
          <w:sz w:val="24"/>
        </w:rPr>
        <w:t> </w:t>
      </w:r>
      <w:r>
        <w:rPr>
          <w:sz w:val="24"/>
        </w:rPr>
        <w:t>The number of approvals for house purchase and the three-month on</w:t>
      </w:r>
    </w:p>
    <w:p>
      <w:pPr>
        <w:pStyle w:val="BodyText"/>
        <w:spacing w:line="355" w:lineRule="auto" w:before="7"/>
        <w:ind w:left="247"/>
      </w:pPr>
      <w:r>
        <w:rPr/>
        <w:t>three-month growth rate of secured lending had levelled </w:t>
      </w:r>
      <w:r>
        <w:rPr>
          <w:spacing w:val="-5"/>
        </w:rPr>
        <w:t>off; </w:t>
      </w:r>
      <w:r>
        <w:rPr/>
        <w:t>the average time to sell and the Royal Institution of Chartered Surveyors’ stocks-to-sales ratio had stopped</w:t>
      </w:r>
      <w:r>
        <w:rPr>
          <w:spacing w:val="-18"/>
        </w:rPr>
        <w:t> </w:t>
      </w:r>
      <w:r>
        <w:rPr/>
        <w:t>increasing.</w:t>
      </w:r>
    </w:p>
    <w:p>
      <w:pPr>
        <w:pStyle w:val="BodyText"/>
        <w:spacing w:before="4"/>
        <w:rPr>
          <w:sz w:val="36"/>
        </w:rPr>
      </w:pPr>
    </w:p>
    <w:p>
      <w:pPr>
        <w:pStyle w:val="ListParagraph"/>
        <w:numPr>
          <w:ilvl w:val="0"/>
          <w:numId w:val="1"/>
        </w:numPr>
        <w:tabs>
          <w:tab w:pos="812" w:val="left" w:leader="none"/>
        </w:tabs>
        <w:spacing w:line="360" w:lineRule="auto" w:before="1" w:after="0"/>
        <w:ind w:left="247" w:right="205" w:firstLine="0"/>
        <w:jc w:val="both"/>
        <w:rPr>
          <w:sz w:val="24"/>
        </w:rPr>
      </w:pPr>
      <w:r>
        <w:rPr>
          <w:sz w:val="24"/>
        </w:rPr>
        <w:t>A final possible explanation was increasing concern among consumers about prospects for their retirement income. That was even more difficult to assess, but a permanent increase in the saving</w:t>
      </w:r>
      <w:r>
        <w:rPr>
          <w:spacing w:val="-31"/>
          <w:sz w:val="24"/>
        </w:rPr>
        <w:t> </w:t>
      </w:r>
      <w:r>
        <w:rPr>
          <w:sz w:val="24"/>
        </w:rPr>
        <w:t>rate would imply a temporary fall in consumption growth relative to income </w:t>
      </w:r>
      <w:r>
        <w:rPr>
          <w:spacing w:val="-3"/>
          <w:sz w:val="24"/>
        </w:rPr>
        <w:t>growth.</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31" w:firstLine="0"/>
        <w:jc w:val="left"/>
        <w:rPr>
          <w:sz w:val="24"/>
        </w:rPr>
      </w:pPr>
      <w:r>
        <w:rPr>
          <w:sz w:val="24"/>
        </w:rPr>
        <w:t>While consumption growth appeared to have fallen somewhat more than expected, output </w:t>
      </w:r>
      <w:r>
        <w:rPr>
          <w:spacing w:val="-3"/>
          <w:sz w:val="24"/>
        </w:rPr>
        <w:t>growth </w:t>
      </w:r>
      <w:r>
        <w:rPr>
          <w:sz w:val="24"/>
        </w:rPr>
        <w:t>had </w:t>
      </w:r>
      <w:r>
        <w:rPr>
          <w:spacing w:val="-3"/>
          <w:sz w:val="24"/>
        </w:rPr>
        <w:t>been </w:t>
      </w:r>
      <w:r>
        <w:rPr>
          <w:sz w:val="24"/>
        </w:rPr>
        <w:t>relatively stable. In part, that might be explained by the high percentage of durable goods consumption that was imported; the growth of imports was likely to have weakened in parallel with the slowing of durable goods purchased. GDP had risen by 0.6% in Q1, according to the ONS preliminary estimate. The March Index of Production release had reported a fall in</w:t>
      </w:r>
      <w:r>
        <w:rPr>
          <w:spacing w:val="13"/>
          <w:sz w:val="24"/>
        </w:rPr>
        <w:t> </w:t>
      </w:r>
      <w:r>
        <w:rPr>
          <w:sz w:val="24"/>
        </w:rPr>
        <w:t>manufacturing</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2" w:lineRule="auto" w:before="90"/>
        <w:ind w:left="247" w:right="107"/>
      </w:pPr>
      <w:r>
        <w:rPr/>
        <w:t>output and energy supply, which was not yet incorporated in the ONS GDP estimate, but the new data were still broadly consistent with aggregate output growing at close to its long-run trend rate. These data were weaker than the Committee had expected, though the size of the seasonal adjustment around Easter made the underlying trend particularly uncertain.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10" w:firstLine="0"/>
        <w:jc w:val="left"/>
        <w:rPr>
          <w:sz w:val="24"/>
        </w:rPr>
      </w:pPr>
      <w:r>
        <w:rPr>
          <w:sz w:val="24"/>
        </w:rPr>
        <w:t>Services output growth was holding up well, </w:t>
      </w:r>
      <w:r>
        <w:rPr>
          <w:spacing w:val="-3"/>
          <w:sz w:val="24"/>
        </w:rPr>
        <w:t>despite </w:t>
      </w:r>
      <w:r>
        <w:rPr>
          <w:sz w:val="24"/>
        </w:rPr>
        <w:t>the apparent slowdown in consumer spending. </w:t>
      </w:r>
      <w:r>
        <w:rPr>
          <w:spacing w:val="-4"/>
          <w:sz w:val="24"/>
        </w:rPr>
        <w:t>One </w:t>
      </w:r>
      <w:r>
        <w:rPr>
          <w:sz w:val="24"/>
        </w:rPr>
        <w:t>of the reasons for this was the resilience of business services and finance relative to other service sector industries. According to the ONS, only a quarter of the output of business services and finance was supplied directly to households. Demand from other companies, government and overseas clients had most probably sustained the sector. A possibility was that services output would eventually respond to the deceleration of consumer spending, as it had sometimes done in the</w:t>
      </w:r>
      <w:r>
        <w:rPr>
          <w:spacing w:val="-19"/>
          <w:sz w:val="24"/>
        </w:rPr>
        <w:t> </w:t>
      </w:r>
      <w:r>
        <w:rPr>
          <w:spacing w:val="-4"/>
          <w:sz w:val="24"/>
        </w:rPr>
        <w:t>past.</w:t>
      </w:r>
    </w:p>
    <w:p>
      <w:pPr>
        <w:pStyle w:val="BodyText"/>
        <w:spacing w:before="6"/>
        <w:rPr>
          <w:sz w:val="35"/>
        </w:rPr>
      </w:pPr>
    </w:p>
    <w:p>
      <w:pPr>
        <w:pStyle w:val="ListParagraph"/>
        <w:numPr>
          <w:ilvl w:val="0"/>
          <w:numId w:val="1"/>
        </w:numPr>
        <w:tabs>
          <w:tab w:pos="811" w:val="left" w:leader="none"/>
          <w:tab w:pos="812" w:val="left" w:leader="none"/>
        </w:tabs>
        <w:spacing w:line="364" w:lineRule="auto" w:before="0" w:after="0"/>
        <w:ind w:left="248" w:right="325" w:firstLine="0"/>
        <w:jc w:val="left"/>
        <w:rPr>
          <w:sz w:val="24"/>
        </w:rPr>
      </w:pPr>
      <w:r>
        <w:rPr>
          <w:sz w:val="24"/>
        </w:rPr>
        <w:t>The</w:t>
      </w:r>
      <w:r>
        <w:rPr>
          <w:spacing w:val="-2"/>
          <w:sz w:val="24"/>
        </w:rPr>
        <w:t> </w:t>
      </w:r>
      <w:r>
        <w:rPr>
          <w:sz w:val="24"/>
        </w:rPr>
        <w:t>outlook</w:t>
      </w:r>
      <w:r>
        <w:rPr>
          <w:spacing w:val="-2"/>
          <w:sz w:val="24"/>
        </w:rPr>
        <w:t> </w:t>
      </w:r>
      <w:r>
        <w:rPr>
          <w:sz w:val="24"/>
        </w:rPr>
        <w:t>for</w:t>
      </w:r>
      <w:r>
        <w:rPr>
          <w:spacing w:val="-2"/>
          <w:sz w:val="24"/>
        </w:rPr>
        <w:t> </w:t>
      </w:r>
      <w:r>
        <w:rPr>
          <w:sz w:val="24"/>
        </w:rPr>
        <w:t>Q2</w:t>
      </w:r>
      <w:r>
        <w:rPr>
          <w:spacing w:val="-6"/>
          <w:sz w:val="24"/>
        </w:rPr>
        <w:t> </w:t>
      </w:r>
      <w:r>
        <w:rPr>
          <w:sz w:val="24"/>
        </w:rPr>
        <w:t>was</w:t>
      </w:r>
      <w:r>
        <w:rPr>
          <w:spacing w:val="-5"/>
          <w:sz w:val="24"/>
        </w:rPr>
        <w:t> </w:t>
      </w:r>
      <w:r>
        <w:rPr>
          <w:sz w:val="24"/>
        </w:rPr>
        <w:t>for</w:t>
      </w:r>
      <w:r>
        <w:rPr>
          <w:spacing w:val="-5"/>
          <w:sz w:val="24"/>
        </w:rPr>
        <w:t> </w:t>
      </w:r>
      <w:r>
        <w:rPr>
          <w:sz w:val="24"/>
        </w:rPr>
        <w:t>continued</w:t>
      </w:r>
      <w:r>
        <w:rPr>
          <w:spacing w:val="-4"/>
          <w:sz w:val="24"/>
        </w:rPr>
        <w:t> </w:t>
      </w:r>
      <w:r>
        <w:rPr>
          <w:sz w:val="24"/>
        </w:rPr>
        <w:t>output</w:t>
      </w:r>
      <w:r>
        <w:rPr>
          <w:spacing w:val="6"/>
          <w:sz w:val="24"/>
        </w:rPr>
        <w:t> </w:t>
      </w:r>
      <w:r>
        <w:rPr>
          <w:sz w:val="24"/>
        </w:rPr>
        <w:t>growth</w:t>
      </w:r>
      <w:r>
        <w:rPr>
          <w:spacing w:val="-5"/>
          <w:sz w:val="24"/>
        </w:rPr>
        <w:t> </w:t>
      </w:r>
      <w:r>
        <w:rPr>
          <w:sz w:val="24"/>
        </w:rPr>
        <w:t>at</w:t>
      </w:r>
      <w:r>
        <w:rPr>
          <w:spacing w:val="-4"/>
          <w:sz w:val="24"/>
        </w:rPr>
        <w:t> </w:t>
      </w:r>
      <w:r>
        <w:rPr>
          <w:sz w:val="24"/>
        </w:rPr>
        <w:t>or</w:t>
      </w:r>
      <w:r>
        <w:rPr>
          <w:spacing w:val="-5"/>
          <w:sz w:val="24"/>
        </w:rPr>
        <w:t> </w:t>
      </w:r>
      <w:r>
        <w:rPr>
          <w:sz w:val="24"/>
        </w:rPr>
        <w:t>a</w:t>
      </w:r>
      <w:r>
        <w:rPr>
          <w:spacing w:val="-5"/>
          <w:sz w:val="24"/>
        </w:rPr>
        <w:t> </w:t>
      </w:r>
      <w:r>
        <w:rPr>
          <w:sz w:val="24"/>
        </w:rPr>
        <w:t>little</w:t>
      </w:r>
      <w:r>
        <w:rPr>
          <w:spacing w:val="-5"/>
          <w:sz w:val="24"/>
        </w:rPr>
        <w:t> </w:t>
      </w:r>
      <w:r>
        <w:rPr>
          <w:sz w:val="24"/>
        </w:rPr>
        <w:t>below</w:t>
      </w:r>
      <w:r>
        <w:rPr>
          <w:spacing w:val="-5"/>
          <w:sz w:val="24"/>
        </w:rPr>
        <w:t> </w:t>
      </w:r>
      <w:r>
        <w:rPr>
          <w:sz w:val="24"/>
        </w:rPr>
        <w:t>the</w:t>
      </w:r>
      <w:r>
        <w:rPr>
          <w:spacing w:val="-4"/>
          <w:sz w:val="24"/>
        </w:rPr>
        <w:t> </w:t>
      </w:r>
      <w:r>
        <w:rPr>
          <w:sz w:val="24"/>
        </w:rPr>
        <w:t>long-run</w:t>
      </w:r>
      <w:r>
        <w:rPr>
          <w:spacing w:val="-4"/>
          <w:sz w:val="24"/>
        </w:rPr>
        <w:t> </w:t>
      </w:r>
      <w:r>
        <w:rPr>
          <w:sz w:val="24"/>
        </w:rPr>
        <w:t>trend</w:t>
      </w:r>
      <w:r>
        <w:rPr>
          <w:spacing w:val="-4"/>
          <w:sz w:val="24"/>
        </w:rPr>
        <w:t> </w:t>
      </w:r>
      <w:r>
        <w:rPr>
          <w:sz w:val="24"/>
        </w:rPr>
        <w:t>rate, judging by business surveys for April. Prospects in the manufacturing sector had</w:t>
      </w:r>
      <w:r>
        <w:rPr>
          <w:spacing w:val="-18"/>
          <w:sz w:val="24"/>
        </w:rPr>
        <w:t> </w:t>
      </w:r>
      <w:r>
        <w:rPr>
          <w:sz w:val="24"/>
        </w:rPr>
        <w:t>weakened.</w:t>
      </w:r>
    </w:p>
    <w:p>
      <w:pPr>
        <w:pStyle w:val="BodyText"/>
        <w:spacing w:line="360" w:lineRule="auto"/>
        <w:ind w:left="248" w:right="107"/>
      </w:pPr>
      <w:r>
        <w:rPr/>
        <w:t>The CIPS manufacturing output and new orders indices had both fallen, the latter to below the neutral 50 level, and the CBI </w:t>
      </w:r>
      <w:r>
        <w:rPr>
          <w:i/>
        </w:rPr>
        <w:t>Industrial Trends Survey </w:t>
      </w:r>
      <w:r>
        <w:rPr/>
        <w:t>had also softened. But the CIPS services index remained at a level that suggested continued service sector growth at around trend.</w:t>
      </w:r>
    </w:p>
    <w:p>
      <w:pPr>
        <w:pStyle w:val="BodyText"/>
        <w:spacing w:before="1"/>
        <w:rPr>
          <w:sz w:val="35"/>
        </w:rPr>
      </w:pPr>
    </w:p>
    <w:p>
      <w:pPr>
        <w:pStyle w:val="Heading1"/>
        <w:ind w:left="248"/>
      </w:pPr>
      <w:r>
        <w:rPr/>
        <w:t>Supply, costs and prices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8" w:right="158" w:firstLine="0"/>
        <w:jc w:val="left"/>
        <w:rPr>
          <w:sz w:val="24"/>
        </w:rPr>
      </w:pPr>
      <w:r>
        <w:rPr>
          <w:sz w:val="24"/>
        </w:rPr>
        <w:t>The news over the past month did not suggest that there had been any dramatic change in labour market conditions. Both employment and unemployment had increased in the three months to February, compared with the previous three months, as inactivity had fallen. Average weekly hours had continued to increase, rising 0.5% on the quarter, although some of this might have been erratic. The CIPS surveys suggested that demand for labour was picking up in services, but falling </w:t>
      </w:r>
      <w:r>
        <w:rPr>
          <w:spacing w:val="-5"/>
          <w:sz w:val="24"/>
        </w:rPr>
        <w:t>in </w:t>
      </w:r>
      <w:r>
        <w:rPr>
          <w:sz w:val="24"/>
        </w:rPr>
        <w:t>manufacturing, consistent with the sectoral divergence reflected in output indicators. The Recruitment and Employment Confederation survey suggested that the availability of staff was decreasing less rapidly,</w:t>
      </w:r>
      <w:r>
        <w:rPr>
          <w:spacing w:val="-4"/>
          <w:sz w:val="24"/>
        </w:rPr>
        <w:t> </w:t>
      </w:r>
      <w:r>
        <w:rPr>
          <w:sz w:val="24"/>
        </w:rPr>
        <w:t>while</w:t>
      </w:r>
      <w:r>
        <w:rPr>
          <w:spacing w:val="-2"/>
          <w:sz w:val="24"/>
        </w:rPr>
        <w:t> </w:t>
      </w:r>
      <w:r>
        <w:rPr>
          <w:sz w:val="24"/>
        </w:rPr>
        <w:t>the</w:t>
      </w:r>
      <w:r>
        <w:rPr>
          <w:spacing w:val="-5"/>
          <w:sz w:val="24"/>
        </w:rPr>
        <w:t> </w:t>
      </w:r>
      <w:r>
        <w:rPr>
          <w:sz w:val="24"/>
        </w:rPr>
        <w:t>Bank’s</w:t>
      </w:r>
      <w:r>
        <w:rPr>
          <w:spacing w:val="-5"/>
          <w:sz w:val="24"/>
        </w:rPr>
        <w:t> </w:t>
      </w:r>
      <w:r>
        <w:rPr>
          <w:sz w:val="24"/>
        </w:rPr>
        <w:t>regional</w:t>
      </w:r>
      <w:r>
        <w:rPr>
          <w:spacing w:val="-5"/>
          <w:sz w:val="24"/>
        </w:rPr>
        <w:t> </w:t>
      </w:r>
      <w:r>
        <w:rPr>
          <w:sz w:val="24"/>
        </w:rPr>
        <w:t>Agents</w:t>
      </w:r>
      <w:r>
        <w:rPr>
          <w:spacing w:val="-5"/>
          <w:sz w:val="24"/>
        </w:rPr>
        <w:t> </w:t>
      </w:r>
      <w:r>
        <w:rPr>
          <w:sz w:val="24"/>
        </w:rPr>
        <w:t>reported</w:t>
      </w:r>
      <w:r>
        <w:rPr>
          <w:spacing w:val="-4"/>
          <w:sz w:val="24"/>
        </w:rPr>
        <w:t> </w:t>
      </w:r>
      <w:r>
        <w:rPr>
          <w:sz w:val="24"/>
        </w:rPr>
        <w:t>signs</w:t>
      </w:r>
      <w:r>
        <w:rPr>
          <w:spacing w:val="-4"/>
          <w:sz w:val="24"/>
        </w:rPr>
        <w:t> </w:t>
      </w:r>
      <w:r>
        <w:rPr>
          <w:sz w:val="24"/>
        </w:rPr>
        <w:t>of</w:t>
      </w:r>
      <w:r>
        <w:rPr>
          <w:spacing w:val="-4"/>
          <w:sz w:val="24"/>
        </w:rPr>
        <w:t> </w:t>
      </w:r>
      <w:r>
        <w:rPr>
          <w:sz w:val="24"/>
        </w:rPr>
        <w:t>diminishing</w:t>
      </w:r>
      <w:r>
        <w:rPr>
          <w:spacing w:val="-4"/>
          <w:sz w:val="24"/>
        </w:rPr>
        <w:t> </w:t>
      </w:r>
      <w:r>
        <w:rPr>
          <w:sz w:val="24"/>
        </w:rPr>
        <w:t>difficulties</w:t>
      </w:r>
      <w:r>
        <w:rPr>
          <w:spacing w:val="-5"/>
          <w:sz w:val="24"/>
        </w:rPr>
        <w:t> </w:t>
      </w:r>
      <w:r>
        <w:rPr>
          <w:sz w:val="24"/>
        </w:rPr>
        <w:t>in</w:t>
      </w:r>
      <w:r>
        <w:rPr>
          <w:spacing w:val="-4"/>
          <w:sz w:val="24"/>
        </w:rPr>
        <w:t> </w:t>
      </w:r>
      <w:r>
        <w:rPr>
          <w:sz w:val="24"/>
        </w:rPr>
        <w:t>recruitment.</w:t>
      </w:r>
    </w:p>
    <w:p>
      <w:pPr>
        <w:pStyle w:val="BodyText"/>
        <w:spacing w:before="6"/>
        <w:rPr>
          <w:sz w:val="36"/>
        </w:rPr>
      </w:pPr>
    </w:p>
    <w:p>
      <w:pPr>
        <w:pStyle w:val="ListParagraph"/>
        <w:numPr>
          <w:ilvl w:val="0"/>
          <w:numId w:val="1"/>
        </w:numPr>
        <w:tabs>
          <w:tab w:pos="811" w:val="left" w:leader="none"/>
          <w:tab w:pos="812" w:val="left" w:leader="none"/>
        </w:tabs>
        <w:spacing w:line="357" w:lineRule="auto" w:before="0" w:after="0"/>
        <w:ind w:left="248" w:right="426" w:firstLine="0"/>
        <w:jc w:val="left"/>
        <w:rPr>
          <w:sz w:val="24"/>
        </w:rPr>
      </w:pPr>
      <w:r>
        <w:rPr>
          <w:sz w:val="24"/>
        </w:rPr>
        <w:t>The annual growth rate of private sector unit labour costs had picked up in 2004 Q4 to </w:t>
      </w:r>
      <w:r>
        <w:rPr>
          <w:spacing w:val="-2"/>
          <w:sz w:val="24"/>
        </w:rPr>
        <w:t>around </w:t>
      </w:r>
      <w:r>
        <w:rPr>
          <w:sz w:val="24"/>
        </w:rPr>
        <w:t>1½% and some further increase seemed likely. Labour productivity growth had fallen back from</w:t>
      </w:r>
      <w:r>
        <w:rPr>
          <w:spacing w:val="-33"/>
          <w:sz w:val="24"/>
        </w:rPr>
        <w:t> </w:t>
      </w:r>
      <w:r>
        <w:rPr>
          <w:sz w:val="24"/>
        </w:rPr>
        <w:t>its recent </w:t>
      </w:r>
      <w:r>
        <w:rPr>
          <w:spacing w:val="-7"/>
          <w:sz w:val="24"/>
        </w:rPr>
        <w:t>high </w:t>
      </w:r>
      <w:r>
        <w:rPr>
          <w:sz w:val="24"/>
        </w:rPr>
        <w:t>level and earnings growth had picked up. But the latter had been driven recently by increases in bonuses in the financial services sector. </w:t>
      </w:r>
      <w:r>
        <w:rPr>
          <w:spacing w:val="-3"/>
          <w:sz w:val="24"/>
        </w:rPr>
        <w:t>If </w:t>
      </w:r>
      <w:r>
        <w:rPr>
          <w:sz w:val="24"/>
        </w:rPr>
        <w:t>those bonuses constituted</w:t>
      </w:r>
      <w:r>
        <w:rPr>
          <w:spacing w:val="-19"/>
          <w:sz w:val="24"/>
        </w:rPr>
        <w:t> </w:t>
      </w:r>
      <w:r>
        <w:rPr>
          <w:sz w:val="24"/>
        </w:rPr>
        <w:t>profit-sharing,</w:t>
      </w:r>
    </w:p>
    <w:p>
      <w:pPr>
        <w:spacing w:after="0" w:line="357"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247"/>
      </w:pPr>
      <w:r>
        <w:rPr/>
        <w:t>they should affect neither firms’ unit labour costs at the margin nor the prices they charged, but it was unclear to what extent that was the case. In contrast, settlements and the growth of regular pay had continued within the ranges of 3-4% and 3½-4½% respectively which had prevailed in recent years. According to the contacts of the Bank’s regional Agents, some of the small rise in settlements might have reflected increases in the National Minimum Wage.</w:t>
      </w:r>
    </w:p>
    <w:p>
      <w:pPr>
        <w:pStyle w:val="BodyText"/>
        <w:rPr>
          <w:sz w:val="36"/>
        </w:rPr>
      </w:pPr>
    </w:p>
    <w:p>
      <w:pPr>
        <w:pStyle w:val="ListParagraph"/>
        <w:numPr>
          <w:ilvl w:val="0"/>
          <w:numId w:val="1"/>
        </w:numPr>
        <w:tabs>
          <w:tab w:pos="811" w:val="left" w:leader="none"/>
          <w:tab w:pos="812" w:val="left" w:leader="none"/>
        </w:tabs>
        <w:spacing w:line="364" w:lineRule="auto" w:before="0" w:after="0"/>
        <w:ind w:left="247" w:right="280" w:firstLine="0"/>
        <w:jc w:val="left"/>
        <w:rPr>
          <w:sz w:val="24"/>
        </w:rPr>
      </w:pPr>
      <w:r>
        <w:rPr>
          <w:sz w:val="24"/>
        </w:rPr>
        <w:t>Whereas labour market developments had been broadly consistent with expectations at the</w:t>
      </w:r>
      <w:r>
        <w:rPr>
          <w:spacing w:val="-42"/>
          <w:sz w:val="24"/>
        </w:rPr>
        <w:t> </w:t>
      </w:r>
      <w:r>
        <w:rPr>
          <w:sz w:val="24"/>
        </w:rPr>
        <w:t>time of the February </w:t>
      </w:r>
      <w:r>
        <w:rPr>
          <w:i/>
          <w:spacing w:val="2"/>
          <w:sz w:val="24"/>
        </w:rPr>
        <w:t>Inflation </w:t>
      </w:r>
      <w:r>
        <w:rPr>
          <w:i/>
          <w:sz w:val="24"/>
        </w:rPr>
        <w:t>Report</w:t>
      </w:r>
      <w:r>
        <w:rPr>
          <w:sz w:val="24"/>
        </w:rPr>
        <w:t>, CPI inflation had picked up faster than expected; </w:t>
      </w:r>
      <w:r>
        <w:rPr>
          <w:spacing w:val="2"/>
          <w:sz w:val="24"/>
        </w:rPr>
        <w:t>in</w:t>
      </w:r>
      <w:r>
        <w:rPr>
          <w:spacing w:val="-38"/>
          <w:sz w:val="24"/>
        </w:rPr>
        <w:t> </w:t>
      </w:r>
      <w:r>
        <w:rPr>
          <w:spacing w:val="-3"/>
          <w:sz w:val="24"/>
        </w:rPr>
        <w:t>March,</w:t>
      </w:r>
    </w:p>
    <w:p>
      <w:pPr>
        <w:pStyle w:val="BodyText"/>
        <w:spacing w:line="364" w:lineRule="auto"/>
        <w:ind w:left="247" w:right="207"/>
      </w:pPr>
      <w:r>
        <w:rPr/>
        <w:t>CPI inflation had reached 1.9%. Partly as a result, the Committee had revised up its assessment of the short-run outlook.</w:t>
      </w:r>
    </w:p>
    <w:p>
      <w:pPr>
        <w:pStyle w:val="BodyText"/>
        <w:spacing w:before="7"/>
        <w:rPr>
          <w:sz w:val="34"/>
        </w:rPr>
      </w:pPr>
    </w:p>
    <w:p>
      <w:pPr>
        <w:pStyle w:val="ListParagraph"/>
        <w:numPr>
          <w:ilvl w:val="0"/>
          <w:numId w:val="1"/>
        </w:numPr>
        <w:tabs>
          <w:tab w:pos="811" w:val="left" w:leader="none"/>
          <w:tab w:pos="812" w:val="left" w:leader="none"/>
        </w:tabs>
        <w:spacing w:line="360" w:lineRule="auto" w:before="0" w:after="0"/>
        <w:ind w:left="247" w:right="152" w:firstLine="0"/>
        <w:jc w:val="left"/>
        <w:rPr>
          <w:sz w:val="24"/>
        </w:rPr>
      </w:pPr>
      <w:r>
        <w:rPr>
          <w:sz w:val="24"/>
        </w:rPr>
        <w:t>The possibility that the more rapid than expected pickup in CPI inflation reflected, at least in part, excess demand along the supply chain could not be ruled out. Interpretation of the data was complicated by the uncertain impact on </w:t>
      </w:r>
      <w:r>
        <w:rPr>
          <w:spacing w:val="-6"/>
          <w:sz w:val="24"/>
        </w:rPr>
        <w:t>some </w:t>
      </w:r>
      <w:r>
        <w:rPr>
          <w:sz w:val="24"/>
        </w:rPr>
        <w:t>prices of the unusually early Easter holiday. </w:t>
      </w:r>
      <w:r>
        <w:rPr>
          <w:spacing w:val="-3"/>
          <w:sz w:val="24"/>
        </w:rPr>
        <w:t>Among the </w:t>
      </w:r>
      <w:r>
        <w:rPr>
          <w:sz w:val="24"/>
        </w:rPr>
        <w:t>goods and services for which retail prices had risen faster than expected were food, air fares </w:t>
      </w:r>
      <w:r>
        <w:rPr>
          <w:spacing w:val="-8"/>
          <w:sz w:val="24"/>
        </w:rPr>
        <w:t>and </w:t>
      </w:r>
      <w:r>
        <w:rPr>
          <w:sz w:val="24"/>
        </w:rPr>
        <w:t>financial services. Food prices had been pushed up by poor weather overseas, particularly in </w:t>
      </w:r>
      <w:r>
        <w:rPr>
          <w:spacing w:val="-3"/>
          <w:sz w:val="24"/>
        </w:rPr>
        <w:t>Spain, </w:t>
      </w:r>
      <w:r>
        <w:rPr>
          <w:sz w:val="24"/>
        </w:rPr>
        <w:t>so this was likely to have only a temporary effect. Air fares had probably been driven up partly by</w:t>
      </w:r>
      <w:r>
        <w:rPr>
          <w:spacing w:val="-36"/>
          <w:sz w:val="24"/>
        </w:rPr>
        <w:t> </w:t>
      </w:r>
      <w:r>
        <w:rPr>
          <w:spacing w:val="-2"/>
          <w:sz w:val="24"/>
        </w:rPr>
        <w:t>higher </w:t>
      </w:r>
      <w:r>
        <w:rPr>
          <w:sz w:val="24"/>
        </w:rPr>
        <w:t>costs of oil, but it was not clear how much of the first-round effects of past oil price rises was still to come through the supply</w:t>
      </w:r>
      <w:r>
        <w:rPr>
          <w:spacing w:val="6"/>
          <w:sz w:val="24"/>
        </w:rPr>
        <w:t> </w:t>
      </w:r>
      <w:r>
        <w:rPr>
          <w:spacing w:val="-2"/>
          <w:sz w:val="24"/>
        </w:rPr>
        <w:t>chain.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7" w:right="487" w:firstLine="0"/>
        <w:jc w:val="left"/>
        <w:rPr>
          <w:sz w:val="24"/>
        </w:rPr>
      </w:pPr>
      <w:r>
        <w:rPr>
          <w:sz w:val="24"/>
        </w:rPr>
        <w:t>There</w:t>
      </w:r>
      <w:r>
        <w:rPr>
          <w:spacing w:val="-2"/>
          <w:sz w:val="24"/>
        </w:rPr>
        <w:t> </w:t>
      </w:r>
      <w:r>
        <w:rPr>
          <w:sz w:val="24"/>
        </w:rPr>
        <w:t>were</w:t>
      </w:r>
      <w:r>
        <w:rPr>
          <w:spacing w:val="-2"/>
          <w:sz w:val="24"/>
        </w:rPr>
        <w:t> </w:t>
      </w:r>
      <w:r>
        <w:rPr>
          <w:sz w:val="24"/>
        </w:rPr>
        <w:t>some</w:t>
      </w:r>
      <w:r>
        <w:rPr>
          <w:spacing w:val="-2"/>
          <w:sz w:val="24"/>
        </w:rPr>
        <w:t> </w:t>
      </w:r>
      <w:r>
        <w:rPr>
          <w:sz w:val="24"/>
        </w:rPr>
        <w:t>other</w:t>
      </w:r>
      <w:r>
        <w:rPr>
          <w:spacing w:val="-2"/>
          <w:sz w:val="24"/>
        </w:rPr>
        <w:t> </w:t>
      </w:r>
      <w:r>
        <w:rPr>
          <w:sz w:val="24"/>
        </w:rPr>
        <w:t>signs</w:t>
      </w:r>
      <w:r>
        <w:rPr>
          <w:spacing w:val="-2"/>
          <w:sz w:val="24"/>
        </w:rPr>
        <w:t> </w:t>
      </w:r>
      <w:r>
        <w:rPr>
          <w:sz w:val="24"/>
        </w:rPr>
        <w:t>that</w:t>
      </w:r>
      <w:r>
        <w:rPr>
          <w:spacing w:val="-2"/>
          <w:sz w:val="24"/>
        </w:rPr>
        <w:t> </w:t>
      </w:r>
      <w:r>
        <w:rPr>
          <w:sz w:val="24"/>
        </w:rPr>
        <w:t>oil</w:t>
      </w:r>
      <w:r>
        <w:rPr>
          <w:spacing w:val="-2"/>
          <w:sz w:val="24"/>
        </w:rPr>
        <w:t> </w:t>
      </w:r>
      <w:r>
        <w:rPr>
          <w:sz w:val="24"/>
        </w:rPr>
        <w:t>prices had</w:t>
      </w:r>
      <w:r>
        <w:rPr>
          <w:spacing w:val="-3"/>
          <w:sz w:val="24"/>
        </w:rPr>
        <w:t> </w:t>
      </w:r>
      <w:r>
        <w:rPr>
          <w:sz w:val="24"/>
        </w:rPr>
        <w:t>been</w:t>
      </w:r>
      <w:r>
        <w:rPr>
          <w:spacing w:val="-3"/>
          <w:sz w:val="24"/>
        </w:rPr>
        <w:t> </w:t>
      </w:r>
      <w:r>
        <w:rPr>
          <w:sz w:val="24"/>
        </w:rPr>
        <w:t>responsible</w:t>
      </w:r>
      <w:r>
        <w:rPr>
          <w:spacing w:val="-2"/>
          <w:sz w:val="24"/>
        </w:rPr>
        <w:t> </w:t>
      </w:r>
      <w:r>
        <w:rPr>
          <w:sz w:val="24"/>
        </w:rPr>
        <w:t>for</w:t>
      </w:r>
      <w:r>
        <w:rPr>
          <w:spacing w:val="-3"/>
          <w:sz w:val="24"/>
        </w:rPr>
        <w:t> </w:t>
      </w:r>
      <w:r>
        <w:rPr>
          <w:sz w:val="24"/>
        </w:rPr>
        <w:t>at</w:t>
      </w:r>
      <w:r>
        <w:rPr>
          <w:spacing w:val="-3"/>
          <w:sz w:val="24"/>
        </w:rPr>
        <w:t> </w:t>
      </w:r>
      <w:r>
        <w:rPr>
          <w:sz w:val="24"/>
        </w:rPr>
        <w:t>least</w:t>
      </w:r>
      <w:r>
        <w:rPr>
          <w:spacing w:val="-4"/>
          <w:sz w:val="24"/>
        </w:rPr>
        <w:t> </w:t>
      </w:r>
      <w:r>
        <w:rPr>
          <w:sz w:val="24"/>
        </w:rPr>
        <w:t>part</w:t>
      </w:r>
      <w:r>
        <w:rPr>
          <w:spacing w:val="-4"/>
          <w:sz w:val="24"/>
        </w:rPr>
        <w:t> </w:t>
      </w:r>
      <w:r>
        <w:rPr>
          <w:sz w:val="24"/>
        </w:rPr>
        <w:t>of</w:t>
      </w:r>
      <w:r>
        <w:rPr>
          <w:spacing w:val="-4"/>
          <w:sz w:val="24"/>
        </w:rPr>
        <w:t> </w:t>
      </w:r>
      <w:r>
        <w:rPr>
          <w:sz w:val="24"/>
        </w:rPr>
        <w:t>the</w:t>
      </w:r>
      <w:r>
        <w:rPr>
          <w:spacing w:val="-4"/>
          <w:sz w:val="24"/>
        </w:rPr>
        <w:t> </w:t>
      </w:r>
      <w:r>
        <w:rPr>
          <w:spacing w:val="2"/>
          <w:sz w:val="24"/>
        </w:rPr>
        <w:t>rise</w:t>
      </w:r>
      <w:r>
        <w:rPr>
          <w:spacing w:val="-4"/>
          <w:sz w:val="24"/>
        </w:rPr>
        <w:t> in </w:t>
      </w:r>
      <w:r>
        <w:rPr>
          <w:sz w:val="24"/>
        </w:rPr>
        <w:t>CPI inflation. The rate of increase of prices of domestically produced output, excluding petroleum products, had been stable. However, the prices of imported goods – partly reflecting oil and commodity price increases – </w:t>
      </w:r>
      <w:r>
        <w:rPr>
          <w:spacing w:val="-3"/>
          <w:sz w:val="24"/>
        </w:rPr>
        <w:t>had </w:t>
      </w:r>
      <w:r>
        <w:rPr>
          <w:sz w:val="24"/>
        </w:rPr>
        <w:t>accelerated. The rate of inflation for consumer services – </w:t>
      </w:r>
      <w:r>
        <w:rPr>
          <w:spacing w:val="-2"/>
          <w:sz w:val="24"/>
        </w:rPr>
        <w:t>likely </w:t>
      </w:r>
      <w:r>
        <w:rPr>
          <w:sz w:val="24"/>
        </w:rPr>
        <w:t>overall to be less oil-intensive than goods – had been increasing</w:t>
      </w:r>
      <w:r>
        <w:rPr>
          <w:spacing w:val="-17"/>
          <w:sz w:val="24"/>
        </w:rPr>
        <w:t> </w:t>
      </w:r>
      <w:r>
        <w:rPr>
          <w:sz w:val="24"/>
        </w:rPr>
        <w:t>steadily.</w:t>
      </w:r>
    </w:p>
    <w:p>
      <w:pPr>
        <w:pStyle w:val="BodyText"/>
        <w:rPr>
          <w:sz w:val="36"/>
        </w:rPr>
      </w:pPr>
    </w:p>
    <w:p>
      <w:pPr>
        <w:pStyle w:val="Heading1"/>
      </w:pPr>
      <w:r>
        <w:rPr/>
        <w:t>The May GDP growth and inflation projections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240" w:lineRule="auto" w:before="0" w:after="0"/>
        <w:ind w:left="812" w:right="0" w:hanging="565"/>
        <w:jc w:val="left"/>
        <w:rPr>
          <w:sz w:val="24"/>
        </w:rPr>
      </w:pPr>
      <w:r>
        <w:rPr>
          <w:sz w:val="24"/>
        </w:rPr>
        <w:t>The Committee reached its policy decision in the light of the projections to be published in</w:t>
      </w:r>
      <w:r>
        <w:rPr>
          <w:spacing w:val="-43"/>
          <w:sz w:val="24"/>
        </w:rPr>
        <w:t> </w:t>
      </w:r>
      <w:r>
        <w:rPr>
          <w:spacing w:val="-2"/>
          <w:sz w:val="24"/>
        </w:rPr>
        <w:t>the</w:t>
      </w:r>
    </w:p>
    <w:p>
      <w:pPr>
        <w:spacing w:before="144"/>
        <w:ind w:left="247" w:right="0" w:firstLine="0"/>
        <w:jc w:val="left"/>
        <w:rPr>
          <w:sz w:val="24"/>
        </w:rPr>
      </w:pPr>
      <w:r>
        <w:rPr>
          <w:i/>
          <w:sz w:val="24"/>
        </w:rPr>
        <w:t>Inflation Report </w:t>
      </w:r>
      <w:r>
        <w:rPr>
          <w:sz w:val="24"/>
        </w:rPr>
        <w:t>on Wednesday 11 May.</w:t>
      </w:r>
    </w:p>
    <w:p>
      <w:pPr>
        <w:pStyle w:val="BodyText"/>
        <w:rPr>
          <w:sz w:val="26"/>
        </w:rPr>
      </w:pPr>
    </w:p>
    <w:p>
      <w:pPr>
        <w:pStyle w:val="BodyText"/>
        <w:rPr>
          <w:sz w:val="22"/>
        </w:rPr>
      </w:pPr>
    </w:p>
    <w:p>
      <w:pPr>
        <w:pStyle w:val="ListParagraph"/>
        <w:numPr>
          <w:ilvl w:val="0"/>
          <w:numId w:val="1"/>
        </w:numPr>
        <w:tabs>
          <w:tab w:pos="811" w:val="left" w:leader="none"/>
          <w:tab w:pos="812" w:val="left" w:leader="none"/>
        </w:tabs>
        <w:spacing w:line="355" w:lineRule="auto" w:before="0" w:after="0"/>
        <w:ind w:left="247" w:right="367" w:firstLine="0"/>
        <w:jc w:val="left"/>
        <w:rPr>
          <w:sz w:val="24"/>
        </w:rPr>
      </w:pPr>
      <w:r>
        <w:rPr>
          <w:sz w:val="24"/>
        </w:rPr>
        <w:t>The</w:t>
      </w:r>
      <w:r>
        <w:rPr>
          <w:spacing w:val="-9"/>
          <w:sz w:val="24"/>
        </w:rPr>
        <w:t> </w:t>
      </w:r>
      <w:r>
        <w:rPr>
          <w:sz w:val="24"/>
        </w:rPr>
        <w:t>Committee’s</w:t>
      </w:r>
      <w:r>
        <w:rPr>
          <w:spacing w:val="-8"/>
          <w:sz w:val="24"/>
        </w:rPr>
        <w:t> </w:t>
      </w:r>
      <w:r>
        <w:rPr>
          <w:sz w:val="24"/>
        </w:rPr>
        <w:t>central</w:t>
      </w:r>
      <w:r>
        <w:rPr>
          <w:spacing w:val="-8"/>
          <w:sz w:val="24"/>
        </w:rPr>
        <w:t> </w:t>
      </w:r>
      <w:r>
        <w:rPr>
          <w:sz w:val="24"/>
        </w:rPr>
        <w:t>projection,</w:t>
      </w:r>
      <w:r>
        <w:rPr>
          <w:spacing w:val="-8"/>
          <w:sz w:val="24"/>
        </w:rPr>
        <w:t> </w:t>
      </w:r>
      <w:r>
        <w:rPr>
          <w:sz w:val="24"/>
        </w:rPr>
        <w:t>based</w:t>
      </w:r>
      <w:r>
        <w:rPr>
          <w:spacing w:val="-8"/>
          <w:sz w:val="24"/>
        </w:rPr>
        <w:t> </w:t>
      </w:r>
      <w:r>
        <w:rPr>
          <w:sz w:val="24"/>
        </w:rPr>
        <w:t>on</w:t>
      </w:r>
      <w:r>
        <w:rPr>
          <w:spacing w:val="4"/>
          <w:sz w:val="24"/>
        </w:rPr>
        <w:t> </w:t>
      </w:r>
      <w:r>
        <w:rPr>
          <w:sz w:val="24"/>
        </w:rPr>
        <w:t>its</w:t>
      </w:r>
      <w:r>
        <w:rPr>
          <w:spacing w:val="-6"/>
          <w:sz w:val="24"/>
        </w:rPr>
        <w:t> </w:t>
      </w:r>
      <w:r>
        <w:rPr>
          <w:sz w:val="24"/>
        </w:rPr>
        <w:t>best</w:t>
      </w:r>
      <w:r>
        <w:rPr>
          <w:spacing w:val="-7"/>
          <w:sz w:val="24"/>
        </w:rPr>
        <w:t> </w:t>
      </w:r>
      <w:r>
        <w:rPr>
          <w:sz w:val="24"/>
        </w:rPr>
        <w:t>collective</w:t>
      </w:r>
      <w:r>
        <w:rPr>
          <w:spacing w:val="-6"/>
          <w:sz w:val="24"/>
        </w:rPr>
        <w:t> </w:t>
      </w:r>
      <w:r>
        <w:rPr>
          <w:sz w:val="24"/>
        </w:rPr>
        <w:t>judgement</w:t>
      </w:r>
      <w:r>
        <w:rPr>
          <w:spacing w:val="-6"/>
          <w:sz w:val="24"/>
        </w:rPr>
        <w:t> </w:t>
      </w:r>
      <w:r>
        <w:rPr>
          <w:sz w:val="24"/>
        </w:rPr>
        <w:t>and</w:t>
      </w:r>
      <w:r>
        <w:rPr>
          <w:spacing w:val="4"/>
          <w:sz w:val="24"/>
        </w:rPr>
        <w:t> </w:t>
      </w:r>
      <w:r>
        <w:rPr>
          <w:sz w:val="24"/>
        </w:rPr>
        <w:t>the</w:t>
      </w:r>
      <w:r>
        <w:rPr>
          <w:spacing w:val="-11"/>
          <w:sz w:val="24"/>
        </w:rPr>
        <w:t> </w:t>
      </w:r>
      <w:r>
        <w:rPr>
          <w:sz w:val="24"/>
        </w:rPr>
        <w:t>assumption that official interest rates followed the flat path implied by the market yield curve, was for </w:t>
      </w:r>
      <w:r>
        <w:rPr>
          <w:spacing w:val="-3"/>
          <w:sz w:val="24"/>
        </w:rPr>
        <w:t>GDP</w:t>
      </w:r>
      <w:r>
        <w:rPr>
          <w:spacing w:val="-35"/>
          <w:sz w:val="24"/>
        </w:rPr>
        <w:t> </w:t>
      </w:r>
      <w:r>
        <w:rPr>
          <w:spacing w:val="-4"/>
          <w:sz w:val="24"/>
        </w:rPr>
        <w:t>to</w:t>
      </w:r>
    </w:p>
    <w:p>
      <w:pPr>
        <w:spacing w:after="0" w:line="355"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before="90"/>
        <w:ind w:left="247"/>
      </w:pPr>
      <w:r>
        <w:rPr/>
        <w:t>grow steadily at close to its trend rate during the next three years. Compared with the February</w:t>
      </w:r>
    </w:p>
    <w:p>
      <w:pPr>
        <w:spacing w:before="144"/>
        <w:ind w:left="247" w:right="0" w:firstLine="0"/>
        <w:jc w:val="left"/>
        <w:rPr>
          <w:sz w:val="24"/>
        </w:rPr>
      </w:pPr>
      <w:r>
        <w:rPr>
          <w:i/>
          <w:sz w:val="24"/>
        </w:rPr>
        <w:t>Inflation Report </w:t>
      </w:r>
      <w:r>
        <w:rPr>
          <w:sz w:val="24"/>
        </w:rPr>
        <w:t>profile, the outlook was slightly weaker.</w:t>
      </w:r>
    </w:p>
    <w:p>
      <w:pPr>
        <w:pStyle w:val="BodyText"/>
        <w:rPr>
          <w:sz w:val="26"/>
        </w:rPr>
      </w:pPr>
    </w:p>
    <w:p>
      <w:pPr>
        <w:pStyle w:val="BodyText"/>
        <w:rPr>
          <w:sz w:val="22"/>
        </w:rPr>
      </w:pPr>
    </w:p>
    <w:p>
      <w:pPr>
        <w:pStyle w:val="ListParagraph"/>
        <w:numPr>
          <w:ilvl w:val="0"/>
          <w:numId w:val="1"/>
        </w:numPr>
        <w:tabs>
          <w:tab w:pos="811" w:val="left" w:leader="none"/>
          <w:tab w:pos="812" w:val="left" w:leader="none"/>
        </w:tabs>
        <w:spacing w:line="360" w:lineRule="auto" w:before="0" w:after="0"/>
        <w:ind w:left="247" w:right="133" w:firstLine="0"/>
        <w:jc w:val="left"/>
        <w:rPr>
          <w:sz w:val="24"/>
        </w:rPr>
      </w:pPr>
      <w:r>
        <w:rPr>
          <w:sz w:val="24"/>
        </w:rPr>
        <w:t>The central projection for CPI inflation, on the same assumption about the path of official rates, was for it to rise above the 2% target for a short while during the first year of the projection, falling back in the first half of 2006, and thereafter settling at close to the 2% target for the rest of the forecast period. Compared with the February </w:t>
      </w:r>
      <w:r>
        <w:rPr>
          <w:i/>
          <w:sz w:val="24"/>
        </w:rPr>
        <w:t>Report</w:t>
      </w:r>
      <w:r>
        <w:rPr>
          <w:sz w:val="24"/>
        </w:rPr>
        <w:t>, the central projection was higher in the short term but lower further out. The </w:t>
      </w:r>
      <w:r>
        <w:rPr>
          <w:spacing w:val="-3"/>
          <w:sz w:val="24"/>
        </w:rPr>
        <w:t>short-term </w:t>
      </w:r>
      <w:r>
        <w:rPr>
          <w:sz w:val="24"/>
        </w:rPr>
        <w:t>profile was affected by a number of factors likely to have only a temporary effect on annual inflation, such as the first-round impact of the recent increases in the prices of oil, electricity, gas, water and sewerage services. Oil prices were assumed to fall back gradually, in line with oil futures. The marginally weaker inflation profile in the medium term reflected the slightly softer outlook for economic activity </w:t>
      </w:r>
      <w:r>
        <w:rPr>
          <w:spacing w:val="-3"/>
          <w:sz w:val="24"/>
        </w:rPr>
        <w:t>and </w:t>
      </w:r>
      <w:r>
        <w:rPr>
          <w:sz w:val="24"/>
        </w:rPr>
        <w:t>the higher value of </w:t>
      </w:r>
      <w:r>
        <w:rPr>
          <w:spacing w:val="-3"/>
          <w:sz w:val="24"/>
        </w:rPr>
        <w:t>sterling.</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79" w:firstLine="0"/>
        <w:jc w:val="left"/>
        <w:rPr>
          <w:sz w:val="24"/>
        </w:rPr>
      </w:pPr>
      <w:r>
        <w:rPr>
          <w:sz w:val="24"/>
        </w:rPr>
        <w:t>The Committee’s best collective judgment was that the risks to GDP, relative to the central projection, were on the downside, while the risks to CPI inflation were broadly balanced. The downside risks to both growth and inflation had diminished since February. Nevertheless, important uncertainties remained, as discussed in the May </w:t>
      </w:r>
      <w:r>
        <w:rPr>
          <w:i/>
          <w:sz w:val="24"/>
        </w:rPr>
        <w:t>Inflation Report</w:t>
      </w:r>
      <w:r>
        <w:rPr>
          <w:sz w:val="24"/>
        </w:rPr>
        <w:t>. The major risks </w:t>
      </w:r>
      <w:r>
        <w:rPr>
          <w:spacing w:val="-5"/>
          <w:sz w:val="24"/>
        </w:rPr>
        <w:t>to </w:t>
      </w:r>
      <w:r>
        <w:rPr>
          <w:sz w:val="24"/>
        </w:rPr>
        <w:t>consumption related to the impact of the slowdown in the housing market on household spending; the length of time it would take for the full impact of higher interest rates on spending, particularly by heavily indebted households, to be felt; concerns about retirement incomes; the possibility that households’ current</w:t>
      </w:r>
      <w:r>
        <w:rPr>
          <w:spacing w:val="-8"/>
          <w:sz w:val="24"/>
        </w:rPr>
        <w:t> </w:t>
      </w:r>
      <w:r>
        <w:rPr>
          <w:sz w:val="24"/>
        </w:rPr>
        <w:t>uncertainty</w:t>
      </w:r>
      <w:r>
        <w:rPr>
          <w:spacing w:val="-8"/>
          <w:sz w:val="24"/>
        </w:rPr>
        <w:t> </w:t>
      </w:r>
      <w:r>
        <w:rPr>
          <w:sz w:val="24"/>
        </w:rPr>
        <w:t>about</w:t>
      </w:r>
      <w:r>
        <w:rPr>
          <w:spacing w:val="2"/>
          <w:sz w:val="24"/>
        </w:rPr>
        <w:t> </w:t>
      </w:r>
      <w:r>
        <w:rPr>
          <w:sz w:val="24"/>
        </w:rPr>
        <w:t>the</w:t>
      </w:r>
      <w:r>
        <w:rPr>
          <w:spacing w:val="-3"/>
          <w:sz w:val="24"/>
        </w:rPr>
        <w:t> </w:t>
      </w:r>
      <w:r>
        <w:rPr>
          <w:sz w:val="24"/>
        </w:rPr>
        <w:t>outlook</w:t>
      </w:r>
      <w:r>
        <w:rPr>
          <w:spacing w:val="-4"/>
          <w:sz w:val="24"/>
        </w:rPr>
        <w:t> </w:t>
      </w:r>
      <w:r>
        <w:rPr>
          <w:sz w:val="24"/>
        </w:rPr>
        <w:t>for</w:t>
      </w:r>
      <w:r>
        <w:rPr>
          <w:spacing w:val="-3"/>
          <w:sz w:val="24"/>
        </w:rPr>
        <w:t> </w:t>
      </w:r>
      <w:r>
        <w:rPr>
          <w:sz w:val="24"/>
        </w:rPr>
        <w:t>interest</w:t>
      </w:r>
      <w:r>
        <w:rPr>
          <w:spacing w:val="-4"/>
          <w:sz w:val="24"/>
        </w:rPr>
        <w:t> </w:t>
      </w:r>
      <w:r>
        <w:rPr>
          <w:sz w:val="24"/>
        </w:rPr>
        <w:t>rates</w:t>
      </w:r>
      <w:r>
        <w:rPr>
          <w:spacing w:val="-3"/>
          <w:sz w:val="24"/>
        </w:rPr>
        <w:t> </w:t>
      </w:r>
      <w:r>
        <w:rPr>
          <w:sz w:val="24"/>
        </w:rPr>
        <w:t>and</w:t>
      </w:r>
      <w:r>
        <w:rPr>
          <w:spacing w:val="-4"/>
          <w:sz w:val="24"/>
        </w:rPr>
        <w:t> </w:t>
      </w:r>
      <w:r>
        <w:rPr>
          <w:sz w:val="24"/>
        </w:rPr>
        <w:t>the</w:t>
      </w:r>
      <w:r>
        <w:rPr>
          <w:spacing w:val="-3"/>
          <w:sz w:val="24"/>
        </w:rPr>
        <w:t> </w:t>
      </w:r>
      <w:r>
        <w:rPr>
          <w:sz w:val="24"/>
        </w:rPr>
        <w:t>housing</w:t>
      </w:r>
      <w:r>
        <w:rPr>
          <w:spacing w:val="-4"/>
          <w:sz w:val="24"/>
        </w:rPr>
        <w:t> </w:t>
      </w:r>
      <w:r>
        <w:rPr>
          <w:sz w:val="24"/>
        </w:rPr>
        <w:t>market</w:t>
      </w:r>
      <w:r>
        <w:rPr>
          <w:spacing w:val="-3"/>
          <w:sz w:val="24"/>
        </w:rPr>
        <w:t> </w:t>
      </w:r>
      <w:r>
        <w:rPr>
          <w:sz w:val="24"/>
        </w:rPr>
        <w:t>might</w:t>
      </w:r>
      <w:r>
        <w:rPr>
          <w:spacing w:val="-4"/>
          <w:sz w:val="24"/>
        </w:rPr>
        <w:t> </w:t>
      </w:r>
      <w:r>
        <w:rPr>
          <w:sz w:val="24"/>
        </w:rPr>
        <w:t>quickly</w:t>
      </w:r>
      <w:r>
        <w:rPr>
          <w:spacing w:val="-3"/>
          <w:sz w:val="24"/>
        </w:rPr>
        <w:t> </w:t>
      </w:r>
      <w:r>
        <w:rPr>
          <w:sz w:val="24"/>
        </w:rPr>
        <w:t>diminish; and rapid household deposit growth. Other important uncertainties included the level of demand relative to potential supply and the inflationary impact of any imbalance; </w:t>
      </w:r>
      <w:r>
        <w:rPr>
          <w:spacing w:val="-3"/>
          <w:sz w:val="24"/>
        </w:rPr>
        <w:t>productivity </w:t>
      </w:r>
      <w:r>
        <w:rPr>
          <w:sz w:val="24"/>
        </w:rPr>
        <w:t>growth in </w:t>
      </w:r>
      <w:r>
        <w:rPr>
          <w:spacing w:val="-2"/>
          <w:sz w:val="24"/>
        </w:rPr>
        <w:t>the </w:t>
      </w:r>
      <w:r>
        <w:rPr>
          <w:sz w:val="24"/>
        </w:rPr>
        <w:t>distribution sector; import prices; oil prices; and euro-area</w:t>
      </w:r>
      <w:r>
        <w:rPr>
          <w:spacing w:val="-16"/>
          <w:sz w:val="24"/>
        </w:rPr>
        <w:t> </w:t>
      </w:r>
      <w:r>
        <w:rPr>
          <w:sz w:val="24"/>
        </w:rPr>
        <w:t>demand.</w:t>
      </w:r>
    </w:p>
    <w:p>
      <w:pPr>
        <w:pStyle w:val="BodyText"/>
        <w:rPr>
          <w:sz w:val="36"/>
        </w:rPr>
      </w:pPr>
    </w:p>
    <w:p>
      <w:pPr>
        <w:pStyle w:val="Heading1"/>
        <w:spacing w:before="1"/>
      </w:pPr>
      <w:r>
        <w:rPr/>
        <w:t>The immediate policy decision</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97" w:firstLine="0"/>
        <w:jc w:val="left"/>
        <w:rPr>
          <w:sz w:val="24"/>
        </w:rPr>
      </w:pPr>
      <w:r>
        <w:rPr>
          <w:spacing w:val="-3"/>
          <w:sz w:val="24"/>
        </w:rPr>
        <w:t>The </w:t>
      </w:r>
      <w:r>
        <w:rPr>
          <w:spacing w:val="-4"/>
          <w:sz w:val="24"/>
        </w:rPr>
        <w:t>outlook </w:t>
      </w:r>
      <w:r>
        <w:rPr>
          <w:spacing w:val="-3"/>
          <w:sz w:val="24"/>
        </w:rPr>
        <w:t>for </w:t>
      </w:r>
      <w:r>
        <w:rPr>
          <w:sz w:val="24"/>
        </w:rPr>
        <w:t>UK-weighted world demand was a little weaker than at the time of the February </w:t>
      </w:r>
      <w:r>
        <w:rPr>
          <w:i/>
          <w:sz w:val="24"/>
        </w:rPr>
        <w:t>Inflation Report</w:t>
      </w:r>
      <w:r>
        <w:rPr>
          <w:sz w:val="24"/>
        </w:rPr>
        <w:t>, while oil spot and futures prices were significantly higher. Equity markets had </w:t>
      </w:r>
      <w:r>
        <w:rPr>
          <w:spacing w:val="-2"/>
          <w:sz w:val="24"/>
        </w:rPr>
        <w:t>fallen </w:t>
      </w:r>
      <w:r>
        <w:rPr>
          <w:sz w:val="24"/>
        </w:rPr>
        <w:t>a little and the sterling ERI had edged higher. </w:t>
      </w:r>
      <w:r>
        <w:rPr>
          <w:spacing w:val="-4"/>
          <w:sz w:val="24"/>
        </w:rPr>
        <w:t>The </w:t>
      </w:r>
      <w:r>
        <w:rPr>
          <w:sz w:val="24"/>
        </w:rPr>
        <w:t>main news since the February </w:t>
      </w:r>
      <w:r>
        <w:rPr>
          <w:i/>
          <w:sz w:val="24"/>
        </w:rPr>
        <w:t>Inflation Report </w:t>
      </w:r>
      <w:r>
        <w:rPr>
          <w:spacing w:val="-4"/>
          <w:sz w:val="24"/>
        </w:rPr>
        <w:t>had </w:t>
      </w:r>
      <w:r>
        <w:rPr>
          <w:sz w:val="24"/>
        </w:rPr>
        <w:t>been domestic: the slowdown in household spending, particularly on consumer durables, and the sharper-than-expected pickup in CPI inflation. </w:t>
      </w:r>
      <w:r>
        <w:rPr>
          <w:spacing w:val="2"/>
          <w:sz w:val="24"/>
        </w:rPr>
        <w:t>The </w:t>
      </w:r>
      <w:r>
        <w:rPr>
          <w:sz w:val="24"/>
        </w:rPr>
        <w:t>degree of tightness of the labour market was little changed. The pace of output growth appeared to have slackened a little, but not to the same extent</w:t>
      </w:r>
      <w:r>
        <w:rPr>
          <w:spacing w:val="-40"/>
          <w:sz w:val="24"/>
        </w:rPr>
        <w:t> </w:t>
      </w:r>
      <w:r>
        <w:rPr>
          <w:sz w:val="24"/>
        </w:rPr>
        <w:t>as</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247" w:right="278"/>
        <w:jc w:val="both"/>
      </w:pPr>
      <w:r>
        <w:rPr/>
        <w:t>the pace of consumption growth. Judging by the sterling yield curve and market intelligence, market participants thought that a change in the repo rate at this meeting was unlikely, and that the perceived probability of one or more rate rises this year had declined since February.</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08" w:firstLine="0"/>
        <w:jc w:val="left"/>
        <w:rPr>
          <w:sz w:val="24"/>
        </w:rPr>
      </w:pPr>
      <w:r>
        <w:rPr>
          <w:spacing w:val="-4"/>
          <w:sz w:val="24"/>
        </w:rPr>
        <w:t>The </w:t>
      </w:r>
      <w:r>
        <w:rPr>
          <w:sz w:val="24"/>
        </w:rPr>
        <w:t>Committee’s May forecast, discussed above, reflected the news in the data. The policy judgement depended not only on the central projection for CPI inflation two years out, but also on the assessment of the many risks, in both the near term and the medium term. There was broad agreement that the two most important concerned the outlook for consumption and the reasons for the recent </w:t>
      </w:r>
      <w:r>
        <w:rPr>
          <w:spacing w:val="3"/>
          <w:sz w:val="24"/>
        </w:rPr>
        <w:t>rise </w:t>
      </w:r>
      <w:r>
        <w:rPr>
          <w:sz w:val="24"/>
        </w:rPr>
        <w:t>in CPI inflation. The forecast embodied judgements that consumption growth was likely to pick up somewhat</w:t>
      </w:r>
      <w:r>
        <w:rPr>
          <w:spacing w:val="-8"/>
          <w:sz w:val="24"/>
        </w:rPr>
        <w:t> </w:t>
      </w:r>
      <w:r>
        <w:rPr>
          <w:sz w:val="24"/>
        </w:rPr>
        <w:t>after</w:t>
      </w:r>
      <w:r>
        <w:rPr>
          <w:spacing w:val="-7"/>
          <w:sz w:val="24"/>
        </w:rPr>
        <w:t> </w:t>
      </w:r>
      <w:r>
        <w:rPr>
          <w:sz w:val="24"/>
        </w:rPr>
        <w:t>a</w:t>
      </w:r>
      <w:r>
        <w:rPr>
          <w:spacing w:val="-7"/>
          <w:sz w:val="24"/>
        </w:rPr>
        <w:t> </w:t>
      </w:r>
      <w:r>
        <w:rPr>
          <w:sz w:val="24"/>
        </w:rPr>
        <w:t>soft</w:t>
      </w:r>
      <w:r>
        <w:rPr>
          <w:spacing w:val="4"/>
          <w:sz w:val="24"/>
        </w:rPr>
        <w:t> </w:t>
      </w:r>
      <w:r>
        <w:rPr>
          <w:sz w:val="24"/>
        </w:rPr>
        <w:t>patch,</w:t>
      </w:r>
      <w:r>
        <w:rPr>
          <w:spacing w:val="-3"/>
          <w:sz w:val="24"/>
        </w:rPr>
        <w:t> </w:t>
      </w:r>
      <w:r>
        <w:rPr>
          <w:sz w:val="24"/>
        </w:rPr>
        <w:t>and</w:t>
      </w:r>
      <w:r>
        <w:rPr>
          <w:spacing w:val="-4"/>
          <w:sz w:val="24"/>
        </w:rPr>
        <w:t> </w:t>
      </w:r>
      <w:r>
        <w:rPr>
          <w:sz w:val="24"/>
        </w:rPr>
        <w:t>that</w:t>
      </w:r>
      <w:r>
        <w:rPr>
          <w:spacing w:val="-5"/>
          <w:sz w:val="24"/>
        </w:rPr>
        <w:t> </w:t>
      </w:r>
      <w:r>
        <w:rPr>
          <w:sz w:val="24"/>
        </w:rPr>
        <w:t>a</w:t>
      </w:r>
      <w:r>
        <w:rPr>
          <w:spacing w:val="-4"/>
          <w:sz w:val="24"/>
        </w:rPr>
        <w:t> </w:t>
      </w:r>
      <w:r>
        <w:rPr>
          <w:sz w:val="24"/>
        </w:rPr>
        <w:t>substantial</w:t>
      </w:r>
      <w:r>
        <w:rPr>
          <w:spacing w:val="-4"/>
          <w:sz w:val="24"/>
        </w:rPr>
        <w:t> </w:t>
      </w:r>
      <w:r>
        <w:rPr>
          <w:sz w:val="24"/>
        </w:rPr>
        <w:t>part</w:t>
      </w:r>
      <w:r>
        <w:rPr>
          <w:spacing w:val="-5"/>
          <w:sz w:val="24"/>
        </w:rPr>
        <w:t> </w:t>
      </w:r>
      <w:r>
        <w:rPr>
          <w:sz w:val="24"/>
        </w:rPr>
        <w:t>of</w:t>
      </w:r>
      <w:r>
        <w:rPr>
          <w:spacing w:val="-4"/>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CPI</w:t>
      </w:r>
      <w:r>
        <w:rPr>
          <w:spacing w:val="-4"/>
          <w:sz w:val="24"/>
        </w:rPr>
        <w:t> </w:t>
      </w:r>
      <w:r>
        <w:rPr>
          <w:sz w:val="24"/>
        </w:rPr>
        <w:t>inflation</w:t>
      </w:r>
      <w:r>
        <w:rPr>
          <w:spacing w:val="-5"/>
          <w:sz w:val="24"/>
        </w:rPr>
        <w:t> </w:t>
      </w:r>
      <w:r>
        <w:rPr>
          <w:sz w:val="24"/>
        </w:rPr>
        <w:t>was</w:t>
      </w:r>
      <w:r>
        <w:rPr>
          <w:spacing w:val="-4"/>
          <w:sz w:val="24"/>
        </w:rPr>
        <w:t> </w:t>
      </w:r>
      <w:r>
        <w:rPr>
          <w:sz w:val="24"/>
        </w:rPr>
        <w:t>due</w:t>
      </w:r>
      <w:r>
        <w:rPr>
          <w:spacing w:val="-4"/>
          <w:sz w:val="24"/>
        </w:rPr>
        <w:t> </w:t>
      </w:r>
      <w:r>
        <w:rPr>
          <w:sz w:val="24"/>
        </w:rPr>
        <w:t>to</w:t>
      </w:r>
      <w:r>
        <w:rPr>
          <w:spacing w:val="-5"/>
          <w:sz w:val="24"/>
        </w:rPr>
        <w:t> </w:t>
      </w:r>
      <w:r>
        <w:rPr>
          <w:sz w:val="24"/>
        </w:rPr>
        <w:t>temporary or one-off factors such as the first-round impact of the rise in the price of oil. There was a risk that consumption growth would not recover as quickly as expected. But there was also a risk that past rises in CPI inflation reflected higher demand relative to supply in the economy than embodied in the forecast or a larger impact on inflation of any given degree of excess demand. As these risks would </w:t>
      </w:r>
      <w:r>
        <w:rPr>
          <w:spacing w:val="-3"/>
          <w:sz w:val="24"/>
        </w:rPr>
        <w:t>have </w:t>
      </w:r>
      <w:r>
        <w:rPr>
          <w:sz w:val="24"/>
        </w:rPr>
        <w:t>opposite implications for the inflation projection were they to materialise, they posed </w:t>
      </w:r>
      <w:r>
        <w:rPr>
          <w:spacing w:val="-2"/>
          <w:sz w:val="24"/>
        </w:rPr>
        <w:t>the </w:t>
      </w:r>
      <w:r>
        <w:rPr>
          <w:sz w:val="24"/>
        </w:rPr>
        <w:t>Committee with a</w:t>
      </w:r>
      <w:r>
        <w:rPr>
          <w:spacing w:val="-4"/>
          <w:sz w:val="24"/>
        </w:rPr>
        <w:t> </w:t>
      </w:r>
      <w:r>
        <w:rPr>
          <w:sz w:val="24"/>
        </w:rPr>
        <w:t>challenge.</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251" w:firstLine="0"/>
        <w:jc w:val="left"/>
        <w:rPr>
          <w:sz w:val="24"/>
        </w:rPr>
      </w:pPr>
      <w:r>
        <w:rPr>
          <w:sz w:val="24"/>
        </w:rPr>
        <w:t>In addition, there was the possibility that increases in retail price </w:t>
      </w:r>
      <w:r>
        <w:rPr>
          <w:spacing w:val="-3"/>
          <w:sz w:val="24"/>
        </w:rPr>
        <w:t>inflation, </w:t>
      </w:r>
      <w:r>
        <w:rPr>
          <w:sz w:val="24"/>
        </w:rPr>
        <w:t>whether driven by an adverse supply shock or excess demand, could dislodge inflation expectations. The recent pickup in inflation</w:t>
      </w:r>
      <w:r>
        <w:rPr>
          <w:spacing w:val="-4"/>
          <w:sz w:val="24"/>
        </w:rPr>
        <w:t> </w:t>
      </w:r>
      <w:r>
        <w:rPr>
          <w:sz w:val="24"/>
        </w:rPr>
        <w:t>had</w:t>
      </w:r>
      <w:r>
        <w:rPr>
          <w:spacing w:val="-4"/>
          <w:sz w:val="24"/>
        </w:rPr>
        <w:t> </w:t>
      </w:r>
      <w:r>
        <w:rPr>
          <w:sz w:val="24"/>
        </w:rPr>
        <w:t>been</w:t>
      </w:r>
      <w:r>
        <w:rPr>
          <w:spacing w:val="-4"/>
          <w:sz w:val="24"/>
        </w:rPr>
        <w:t> </w:t>
      </w:r>
      <w:r>
        <w:rPr>
          <w:sz w:val="24"/>
        </w:rPr>
        <w:t>small</w:t>
      </w:r>
      <w:r>
        <w:rPr>
          <w:spacing w:val="-4"/>
          <w:sz w:val="24"/>
        </w:rPr>
        <w:t> </w:t>
      </w:r>
      <w:r>
        <w:rPr>
          <w:sz w:val="24"/>
        </w:rPr>
        <w:t>in</w:t>
      </w:r>
      <w:r>
        <w:rPr>
          <w:spacing w:val="-4"/>
          <w:sz w:val="24"/>
        </w:rPr>
        <w:t> </w:t>
      </w:r>
      <w:r>
        <w:rPr>
          <w:sz w:val="24"/>
        </w:rPr>
        <w:t>a</w:t>
      </w:r>
      <w:r>
        <w:rPr>
          <w:spacing w:val="-3"/>
          <w:sz w:val="24"/>
        </w:rPr>
        <w:t> </w:t>
      </w:r>
      <w:r>
        <w:rPr>
          <w:sz w:val="24"/>
        </w:rPr>
        <w:t>longer-term</w:t>
      </w:r>
      <w:r>
        <w:rPr>
          <w:spacing w:val="-6"/>
          <w:sz w:val="24"/>
        </w:rPr>
        <w:t> </w:t>
      </w:r>
      <w:r>
        <w:rPr>
          <w:sz w:val="24"/>
        </w:rPr>
        <w:t>historical</w:t>
      </w:r>
      <w:r>
        <w:rPr>
          <w:spacing w:val="-6"/>
          <w:sz w:val="24"/>
        </w:rPr>
        <w:t> </w:t>
      </w:r>
      <w:r>
        <w:rPr>
          <w:sz w:val="24"/>
        </w:rPr>
        <w:t>perspective,</w:t>
      </w:r>
      <w:r>
        <w:rPr>
          <w:spacing w:val="-5"/>
          <w:sz w:val="24"/>
        </w:rPr>
        <w:t> </w:t>
      </w:r>
      <w:r>
        <w:rPr>
          <w:sz w:val="24"/>
        </w:rPr>
        <w:t>but</w:t>
      </w:r>
      <w:r>
        <w:rPr>
          <w:spacing w:val="-6"/>
          <w:sz w:val="24"/>
        </w:rPr>
        <w:t> </w:t>
      </w:r>
      <w:r>
        <w:rPr>
          <w:sz w:val="24"/>
        </w:rPr>
        <w:t>the</w:t>
      </w:r>
      <w:r>
        <w:rPr>
          <w:spacing w:val="-6"/>
          <w:sz w:val="24"/>
        </w:rPr>
        <w:t> </w:t>
      </w:r>
      <w:r>
        <w:rPr>
          <w:sz w:val="24"/>
        </w:rPr>
        <w:t>exceptionally</w:t>
      </w:r>
      <w:r>
        <w:rPr>
          <w:spacing w:val="-5"/>
          <w:sz w:val="24"/>
        </w:rPr>
        <w:t> </w:t>
      </w:r>
      <w:r>
        <w:rPr>
          <w:sz w:val="24"/>
        </w:rPr>
        <w:t>low</w:t>
      </w:r>
      <w:r>
        <w:rPr>
          <w:spacing w:val="-6"/>
          <w:sz w:val="24"/>
        </w:rPr>
        <w:t> </w:t>
      </w:r>
      <w:r>
        <w:rPr>
          <w:sz w:val="24"/>
        </w:rPr>
        <w:t>volatility</w:t>
      </w:r>
      <w:r>
        <w:rPr>
          <w:spacing w:val="-6"/>
          <w:sz w:val="24"/>
        </w:rPr>
        <w:t> </w:t>
      </w:r>
      <w:r>
        <w:rPr>
          <w:sz w:val="24"/>
        </w:rPr>
        <w:t>of inflation in the past few years might have generated unrealistic expectations of the degree of inflation stability that could be achieved. However, there was little sign that inflation expectations were in danger of moving significantly away from the target in either direction, and inflation was currently close to target, so there was some scope to accommodate the first-round effects of the oil price rise. That would avoid exacerbating the near-term downside risk to output. If the first-round price effects of the adverse supply shock from oil were followed by second-round wage and price increases, </w:t>
      </w:r>
      <w:r>
        <w:rPr>
          <w:spacing w:val="-6"/>
          <w:sz w:val="24"/>
        </w:rPr>
        <w:t>the </w:t>
      </w:r>
      <w:r>
        <w:rPr>
          <w:sz w:val="24"/>
        </w:rPr>
        <w:t>Committee could then adjust the policy stance</w:t>
      </w:r>
      <w:r>
        <w:rPr>
          <w:spacing w:val="-5"/>
          <w:sz w:val="24"/>
        </w:rPr>
        <w:t> </w:t>
      </w:r>
      <w:r>
        <w:rPr>
          <w:sz w:val="24"/>
        </w:rPr>
        <w:t>accordingly.</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7" w:right="207" w:firstLine="0"/>
        <w:jc w:val="left"/>
        <w:rPr>
          <w:sz w:val="24"/>
        </w:rPr>
      </w:pPr>
      <w:r>
        <w:rPr>
          <w:sz w:val="24"/>
        </w:rPr>
        <w:t>Although the Committee’s best collective judgement was that the risks to CPI inflation were broadly balanced, there was a range of views among members. It was not yet clear which of the two key risks set out in paragraph 35 was the more likely to crystallise. For most members of </w:t>
      </w:r>
      <w:r>
        <w:rPr>
          <w:spacing w:val="-2"/>
          <w:sz w:val="24"/>
        </w:rPr>
        <w:t>the </w:t>
      </w:r>
      <w:r>
        <w:rPr>
          <w:sz w:val="24"/>
        </w:rPr>
        <w:t>Committee,</w:t>
      </w:r>
      <w:r>
        <w:rPr>
          <w:spacing w:val="-6"/>
          <w:sz w:val="24"/>
        </w:rPr>
        <w:t> </w:t>
      </w:r>
      <w:r>
        <w:rPr>
          <w:sz w:val="24"/>
        </w:rPr>
        <w:t>the</w:t>
      </w:r>
      <w:r>
        <w:rPr>
          <w:spacing w:val="-5"/>
          <w:sz w:val="24"/>
        </w:rPr>
        <w:t> </w:t>
      </w:r>
      <w:r>
        <w:rPr>
          <w:sz w:val="24"/>
        </w:rPr>
        <w:t>outlook</w:t>
      </w:r>
      <w:r>
        <w:rPr>
          <w:spacing w:val="-5"/>
          <w:sz w:val="24"/>
        </w:rPr>
        <w:t> </w:t>
      </w:r>
      <w:r>
        <w:rPr>
          <w:sz w:val="24"/>
        </w:rPr>
        <w:t>for</w:t>
      </w:r>
      <w:r>
        <w:rPr>
          <w:spacing w:val="-5"/>
          <w:sz w:val="24"/>
        </w:rPr>
        <w:t> </w:t>
      </w:r>
      <w:r>
        <w:rPr>
          <w:sz w:val="24"/>
        </w:rPr>
        <w:t>inflation</w:t>
      </w:r>
      <w:r>
        <w:rPr>
          <w:spacing w:val="-5"/>
          <w:sz w:val="24"/>
        </w:rPr>
        <w:t> </w:t>
      </w:r>
      <w:r>
        <w:rPr>
          <w:sz w:val="24"/>
        </w:rPr>
        <w:t>contained</w:t>
      </w:r>
      <w:r>
        <w:rPr>
          <w:spacing w:val="-5"/>
          <w:sz w:val="24"/>
        </w:rPr>
        <w:t> </w:t>
      </w:r>
      <w:r>
        <w:rPr>
          <w:sz w:val="24"/>
        </w:rPr>
        <w:t>in</w:t>
      </w:r>
      <w:r>
        <w:rPr>
          <w:spacing w:val="-4"/>
          <w:sz w:val="24"/>
        </w:rPr>
        <w:t> </w:t>
      </w:r>
      <w:r>
        <w:rPr>
          <w:sz w:val="24"/>
        </w:rPr>
        <w:t>the</w:t>
      </w:r>
      <w:r>
        <w:rPr>
          <w:spacing w:val="-5"/>
          <w:sz w:val="24"/>
        </w:rPr>
        <w:t> </w:t>
      </w:r>
      <w:r>
        <w:rPr>
          <w:sz w:val="24"/>
        </w:rPr>
        <w:t>May</w:t>
      </w:r>
      <w:r>
        <w:rPr>
          <w:spacing w:val="6"/>
          <w:sz w:val="24"/>
        </w:rPr>
        <w:t> </w:t>
      </w:r>
      <w:r>
        <w:rPr>
          <w:i/>
          <w:sz w:val="24"/>
        </w:rPr>
        <w:t>Inflation</w:t>
      </w:r>
      <w:r>
        <w:rPr>
          <w:i/>
          <w:spacing w:val="-4"/>
          <w:sz w:val="24"/>
        </w:rPr>
        <w:t> </w:t>
      </w:r>
      <w:r>
        <w:rPr>
          <w:i/>
          <w:sz w:val="24"/>
        </w:rPr>
        <w:t>Report</w:t>
      </w:r>
      <w:r>
        <w:rPr>
          <w:i/>
          <w:spacing w:val="-4"/>
          <w:sz w:val="24"/>
        </w:rPr>
        <w:t> </w:t>
      </w:r>
      <w:r>
        <w:rPr>
          <w:sz w:val="24"/>
        </w:rPr>
        <w:t>projections</w:t>
      </w:r>
      <w:r>
        <w:rPr>
          <w:spacing w:val="-10"/>
          <w:sz w:val="24"/>
        </w:rPr>
        <w:t> </w:t>
      </w:r>
      <w:r>
        <w:rPr>
          <w:sz w:val="24"/>
        </w:rPr>
        <w:t>implied</w:t>
      </w:r>
      <w:r>
        <w:rPr>
          <w:spacing w:val="-11"/>
          <w:sz w:val="24"/>
        </w:rPr>
        <w:t> </w:t>
      </w:r>
      <w:r>
        <w:rPr>
          <w:sz w:val="24"/>
        </w:rPr>
        <w:t>that</w:t>
      </w:r>
      <w:r>
        <w:rPr>
          <w:spacing w:val="13"/>
          <w:sz w:val="24"/>
        </w:rPr>
        <w:t> </w:t>
      </w:r>
      <w:r>
        <w:rPr>
          <w:spacing w:val="-6"/>
          <w:sz w:val="24"/>
        </w:rPr>
        <w:t>no </w:t>
      </w:r>
      <w:r>
        <w:rPr>
          <w:sz w:val="24"/>
        </w:rPr>
        <w:t>change in the repo rate was necessary this</w:t>
      </w:r>
      <w:r>
        <w:rPr>
          <w:spacing w:val="5"/>
          <w:sz w:val="24"/>
        </w:rPr>
        <w:t> </w:t>
      </w:r>
      <w:r>
        <w:rPr>
          <w:sz w:val="24"/>
        </w:rPr>
        <w:t>month.</w:t>
      </w:r>
    </w:p>
    <w:p>
      <w:pPr>
        <w:spacing w:after="0" w:line="360" w:lineRule="auto"/>
        <w:jc w:val="left"/>
        <w:rPr>
          <w:sz w:val="24"/>
        </w:rPr>
        <w:sectPr>
          <w:pgSz w:w="11900" w:h="16840"/>
          <w:pgMar w:header="1134" w:footer="0" w:top="1380" w:bottom="280" w:left="88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7" w:right="254" w:firstLine="0"/>
        <w:jc w:val="left"/>
        <w:rPr>
          <w:sz w:val="24"/>
        </w:rPr>
      </w:pPr>
      <w:r>
        <w:rPr>
          <w:sz w:val="24"/>
        </w:rPr>
        <w:t>For one member, compared with February, the most likely prospect for inflation was slightly lower at around two years, reflecting slightly weaker pressure of demand on resources given the slowdown in consumption and a change in the expected mix of public spending. With continuing evidence of high capacity utilisation and a tight labour market, the medium-term balance of risks to inflation nevertheless remained on the upside, so that the market’s expected path for the policy rate might prove overly accommodative. But in the near term there were downside risks to consumption </w:t>
      </w:r>
      <w:r>
        <w:rPr>
          <w:spacing w:val="-4"/>
          <w:sz w:val="24"/>
        </w:rPr>
        <w:t>and </w:t>
      </w:r>
      <w:r>
        <w:rPr>
          <w:sz w:val="24"/>
        </w:rPr>
        <w:t>so to output growth, which if they were to crystallise would alter the </w:t>
      </w:r>
      <w:r>
        <w:rPr>
          <w:spacing w:val="-3"/>
          <w:sz w:val="24"/>
        </w:rPr>
        <w:t>medium-term </w:t>
      </w:r>
      <w:r>
        <w:rPr>
          <w:sz w:val="24"/>
        </w:rPr>
        <w:t>prospect somewhat. The immediate policy decision turned on balancing the medium-term upside risks against the near-term downside risks. With inflation expectations currently well anchored around the target, the near-term risks warranted maintaining an unchanged official rate this month, while remaining ready to act to offset incipient inflation</w:t>
      </w:r>
      <w:r>
        <w:rPr>
          <w:spacing w:val="3"/>
          <w:sz w:val="24"/>
        </w:rPr>
        <w:t> </w:t>
      </w:r>
      <w:r>
        <w:rPr>
          <w:sz w:val="24"/>
        </w:rPr>
        <w:t>pressures.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22" w:firstLine="0"/>
        <w:jc w:val="left"/>
        <w:rPr>
          <w:sz w:val="24"/>
        </w:rPr>
      </w:pPr>
      <w:r>
        <w:rPr>
          <w:sz w:val="24"/>
        </w:rPr>
        <w:t>For another member, the balance of risks to the inflation projection </w:t>
      </w:r>
      <w:r>
        <w:rPr>
          <w:spacing w:val="4"/>
          <w:sz w:val="24"/>
        </w:rPr>
        <w:t>was </w:t>
      </w:r>
      <w:r>
        <w:rPr>
          <w:sz w:val="24"/>
        </w:rPr>
        <w:t>sufficiently on </w:t>
      </w:r>
      <w:r>
        <w:rPr>
          <w:spacing w:val="-2"/>
          <w:sz w:val="24"/>
        </w:rPr>
        <w:t>the </w:t>
      </w:r>
      <w:r>
        <w:rPr>
          <w:sz w:val="24"/>
        </w:rPr>
        <w:t>upside that a small rise in the repo rate was still justified. In particular, the impacts of sterling appreciation and equity price falls might have been overestimated; in the United States, inflationary pressures were appearing and the economy seemed quite resilient; surveys of UK consumers suggested future consumption strength; the pickup in output price inflation in April together with rising import prices could presage greater pass-through to retail prices; </w:t>
      </w:r>
      <w:r>
        <w:rPr>
          <w:spacing w:val="-4"/>
          <w:sz w:val="24"/>
        </w:rPr>
        <w:t>the </w:t>
      </w:r>
      <w:r>
        <w:rPr>
          <w:sz w:val="24"/>
        </w:rPr>
        <w:t>succession of stronger- than-expected CPI outturns suggested that demand was higher relative to supply than had been expected; and second-round wage and price increases could not be ruled out. A rise in the repo rate would</w:t>
      </w:r>
      <w:r>
        <w:rPr>
          <w:spacing w:val="-6"/>
          <w:sz w:val="24"/>
        </w:rPr>
        <w:t> </w:t>
      </w:r>
      <w:r>
        <w:rPr>
          <w:sz w:val="24"/>
        </w:rPr>
        <w:t>also</w:t>
      </w:r>
      <w:r>
        <w:rPr>
          <w:spacing w:val="-6"/>
          <w:sz w:val="24"/>
        </w:rPr>
        <w:t> </w:t>
      </w:r>
      <w:r>
        <w:rPr>
          <w:sz w:val="24"/>
        </w:rPr>
        <w:t>help</w:t>
      </w:r>
      <w:r>
        <w:rPr>
          <w:spacing w:val="-5"/>
          <w:sz w:val="24"/>
        </w:rPr>
        <w:t> </w:t>
      </w:r>
      <w:r>
        <w:rPr>
          <w:sz w:val="24"/>
        </w:rPr>
        <w:t>to</w:t>
      </w:r>
      <w:r>
        <w:rPr>
          <w:spacing w:val="-6"/>
          <w:sz w:val="24"/>
        </w:rPr>
        <w:t> </w:t>
      </w:r>
      <w:r>
        <w:rPr>
          <w:sz w:val="24"/>
        </w:rPr>
        <w:t>slow</w:t>
      </w:r>
      <w:r>
        <w:rPr>
          <w:spacing w:val="-6"/>
          <w:sz w:val="24"/>
        </w:rPr>
        <w:t> </w:t>
      </w:r>
      <w:r>
        <w:rPr>
          <w:sz w:val="24"/>
        </w:rPr>
        <w:t>households’</w:t>
      </w:r>
      <w:r>
        <w:rPr>
          <w:spacing w:val="-5"/>
          <w:sz w:val="24"/>
        </w:rPr>
        <w:t> </w:t>
      </w:r>
      <w:r>
        <w:rPr>
          <w:sz w:val="24"/>
        </w:rPr>
        <w:t>persistently</w:t>
      </w:r>
      <w:r>
        <w:rPr>
          <w:spacing w:val="-7"/>
          <w:sz w:val="24"/>
        </w:rPr>
        <w:t> </w:t>
      </w:r>
      <w:r>
        <w:rPr>
          <w:sz w:val="24"/>
        </w:rPr>
        <w:t>rapid</w:t>
      </w:r>
      <w:r>
        <w:rPr>
          <w:spacing w:val="-10"/>
          <w:sz w:val="24"/>
        </w:rPr>
        <w:t> </w:t>
      </w:r>
      <w:r>
        <w:rPr>
          <w:sz w:val="24"/>
        </w:rPr>
        <w:t>accumulation</w:t>
      </w:r>
      <w:r>
        <w:rPr>
          <w:spacing w:val="-10"/>
          <w:sz w:val="24"/>
        </w:rPr>
        <w:t> </w:t>
      </w:r>
      <w:r>
        <w:rPr>
          <w:sz w:val="24"/>
        </w:rPr>
        <w:t>of</w:t>
      </w:r>
      <w:r>
        <w:rPr>
          <w:spacing w:val="11"/>
          <w:sz w:val="24"/>
        </w:rPr>
        <w:t> </w:t>
      </w:r>
      <w:r>
        <w:rPr>
          <w:sz w:val="24"/>
        </w:rPr>
        <w:t>unsecured</w:t>
      </w:r>
      <w:r>
        <w:rPr>
          <w:spacing w:val="-5"/>
          <w:sz w:val="24"/>
        </w:rPr>
        <w:t> </w:t>
      </w:r>
      <w:r>
        <w:rPr>
          <w:sz w:val="24"/>
        </w:rPr>
        <w:t>debt,</w:t>
      </w:r>
      <w:r>
        <w:rPr>
          <w:spacing w:val="-8"/>
          <w:sz w:val="24"/>
        </w:rPr>
        <w:t> </w:t>
      </w:r>
      <w:r>
        <w:rPr>
          <w:sz w:val="24"/>
        </w:rPr>
        <w:t>hence</w:t>
      </w:r>
      <w:r>
        <w:rPr>
          <w:spacing w:val="-7"/>
          <w:sz w:val="24"/>
        </w:rPr>
        <w:t> </w:t>
      </w:r>
      <w:r>
        <w:rPr>
          <w:sz w:val="24"/>
        </w:rPr>
        <w:t>reducing the risk of a sharp fall in demand at </w:t>
      </w:r>
      <w:r>
        <w:rPr>
          <w:spacing w:val="-6"/>
          <w:sz w:val="24"/>
        </w:rPr>
        <w:t>some </w:t>
      </w:r>
      <w:r>
        <w:rPr>
          <w:sz w:val="24"/>
        </w:rPr>
        <w:t>later</w:t>
      </w:r>
      <w:r>
        <w:rPr>
          <w:spacing w:val="-41"/>
          <w:sz w:val="24"/>
        </w:rPr>
        <w:t> </w:t>
      </w:r>
      <w:r>
        <w:rPr>
          <w:sz w:val="24"/>
        </w:rPr>
        <w:t>date.</w:t>
      </w:r>
    </w:p>
    <w:p>
      <w:pPr>
        <w:pStyle w:val="BodyText"/>
        <w:spacing w:before="6"/>
        <w:rPr>
          <w:sz w:val="36"/>
        </w:rPr>
      </w:pPr>
    </w:p>
    <w:p>
      <w:pPr>
        <w:pStyle w:val="ListParagraph"/>
        <w:numPr>
          <w:ilvl w:val="0"/>
          <w:numId w:val="1"/>
        </w:numPr>
        <w:tabs>
          <w:tab w:pos="811" w:val="left" w:leader="none"/>
          <w:tab w:pos="812" w:val="left" w:leader="none"/>
        </w:tabs>
        <w:spacing w:line="357" w:lineRule="auto" w:before="1" w:after="0"/>
        <w:ind w:left="247" w:right="125" w:firstLine="0"/>
        <w:jc w:val="left"/>
        <w:rPr>
          <w:sz w:val="24"/>
        </w:rPr>
      </w:pPr>
      <w:r>
        <w:rPr>
          <w:sz w:val="24"/>
        </w:rPr>
        <w:t>The Governor invited members to vote on the proposition that the repo rate should be</w:t>
      </w:r>
      <w:r>
        <w:rPr>
          <w:spacing w:val="-32"/>
          <w:sz w:val="24"/>
        </w:rPr>
        <w:t> </w:t>
      </w:r>
      <w:r>
        <w:rPr>
          <w:sz w:val="24"/>
        </w:rPr>
        <w:t>maintained at 4.75%.  Eight members of the Committee (the Governor, Rachel Lomax, Kate Barker, Charles Bean, Marian Bell, Richard Lambert, Stephen Nickell and Paul Tucker) voted in favour. Andrew Large voted against, preferring a rise in the repo rate of 25 basis</w:t>
      </w:r>
      <w:r>
        <w:rPr>
          <w:spacing w:val="-23"/>
          <w:sz w:val="24"/>
        </w:rPr>
        <w:t> </w:t>
      </w:r>
      <w:r>
        <w:rPr>
          <w:sz w:val="24"/>
        </w:rPr>
        <w:t>points.</w:t>
      </w:r>
    </w:p>
    <w:p>
      <w:pPr>
        <w:pStyle w:val="ListParagraph"/>
        <w:numPr>
          <w:ilvl w:val="0"/>
          <w:numId w:val="1"/>
        </w:numPr>
        <w:tabs>
          <w:tab w:pos="811" w:val="left" w:leader="none"/>
          <w:tab w:pos="812" w:val="left" w:leader="none"/>
        </w:tabs>
        <w:spacing w:line="550" w:lineRule="atLeast" w:before="133" w:after="0"/>
        <w:ind w:left="24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247" w:right="3155"/>
      </w:pPr>
      <w:r>
        <w:rPr/>
        <w:t>Rachel Lomax, Deputy Governor responsible for monetary policy Andrew Large, Deputy Governor responsible for financial stability Kate Barker</w:t>
      </w:r>
    </w:p>
    <w:p>
      <w:pPr>
        <w:pStyle w:val="BodyText"/>
        <w:ind w:left="247"/>
      </w:pPr>
      <w:r>
        <w:rPr/>
        <w:t>Charles Bean</w:t>
      </w:r>
    </w:p>
    <w:p>
      <w:pPr>
        <w:spacing w:after="0"/>
        <w:sectPr>
          <w:pgSz w:w="11900" w:h="16840"/>
          <w:pgMar w:header="1134" w:footer="0" w:top="1380" w:bottom="280" w:left="880" w:right="760"/>
        </w:sectPr>
      </w:pPr>
    </w:p>
    <w:p>
      <w:pPr>
        <w:pStyle w:val="BodyText"/>
        <w:rPr>
          <w:sz w:val="20"/>
        </w:rPr>
      </w:pPr>
    </w:p>
    <w:p>
      <w:pPr>
        <w:pStyle w:val="BodyText"/>
        <w:rPr>
          <w:sz w:val="20"/>
        </w:rPr>
      </w:pPr>
    </w:p>
    <w:p>
      <w:pPr>
        <w:pStyle w:val="BodyText"/>
        <w:spacing w:before="1"/>
        <w:rPr>
          <w:sz w:val="23"/>
        </w:rPr>
      </w:pPr>
    </w:p>
    <w:p>
      <w:pPr>
        <w:pStyle w:val="BodyText"/>
        <w:spacing w:before="90"/>
        <w:ind w:left="247" w:right="8360"/>
      </w:pPr>
      <w:r>
        <w:rPr/>
        <w:t>Marian Bell Richard Lambert Stephen Nickell Paul Tucker</w:t>
      </w:r>
    </w:p>
    <w:p>
      <w:pPr>
        <w:pStyle w:val="BodyText"/>
      </w:pPr>
    </w:p>
    <w:p>
      <w:pPr>
        <w:pStyle w:val="BodyText"/>
        <w:ind w:left="247"/>
      </w:pPr>
      <w:r>
        <w:rPr/>
        <w:t>Jon Cunliffe was present as the Treasury representative.</w:t>
      </w:r>
    </w:p>
    <w:sectPr>
      <w:pgSz w:w="11900" w:h="16840"/>
      <w:pgMar w:header="1134" w:footer="0" w:top="1380" w:bottom="280" w:left="8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902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8" w:hanging="564"/>
        <w:jc w:val="left"/>
      </w:pPr>
      <w:rPr>
        <w:rFonts w:hint="default" w:ascii="Times New Roman" w:hAnsi="Times New Roman" w:eastAsia="Times New Roman" w:cs="Times New Roman"/>
        <w:spacing w:val="-19"/>
        <w:w w:val="99"/>
        <w:sz w:val="24"/>
        <w:szCs w:val="24"/>
      </w:rPr>
    </w:lvl>
    <w:lvl w:ilvl="1">
      <w:start w:val="0"/>
      <w:numFmt w:val="bullet"/>
      <w:lvlText w:val="•"/>
      <w:lvlJc w:val="left"/>
      <w:pPr>
        <w:ind w:left="1242" w:hanging="564"/>
      </w:pPr>
      <w:rPr>
        <w:rFonts w:hint="default"/>
      </w:rPr>
    </w:lvl>
    <w:lvl w:ilvl="2">
      <w:start w:val="0"/>
      <w:numFmt w:val="bullet"/>
      <w:lvlText w:val="•"/>
      <w:lvlJc w:val="left"/>
      <w:pPr>
        <w:ind w:left="2244" w:hanging="564"/>
      </w:pPr>
      <w:rPr>
        <w:rFonts w:hint="default"/>
      </w:rPr>
    </w:lvl>
    <w:lvl w:ilvl="3">
      <w:start w:val="0"/>
      <w:numFmt w:val="bullet"/>
      <w:lvlText w:val="•"/>
      <w:lvlJc w:val="left"/>
      <w:pPr>
        <w:ind w:left="3246" w:hanging="564"/>
      </w:pPr>
      <w:rPr>
        <w:rFonts w:hint="default"/>
      </w:rPr>
    </w:lvl>
    <w:lvl w:ilvl="4">
      <w:start w:val="0"/>
      <w:numFmt w:val="bullet"/>
      <w:lvlText w:val="•"/>
      <w:lvlJc w:val="left"/>
      <w:pPr>
        <w:ind w:left="4248" w:hanging="564"/>
      </w:pPr>
      <w:rPr>
        <w:rFonts w:hint="default"/>
      </w:rPr>
    </w:lvl>
    <w:lvl w:ilvl="5">
      <w:start w:val="0"/>
      <w:numFmt w:val="bullet"/>
      <w:lvlText w:val="•"/>
      <w:lvlJc w:val="left"/>
      <w:pPr>
        <w:ind w:left="5250" w:hanging="564"/>
      </w:pPr>
      <w:rPr>
        <w:rFonts w:hint="default"/>
      </w:rPr>
    </w:lvl>
    <w:lvl w:ilvl="6">
      <w:start w:val="0"/>
      <w:numFmt w:val="bullet"/>
      <w:lvlText w:val="•"/>
      <w:lvlJc w:val="left"/>
      <w:pPr>
        <w:ind w:left="6252" w:hanging="564"/>
      </w:pPr>
      <w:rPr>
        <w:rFonts w:hint="default"/>
      </w:rPr>
    </w:lvl>
    <w:lvl w:ilvl="7">
      <w:start w:val="0"/>
      <w:numFmt w:val="bullet"/>
      <w:lvlText w:val="•"/>
      <w:lvlJc w:val="left"/>
      <w:pPr>
        <w:ind w:left="7254" w:hanging="564"/>
      </w:pPr>
      <w:rPr>
        <w:rFonts w:hint="default"/>
      </w:rPr>
    </w:lvl>
    <w:lvl w:ilvl="8">
      <w:start w:val="0"/>
      <w:numFmt w:val="bullet"/>
      <w:lvlText w:val="•"/>
      <w:lvlJc w:val="left"/>
      <w:pPr>
        <w:ind w:left="825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47"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- 6 and 9 May 2005</dc:title>
  <dcterms:created xsi:type="dcterms:W3CDTF">2020-06-01T02:14:36Z</dcterms:created>
  <dcterms:modified xsi:type="dcterms:W3CDTF">2020-06-01T02:14:36Z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2005-05-17T00:00:00Z</vt:filetime>
  </property>
  <property fmtid="{D5CDD505-2E9C-101B-9397-08002B2CF9AE}" pid="3" name="Creator">
    <vt:lpwstr>PScript5.dll Version 5.2</vt:lpwstr>
  </property>
  <property fmtid="{D5CDD505-2E9C-101B-9397-08002B2CF9AE}" pid="4" name="LastSaved">
    <vt:filetime>2020-06-01T00:00:00Z</vt:filetime>
  </property>
</Properties>
</file>