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35" w:right="0" w:firstLine="0"/>
        <w:jc w:val="left"/>
        <w:rPr>
          <w:rFonts w:ascii="Book Antiqua"/>
          <w:sz w:val="36"/>
        </w:rPr>
      </w:pPr>
      <w:r>
        <w:rPr>
          <w:rFonts w:ascii="Book Antiqua"/>
          <w:sz w:val="36"/>
        </w:rPr>
        <w:t>Publication date: 21 December 2005</w:t>
      </w:r>
    </w:p>
    <w:p>
      <w:pPr>
        <w:pStyle w:val="BodyText"/>
        <w:rPr>
          <w:rFonts w:ascii="Book Antiqua"/>
          <w:sz w:val="20"/>
        </w:rPr>
      </w:pPr>
    </w:p>
    <w:p>
      <w:pPr>
        <w:pStyle w:val="BodyText"/>
        <w:spacing w:before="11"/>
        <w:rPr>
          <w:rFonts w:ascii="Book Antiqua"/>
          <w:sz w:val="10"/>
        </w:rPr>
      </w:pPr>
      <w:r>
        <w:rPr/>
        <w:pict>
          <v:group style="position:absolute;margin-left:49.5pt;margin-top:8.755078pt;width:495pt;height:4.5pt;mso-position-horizontal-relative:page;mso-position-vertical-relative:paragraph;z-index:-251658240;mso-wrap-distance-left:0;mso-wrap-distance-right:0" coordorigin="990,175" coordsize="9900,90">
            <v:line style="position:absolute" from="990,205" to="10890,205" stroked="true" strokeweight="3pt" strokecolor="#000000">
              <v:stroke dashstyle="solid"/>
            </v:line>
            <v:line style="position:absolute" from="990,258" to="10890,258" stroked="true" strokeweight=".75pt" strokecolor="#000000">
              <v:stroke dashstyle="solid"/>
            </v:line>
            <w10:wrap type="topAndBottom"/>
          </v:group>
        </w:pict>
      </w:r>
    </w:p>
    <w:p>
      <w:pPr>
        <w:spacing w:line="244" w:lineRule="auto" w:before="89"/>
        <w:ind w:left="1975" w:right="1923" w:firstLine="0"/>
        <w:jc w:val="center"/>
        <w:rPr>
          <w:rFonts w:ascii="Book Antiqua"/>
          <w:b/>
          <w:sz w:val="55"/>
        </w:rPr>
      </w:pPr>
      <w:r>
        <w:rPr>
          <w:rFonts w:ascii="Book Antiqua"/>
          <w:b/>
          <w:sz w:val="48"/>
        </w:rPr>
        <w:t>MINUTES OF </w:t>
      </w:r>
      <w:r>
        <w:rPr>
          <w:rFonts w:ascii="Book Antiqua"/>
          <w:b/>
          <w:spacing w:val="2"/>
          <w:sz w:val="55"/>
        </w:rPr>
        <w:t>MONETARY </w:t>
      </w:r>
      <w:r>
        <w:rPr>
          <w:rFonts w:ascii="Book Antiqua"/>
          <w:b/>
          <w:spacing w:val="3"/>
          <w:sz w:val="55"/>
        </w:rPr>
        <w:t>POLICY </w:t>
      </w:r>
      <w:r>
        <w:rPr>
          <w:rFonts w:ascii="Book Antiqua"/>
          <w:b/>
          <w:spacing w:val="2"/>
          <w:sz w:val="55"/>
        </w:rPr>
        <w:t>COMMITTEE</w:t>
      </w:r>
      <w:r>
        <w:rPr>
          <w:rFonts w:ascii="Book Antiqua"/>
          <w:b/>
          <w:spacing w:val="67"/>
          <w:sz w:val="55"/>
        </w:rPr>
        <w:t> </w:t>
      </w:r>
      <w:r>
        <w:rPr>
          <w:rFonts w:ascii="Book Antiqua"/>
          <w:b/>
          <w:sz w:val="55"/>
        </w:rPr>
        <w:t>MEETING</w:t>
      </w:r>
    </w:p>
    <w:p>
      <w:pPr>
        <w:spacing w:before="82"/>
        <w:ind w:left="1975" w:right="1910" w:firstLine="0"/>
        <w:jc w:val="center"/>
        <w:rPr>
          <w:rFonts w:ascii="Book Antiqua"/>
          <w:b/>
          <w:sz w:val="48"/>
        </w:rPr>
      </w:pPr>
      <w:r>
        <w:rPr>
          <w:rFonts w:ascii="Book Antiqua"/>
          <w:b/>
          <w:sz w:val="48"/>
        </w:rPr>
        <w:t>7 and 8 December 2005</w:t>
      </w:r>
    </w:p>
    <w:p>
      <w:pPr>
        <w:pStyle w:val="BodyText"/>
        <w:spacing w:before="3"/>
        <w:rPr>
          <w:rFonts w:ascii="Book Antiqua"/>
          <w:b/>
          <w:sz w:val="17"/>
        </w:rPr>
      </w:pPr>
      <w:r>
        <w:rPr/>
        <w:pict>
          <v:group style="position:absolute;margin-left:49.5pt;margin-top:12.396865pt;width:495pt;height:4.5pt;mso-position-horizontal-relative:page;mso-position-vertical-relative:paragraph;z-index:-251657216;mso-wrap-distance-left:0;mso-wrap-distance-right:0" coordorigin="990,248" coordsize="9900,90">
            <v:line style="position:absolute" from="990,255" to="10890,255" stroked="true" strokeweight=".75pt" strokecolor="#000000">
              <v:stroke dashstyle="solid"/>
            </v:line>
            <v:line style="position:absolute" from="990,315" to="10890,315" stroked="true" strokeweight="2.25pt" strokecolor="#000000">
              <v:stroke dashstyle="solid"/>
            </v:line>
            <w10:wrap type="topAndBottom"/>
          </v:group>
        </w:pict>
      </w:r>
    </w:p>
    <w:p>
      <w:pPr>
        <w:pStyle w:val="BodyText"/>
        <w:rPr>
          <w:rFonts w:ascii="Book Antiqua"/>
          <w:b/>
          <w:sz w:val="56"/>
        </w:rPr>
      </w:pPr>
    </w:p>
    <w:p>
      <w:pPr>
        <w:pStyle w:val="Heading1"/>
        <w:spacing w:line="290" w:lineRule="auto" w:before="450"/>
        <w:ind w:right="2061"/>
      </w:pPr>
      <w:r>
        <w:rPr/>
        <w:t>These are the minutes of the Monetary Policy Committee meeting held on    7 and 8 </w:t>
      </w:r>
      <w:r>
        <w:rPr>
          <w:spacing w:val="2"/>
        </w:rPr>
        <w:t>December</w:t>
      </w:r>
      <w:r>
        <w:rPr>
          <w:spacing w:val="6"/>
        </w:rPr>
        <w:t> </w:t>
      </w:r>
      <w:r>
        <w:rPr>
          <w:spacing w:val="8"/>
        </w:rPr>
        <w:t>2005.</w:t>
      </w:r>
    </w:p>
    <w:p>
      <w:pPr>
        <w:pStyle w:val="BodyText"/>
        <w:rPr>
          <w:rFonts w:ascii="Book Antiqua"/>
        </w:rPr>
      </w:pPr>
    </w:p>
    <w:p>
      <w:pPr>
        <w:spacing w:line="302" w:lineRule="auto" w:before="0"/>
        <w:ind w:left="100" w:right="0" w:firstLine="0"/>
        <w:jc w:val="left"/>
        <w:rPr>
          <w:rFonts w:ascii="Book Antiqua"/>
          <w:sz w:val="25"/>
        </w:rPr>
      </w:pPr>
      <w:r>
        <w:rPr>
          <w:rFonts w:ascii="Book Antiqua"/>
          <w:sz w:val="25"/>
        </w:rPr>
        <w:t>They are also available on the Internet </w:t>
      </w:r>
      <w:hyperlink r:id="rId5">
        <w:r>
          <w:rPr>
            <w:rFonts w:ascii="Book Antiqua"/>
            <w:sz w:val="25"/>
          </w:rPr>
          <w:t>http://www.bankofengland.co.uk/publications/minutes/mpc/pdf/2005/mpc0512.pdf</w:t>
        </w:r>
      </w:hyperlink>
    </w:p>
    <w:p>
      <w:pPr>
        <w:spacing w:line="302" w:lineRule="auto" w:before="267"/>
        <w:ind w:left="100" w:right="621" w:firstLine="0"/>
        <w:jc w:val="left"/>
        <w:rPr>
          <w:rFonts w:ascii="Book Antiqua" w:hAnsi="Book Antiqua"/>
          <w:sz w:val="25"/>
        </w:rPr>
      </w:pPr>
      <w:r>
        <w:rPr>
          <w:rFonts w:ascii="Book Antiqua" w:hAnsi="Book Antiqua"/>
          <w:sz w:val="25"/>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w:t>
      </w:r>
      <w:r>
        <w:rPr>
          <w:rFonts w:ascii="Book Antiqua" w:hAnsi="Book Antiqua"/>
          <w:spacing w:val="2"/>
          <w:sz w:val="25"/>
        </w:rPr>
        <w:t>the </w:t>
      </w:r>
      <w:r>
        <w:rPr>
          <w:rFonts w:ascii="Book Antiqua" w:hAnsi="Book Antiqua"/>
          <w:sz w:val="25"/>
        </w:rPr>
        <w:t>Wednesday</w:t>
      </w:r>
      <w:r>
        <w:rPr>
          <w:rFonts w:ascii="Book Antiqua" w:hAnsi="Book Antiqua"/>
          <w:spacing w:val="14"/>
          <w:sz w:val="25"/>
        </w:rPr>
        <w:t> </w:t>
      </w:r>
      <w:r>
        <w:rPr>
          <w:rFonts w:ascii="Book Antiqua" w:hAnsi="Book Antiqua"/>
          <w:sz w:val="25"/>
        </w:rPr>
        <w:t>of</w:t>
      </w:r>
      <w:r>
        <w:rPr>
          <w:rFonts w:ascii="Book Antiqua" w:hAnsi="Book Antiqua"/>
          <w:spacing w:val="14"/>
          <w:sz w:val="25"/>
        </w:rPr>
        <w:t> </w:t>
      </w:r>
      <w:r>
        <w:rPr>
          <w:rFonts w:ascii="Book Antiqua" w:hAnsi="Book Antiqua"/>
          <w:sz w:val="25"/>
        </w:rPr>
        <w:t>the</w:t>
      </w:r>
      <w:r>
        <w:rPr>
          <w:rFonts w:ascii="Book Antiqua" w:hAnsi="Book Antiqua"/>
          <w:spacing w:val="13"/>
          <w:sz w:val="25"/>
        </w:rPr>
        <w:t> </w:t>
      </w:r>
      <w:r>
        <w:rPr>
          <w:rFonts w:ascii="Book Antiqua" w:hAnsi="Book Antiqua"/>
          <w:sz w:val="25"/>
        </w:rPr>
        <w:t>second</w:t>
      </w:r>
      <w:r>
        <w:rPr>
          <w:rFonts w:ascii="Book Antiqua" w:hAnsi="Book Antiqua"/>
          <w:spacing w:val="14"/>
          <w:sz w:val="25"/>
        </w:rPr>
        <w:t> </w:t>
      </w:r>
      <w:r>
        <w:rPr>
          <w:rFonts w:ascii="Book Antiqua" w:hAnsi="Book Antiqua"/>
          <w:sz w:val="25"/>
        </w:rPr>
        <w:t>week</w:t>
      </w:r>
      <w:r>
        <w:rPr>
          <w:rFonts w:ascii="Book Antiqua" w:hAnsi="Book Antiqua"/>
          <w:spacing w:val="14"/>
          <w:sz w:val="25"/>
        </w:rPr>
        <w:t> </w:t>
      </w:r>
      <w:r>
        <w:rPr>
          <w:rFonts w:ascii="Book Antiqua" w:hAnsi="Book Antiqua"/>
          <w:sz w:val="25"/>
        </w:rPr>
        <w:t>after</w:t>
      </w:r>
      <w:r>
        <w:rPr>
          <w:rFonts w:ascii="Book Antiqua" w:hAnsi="Book Antiqua"/>
          <w:spacing w:val="14"/>
          <w:sz w:val="25"/>
        </w:rPr>
        <w:t> </w:t>
      </w:r>
      <w:r>
        <w:rPr>
          <w:rFonts w:ascii="Book Antiqua" w:hAnsi="Book Antiqua"/>
          <w:sz w:val="25"/>
        </w:rPr>
        <w:t>the</w:t>
      </w:r>
      <w:r>
        <w:rPr>
          <w:rFonts w:ascii="Book Antiqua" w:hAnsi="Book Antiqua"/>
          <w:spacing w:val="14"/>
          <w:sz w:val="25"/>
        </w:rPr>
        <w:t> </w:t>
      </w:r>
      <w:r>
        <w:rPr>
          <w:rFonts w:ascii="Book Antiqua" w:hAnsi="Book Antiqua"/>
          <w:sz w:val="25"/>
        </w:rPr>
        <w:t>meeting</w:t>
      </w:r>
      <w:r>
        <w:rPr>
          <w:rFonts w:ascii="Book Antiqua" w:hAnsi="Book Antiqua"/>
          <w:spacing w:val="14"/>
          <w:sz w:val="25"/>
        </w:rPr>
        <w:t> </w:t>
      </w:r>
      <w:r>
        <w:rPr>
          <w:rFonts w:ascii="Book Antiqua" w:hAnsi="Book Antiqua"/>
          <w:sz w:val="25"/>
        </w:rPr>
        <w:t>takes</w:t>
      </w:r>
      <w:r>
        <w:rPr>
          <w:rFonts w:ascii="Book Antiqua" w:hAnsi="Book Antiqua"/>
          <w:spacing w:val="14"/>
          <w:sz w:val="25"/>
        </w:rPr>
        <w:t> </w:t>
      </w:r>
      <w:r>
        <w:rPr>
          <w:rFonts w:ascii="Book Antiqua" w:hAnsi="Book Antiqua"/>
          <w:sz w:val="25"/>
        </w:rPr>
        <w:t>place.</w:t>
      </w:r>
      <w:r>
        <w:rPr>
          <w:rFonts w:ascii="Book Antiqua" w:hAnsi="Book Antiqua"/>
          <w:spacing w:val="26"/>
          <w:sz w:val="25"/>
        </w:rPr>
        <w:t> </w:t>
      </w:r>
      <w:r>
        <w:rPr>
          <w:rFonts w:ascii="Book Antiqua" w:hAnsi="Book Antiqua"/>
          <w:sz w:val="25"/>
        </w:rPr>
        <w:t>Accordingly,</w:t>
      </w:r>
      <w:r>
        <w:rPr>
          <w:rFonts w:ascii="Book Antiqua" w:hAnsi="Book Antiqua"/>
          <w:spacing w:val="14"/>
          <w:sz w:val="25"/>
        </w:rPr>
        <w:t> </w:t>
      </w:r>
      <w:r>
        <w:rPr>
          <w:rFonts w:ascii="Book Antiqua" w:hAnsi="Book Antiqua"/>
          <w:spacing w:val="2"/>
          <w:sz w:val="25"/>
        </w:rPr>
        <w:t>the</w:t>
      </w:r>
    </w:p>
    <w:p>
      <w:pPr>
        <w:spacing w:line="288" w:lineRule="exact" w:before="0"/>
        <w:ind w:left="100" w:right="0" w:firstLine="0"/>
        <w:jc w:val="left"/>
        <w:rPr>
          <w:rFonts w:ascii="Book Antiqua"/>
          <w:sz w:val="25"/>
        </w:rPr>
      </w:pPr>
      <w:r>
        <w:rPr>
          <w:rFonts w:ascii="Book Antiqua"/>
          <w:sz w:val="25"/>
        </w:rPr>
        <w:t>minutes of the Committee meeting held on 11 and 12 January 2006 will be published on</w:t>
      </w:r>
    </w:p>
    <w:p>
      <w:pPr>
        <w:spacing w:before="79"/>
        <w:ind w:left="100" w:right="0" w:firstLine="0"/>
        <w:jc w:val="left"/>
        <w:rPr>
          <w:rFonts w:ascii="Book Antiqua"/>
          <w:sz w:val="25"/>
        </w:rPr>
      </w:pPr>
      <w:r>
        <w:rPr>
          <w:rFonts w:ascii="Book Antiqua"/>
          <w:sz w:val="25"/>
        </w:rPr>
        <w:t>25 January 2006.</w:t>
      </w:r>
    </w:p>
    <w:p>
      <w:pPr>
        <w:pStyle w:val="BodyText"/>
        <w:rPr>
          <w:rFonts w:ascii="Book Antiqua"/>
          <w:sz w:val="32"/>
        </w:rPr>
      </w:pPr>
    </w:p>
    <w:p>
      <w:pPr>
        <w:pStyle w:val="BodyText"/>
        <w:spacing w:before="8"/>
        <w:rPr>
          <w:rFonts w:ascii="Book Antiqua"/>
          <w:sz w:val="45"/>
        </w:rPr>
      </w:pPr>
    </w:p>
    <w:p>
      <w:pPr>
        <w:spacing w:line="249" w:lineRule="auto" w:before="0"/>
        <w:ind w:left="100" w:right="222" w:firstLine="0"/>
        <w:jc w:val="left"/>
        <w:rPr>
          <w:rFonts w:ascii="Book Antiqua"/>
          <w:sz w:val="25"/>
        </w:rPr>
      </w:pPr>
      <w:r>
        <w:rPr>
          <w:rFonts w:ascii="Book Antiqua"/>
          <w:sz w:val="25"/>
        </w:rPr>
        <w:t>The Minutes of the Monetary Policy Committee meeting have in the past been  </w:t>
      </w:r>
      <w:r>
        <w:rPr>
          <w:rFonts w:ascii="Book Antiqua"/>
          <w:spacing w:val="2"/>
          <w:sz w:val="25"/>
        </w:rPr>
        <w:t>accompanied </w:t>
      </w:r>
      <w:r>
        <w:rPr>
          <w:rFonts w:ascii="Book Antiqua"/>
          <w:sz w:val="25"/>
        </w:rPr>
        <w:t>by a </w:t>
      </w:r>
      <w:r>
        <w:rPr>
          <w:rFonts w:ascii="Book Antiqua"/>
          <w:spacing w:val="2"/>
          <w:sz w:val="25"/>
        </w:rPr>
        <w:t>separate Staff Annex summarising </w:t>
      </w:r>
      <w:r>
        <w:rPr>
          <w:rFonts w:ascii="Book Antiqua"/>
          <w:sz w:val="25"/>
        </w:rPr>
        <w:t>the </w:t>
      </w:r>
      <w:r>
        <w:rPr>
          <w:rFonts w:ascii="Book Antiqua"/>
          <w:spacing w:val="2"/>
          <w:sz w:val="25"/>
        </w:rPr>
        <w:t>information presented </w:t>
      </w:r>
      <w:r>
        <w:rPr>
          <w:rFonts w:ascii="Book Antiqua"/>
          <w:sz w:val="25"/>
        </w:rPr>
        <w:t>to </w:t>
      </w:r>
      <w:r>
        <w:rPr>
          <w:rFonts w:ascii="Book Antiqua"/>
          <w:spacing w:val="3"/>
          <w:sz w:val="25"/>
        </w:rPr>
        <w:t>the </w:t>
      </w:r>
      <w:r>
        <w:rPr>
          <w:rFonts w:ascii="Book Antiqua"/>
          <w:sz w:val="25"/>
        </w:rPr>
        <w:t>Committee ahead of its policy meeting. The </w:t>
      </w:r>
      <w:r>
        <w:rPr>
          <w:rFonts w:ascii="Book Antiqua"/>
          <w:spacing w:val="2"/>
          <w:sz w:val="25"/>
        </w:rPr>
        <w:t>Bank </w:t>
      </w:r>
      <w:r>
        <w:rPr>
          <w:rFonts w:ascii="Book Antiqua"/>
          <w:sz w:val="25"/>
        </w:rPr>
        <w:t>has </w:t>
      </w:r>
      <w:r>
        <w:rPr>
          <w:rFonts w:ascii="Book Antiqua"/>
          <w:spacing w:val="2"/>
          <w:sz w:val="25"/>
        </w:rPr>
        <w:t>decided </w:t>
      </w:r>
      <w:r>
        <w:rPr>
          <w:rFonts w:ascii="Book Antiqua"/>
          <w:sz w:val="25"/>
        </w:rPr>
        <w:t>to </w:t>
      </w:r>
      <w:r>
        <w:rPr>
          <w:rFonts w:ascii="Book Antiqua"/>
          <w:spacing w:val="2"/>
          <w:sz w:val="25"/>
        </w:rPr>
        <w:t>cease publication </w:t>
      </w:r>
      <w:r>
        <w:rPr>
          <w:rFonts w:ascii="Book Antiqua"/>
          <w:sz w:val="25"/>
        </w:rPr>
        <w:t>of </w:t>
      </w:r>
      <w:r>
        <w:rPr>
          <w:rFonts w:ascii="Book Antiqua"/>
          <w:spacing w:val="3"/>
          <w:sz w:val="25"/>
        </w:rPr>
        <w:t>the </w:t>
      </w:r>
      <w:r>
        <w:rPr>
          <w:rFonts w:ascii="Book Antiqua"/>
          <w:spacing w:val="2"/>
          <w:sz w:val="25"/>
        </w:rPr>
        <w:t>Staff Annex from January 2006. More detail </w:t>
      </w:r>
      <w:r>
        <w:rPr>
          <w:rFonts w:ascii="Book Antiqua"/>
          <w:sz w:val="25"/>
        </w:rPr>
        <w:t>is </w:t>
      </w:r>
      <w:r>
        <w:rPr>
          <w:rFonts w:ascii="Book Antiqua"/>
          <w:spacing w:val="2"/>
          <w:sz w:val="25"/>
        </w:rPr>
        <w:t>provided </w:t>
      </w:r>
      <w:r>
        <w:rPr>
          <w:rFonts w:ascii="Book Antiqua"/>
          <w:spacing w:val="3"/>
          <w:sz w:val="25"/>
        </w:rPr>
        <w:t>at </w:t>
      </w:r>
      <w:hyperlink r:id="rId6">
        <w:r>
          <w:rPr>
            <w:rFonts w:ascii="Book Antiqua"/>
            <w:color w:val="0000FF"/>
            <w:sz w:val="25"/>
            <w:u w:val="single" w:color="0000FF"/>
          </w:rPr>
          <w:t>http://www.bankofengland.co.uk/publications/minutes/mpc/pdf/2005/index.htm</w:t>
        </w:r>
      </w:hyperlink>
    </w:p>
    <w:p>
      <w:pPr>
        <w:pStyle w:val="BodyText"/>
        <w:spacing w:before="12"/>
        <w:rPr>
          <w:rFonts w:ascii="Book Antiqua"/>
          <w:sz w:val="18"/>
        </w:rPr>
      </w:pPr>
      <w:r>
        <w:rPr/>
        <w:drawing>
          <wp:anchor distT="0" distB="0" distL="0" distR="0" allowOverlap="1" layoutInCell="1" locked="0" behindDoc="0" simplePos="0" relativeHeight="2">
            <wp:simplePos x="0" y="0"/>
            <wp:positionH relativeFrom="page">
              <wp:posOffset>5591175</wp:posOffset>
            </wp:positionH>
            <wp:positionV relativeFrom="paragraph">
              <wp:posOffset>174472</wp:posOffset>
            </wp:positionV>
            <wp:extent cx="1420749" cy="142074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20749" cy="1420749"/>
                    </a:xfrm>
                    <a:prstGeom prst="rect">
                      <a:avLst/>
                    </a:prstGeom>
                  </pic:spPr>
                </pic:pic>
              </a:graphicData>
            </a:graphic>
          </wp:anchor>
        </w:drawing>
      </w:r>
    </w:p>
    <w:p>
      <w:pPr>
        <w:spacing w:after="0"/>
        <w:rPr>
          <w:rFonts w:ascii="Book Antiqua"/>
          <w:sz w:val="18"/>
        </w:rPr>
        <w:sectPr>
          <w:type w:val="continuous"/>
          <w:pgSz w:w="11920" w:h="16840"/>
          <w:pgMar w:top="1360" w:bottom="0" w:left="800" w:right="68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108" w:right="483" w:firstLine="0"/>
        <w:jc w:val="left"/>
        <w:rPr>
          <w:b/>
          <w:sz w:val="27"/>
        </w:rPr>
      </w:pPr>
      <w:r>
        <w:rPr>
          <w:b/>
          <w:sz w:val="27"/>
        </w:rPr>
        <w:t>MINUTES OF THE MONETARY POLICY COMMITTEE MEETING HELD ON 7-8 DECEMBER 2005</w:t>
      </w:r>
    </w:p>
    <w:p>
      <w:pPr>
        <w:pStyle w:val="BodyText"/>
        <w:rPr>
          <w:b/>
          <w:sz w:val="30"/>
        </w:rPr>
      </w:pPr>
    </w:p>
    <w:p>
      <w:pPr>
        <w:pStyle w:val="ListParagraph"/>
        <w:numPr>
          <w:ilvl w:val="0"/>
          <w:numId w:val="1"/>
        </w:numPr>
        <w:tabs>
          <w:tab w:pos="671" w:val="left" w:leader="none"/>
          <w:tab w:pos="672" w:val="left" w:leader="none"/>
        </w:tabs>
        <w:spacing w:line="360" w:lineRule="auto" w:before="202" w:after="0"/>
        <w:ind w:left="108" w:right="649" w:firstLine="0"/>
        <w:jc w:val="left"/>
        <w:rPr>
          <w:sz w:val="24"/>
        </w:rPr>
      </w:pPr>
      <w:r>
        <w:rPr>
          <w:sz w:val="24"/>
        </w:rPr>
        <w:t>Before turning to its immediate policy decision, the Committee discussed developments in financial markets; the international economy; money, </w:t>
      </w:r>
      <w:r>
        <w:rPr>
          <w:spacing w:val="-3"/>
          <w:sz w:val="24"/>
        </w:rPr>
        <w:t>credit, </w:t>
      </w:r>
      <w:r>
        <w:rPr>
          <w:sz w:val="24"/>
        </w:rPr>
        <w:t>demand and output; and the labour market, costs and</w:t>
      </w:r>
      <w:r>
        <w:rPr>
          <w:spacing w:val="-4"/>
          <w:sz w:val="24"/>
        </w:rPr>
        <w:t> </w:t>
      </w:r>
      <w:r>
        <w:rPr>
          <w:sz w:val="24"/>
        </w:rPr>
        <w:t>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2" w:lineRule="auto" w:before="0" w:after="0"/>
        <w:ind w:left="108" w:right="162" w:firstLine="0"/>
        <w:jc w:val="left"/>
        <w:rPr>
          <w:sz w:val="24"/>
        </w:rPr>
      </w:pPr>
      <w:r>
        <w:rPr>
          <w:sz w:val="24"/>
        </w:rPr>
        <w:t>Short-term interest rates had fallen a little in both the United Kingdom and the United States.</w:t>
      </w:r>
      <w:r>
        <w:rPr>
          <w:spacing w:val="2"/>
          <w:sz w:val="24"/>
        </w:rPr>
        <w:t> </w:t>
      </w:r>
      <w:r>
        <w:rPr>
          <w:sz w:val="24"/>
        </w:rPr>
        <w:t>In the United Kingdom, the yield curve was broadly flat. In contrast, a majority of economists polled in the latest Reuters survey expected the </w:t>
      </w:r>
      <w:r>
        <w:rPr>
          <w:spacing w:val="-6"/>
          <w:sz w:val="24"/>
        </w:rPr>
        <w:t>UK </w:t>
      </w:r>
      <w:r>
        <w:rPr>
          <w:sz w:val="24"/>
        </w:rPr>
        <w:t>official rate to fall by at least 0.25 percentage points during the coming twelve</w:t>
      </w:r>
      <w:r>
        <w:rPr>
          <w:spacing w:val="8"/>
          <w:sz w:val="24"/>
        </w:rPr>
        <w:t> </w:t>
      </w:r>
      <w:r>
        <w:rPr>
          <w:sz w:val="24"/>
        </w:rPr>
        <w:t>months.</w:t>
      </w:r>
    </w:p>
    <w:p>
      <w:pPr>
        <w:pStyle w:val="BodyText"/>
        <w:spacing w:before="6"/>
        <w:rPr>
          <w:sz w:val="35"/>
        </w:rPr>
      </w:pPr>
    </w:p>
    <w:p>
      <w:pPr>
        <w:pStyle w:val="ListParagraph"/>
        <w:numPr>
          <w:ilvl w:val="0"/>
          <w:numId w:val="1"/>
        </w:numPr>
        <w:tabs>
          <w:tab w:pos="671" w:val="left" w:leader="none"/>
          <w:tab w:pos="672" w:val="left" w:leader="none"/>
        </w:tabs>
        <w:spacing w:line="360" w:lineRule="auto" w:before="1" w:after="0"/>
        <w:ind w:left="108" w:right="470" w:firstLine="0"/>
        <w:jc w:val="left"/>
        <w:rPr>
          <w:sz w:val="24"/>
        </w:rPr>
      </w:pPr>
      <w:r>
        <w:rPr>
          <w:sz w:val="24"/>
        </w:rPr>
        <w:t>In the euro area, the European Central Bank (ECB) </w:t>
      </w:r>
      <w:r>
        <w:rPr>
          <w:spacing w:val="-8"/>
          <w:sz w:val="24"/>
        </w:rPr>
        <w:t>had </w:t>
      </w:r>
      <w:r>
        <w:rPr>
          <w:sz w:val="24"/>
        </w:rPr>
        <w:t>increased official rates by 0.25 percentage points at its </w:t>
      </w:r>
      <w:r>
        <w:rPr>
          <w:spacing w:val="-3"/>
          <w:sz w:val="24"/>
        </w:rPr>
        <w:t>meeting </w:t>
      </w:r>
      <w:r>
        <w:rPr>
          <w:sz w:val="24"/>
        </w:rPr>
        <w:t>on 1 December. The </w:t>
      </w:r>
      <w:r>
        <w:rPr>
          <w:spacing w:val="-3"/>
          <w:sz w:val="24"/>
        </w:rPr>
        <w:t>move </w:t>
      </w:r>
      <w:r>
        <w:rPr>
          <w:sz w:val="24"/>
        </w:rPr>
        <w:t>had been fully priced in by financial </w:t>
      </w:r>
      <w:r>
        <w:rPr>
          <w:spacing w:val="-3"/>
          <w:sz w:val="24"/>
        </w:rPr>
        <w:t>markets </w:t>
      </w:r>
      <w:r>
        <w:rPr>
          <w:sz w:val="24"/>
        </w:rPr>
        <w:t>ahead of the ECB’s interest rate announcement, and so had not affected the euro-area yield curve. Financial </w:t>
      </w:r>
      <w:r>
        <w:rPr>
          <w:spacing w:val="-4"/>
          <w:sz w:val="24"/>
        </w:rPr>
        <w:t>markets </w:t>
      </w:r>
      <w:r>
        <w:rPr>
          <w:sz w:val="24"/>
        </w:rPr>
        <w:t>were pricing in two further 0.25 percentage point increases in euro-area official rates during</w:t>
      </w:r>
      <w:r>
        <w:rPr>
          <w:spacing w:val="-4"/>
          <w:sz w:val="24"/>
        </w:rPr>
        <w:t> </w:t>
      </w:r>
      <w:r>
        <w:rPr>
          <w:sz w:val="24"/>
        </w:rPr>
        <w:t>2006.</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33" w:firstLine="0"/>
        <w:jc w:val="left"/>
        <w:rPr>
          <w:sz w:val="24"/>
        </w:rPr>
      </w:pPr>
      <w:r>
        <w:rPr>
          <w:spacing w:val="-3"/>
          <w:sz w:val="24"/>
        </w:rPr>
        <w:t>Real </w:t>
      </w:r>
      <w:r>
        <w:rPr>
          <w:sz w:val="24"/>
        </w:rPr>
        <w:t>long-term forward interest rates </w:t>
      </w:r>
      <w:r>
        <w:rPr>
          <w:spacing w:val="-3"/>
          <w:sz w:val="24"/>
        </w:rPr>
        <w:t>had </w:t>
      </w:r>
      <w:r>
        <w:rPr>
          <w:sz w:val="24"/>
        </w:rPr>
        <w:t>edged lower in the United Kingdom and euro area over the month, but had risen a little in the United States. More generally, real long rates in most advanced economies </w:t>
      </w:r>
      <w:r>
        <w:rPr>
          <w:spacing w:val="2"/>
          <w:sz w:val="24"/>
        </w:rPr>
        <w:t>were </w:t>
      </w:r>
      <w:r>
        <w:rPr>
          <w:sz w:val="24"/>
        </w:rPr>
        <w:t>at or around historically low levels. </w:t>
      </w:r>
      <w:r>
        <w:rPr>
          <w:spacing w:val="-3"/>
          <w:sz w:val="24"/>
        </w:rPr>
        <w:t>As </w:t>
      </w:r>
      <w:r>
        <w:rPr>
          <w:sz w:val="24"/>
        </w:rPr>
        <w:t>discussed in previous Committee meetings, those</w:t>
      </w:r>
      <w:r>
        <w:rPr>
          <w:spacing w:val="-3"/>
          <w:sz w:val="24"/>
        </w:rPr>
        <w:t> </w:t>
      </w:r>
      <w:r>
        <w:rPr>
          <w:sz w:val="24"/>
        </w:rPr>
        <w:t>low</w:t>
      </w:r>
      <w:r>
        <w:rPr>
          <w:spacing w:val="-2"/>
          <w:sz w:val="24"/>
        </w:rPr>
        <w:t> </w:t>
      </w:r>
      <w:r>
        <w:rPr>
          <w:sz w:val="24"/>
        </w:rPr>
        <w:t>levels</w:t>
      </w:r>
      <w:r>
        <w:rPr>
          <w:spacing w:val="-4"/>
          <w:sz w:val="24"/>
        </w:rPr>
        <w:t> </w:t>
      </w:r>
      <w:r>
        <w:rPr>
          <w:sz w:val="24"/>
        </w:rPr>
        <w:t>could</w:t>
      </w:r>
      <w:r>
        <w:rPr>
          <w:spacing w:val="-3"/>
          <w:sz w:val="24"/>
        </w:rPr>
        <w:t> </w:t>
      </w:r>
      <w:r>
        <w:rPr>
          <w:sz w:val="24"/>
        </w:rPr>
        <w:t>reflect</w:t>
      </w:r>
      <w:r>
        <w:rPr>
          <w:spacing w:val="-3"/>
          <w:sz w:val="24"/>
        </w:rPr>
        <w:t> </w:t>
      </w:r>
      <w:r>
        <w:rPr>
          <w:sz w:val="24"/>
        </w:rPr>
        <w:t>some</w:t>
      </w:r>
      <w:r>
        <w:rPr>
          <w:spacing w:val="-3"/>
          <w:sz w:val="24"/>
        </w:rPr>
        <w:t> </w:t>
      </w:r>
      <w:r>
        <w:rPr>
          <w:sz w:val="24"/>
        </w:rPr>
        <w:t>combination</w:t>
      </w:r>
      <w:r>
        <w:rPr>
          <w:spacing w:val="-4"/>
          <w:sz w:val="24"/>
        </w:rPr>
        <w:t> </w:t>
      </w:r>
      <w:r>
        <w:rPr>
          <w:sz w:val="24"/>
        </w:rPr>
        <w:t>of</w:t>
      </w:r>
      <w:r>
        <w:rPr>
          <w:spacing w:val="-3"/>
          <w:sz w:val="24"/>
        </w:rPr>
        <w:t> </w:t>
      </w:r>
      <w:r>
        <w:rPr>
          <w:sz w:val="24"/>
        </w:rPr>
        <w:t>higher</w:t>
      </w:r>
      <w:r>
        <w:rPr>
          <w:spacing w:val="-3"/>
          <w:sz w:val="24"/>
        </w:rPr>
        <w:t> </w:t>
      </w:r>
      <w:r>
        <w:rPr>
          <w:sz w:val="24"/>
        </w:rPr>
        <w:t>planned</w:t>
      </w:r>
      <w:r>
        <w:rPr>
          <w:spacing w:val="-4"/>
          <w:sz w:val="24"/>
        </w:rPr>
        <w:t> </w:t>
      </w:r>
      <w:r>
        <w:rPr>
          <w:sz w:val="24"/>
        </w:rPr>
        <w:t>saving,</w:t>
      </w:r>
      <w:r>
        <w:rPr>
          <w:spacing w:val="-2"/>
          <w:sz w:val="24"/>
        </w:rPr>
        <w:t> </w:t>
      </w:r>
      <w:r>
        <w:rPr>
          <w:spacing w:val="2"/>
          <w:sz w:val="24"/>
        </w:rPr>
        <w:t>lower</w:t>
      </w:r>
      <w:r>
        <w:rPr>
          <w:spacing w:val="-3"/>
          <w:sz w:val="24"/>
        </w:rPr>
        <w:t> </w:t>
      </w:r>
      <w:r>
        <w:rPr>
          <w:sz w:val="24"/>
        </w:rPr>
        <w:t>desired</w:t>
      </w:r>
      <w:r>
        <w:rPr>
          <w:spacing w:val="-8"/>
          <w:sz w:val="24"/>
        </w:rPr>
        <w:t> </w:t>
      </w:r>
      <w:r>
        <w:rPr>
          <w:sz w:val="24"/>
        </w:rPr>
        <w:t>investment</w:t>
      </w:r>
      <w:r>
        <w:rPr>
          <w:spacing w:val="-7"/>
          <w:sz w:val="24"/>
        </w:rPr>
        <w:t> </w:t>
      </w:r>
      <w:r>
        <w:rPr>
          <w:sz w:val="24"/>
        </w:rPr>
        <w:t>or excess liquidity associated with loose global monetary policy. In </w:t>
      </w:r>
      <w:r>
        <w:rPr>
          <w:spacing w:val="-4"/>
          <w:sz w:val="24"/>
        </w:rPr>
        <w:t>the </w:t>
      </w:r>
      <w:r>
        <w:rPr>
          <w:sz w:val="24"/>
        </w:rPr>
        <w:t>United Kingdom, it was possible that the low level of long rates partly reflected pension fund</w:t>
      </w:r>
      <w:r>
        <w:rPr>
          <w:spacing w:val="1"/>
          <w:sz w:val="24"/>
        </w:rPr>
        <w:t> </w:t>
      </w:r>
      <w:r>
        <w:rPr>
          <w:sz w:val="24"/>
        </w:rPr>
        <w:t>regulation.</w:t>
      </w:r>
    </w:p>
    <w:p>
      <w:pPr>
        <w:pStyle w:val="BodyText"/>
        <w:spacing w:before="5"/>
        <w:rPr>
          <w:sz w:val="35"/>
        </w:rPr>
      </w:pPr>
    </w:p>
    <w:p>
      <w:pPr>
        <w:pStyle w:val="ListParagraph"/>
        <w:numPr>
          <w:ilvl w:val="0"/>
          <w:numId w:val="1"/>
        </w:numPr>
        <w:tabs>
          <w:tab w:pos="672" w:val="left" w:leader="none"/>
        </w:tabs>
        <w:spacing w:line="360" w:lineRule="auto" w:before="0" w:after="0"/>
        <w:ind w:left="108" w:right="167" w:firstLine="0"/>
        <w:jc w:val="both"/>
        <w:rPr>
          <w:sz w:val="24"/>
        </w:rPr>
      </w:pPr>
      <w:r>
        <w:rPr>
          <w:sz w:val="24"/>
        </w:rPr>
        <w:t>Equity prices had continued to rise, with the FTSE All-Share index </w:t>
      </w:r>
      <w:r>
        <w:rPr>
          <w:spacing w:val="-3"/>
          <w:sz w:val="24"/>
        </w:rPr>
        <w:t>more than </w:t>
      </w:r>
      <w:r>
        <w:rPr>
          <w:sz w:val="24"/>
        </w:rPr>
        <w:t>2% higher on </w:t>
      </w:r>
      <w:r>
        <w:rPr>
          <w:spacing w:val="-2"/>
          <w:sz w:val="24"/>
        </w:rPr>
        <w:t>the </w:t>
      </w:r>
      <w:r>
        <w:rPr>
          <w:spacing w:val="-3"/>
          <w:sz w:val="24"/>
        </w:rPr>
        <w:t>month. </w:t>
      </w:r>
      <w:r>
        <w:rPr>
          <w:sz w:val="24"/>
        </w:rPr>
        <w:t>Strong corporate earnings news, </w:t>
      </w:r>
      <w:r>
        <w:rPr>
          <w:spacing w:val="-4"/>
          <w:sz w:val="24"/>
        </w:rPr>
        <w:t>along with </w:t>
      </w:r>
      <w:r>
        <w:rPr>
          <w:spacing w:val="-3"/>
          <w:sz w:val="24"/>
        </w:rPr>
        <w:t>me </w:t>
      </w:r>
      <w:r>
        <w:rPr>
          <w:sz w:val="24"/>
        </w:rPr>
        <w:t>rger activity, appeared to have been among </w:t>
      </w:r>
      <w:r>
        <w:rPr>
          <w:spacing w:val="-2"/>
          <w:sz w:val="24"/>
        </w:rPr>
        <w:t>the </w:t>
      </w:r>
      <w:r>
        <w:rPr>
          <w:sz w:val="24"/>
        </w:rPr>
        <w:t>factors driving </w:t>
      </w:r>
      <w:r>
        <w:rPr>
          <w:spacing w:val="-3"/>
          <w:sz w:val="24"/>
        </w:rPr>
        <w:t>up </w:t>
      </w:r>
      <w:r>
        <w:rPr>
          <w:sz w:val="24"/>
        </w:rPr>
        <w:t>equity prices. The general buoyancy of asset prices could perhaps be related to</w:t>
      </w:r>
      <w:r>
        <w:rPr>
          <w:spacing w:val="7"/>
          <w:sz w:val="24"/>
        </w:rPr>
        <w:t> </w:t>
      </w:r>
      <w:r>
        <w:rPr>
          <w:sz w:val="24"/>
        </w:rPr>
        <w:t>high</w:t>
      </w:r>
    </w:p>
    <w:p>
      <w:pPr>
        <w:spacing w:after="0" w:line="360" w:lineRule="auto"/>
        <w:jc w:val="both"/>
        <w:rPr>
          <w:sz w:val="24"/>
        </w:rPr>
        <w:sectPr>
          <w:pgSz w:w="11900" w:h="16840"/>
          <w:pgMar w:top="1600" w:bottom="280" w:left="1020" w:right="760"/>
        </w:sectPr>
      </w:pPr>
    </w:p>
    <w:p>
      <w:pPr>
        <w:pStyle w:val="BodyText"/>
        <w:rPr>
          <w:sz w:val="20"/>
        </w:rPr>
      </w:pPr>
    </w:p>
    <w:p>
      <w:pPr>
        <w:pStyle w:val="BodyText"/>
        <w:spacing w:before="9"/>
        <w:rPr>
          <w:sz w:val="26"/>
        </w:rPr>
      </w:pPr>
    </w:p>
    <w:p>
      <w:pPr>
        <w:pStyle w:val="BodyText"/>
        <w:spacing w:line="360" w:lineRule="auto" w:before="90"/>
        <w:ind w:left="108" w:right="134"/>
      </w:pPr>
      <w:r>
        <w:rPr/>
        <w:t>levels of global liquidity. On the foreign exchange markets, sterling’s effective exchange rate index (ERI) was down around ½% on the month, broadly consistent with movements in relative interest rates.</w:t>
      </w:r>
    </w:p>
    <w:p>
      <w:pPr>
        <w:pStyle w:val="BodyText"/>
        <w:rPr>
          <w:sz w:val="36"/>
        </w:rPr>
      </w:pPr>
    </w:p>
    <w:p>
      <w:pPr>
        <w:pStyle w:val="Heading2"/>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21" w:firstLine="0"/>
        <w:jc w:val="left"/>
        <w:rPr>
          <w:sz w:val="24"/>
        </w:rPr>
      </w:pPr>
      <w:r>
        <w:rPr>
          <w:sz w:val="24"/>
        </w:rPr>
        <w:t>News on international activity </w:t>
      </w:r>
      <w:r>
        <w:rPr>
          <w:spacing w:val="-9"/>
          <w:sz w:val="24"/>
        </w:rPr>
        <w:t>had </w:t>
      </w:r>
      <w:r>
        <w:rPr>
          <w:sz w:val="24"/>
        </w:rPr>
        <w:t>been encouraging. In the euro area, GDP had increased by a stronger-than-expected 0.6% in Q3, largely reflecting a pickup in investment growth. Although consumption growth remained relatively weak, it had edged up to 0.3%. Geographically, the increase in GDP growth had been broadly based, </w:t>
      </w:r>
      <w:r>
        <w:rPr>
          <w:spacing w:val="-3"/>
          <w:sz w:val="24"/>
        </w:rPr>
        <w:t>and </w:t>
      </w:r>
      <w:r>
        <w:rPr>
          <w:sz w:val="24"/>
        </w:rPr>
        <w:t>near-term economic prospects looked better than they </w:t>
      </w:r>
      <w:r>
        <w:rPr>
          <w:spacing w:val="-4"/>
          <w:sz w:val="24"/>
        </w:rPr>
        <w:t>had </w:t>
      </w:r>
      <w:r>
        <w:rPr>
          <w:sz w:val="24"/>
        </w:rPr>
        <w:t>for some time. The Purchasing Managers Indices (PMIs) for manufacturing and services had risen to a little above their long-term averages; lending to households and corporates continued to strengthen; consumer confidence and employment were</w:t>
      </w:r>
      <w:r>
        <w:rPr>
          <w:spacing w:val="-7"/>
          <w:sz w:val="24"/>
        </w:rPr>
        <w:t> </w:t>
      </w:r>
      <w:r>
        <w:rPr>
          <w:sz w:val="24"/>
        </w:rPr>
        <w:t>rising.</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3" w:firstLine="0"/>
        <w:jc w:val="left"/>
        <w:rPr>
          <w:sz w:val="24"/>
        </w:rPr>
      </w:pPr>
      <w:r>
        <w:rPr>
          <w:sz w:val="24"/>
        </w:rPr>
        <w:t>In the United States, economic growth had continued apace despite the disruption from Hurricanes Katrina and Rita and the monetary tightening by the Federal Reserve. In Q3, quarterly GDP growth had been revised up by 0.2 percentage points to 1.1%. </w:t>
      </w:r>
      <w:r>
        <w:rPr>
          <w:spacing w:val="-4"/>
          <w:sz w:val="24"/>
        </w:rPr>
        <w:t>Cons </w:t>
      </w:r>
      <w:r>
        <w:rPr>
          <w:sz w:val="24"/>
        </w:rPr>
        <w:t>umption had grown steadily. Looking ahead to Q4, the surveys of purchasing managers by the Institute for Supply Management (ISM) suggested a slight moderation in GDP growth. Non-farm payrolls had risen in November following hurricane-related weakness in the previous two months. </w:t>
      </w:r>
      <w:r>
        <w:rPr>
          <w:spacing w:val="-4"/>
          <w:sz w:val="24"/>
        </w:rPr>
        <w:t>Consumer </w:t>
      </w:r>
      <w:r>
        <w:rPr>
          <w:sz w:val="24"/>
        </w:rPr>
        <w:t>confidence had also recovered.</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7" w:right="412" w:firstLine="0"/>
        <w:jc w:val="left"/>
        <w:rPr>
          <w:sz w:val="24"/>
        </w:rPr>
      </w:pPr>
      <w:r>
        <w:rPr>
          <w:sz w:val="24"/>
        </w:rPr>
        <w:t>In</w:t>
      </w:r>
      <w:r>
        <w:rPr>
          <w:spacing w:val="-8"/>
          <w:sz w:val="24"/>
        </w:rPr>
        <w:t> </w:t>
      </w:r>
      <w:r>
        <w:rPr>
          <w:sz w:val="24"/>
        </w:rPr>
        <w:t>Asia,</w:t>
      </w:r>
      <w:r>
        <w:rPr>
          <w:spacing w:val="-2"/>
          <w:sz w:val="24"/>
        </w:rPr>
        <w:t> </w:t>
      </w:r>
      <w:r>
        <w:rPr>
          <w:sz w:val="24"/>
        </w:rPr>
        <w:t>Q3</w:t>
      </w:r>
      <w:r>
        <w:rPr>
          <w:spacing w:val="-3"/>
          <w:sz w:val="24"/>
        </w:rPr>
        <w:t> </w:t>
      </w:r>
      <w:r>
        <w:rPr>
          <w:sz w:val="24"/>
        </w:rPr>
        <w:t>GDP</w:t>
      </w:r>
      <w:r>
        <w:rPr>
          <w:spacing w:val="-2"/>
          <w:sz w:val="24"/>
        </w:rPr>
        <w:t> </w:t>
      </w:r>
      <w:r>
        <w:rPr>
          <w:sz w:val="24"/>
        </w:rPr>
        <w:t>growth</w:t>
      </w:r>
      <w:r>
        <w:rPr>
          <w:spacing w:val="-3"/>
          <w:sz w:val="24"/>
        </w:rPr>
        <w:t> </w:t>
      </w:r>
      <w:r>
        <w:rPr>
          <w:sz w:val="24"/>
        </w:rPr>
        <w:t>rates</w:t>
      </w:r>
      <w:r>
        <w:rPr>
          <w:spacing w:val="-2"/>
          <w:sz w:val="24"/>
        </w:rPr>
        <w:t> </w:t>
      </w:r>
      <w:r>
        <w:rPr>
          <w:sz w:val="24"/>
        </w:rPr>
        <w:t>had</w:t>
      </w:r>
      <w:r>
        <w:rPr>
          <w:spacing w:val="-3"/>
          <w:sz w:val="24"/>
        </w:rPr>
        <w:t> </w:t>
      </w:r>
      <w:r>
        <w:rPr>
          <w:sz w:val="24"/>
        </w:rPr>
        <w:t>come</w:t>
      </w:r>
      <w:r>
        <w:rPr>
          <w:spacing w:val="-2"/>
          <w:sz w:val="24"/>
        </w:rPr>
        <w:t> </w:t>
      </w:r>
      <w:r>
        <w:rPr>
          <w:sz w:val="24"/>
        </w:rPr>
        <w:t>in</w:t>
      </w:r>
      <w:r>
        <w:rPr>
          <w:spacing w:val="-3"/>
          <w:sz w:val="24"/>
        </w:rPr>
        <w:t> </w:t>
      </w:r>
      <w:r>
        <w:rPr>
          <w:sz w:val="24"/>
        </w:rPr>
        <w:t>slightly</w:t>
      </w:r>
      <w:r>
        <w:rPr>
          <w:spacing w:val="-3"/>
          <w:sz w:val="24"/>
        </w:rPr>
        <w:t> </w:t>
      </w:r>
      <w:r>
        <w:rPr>
          <w:sz w:val="24"/>
        </w:rPr>
        <w:t>above</w:t>
      </w:r>
      <w:r>
        <w:rPr>
          <w:spacing w:val="-2"/>
          <w:sz w:val="24"/>
        </w:rPr>
        <w:t> </w:t>
      </w:r>
      <w:r>
        <w:rPr>
          <w:sz w:val="24"/>
        </w:rPr>
        <w:t>or</w:t>
      </w:r>
      <w:r>
        <w:rPr>
          <w:spacing w:val="-3"/>
          <w:sz w:val="24"/>
        </w:rPr>
        <w:t> </w:t>
      </w:r>
      <w:r>
        <w:rPr>
          <w:sz w:val="24"/>
        </w:rPr>
        <w:t>in</w:t>
      </w:r>
      <w:r>
        <w:rPr>
          <w:spacing w:val="-2"/>
          <w:sz w:val="24"/>
        </w:rPr>
        <w:t> </w:t>
      </w:r>
      <w:r>
        <w:rPr>
          <w:sz w:val="24"/>
        </w:rPr>
        <w:t>line</w:t>
      </w:r>
      <w:r>
        <w:rPr>
          <w:spacing w:val="-3"/>
          <w:sz w:val="24"/>
        </w:rPr>
        <w:t> </w:t>
      </w:r>
      <w:r>
        <w:rPr>
          <w:sz w:val="24"/>
        </w:rPr>
        <w:t>with</w:t>
      </w:r>
      <w:r>
        <w:rPr>
          <w:spacing w:val="-2"/>
          <w:sz w:val="24"/>
        </w:rPr>
        <w:t> </w:t>
      </w:r>
      <w:r>
        <w:rPr>
          <w:sz w:val="24"/>
        </w:rPr>
        <w:t>expectations,</w:t>
      </w:r>
      <w:r>
        <w:rPr>
          <w:spacing w:val="-3"/>
          <w:sz w:val="24"/>
        </w:rPr>
        <w:t> </w:t>
      </w:r>
      <w:r>
        <w:rPr>
          <w:sz w:val="24"/>
        </w:rPr>
        <w:t>and</w:t>
      </w:r>
      <w:r>
        <w:rPr>
          <w:spacing w:val="-2"/>
          <w:sz w:val="24"/>
        </w:rPr>
        <w:t> </w:t>
      </w:r>
      <w:r>
        <w:rPr>
          <w:sz w:val="24"/>
        </w:rPr>
        <w:t>the outlook for Q4 was for growth to continue at a similar</w:t>
      </w:r>
      <w:r>
        <w:rPr>
          <w:spacing w:val="-6"/>
          <w:sz w:val="24"/>
        </w:rPr>
        <w:t> </w:t>
      </w:r>
      <w:r>
        <w:rPr>
          <w:sz w:val="24"/>
        </w:rPr>
        <w:t>rate.</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7" w:right="206" w:firstLine="0"/>
        <w:jc w:val="left"/>
        <w:rPr>
          <w:sz w:val="24"/>
        </w:rPr>
      </w:pPr>
      <w:r>
        <w:rPr>
          <w:sz w:val="24"/>
        </w:rPr>
        <w:t>The spot oil price </w:t>
      </w:r>
      <w:r>
        <w:rPr>
          <w:spacing w:val="-3"/>
          <w:sz w:val="24"/>
        </w:rPr>
        <w:t>had </w:t>
      </w:r>
      <w:r>
        <w:rPr>
          <w:sz w:val="24"/>
        </w:rPr>
        <w:t>eased further, with Brent crude trading at around $55 a barrel. Oil </w:t>
      </w:r>
      <w:r>
        <w:rPr>
          <w:spacing w:val="-4"/>
          <w:sz w:val="24"/>
        </w:rPr>
        <w:t>futures </w:t>
      </w:r>
      <w:r>
        <w:rPr>
          <w:sz w:val="24"/>
        </w:rPr>
        <w:t>prices had fallen slightly on the </w:t>
      </w:r>
      <w:r>
        <w:rPr>
          <w:spacing w:val="-3"/>
          <w:sz w:val="24"/>
        </w:rPr>
        <w:t>month. </w:t>
      </w:r>
      <w:r>
        <w:rPr>
          <w:sz w:val="24"/>
        </w:rPr>
        <w:t>In the United States and the euro area, the recent easing in oil prices had contributed to modest declines in headline producer price and consumer price inflation. Excluding energy and food, US and euro-area consumer price inflation measures had been broadly stable. As yet, there was little sign that the strength in energy prices during 2005 had fed through into higher wage claims</w:t>
      </w:r>
      <w:r>
        <w:rPr>
          <w:spacing w:val="16"/>
          <w:sz w:val="24"/>
        </w:rPr>
        <w:t> </w:t>
      </w:r>
      <w:r>
        <w:rPr>
          <w:sz w:val="24"/>
        </w:rPr>
        <w:t>internationally.</w:t>
      </w:r>
    </w:p>
    <w:p>
      <w:pPr>
        <w:spacing w:after="0" w:line="360" w:lineRule="auto"/>
        <w:jc w:val="left"/>
        <w:rPr>
          <w:sz w:val="24"/>
        </w:rPr>
        <w:sectPr>
          <w:headerReference w:type="default" r:id="rId8"/>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Heading2"/>
        <w:spacing w:before="90"/>
        <w:ind w:left="107"/>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2" w:lineRule="auto" w:before="0" w:after="0"/>
        <w:ind w:left="108" w:right="170" w:firstLine="0"/>
        <w:jc w:val="left"/>
        <w:rPr>
          <w:sz w:val="24"/>
        </w:rPr>
      </w:pPr>
      <w:r>
        <w:rPr>
          <w:sz w:val="24"/>
        </w:rPr>
        <w:t>The annual growth rate of aggregate M4 had risen by 0.3 percentage points in October to</w:t>
      </w:r>
      <w:r>
        <w:rPr>
          <w:spacing w:val="-19"/>
          <w:sz w:val="24"/>
        </w:rPr>
        <w:t> </w:t>
      </w:r>
      <w:r>
        <w:rPr>
          <w:sz w:val="24"/>
        </w:rPr>
        <w:t>11.6%, the highest since 1997. Secured lending growth was unchanged at an annual rate of just over 10%. Growth in unsecured lending had slowed. In November, </w:t>
      </w:r>
      <w:r>
        <w:rPr>
          <w:spacing w:val="-3"/>
          <w:sz w:val="24"/>
        </w:rPr>
        <w:t>growth </w:t>
      </w:r>
      <w:r>
        <w:rPr>
          <w:sz w:val="24"/>
        </w:rPr>
        <w:t>in notes and coin had remained subdued, consistent with the sluggishness of retail</w:t>
      </w:r>
      <w:r>
        <w:rPr>
          <w:spacing w:val="5"/>
          <w:sz w:val="24"/>
        </w:rPr>
        <w:t> </w:t>
      </w:r>
      <w:r>
        <w:rPr>
          <w:sz w:val="24"/>
        </w:rPr>
        <w:t>sales.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58" w:firstLine="0"/>
        <w:jc w:val="left"/>
        <w:rPr>
          <w:sz w:val="24"/>
        </w:rPr>
      </w:pPr>
      <w:r>
        <w:rPr>
          <w:sz w:val="24"/>
        </w:rPr>
        <w:t>Since the Committee’s November </w:t>
      </w:r>
      <w:r>
        <w:rPr>
          <w:spacing w:val="-3"/>
          <w:sz w:val="24"/>
        </w:rPr>
        <w:t>meeting, </w:t>
      </w:r>
      <w:r>
        <w:rPr>
          <w:sz w:val="24"/>
        </w:rPr>
        <w:t>the Office for National Statistics had published the </w:t>
      </w:r>
      <w:r>
        <w:rPr>
          <w:i/>
          <w:spacing w:val="-3"/>
          <w:sz w:val="24"/>
        </w:rPr>
        <w:t>UK </w:t>
      </w:r>
      <w:r>
        <w:rPr>
          <w:i/>
          <w:sz w:val="24"/>
        </w:rPr>
        <w:t>Output, Income and Expenditure </w:t>
      </w:r>
      <w:r>
        <w:rPr>
          <w:sz w:val="24"/>
        </w:rPr>
        <w:t>release for Q3. Annual GDP growth had been revised up by 0.1 percentage points to 1.7%. Quarterly growth had been left unrevised at 0.4%. Excluding output of the oil sector, quarterly GDP </w:t>
      </w:r>
      <w:r>
        <w:rPr>
          <w:spacing w:val="-3"/>
          <w:sz w:val="24"/>
        </w:rPr>
        <w:t>growth </w:t>
      </w:r>
      <w:r>
        <w:rPr>
          <w:sz w:val="24"/>
        </w:rPr>
        <w:t>had </w:t>
      </w:r>
      <w:r>
        <w:rPr>
          <w:spacing w:val="-3"/>
          <w:sz w:val="24"/>
        </w:rPr>
        <w:t>been </w:t>
      </w:r>
      <w:r>
        <w:rPr>
          <w:sz w:val="24"/>
        </w:rPr>
        <w:t>0.6%. It seemed as though the low point in non-oil </w:t>
      </w:r>
      <w:r>
        <w:rPr>
          <w:spacing w:val="-3"/>
          <w:sz w:val="24"/>
        </w:rPr>
        <w:t>output growth </w:t>
      </w:r>
      <w:r>
        <w:rPr>
          <w:sz w:val="24"/>
        </w:rPr>
        <w:t>had </w:t>
      </w:r>
      <w:r>
        <w:rPr>
          <w:spacing w:val="-3"/>
          <w:sz w:val="24"/>
        </w:rPr>
        <w:t>been </w:t>
      </w:r>
      <w:r>
        <w:rPr>
          <w:sz w:val="24"/>
        </w:rPr>
        <w:t>in Q1, with </w:t>
      </w:r>
      <w:r>
        <w:rPr>
          <w:spacing w:val="-6"/>
          <w:sz w:val="24"/>
        </w:rPr>
        <w:t>some </w:t>
      </w:r>
      <w:r>
        <w:rPr>
          <w:sz w:val="24"/>
        </w:rPr>
        <w:t>gradual recovery</w:t>
      </w:r>
      <w:r>
        <w:rPr>
          <w:spacing w:val="-11"/>
          <w:sz w:val="24"/>
        </w:rPr>
        <w:t> </w:t>
      </w:r>
      <w:r>
        <w:rPr>
          <w:sz w:val="24"/>
        </w:rPr>
        <w:t>since.</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218" w:firstLine="0"/>
        <w:jc w:val="left"/>
        <w:rPr>
          <w:sz w:val="24"/>
        </w:rPr>
      </w:pPr>
      <w:r>
        <w:rPr>
          <w:sz w:val="24"/>
        </w:rPr>
        <w:t>In the services sector, business surveys continued to point to stronger growth than the official data. As the Committee had noted in its previous meeting, the size of that discrepancy had not </w:t>
      </w:r>
      <w:r>
        <w:rPr>
          <w:spacing w:val="-3"/>
          <w:sz w:val="24"/>
        </w:rPr>
        <w:t>been </w:t>
      </w:r>
      <w:r>
        <w:rPr>
          <w:sz w:val="24"/>
        </w:rPr>
        <w:t>historically large, but the degree of persistence of the discrepancy had been more unusual. </w:t>
      </w:r>
      <w:r>
        <w:rPr>
          <w:spacing w:val="-6"/>
          <w:sz w:val="24"/>
        </w:rPr>
        <w:t>One </w:t>
      </w:r>
      <w:r>
        <w:rPr>
          <w:sz w:val="24"/>
        </w:rPr>
        <w:t>possibility was that the statistical relationship between the survey </w:t>
      </w:r>
      <w:r>
        <w:rPr>
          <w:spacing w:val="-3"/>
          <w:sz w:val="24"/>
        </w:rPr>
        <w:t>balances </w:t>
      </w:r>
      <w:r>
        <w:rPr>
          <w:sz w:val="24"/>
        </w:rPr>
        <w:t>and the official figures had changed. This could be the case if, for examp le, there had been a change in the dispersion of </w:t>
      </w:r>
      <w:r>
        <w:rPr>
          <w:spacing w:val="-2"/>
          <w:sz w:val="24"/>
        </w:rPr>
        <w:t>growth </w:t>
      </w:r>
      <w:r>
        <w:rPr>
          <w:sz w:val="24"/>
        </w:rPr>
        <w:t>rates across service sector companies. Evidence to support </w:t>
      </w:r>
      <w:r>
        <w:rPr>
          <w:spacing w:val="-3"/>
          <w:sz w:val="24"/>
        </w:rPr>
        <w:t>that </w:t>
      </w:r>
      <w:r>
        <w:rPr>
          <w:sz w:val="24"/>
        </w:rPr>
        <w:t>hypothesis was, however, limited. Overall, the Committee placed some weight on both the official data and the business surveys, and noted </w:t>
      </w:r>
      <w:r>
        <w:rPr>
          <w:spacing w:val="-3"/>
          <w:sz w:val="24"/>
        </w:rPr>
        <w:t>that </w:t>
      </w:r>
      <w:r>
        <w:rPr>
          <w:sz w:val="24"/>
        </w:rPr>
        <w:t>the surveys continued to point to solid growth in the service sector in</w:t>
      </w:r>
      <w:r>
        <w:rPr>
          <w:spacing w:val="-11"/>
          <w:sz w:val="24"/>
        </w:rPr>
        <w:t> </w:t>
      </w:r>
      <w:r>
        <w:rPr>
          <w:sz w:val="24"/>
        </w:rPr>
        <w:t>Q4.</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7" w:right="136" w:firstLine="0"/>
        <w:jc w:val="left"/>
        <w:rPr>
          <w:sz w:val="24"/>
        </w:rPr>
      </w:pPr>
      <w:r>
        <w:rPr>
          <w:sz w:val="24"/>
        </w:rPr>
        <w:t>Activity in the manufacturing sector had been subdued. Official estimates of manufacturing </w:t>
      </w:r>
      <w:r>
        <w:rPr>
          <w:spacing w:val="-3"/>
          <w:sz w:val="24"/>
        </w:rPr>
        <w:t>output </w:t>
      </w:r>
      <w:r>
        <w:rPr>
          <w:sz w:val="24"/>
        </w:rPr>
        <w:t>pointed to a 0.7% fall in October. Business surveys had been a little more positive, but still indicated </w:t>
      </w:r>
      <w:r>
        <w:rPr>
          <w:spacing w:val="2"/>
          <w:sz w:val="24"/>
        </w:rPr>
        <w:t>slow </w:t>
      </w:r>
      <w:r>
        <w:rPr>
          <w:spacing w:val="-3"/>
          <w:sz w:val="24"/>
        </w:rPr>
        <w:t>growth. </w:t>
      </w:r>
      <w:r>
        <w:rPr>
          <w:sz w:val="24"/>
        </w:rPr>
        <w:t>This was somewhat surprising, given the strength of the international economy and the growth in export orders suggested by recent surveys, </w:t>
      </w:r>
      <w:r>
        <w:rPr>
          <w:spacing w:val="-3"/>
          <w:sz w:val="24"/>
        </w:rPr>
        <w:t>and </w:t>
      </w:r>
      <w:r>
        <w:rPr>
          <w:sz w:val="24"/>
        </w:rPr>
        <w:t>perhaps implied that </w:t>
      </w:r>
      <w:r>
        <w:rPr>
          <w:spacing w:val="-2"/>
          <w:sz w:val="24"/>
        </w:rPr>
        <w:t>the </w:t>
      </w:r>
      <w:r>
        <w:rPr>
          <w:sz w:val="24"/>
        </w:rPr>
        <w:t>manufacturing figures reflected weakness in domestic</w:t>
      </w:r>
      <w:r>
        <w:rPr>
          <w:spacing w:val="-6"/>
          <w:sz w:val="24"/>
        </w:rPr>
        <w:t> </w:t>
      </w:r>
      <w:r>
        <w:rPr>
          <w:sz w:val="24"/>
        </w:rPr>
        <w:t>demand.</w:t>
      </w:r>
    </w:p>
    <w:p>
      <w:pPr>
        <w:pStyle w:val="BodyText"/>
        <w:rPr>
          <w:sz w:val="36"/>
        </w:rPr>
      </w:pPr>
    </w:p>
    <w:p>
      <w:pPr>
        <w:pStyle w:val="ListParagraph"/>
        <w:numPr>
          <w:ilvl w:val="0"/>
          <w:numId w:val="1"/>
        </w:numPr>
        <w:tabs>
          <w:tab w:pos="671" w:val="left" w:leader="none"/>
          <w:tab w:pos="672" w:val="left" w:leader="none"/>
        </w:tabs>
        <w:spacing w:line="362" w:lineRule="auto" w:before="1" w:after="0"/>
        <w:ind w:left="107" w:right="160" w:firstLine="0"/>
        <w:jc w:val="left"/>
        <w:rPr>
          <w:sz w:val="24"/>
        </w:rPr>
      </w:pPr>
      <w:r>
        <w:rPr>
          <w:sz w:val="24"/>
        </w:rPr>
        <w:t>The</w:t>
      </w:r>
      <w:r>
        <w:rPr>
          <w:spacing w:val="-3"/>
          <w:sz w:val="24"/>
        </w:rPr>
        <w:t> </w:t>
      </w:r>
      <w:r>
        <w:rPr>
          <w:sz w:val="24"/>
        </w:rPr>
        <w:t>latest</w:t>
      </w:r>
      <w:r>
        <w:rPr>
          <w:spacing w:val="-3"/>
          <w:sz w:val="24"/>
        </w:rPr>
        <w:t> </w:t>
      </w:r>
      <w:r>
        <w:rPr>
          <w:sz w:val="24"/>
        </w:rPr>
        <w:t>Q3</w:t>
      </w:r>
      <w:r>
        <w:rPr>
          <w:spacing w:val="-2"/>
          <w:sz w:val="24"/>
        </w:rPr>
        <w:t> </w:t>
      </w:r>
      <w:r>
        <w:rPr>
          <w:sz w:val="24"/>
        </w:rPr>
        <w:t>GDP</w:t>
      </w:r>
      <w:r>
        <w:rPr>
          <w:spacing w:val="-3"/>
          <w:sz w:val="24"/>
        </w:rPr>
        <w:t> </w:t>
      </w:r>
      <w:r>
        <w:rPr>
          <w:sz w:val="24"/>
        </w:rPr>
        <w:t>release</w:t>
      </w:r>
      <w:r>
        <w:rPr>
          <w:spacing w:val="-2"/>
          <w:sz w:val="24"/>
        </w:rPr>
        <w:t> </w:t>
      </w:r>
      <w:r>
        <w:rPr>
          <w:sz w:val="24"/>
        </w:rPr>
        <w:t>suggested</w:t>
      </w:r>
      <w:r>
        <w:rPr>
          <w:spacing w:val="-3"/>
          <w:sz w:val="24"/>
        </w:rPr>
        <w:t> </w:t>
      </w:r>
      <w:r>
        <w:rPr>
          <w:sz w:val="24"/>
        </w:rPr>
        <w:t>a</w:t>
      </w:r>
      <w:r>
        <w:rPr>
          <w:spacing w:val="-4"/>
          <w:sz w:val="24"/>
        </w:rPr>
        <w:t> </w:t>
      </w:r>
      <w:r>
        <w:rPr>
          <w:sz w:val="24"/>
        </w:rPr>
        <w:t>gradual</w:t>
      </w:r>
      <w:r>
        <w:rPr>
          <w:spacing w:val="-3"/>
          <w:sz w:val="24"/>
        </w:rPr>
        <w:t> </w:t>
      </w:r>
      <w:r>
        <w:rPr>
          <w:sz w:val="24"/>
        </w:rPr>
        <w:t>recovery</w:t>
      </w:r>
      <w:r>
        <w:rPr>
          <w:spacing w:val="-4"/>
          <w:sz w:val="24"/>
        </w:rPr>
        <w:t> </w:t>
      </w:r>
      <w:r>
        <w:rPr>
          <w:sz w:val="24"/>
        </w:rPr>
        <w:t>in</w:t>
      </w:r>
      <w:r>
        <w:rPr>
          <w:spacing w:val="-3"/>
          <w:sz w:val="24"/>
        </w:rPr>
        <w:t> </w:t>
      </w:r>
      <w:r>
        <w:rPr>
          <w:sz w:val="24"/>
        </w:rPr>
        <w:t>consumption</w:t>
      </w:r>
      <w:r>
        <w:rPr>
          <w:spacing w:val="-4"/>
          <w:sz w:val="24"/>
        </w:rPr>
        <w:t> </w:t>
      </w:r>
      <w:r>
        <w:rPr>
          <w:sz w:val="24"/>
        </w:rPr>
        <w:t>growth,</w:t>
      </w:r>
      <w:r>
        <w:rPr>
          <w:spacing w:val="-3"/>
          <w:sz w:val="24"/>
        </w:rPr>
        <w:t> </w:t>
      </w:r>
      <w:r>
        <w:rPr>
          <w:sz w:val="24"/>
        </w:rPr>
        <w:t>weak</w:t>
      </w:r>
      <w:r>
        <w:rPr>
          <w:spacing w:val="-4"/>
          <w:sz w:val="24"/>
        </w:rPr>
        <w:t> </w:t>
      </w:r>
      <w:r>
        <w:rPr>
          <w:sz w:val="24"/>
        </w:rPr>
        <w:t>growth</w:t>
      </w:r>
      <w:r>
        <w:rPr>
          <w:spacing w:val="-3"/>
          <w:sz w:val="24"/>
        </w:rPr>
        <w:t> </w:t>
      </w:r>
      <w:r>
        <w:rPr>
          <w:sz w:val="24"/>
        </w:rPr>
        <w:t>in investment, a small negative contribution from net trade and an increase in stockbuilding. However, given the likelihood of revisions, it would be unwise to attach much weight to the expenditure breakdown at this stage of the data</w:t>
      </w:r>
      <w:r>
        <w:rPr>
          <w:spacing w:val="5"/>
          <w:sz w:val="24"/>
        </w:rPr>
        <w:t> </w:t>
      </w:r>
      <w:r>
        <w:rPr>
          <w:sz w:val="24"/>
        </w:rPr>
        <w:t>cycle.</w:t>
      </w:r>
    </w:p>
    <w:p>
      <w:pPr>
        <w:spacing w:after="0" w:line="362"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74" w:firstLine="0"/>
        <w:jc w:val="left"/>
        <w:rPr>
          <w:sz w:val="24"/>
        </w:rPr>
      </w:pPr>
      <w:r>
        <w:rPr>
          <w:sz w:val="24"/>
        </w:rPr>
        <w:t>Consumption growth had edged up to 0.5% in Q3, according to the latest GDP release, broadly in line with the November </w:t>
      </w:r>
      <w:r>
        <w:rPr>
          <w:i/>
          <w:sz w:val="24"/>
        </w:rPr>
        <w:t>Inflation Report</w:t>
      </w:r>
      <w:r>
        <w:rPr>
          <w:sz w:val="24"/>
        </w:rPr>
        <w:t>. Indicators of household spending in Q4 had been mixed. </w:t>
      </w:r>
      <w:r>
        <w:rPr>
          <w:spacing w:val="-3"/>
          <w:sz w:val="24"/>
        </w:rPr>
        <w:t>There </w:t>
      </w:r>
      <w:r>
        <w:rPr>
          <w:sz w:val="24"/>
        </w:rPr>
        <w:t>had </w:t>
      </w:r>
      <w:r>
        <w:rPr>
          <w:spacing w:val="-3"/>
          <w:sz w:val="24"/>
        </w:rPr>
        <w:t>been </w:t>
      </w:r>
      <w:r>
        <w:rPr>
          <w:sz w:val="24"/>
        </w:rPr>
        <w:t>some encouraging signs: three-month on three-month growth in retail </w:t>
      </w:r>
      <w:r>
        <w:rPr>
          <w:spacing w:val="-3"/>
          <w:sz w:val="24"/>
        </w:rPr>
        <w:t>sales volume </w:t>
      </w:r>
      <w:r>
        <w:rPr>
          <w:sz w:val="24"/>
        </w:rPr>
        <w:t>s had risen to 0.7% in October, according to official figures; the British Retail Consortium November survey had pointed </w:t>
      </w:r>
      <w:r>
        <w:rPr>
          <w:spacing w:val="-13"/>
          <w:sz w:val="24"/>
        </w:rPr>
        <w:t>to </w:t>
      </w:r>
      <w:r>
        <w:rPr>
          <w:sz w:val="24"/>
        </w:rPr>
        <w:t>a year-on-year increase in retail sales values of almost 5%; and reports from the Bank’s regional Agents had suggested a tentative recovery in consumption </w:t>
      </w:r>
      <w:r>
        <w:rPr>
          <w:spacing w:val="-3"/>
          <w:sz w:val="24"/>
        </w:rPr>
        <w:t>growth. </w:t>
      </w:r>
      <w:r>
        <w:rPr>
          <w:sz w:val="24"/>
        </w:rPr>
        <w:t>In contrast, the November CBI </w:t>
      </w:r>
      <w:r>
        <w:rPr>
          <w:i/>
          <w:sz w:val="24"/>
        </w:rPr>
        <w:t>Distributive Trades Survey </w:t>
      </w:r>
      <w:r>
        <w:rPr>
          <w:sz w:val="24"/>
        </w:rPr>
        <w:t>had remained very weak, with </w:t>
      </w:r>
      <w:r>
        <w:rPr>
          <w:spacing w:val="-4"/>
          <w:sz w:val="24"/>
        </w:rPr>
        <w:t>the </w:t>
      </w:r>
      <w:r>
        <w:rPr>
          <w:sz w:val="24"/>
        </w:rPr>
        <w:t>reported retailers’ sales balance falling to its lowest in the survey’s 22-year </w:t>
      </w:r>
      <w:r>
        <w:rPr>
          <w:spacing w:val="-4"/>
          <w:sz w:val="24"/>
        </w:rPr>
        <w:t>history. </w:t>
      </w:r>
      <w:r>
        <w:rPr>
          <w:sz w:val="24"/>
        </w:rPr>
        <w:t>Private car sales </w:t>
      </w:r>
      <w:r>
        <w:rPr>
          <w:spacing w:val="2"/>
          <w:sz w:val="24"/>
        </w:rPr>
        <w:t>were </w:t>
      </w:r>
      <w:r>
        <w:rPr>
          <w:sz w:val="24"/>
        </w:rPr>
        <w:t>significantly lower than in</w:t>
      </w:r>
      <w:r>
        <w:rPr>
          <w:spacing w:val="-5"/>
          <w:sz w:val="24"/>
        </w:rPr>
        <w:t> </w:t>
      </w:r>
      <w:r>
        <w:rPr>
          <w:sz w:val="24"/>
        </w:rPr>
        <w:t>2004.</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23" w:firstLine="0"/>
        <w:jc w:val="left"/>
        <w:rPr>
          <w:sz w:val="24"/>
        </w:rPr>
      </w:pPr>
      <w:r>
        <w:rPr>
          <w:sz w:val="24"/>
        </w:rPr>
        <w:t>A number of influences had probably restrained consumption growth over the past year – </w:t>
      </w:r>
      <w:r>
        <w:rPr>
          <w:spacing w:val="3"/>
          <w:sz w:val="24"/>
        </w:rPr>
        <w:t>slower </w:t>
      </w:r>
      <w:r>
        <w:rPr>
          <w:spacing w:val="2"/>
          <w:sz w:val="24"/>
        </w:rPr>
        <w:t>real</w:t>
      </w:r>
      <w:r>
        <w:rPr>
          <w:spacing w:val="-2"/>
          <w:sz w:val="24"/>
        </w:rPr>
        <w:t> </w:t>
      </w:r>
      <w:r>
        <w:rPr>
          <w:sz w:val="24"/>
        </w:rPr>
        <w:t>post-tax</w:t>
      </w:r>
      <w:r>
        <w:rPr>
          <w:spacing w:val="-17"/>
          <w:sz w:val="24"/>
        </w:rPr>
        <w:t> </w:t>
      </w:r>
      <w:r>
        <w:rPr>
          <w:sz w:val="24"/>
        </w:rPr>
        <w:t>income</w:t>
      </w:r>
      <w:r>
        <w:rPr>
          <w:spacing w:val="5"/>
          <w:sz w:val="24"/>
        </w:rPr>
        <w:t> </w:t>
      </w:r>
      <w:r>
        <w:rPr>
          <w:sz w:val="24"/>
        </w:rPr>
        <w:t>growth,</w:t>
      </w:r>
      <w:r>
        <w:rPr>
          <w:spacing w:val="-3"/>
          <w:sz w:val="24"/>
        </w:rPr>
        <w:t> </w:t>
      </w:r>
      <w:r>
        <w:rPr>
          <w:sz w:val="24"/>
        </w:rPr>
        <w:t>the</w:t>
      </w:r>
      <w:r>
        <w:rPr>
          <w:spacing w:val="-4"/>
          <w:sz w:val="24"/>
        </w:rPr>
        <w:t> </w:t>
      </w:r>
      <w:r>
        <w:rPr>
          <w:sz w:val="24"/>
        </w:rPr>
        <w:t>weaker</w:t>
      </w:r>
      <w:r>
        <w:rPr>
          <w:spacing w:val="-3"/>
          <w:sz w:val="24"/>
        </w:rPr>
        <w:t> </w:t>
      </w:r>
      <w:r>
        <w:rPr>
          <w:sz w:val="24"/>
        </w:rPr>
        <w:t>housing</w:t>
      </w:r>
      <w:r>
        <w:rPr>
          <w:spacing w:val="-3"/>
          <w:sz w:val="24"/>
        </w:rPr>
        <w:t> </w:t>
      </w:r>
      <w:r>
        <w:rPr>
          <w:sz w:val="24"/>
        </w:rPr>
        <w:t>market</w:t>
      </w:r>
      <w:r>
        <w:rPr>
          <w:spacing w:val="-3"/>
          <w:sz w:val="24"/>
        </w:rPr>
        <w:t> </w:t>
      </w:r>
      <w:r>
        <w:rPr>
          <w:sz w:val="24"/>
        </w:rPr>
        <w:t>and</w:t>
      </w:r>
      <w:r>
        <w:rPr>
          <w:spacing w:val="-4"/>
          <w:sz w:val="24"/>
        </w:rPr>
        <w:t> </w:t>
      </w:r>
      <w:r>
        <w:rPr>
          <w:sz w:val="24"/>
        </w:rPr>
        <w:t>the</w:t>
      </w:r>
      <w:r>
        <w:rPr>
          <w:spacing w:val="-3"/>
          <w:sz w:val="24"/>
        </w:rPr>
        <w:t> </w:t>
      </w:r>
      <w:r>
        <w:rPr>
          <w:sz w:val="24"/>
        </w:rPr>
        <w:t>impact</w:t>
      </w:r>
      <w:r>
        <w:rPr>
          <w:spacing w:val="-3"/>
          <w:sz w:val="24"/>
        </w:rPr>
        <w:t> </w:t>
      </w:r>
      <w:r>
        <w:rPr>
          <w:sz w:val="24"/>
        </w:rPr>
        <w:t>of</w:t>
      </w:r>
      <w:r>
        <w:rPr>
          <w:spacing w:val="-3"/>
          <w:sz w:val="24"/>
        </w:rPr>
        <w:t> </w:t>
      </w:r>
      <w:r>
        <w:rPr>
          <w:sz w:val="24"/>
        </w:rPr>
        <w:t>past</w:t>
      </w:r>
      <w:r>
        <w:rPr>
          <w:spacing w:val="-4"/>
          <w:sz w:val="24"/>
        </w:rPr>
        <w:t> </w:t>
      </w:r>
      <w:r>
        <w:rPr>
          <w:sz w:val="24"/>
        </w:rPr>
        <w:t>increases</w:t>
      </w:r>
      <w:r>
        <w:rPr>
          <w:spacing w:val="-3"/>
          <w:sz w:val="24"/>
        </w:rPr>
        <w:t> </w:t>
      </w:r>
      <w:r>
        <w:rPr>
          <w:sz w:val="24"/>
        </w:rPr>
        <w:t>in</w:t>
      </w:r>
      <w:r>
        <w:rPr>
          <w:spacing w:val="-3"/>
          <w:sz w:val="24"/>
        </w:rPr>
        <w:t> </w:t>
      </w:r>
      <w:r>
        <w:rPr>
          <w:sz w:val="24"/>
        </w:rPr>
        <w:t>the</w:t>
      </w:r>
      <w:r>
        <w:rPr>
          <w:spacing w:val="-3"/>
          <w:sz w:val="24"/>
        </w:rPr>
        <w:t> </w:t>
      </w:r>
      <w:r>
        <w:rPr>
          <w:sz w:val="24"/>
        </w:rPr>
        <w:t>official interest rate. The Committee discussed the outlook for these various factors.  </w:t>
      </w:r>
      <w:r>
        <w:rPr>
          <w:spacing w:val="-3"/>
          <w:sz w:val="24"/>
        </w:rPr>
        <w:t>With </w:t>
      </w:r>
      <w:r>
        <w:rPr>
          <w:sz w:val="24"/>
        </w:rPr>
        <w:t>the whole- economy tax ratio likely to rise less steeply in the future than in </w:t>
      </w:r>
      <w:r>
        <w:rPr>
          <w:spacing w:val="-5"/>
          <w:sz w:val="24"/>
        </w:rPr>
        <w:t>the </w:t>
      </w:r>
      <w:r>
        <w:rPr>
          <w:sz w:val="24"/>
        </w:rPr>
        <w:t>recent past, post-tax income growth was likely to recover gradually. Near-term </w:t>
      </w:r>
      <w:r>
        <w:rPr>
          <w:spacing w:val="-3"/>
          <w:sz w:val="24"/>
        </w:rPr>
        <w:t>prospects </w:t>
      </w:r>
      <w:r>
        <w:rPr>
          <w:sz w:val="24"/>
        </w:rPr>
        <w:t>for the housing market appeared to have improved, with both activity and prices seemingly stronger. Financial asset prices were also likely to prove supportive of consumption. The impact of past rises in the official interest rate was likely to dissipate over the forecast period. </w:t>
      </w:r>
      <w:r>
        <w:rPr>
          <w:spacing w:val="-5"/>
          <w:sz w:val="24"/>
        </w:rPr>
        <w:t>And, </w:t>
      </w:r>
      <w:r>
        <w:rPr>
          <w:sz w:val="24"/>
        </w:rPr>
        <w:t>while there had recently been increases in </w:t>
      </w:r>
      <w:r>
        <w:rPr>
          <w:spacing w:val="-3"/>
          <w:sz w:val="24"/>
        </w:rPr>
        <w:t>some </w:t>
      </w:r>
      <w:r>
        <w:rPr>
          <w:sz w:val="24"/>
        </w:rPr>
        <w:t>credit card lending rates, there had also been a gentle easing in average mortgage rates during the past </w:t>
      </w:r>
      <w:r>
        <w:rPr>
          <w:spacing w:val="-2"/>
          <w:sz w:val="24"/>
        </w:rPr>
        <w:t>few </w:t>
      </w:r>
      <w:r>
        <w:rPr>
          <w:sz w:val="24"/>
        </w:rPr>
        <w:t>months. So overall it seemed likely that consumption growth would continue to edge up towards its historical average.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301" w:firstLine="0"/>
        <w:jc w:val="left"/>
        <w:rPr>
          <w:sz w:val="24"/>
        </w:rPr>
      </w:pPr>
      <w:r>
        <w:rPr>
          <w:sz w:val="24"/>
        </w:rPr>
        <w:t>Business investment had risen by just 0.3% in Q3, according to official estimates. That was a weaker outturn than envisaged in the November </w:t>
      </w:r>
      <w:r>
        <w:rPr>
          <w:i/>
          <w:sz w:val="24"/>
        </w:rPr>
        <w:t>Inflation Report</w:t>
      </w:r>
      <w:r>
        <w:rPr>
          <w:sz w:val="24"/>
        </w:rPr>
        <w:t>. </w:t>
      </w:r>
      <w:r>
        <w:rPr>
          <w:spacing w:val="-4"/>
          <w:sz w:val="24"/>
        </w:rPr>
        <w:t>But </w:t>
      </w:r>
      <w:r>
        <w:rPr>
          <w:sz w:val="24"/>
        </w:rPr>
        <w:t>official investment estimates were prone to substantial revision. Past experience suggested that investment data at this stage of the cycle tended to be revised </w:t>
      </w:r>
      <w:r>
        <w:rPr>
          <w:spacing w:val="2"/>
          <w:sz w:val="24"/>
        </w:rPr>
        <w:t>upwards, </w:t>
      </w:r>
      <w:r>
        <w:rPr>
          <w:spacing w:val="-3"/>
          <w:sz w:val="24"/>
        </w:rPr>
        <w:t>although </w:t>
      </w:r>
      <w:r>
        <w:rPr>
          <w:sz w:val="24"/>
        </w:rPr>
        <w:t>there was considerable variation around </w:t>
      </w:r>
      <w:r>
        <w:rPr>
          <w:spacing w:val="-5"/>
          <w:sz w:val="24"/>
        </w:rPr>
        <w:t>the </w:t>
      </w:r>
      <w:r>
        <w:rPr>
          <w:spacing w:val="5"/>
          <w:sz w:val="24"/>
        </w:rPr>
        <w:t>mean </w:t>
      </w:r>
      <w:r>
        <w:rPr>
          <w:sz w:val="24"/>
        </w:rPr>
        <w:t>revision. That said, </w:t>
      </w:r>
      <w:r>
        <w:rPr>
          <w:spacing w:val="-4"/>
          <w:sz w:val="24"/>
        </w:rPr>
        <w:t>the </w:t>
      </w:r>
      <w:r>
        <w:rPr>
          <w:sz w:val="24"/>
        </w:rPr>
        <w:t>Committee noted that several pieces of evidence were consistent with a subdued short-term </w:t>
      </w:r>
      <w:r>
        <w:rPr>
          <w:spacing w:val="-3"/>
          <w:sz w:val="24"/>
        </w:rPr>
        <w:t>outlook. </w:t>
      </w:r>
      <w:r>
        <w:rPr>
          <w:sz w:val="24"/>
        </w:rPr>
        <w:t>Investment intentions had weakened, according to business surveys and the Bank’s regional Agents. Capacity pressures also appeared to have eased, which would tend to reduce the incentives for companies to</w:t>
      </w:r>
      <w:r>
        <w:rPr>
          <w:spacing w:val="-7"/>
          <w:sz w:val="24"/>
        </w:rPr>
        <w:t> </w:t>
      </w:r>
      <w:r>
        <w:rPr>
          <w:sz w:val="24"/>
        </w:rPr>
        <w:t>invest.</w:t>
      </w:r>
    </w:p>
    <w:p>
      <w:pPr>
        <w:pStyle w:val="BodyText"/>
        <w:spacing w:before="7"/>
        <w:rPr>
          <w:sz w:val="36"/>
        </w:rPr>
      </w:pPr>
    </w:p>
    <w:p>
      <w:pPr>
        <w:pStyle w:val="ListParagraph"/>
        <w:numPr>
          <w:ilvl w:val="0"/>
          <w:numId w:val="1"/>
        </w:numPr>
        <w:tabs>
          <w:tab w:pos="671" w:val="left" w:leader="none"/>
          <w:tab w:pos="672" w:val="left" w:leader="none"/>
        </w:tabs>
        <w:spacing w:line="355" w:lineRule="auto" w:before="0" w:after="0"/>
        <w:ind w:left="107" w:right="181" w:firstLine="0"/>
        <w:jc w:val="left"/>
        <w:rPr>
          <w:sz w:val="24"/>
        </w:rPr>
      </w:pPr>
      <w:r>
        <w:rPr>
          <w:sz w:val="24"/>
        </w:rPr>
        <w:t>The Government’s </w:t>
      </w:r>
      <w:r>
        <w:rPr>
          <w:i/>
          <w:sz w:val="24"/>
        </w:rPr>
        <w:t>Pre-Budget Report </w:t>
      </w:r>
      <w:r>
        <w:rPr>
          <w:sz w:val="24"/>
        </w:rPr>
        <w:t>(PBR) had been published on 5 December. </w:t>
      </w:r>
      <w:r>
        <w:rPr>
          <w:spacing w:val="-2"/>
          <w:sz w:val="24"/>
        </w:rPr>
        <w:t>The </w:t>
      </w:r>
      <w:r>
        <w:rPr>
          <w:sz w:val="24"/>
        </w:rPr>
        <w:t>projections for GDP growth embodied in the Government’s fiscal forecasts were a little lower </w:t>
      </w:r>
      <w:r>
        <w:rPr>
          <w:spacing w:val="-4"/>
          <w:sz w:val="24"/>
        </w:rPr>
        <w:t>than</w:t>
      </w:r>
      <w:r>
        <w:rPr>
          <w:spacing w:val="-28"/>
          <w:sz w:val="24"/>
        </w:rPr>
        <w:t> </w:t>
      </w:r>
      <w:r>
        <w:rPr>
          <w:spacing w:val="-2"/>
          <w:sz w:val="24"/>
        </w:rPr>
        <w:t>the</w:t>
      </w:r>
    </w:p>
    <w:p>
      <w:pPr>
        <w:spacing w:after="0" w:line="355"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pPr>
      <w:r>
        <w:rPr/>
        <w:t>November </w:t>
      </w:r>
      <w:r>
        <w:rPr>
          <w:i/>
        </w:rPr>
        <w:t>Inflation Report </w:t>
      </w:r>
      <w:r>
        <w:rPr/>
        <w:t>central projections for FY2005/06 and FY2006/07. A preliminary assessment suggested that the fiscal projections did not contain substantial news relative to the 2005 Budget. Nevertheless, it was possible that the composition of projected government spending and receipts would have implications for the Committee’s forecast. Further analysis of the detailed fiscal projections contained in the PBR was therefore needed.</w:t>
      </w:r>
    </w:p>
    <w:p>
      <w:pPr>
        <w:pStyle w:val="BodyText"/>
        <w:rPr>
          <w:sz w:val="36"/>
        </w:rPr>
      </w:pPr>
    </w:p>
    <w:p>
      <w:pPr>
        <w:pStyle w:val="Heading2"/>
      </w:pPr>
      <w:r>
        <w:rPr/>
        <w:t>The labour market, costs and</w:t>
      </w:r>
      <w:r>
        <w:rPr>
          <w:spacing w:val="-7"/>
        </w:rPr>
        <w:t> </w:t>
      </w:r>
      <w:r>
        <w:rPr/>
        <w:t>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54" w:firstLine="0"/>
        <w:jc w:val="left"/>
        <w:rPr>
          <w:sz w:val="24"/>
        </w:rPr>
      </w:pPr>
      <w:r>
        <w:rPr>
          <w:sz w:val="24"/>
        </w:rPr>
        <w:t>There had been little news from the labour </w:t>
      </w:r>
      <w:r>
        <w:rPr>
          <w:spacing w:val="-3"/>
          <w:sz w:val="24"/>
        </w:rPr>
        <w:t>market. </w:t>
      </w:r>
      <w:r>
        <w:rPr>
          <w:sz w:val="24"/>
        </w:rPr>
        <w:t>On the Labour Force Survey measure, </w:t>
      </w:r>
      <w:r>
        <w:rPr>
          <w:spacing w:val="-2"/>
          <w:sz w:val="24"/>
        </w:rPr>
        <w:t>the </w:t>
      </w:r>
      <w:r>
        <w:rPr>
          <w:sz w:val="24"/>
        </w:rPr>
        <w:t>employment rate had edged up to 60.2% in the three months to September. Surveys had </w:t>
      </w:r>
      <w:r>
        <w:rPr>
          <w:spacing w:val="-3"/>
          <w:sz w:val="24"/>
        </w:rPr>
        <w:t>painted </w:t>
      </w:r>
      <w:r>
        <w:rPr>
          <w:sz w:val="24"/>
        </w:rPr>
        <w:t>a mixed picture: the Recruitment and Employment Confederation (REC) had pointed to declining </w:t>
      </w:r>
      <w:r>
        <w:rPr>
          <w:spacing w:val="-3"/>
          <w:sz w:val="24"/>
        </w:rPr>
        <w:t>staff </w:t>
      </w:r>
      <w:r>
        <w:rPr>
          <w:sz w:val="24"/>
        </w:rPr>
        <w:t>availability, but there had been a slight softening in the labour market according to the Chartered Institute of Purchasing and Supply (CIPS). The latest labour </w:t>
      </w:r>
      <w:r>
        <w:rPr>
          <w:spacing w:val="-4"/>
          <w:sz w:val="24"/>
        </w:rPr>
        <w:t>market </w:t>
      </w:r>
      <w:r>
        <w:rPr>
          <w:sz w:val="24"/>
        </w:rPr>
        <w:t>reports from the Bank’s regional Agents were also relatively soft. The Agents had carried out a special survey on migration </w:t>
      </w:r>
      <w:r>
        <w:rPr>
          <w:spacing w:val="-2"/>
          <w:sz w:val="24"/>
        </w:rPr>
        <w:t>during </w:t>
      </w:r>
      <w:r>
        <w:rPr>
          <w:sz w:val="24"/>
        </w:rPr>
        <w:t>November. The results of that survey were consistent with the Committee’s view that migration had </w:t>
      </w:r>
      <w:r>
        <w:rPr>
          <w:spacing w:val="-3"/>
          <w:sz w:val="24"/>
        </w:rPr>
        <w:t>been</w:t>
      </w:r>
      <w:r>
        <w:rPr>
          <w:spacing w:val="-6"/>
          <w:sz w:val="24"/>
        </w:rPr>
        <w:t> </w:t>
      </w:r>
      <w:r>
        <w:rPr>
          <w:sz w:val="24"/>
        </w:rPr>
        <w:t>playing</w:t>
      </w:r>
      <w:r>
        <w:rPr>
          <w:spacing w:val="-3"/>
          <w:sz w:val="24"/>
        </w:rPr>
        <w:t> </w:t>
      </w:r>
      <w:r>
        <w:rPr>
          <w:spacing w:val="6"/>
          <w:sz w:val="24"/>
        </w:rPr>
        <w:t>an</w:t>
      </w:r>
      <w:r>
        <w:rPr>
          <w:spacing w:val="-4"/>
          <w:sz w:val="24"/>
        </w:rPr>
        <w:t> </w:t>
      </w:r>
      <w:r>
        <w:rPr>
          <w:sz w:val="24"/>
        </w:rPr>
        <w:t>increasingly</w:t>
      </w:r>
      <w:r>
        <w:rPr>
          <w:spacing w:val="-4"/>
          <w:sz w:val="24"/>
        </w:rPr>
        <w:t> </w:t>
      </w:r>
      <w:r>
        <w:rPr>
          <w:sz w:val="24"/>
        </w:rPr>
        <w:t>important</w:t>
      </w:r>
      <w:r>
        <w:rPr>
          <w:spacing w:val="-20"/>
          <w:sz w:val="24"/>
        </w:rPr>
        <w:t> </w:t>
      </w:r>
      <w:r>
        <w:rPr>
          <w:sz w:val="24"/>
        </w:rPr>
        <w:t>role</w:t>
      </w:r>
      <w:r>
        <w:rPr>
          <w:spacing w:val="-6"/>
          <w:sz w:val="24"/>
        </w:rPr>
        <w:t> </w:t>
      </w:r>
      <w:r>
        <w:rPr>
          <w:sz w:val="24"/>
        </w:rPr>
        <w:t>in</w:t>
      </w:r>
      <w:r>
        <w:rPr>
          <w:spacing w:val="4"/>
          <w:sz w:val="24"/>
        </w:rPr>
        <w:t> </w:t>
      </w:r>
      <w:r>
        <w:rPr>
          <w:sz w:val="24"/>
        </w:rPr>
        <w:t>the</w:t>
      </w:r>
      <w:r>
        <w:rPr>
          <w:spacing w:val="7"/>
          <w:sz w:val="24"/>
        </w:rPr>
        <w:t> </w:t>
      </w:r>
      <w:r>
        <w:rPr>
          <w:sz w:val="24"/>
        </w:rPr>
        <w:t>UK</w:t>
      </w:r>
      <w:r>
        <w:rPr>
          <w:spacing w:val="-1"/>
          <w:sz w:val="24"/>
        </w:rPr>
        <w:t> </w:t>
      </w:r>
      <w:r>
        <w:rPr>
          <w:sz w:val="24"/>
        </w:rPr>
        <w:t>labour market in</w:t>
      </w:r>
      <w:r>
        <w:rPr>
          <w:spacing w:val="-16"/>
          <w:sz w:val="24"/>
        </w:rPr>
        <w:t> </w:t>
      </w:r>
      <w:r>
        <w:rPr>
          <w:sz w:val="24"/>
        </w:rPr>
        <w:t>the</w:t>
      </w:r>
      <w:r>
        <w:rPr>
          <w:spacing w:val="-4"/>
          <w:sz w:val="24"/>
        </w:rPr>
        <w:t> </w:t>
      </w:r>
      <w:r>
        <w:rPr>
          <w:sz w:val="24"/>
        </w:rPr>
        <w:t>recent</w:t>
      </w:r>
      <w:r>
        <w:rPr>
          <w:spacing w:val="-4"/>
          <w:sz w:val="24"/>
        </w:rPr>
        <w:t> </w:t>
      </w:r>
      <w:r>
        <w:rPr>
          <w:sz w:val="24"/>
        </w:rPr>
        <w:t>past,</w:t>
      </w:r>
      <w:r>
        <w:rPr>
          <w:spacing w:val="-4"/>
          <w:sz w:val="24"/>
        </w:rPr>
        <w:t> </w:t>
      </w:r>
      <w:r>
        <w:rPr>
          <w:sz w:val="24"/>
        </w:rPr>
        <w:t>and</w:t>
      </w:r>
      <w:r>
        <w:rPr>
          <w:spacing w:val="-4"/>
          <w:sz w:val="24"/>
        </w:rPr>
        <w:t> </w:t>
      </w:r>
      <w:r>
        <w:rPr>
          <w:sz w:val="24"/>
        </w:rPr>
        <w:t>was</w:t>
      </w:r>
      <w:r>
        <w:rPr>
          <w:spacing w:val="-4"/>
          <w:sz w:val="24"/>
        </w:rPr>
        <w:t> </w:t>
      </w:r>
      <w:r>
        <w:rPr>
          <w:sz w:val="24"/>
        </w:rPr>
        <w:t>likely to continue to do so in the near</w:t>
      </w:r>
      <w:r>
        <w:rPr>
          <w:spacing w:val="6"/>
          <w:sz w:val="24"/>
        </w:rPr>
        <w:t> </w:t>
      </w:r>
      <w:r>
        <w:rPr>
          <w:sz w:val="24"/>
        </w:rPr>
        <w:t>future.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21" w:firstLine="0"/>
        <w:jc w:val="left"/>
        <w:rPr>
          <w:sz w:val="24"/>
        </w:rPr>
      </w:pPr>
      <w:r>
        <w:rPr>
          <w:sz w:val="24"/>
        </w:rPr>
        <w:t>As the Committee had discussed in previous meetings, the relative robustness of the labour market sat uncomfortably with the weakness of the output data. Together, these data implied that measured annual labour productivity </w:t>
      </w:r>
      <w:r>
        <w:rPr>
          <w:spacing w:val="-3"/>
          <w:sz w:val="24"/>
        </w:rPr>
        <w:t>growth, </w:t>
      </w:r>
      <w:r>
        <w:rPr>
          <w:sz w:val="24"/>
        </w:rPr>
        <w:t>on a per hour basis, had fallen to </w:t>
      </w:r>
      <w:r>
        <w:rPr>
          <w:spacing w:val="-3"/>
          <w:sz w:val="24"/>
        </w:rPr>
        <w:t>its </w:t>
      </w:r>
      <w:r>
        <w:rPr>
          <w:sz w:val="24"/>
        </w:rPr>
        <w:t>lowest since 1989. There were a </w:t>
      </w:r>
      <w:r>
        <w:rPr>
          <w:spacing w:val="-3"/>
          <w:sz w:val="24"/>
        </w:rPr>
        <w:t>number </w:t>
      </w:r>
      <w:r>
        <w:rPr>
          <w:sz w:val="24"/>
        </w:rPr>
        <w:t>of possible explanations. It could be that output growth had been under- recorded. </w:t>
      </w:r>
      <w:r>
        <w:rPr>
          <w:spacing w:val="-3"/>
          <w:sz w:val="24"/>
        </w:rPr>
        <w:t>Employment </w:t>
      </w:r>
      <w:r>
        <w:rPr>
          <w:sz w:val="24"/>
        </w:rPr>
        <w:t>growth may have been over-recorded, perhaps because previously unmeasured migrant labour was now being picked up in official statistics. The greater use of relatively low-cost migrant labour may have reduced the incentives for companies to improve productivity; alternatively, there </w:t>
      </w:r>
      <w:r>
        <w:rPr>
          <w:spacing w:val="-12"/>
          <w:sz w:val="24"/>
        </w:rPr>
        <w:t>may </w:t>
      </w:r>
      <w:r>
        <w:rPr>
          <w:sz w:val="24"/>
        </w:rPr>
        <w:t>have been a decline in trend productivity growth, although this appeared </w:t>
      </w:r>
      <w:r>
        <w:rPr>
          <w:spacing w:val="-3"/>
          <w:sz w:val="24"/>
        </w:rPr>
        <w:t>unlikely. </w:t>
      </w:r>
      <w:r>
        <w:rPr>
          <w:sz w:val="24"/>
        </w:rPr>
        <w:t>Finally, companies </w:t>
      </w:r>
      <w:r>
        <w:rPr>
          <w:spacing w:val="-3"/>
          <w:sz w:val="24"/>
        </w:rPr>
        <w:t>may have been </w:t>
      </w:r>
      <w:r>
        <w:rPr>
          <w:sz w:val="24"/>
        </w:rPr>
        <w:t>hoarding labour in the belief that the output slowdown would prove </w:t>
      </w:r>
      <w:r>
        <w:rPr>
          <w:spacing w:val="-3"/>
          <w:sz w:val="24"/>
        </w:rPr>
        <w:t>temporary. </w:t>
      </w:r>
      <w:r>
        <w:rPr>
          <w:sz w:val="24"/>
        </w:rPr>
        <w:t>If this latter explanation were correct, it was puzzling </w:t>
      </w:r>
      <w:r>
        <w:rPr>
          <w:spacing w:val="-3"/>
          <w:sz w:val="24"/>
        </w:rPr>
        <w:t>that there </w:t>
      </w:r>
      <w:r>
        <w:rPr>
          <w:sz w:val="24"/>
        </w:rPr>
        <w:t>had </w:t>
      </w:r>
      <w:r>
        <w:rPr>
          <w:spacing w:val="-3"/>
          <w:sz w:val="24"/>
        </w:rPr>
        <w:t>been </w:t>
      </w:r>
      <w:r>
        <w:rPr>
          <w:sz w:val="24"/>
        </w:rPr>
        <w:t>no fall in average hours worked, although this could reflect measurement</w:t>
      </w:r>
      <w:r>
        <w:rPr>
          <w:spacing w:val="11"/>
          <w:sz w:val="24"/>
        </w:rPr>
        <w:t> </w:t>
      </w:r>
      <w:r>
        <w:rPr>
          <w:sz w:val="24"/>
        </w:rPr>
        <w:t>issues.</w:t>
      </w:r>
    </w:p>
    <w:p>
      <w:pPr>
        <w:pStyle w:val="BodyText"/>
        <w:spacing w:before="1"/>
        <w:rPr>
          <w:sz w:val="36"/>
        </w:rPr>
      </w:pPr>
    </w:p>
    <w:p>
      <w:pPr>
        <w:pStyle w:val="ListParagraph"/>
        <w:numPr>
          <w:ilvl w:val="0"/>
          <w:numId w:val="1"/>
        </w:numPr>
        <w:tabs>
          <w:tab w:pos="671" w:val="left" w:leader="none"/>
          <w:tab w:pos="672" w:val="left" w:leader="none"/>
        </w:tabs>
        <w:spacing w:line="364" w:lineRule="auto" w:before="0" w:after="0"/>
        <w:ind w:left="108" w:right="288" w:firstLine="0"/>
        <w:jc w:val="left"/>
        <w:rPr>
          <w:sz w:val="24"/>
        </w:rPr>
      </w:pPr>
      <w:r>
        <w:rPr>
          <w:sz w:val="24"/>
        </w:rPr>
        <w:t>There were, as yet, no signs that employees had been bidding up wages in response to higher energy prices. Regular pay growth (that is, </w:t>
      </w:r>
      <w:r>
        <w:rPr>
          <w:spacing w:val="-3"/>
          <w:sz w:val="24"/>
        </w:rPr>
        <w:t>pay </w:t>
      </w:r>
      <w:r>
        <w:rPr>
          <w:sz w:val="24"/>
        </w:rPr>
        <w:t>excluding bonuses) was 4.0% in Q3, unchanged</w:t>
      </w:r>
      <w:r>
        <w:rPr>
          <w:spacing w:val="5"/>
          <w:sz w:val="24"/>
        </w:rPr>
        <w:t> </w:t>
      </w:r>
      <w:r>
        <w:rPr>
          <w:sz w:val="24"/>
        </w:rPr>
        <w:t>from</w:t>
      </w:r>
    </w:p>
    <w:p>
      <w:pPr>
        <w:spacing w:after="0" w:line="364"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134"/>
      </w:pPr>
      <w:r>
        <w:rPr/>
        <w:t>Q2. Settlements remained broadly flat. However, it was a quiet time of the year for pay settlements, and more information would be available in the first quarter of 2006.</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517" w:firstLine="0"/>
        <w:jc w:val="left"/>
        <w:rPr>
          <w:sz w:val="24"/>
        </w:rPr>
      </w:pPr>
      <w:r>
        <w:rPr>
          <w:sz w:val="24"/>
        </w:rPr>
        <w:t>Import price inflation had continued to push higher, particularly for goods. However, </w:t>
      </w:r>
      <w:r>
        <w:rPr>
          <w:spacing w:val="-3"/>
          <w:sz w:val="24"/>
        </w:rPr>
        <w:t>manufacturing </w:t>
      </w:r>
      <w:r>
        <w:rPr>
          <w:sz w:val="24"/>
        </w:rPr>
        <w:t>input price inflation had eased to an annual rate of 7.5% in October; manufacturing output price inflation excluding duties (PPIY) had fallen to an annual rate of 2.7%. That picture </w:t>
      </w:r>
      <w:r>
        <w:rPr>
          <w:spacing w:val="-4"/>
          <w:sz w:val="24"/>
        </w:rPr>
        <w:t>of </w:t>
      </w:r>
      <w:r>
        <w:rPr>
          <w:sz w:val="24"/>
        </w:rPr>
        <w:t>easing pipeline pricing pressures in the manufacturing sector was broadly consistent with business surveys. Surveys also suggested a gentle moderation in input price inflation in the services</w:t>
      </w:r>
      <w:r>
        <w:rPr>
          <w:spacing w:val="11"/>
          <w:sz w:val="24"/>
        </w:rPr>
        <w:t> </w:t>
      </w:r>
      <w:r>
        <w:rPr>
          <w:sz w:val="24"/>
        </w:rPr>
        <w:t>sector.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40" w:firstLine="0"/>
        <w:jc w:val="left"/>
        <w:rPr>
          <w:sz w:val="24"/>
        </w:rPr>
      </w:pPr>
      <w:r>
        <w:rPr>
          <w:sz w:val="24"/>
        </w:rPr>
        <w:t>Wholesale gas prices had increased sharply in early December, altho </w:t>
      </w:r>
      <w:r>
        <w:rPr>
          <w:spacing w:val="-3"/>
          <w:sz w:val="24"/>
        </w:rPr>
        <w:t>ugh </w:t>
      </w:r>
      <w:r>
        <w:rPr>
          <w:sz w:val="24"/>
        </w:rPr>
        <w:t>they had eased back a little ahead of the Committee’s meeting. This spike in the gas price reflected high demand related to the cold weather, combined with limited supply. It was surprising that there had not been greater arbitrage between the </w:t>
      </w:r>
      <w:r>
        <w:rPr>
          <w:spacing w:val="-7"/>
          <w:sz w:val="24"/>
        </w:rPr>
        <w:t>gas </w:t>
      </w:r>
      <w:r>
        <w:rPr>
          <w:sz w:val="24"/>
        </w:rPr>
        <w:t>market in the United Kingdom, where prices </w:t>
      </w:r>
      <w:r>
        <w:rPr>
          <w:spacing w:val="3"/>
          <w:sz w:val="24"/>
        </w:rPr>
        <w:t>had </w:t>
      </w:r>
      <w:r>
        <w:rPr>
          <w:sz w:val="24"/>
        </w:rPr>
        <w:t>been relatively high, and the market in Continental Europe, where gas prices had been lower. The Committee noted that if there continued to be limited arbitrage between the UK and European gas markets, gas prices in the </w:t>
      </w:r>
      <w:r>
        <w:rPr>
          <w:spacing w:val="-2"/>
          <w:sz w:val="24"/>
        </w:rPr>
        <w:t>United </w:t>
      </w:r>
      <w:r>
        <w:rPr>
          <w:sz w:val="24"/>
        </w:rPr>
        <w:t>Kingdom could prove fairly sensitive to relatively small changes in UK gas</w:t>
      </w:r>
      <w:r>
        <w:rPr>
          <w:spacing w:val="-16"/>
          <w:sz w:val="24"/>
        </w:rPr>
        <w:t> </w:t>
      </w:r>
      <w:r>
        <w:rPr>
          <w:sz w:val="24"/>
        </w:rPr>
        <w:t>demand.</w:t>
      </w:r>
    </w:p>
    <w:p>
      <w:pPr>
        <w:pStyle w:val="BodyText"/>
        <w:spacing w:before="1"/>
        <w:rPr>
          <w:sz w:val="36"/>
        </w:rPr>
      </w:pPr>
    </w:p>
    <w:p>
      <w:pPr>
        <w:pStyle w:val="ListParagraph"/>
        <w:numPr>
          <w:ilvl w:val="0"/>
          <w:numId w:val="1"/>
        </w:numPr>
        <w:tabs>
          <w:tab w:pos="671" w:val="left" w:leader="none"/>
          <w:tab w:pos="672" w:val="left" w:leader="none"/>
        </w:tabs>
        <w:spacing w:line="360" w:lineRule="auto" w:before="0" w:after="0"/>
        <w:ind w:left="107" w:right="115" w:firstLine="0"/>
        <w:jc w:val="left"/>
        <w:rPr>
          <w:sz w:val="24"/>
        </w:rPr>
      </w:pPr>
      <w:r>
        <w:rPr>
          <w:sz w:val="24"/>
        </w:rPr>
        <w:t>If the recent rise in the gas price were to be short-lived, it was unlikely to have a material effect on the outlook for either economic activity or inflation. </w:t>
      </w:r>
      <w:r>
        <w:rPr>
          <w:spacing w:val="-3"/>
          <w:sz w:val="24"/>
        </w:rPr>
        <w:t>But </w:t>
      </w:r>
      <w:r>
        <w:rPr>
          <w:sz w:val="24"/>
        </w:rPr>
        <w:t>a sustained increase in the gas price could lead to shutdowns among heavy industrial users – these users accounted for only a relatively small proportion of UK GDP.</w:t>
      </w:r>
      <w:r>
        <w:rPr>
          <w:spacing w:val="-1"/>
          <w:sz w:val="24"/>
        </w:rPr>
        <w:t> </w:t>
      </w:r>
      <w:r>
        <w:rPr>
          <w:sz w:val="24"/>
        </w:rPr>
        <w:t>In addition, if high gas prices were sustained, they could be passed on through the supply chain, and so affect consumer price inflation.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6" w:firstLine="0"/>
        <w:jc w:val="left"/>
        <w:rPr>
          <w:sz w:val="24"/>
        </w:rPr>
      </w:pPr>
      <w:r>
        <w:rPr>
          <w:sz w:val="24"/>
        </w:rPr>
        <w:t>CPI inflation had been 2.3% in October. In line with pre-release arrangements, an advance estimate of CPI inflation for November had been provided to the Governor ahead of publication. This indicated that inflation had fallen to</w:t>
      </w:r>
      <w:r>
        <w:rPr>
          <w:spacing w:val="5"/>
          <w:sz w:val="24"/>
        </w:rPr>
        <w:t> </w:t>
      </w:r>
      <w:r>
        <w:rPr>
          <w:sz w:val="24"/>
        </w:rPr>
        <w:t>2.1%.</w:t>
      </w:r>
    </w:p>
    <w:p>
      <w:pPr>
        <w:pStyle w:val="BodyText"/>
        <w:rPr>
          <w:sz w:val="36"/>
        </w:rPr>
      </w:pPr>
    </w:p>
    <w:p>
      <w:pPr>
        <w:pStyle w:val="Heading2"/>
        <w:ind w:left="107"/>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7" w:lineRule="auto" w:before="0" w:after="0"/>
        <w:ind w:left="107" w:right="134" w:firstLine="0"/>
        <w:jc w:val="left"/>
        <w:rPr>
          <w:sz w:val="24"/>
        </w:rPr>
      </w:pPr>
      <w:r>
        <w:rPr>
          <w:sz w:val="24"/>
        </w:rPr>
        <w:t>There had been little news from financial markets, with UK short-term and long-term rates a little lower, equity prices a little higher and the sterling ERI about ½% below its level at the</w:t>
      </w:r>
      <w:r>
        <w:rPr>
          <w:spacing w:val="-24"/>
          <w:sz w:val="24"/>
        </w:rPr>
        <w:t> </w:t>
      </w:r>
      <w:r>
        <w:rPr>
          <w:sz w:val="24"/>
        </w:rPr>
        <w:t>November </w:t>
      </w:r>
      <w:r>
        <w:rPr>
          <w:spacing w:val="-3"/>
          <w:sz w:val="24"/>
        </w:rPr>
        <w:t>meeting. </w:t>
      </w:r>
      <w:r>
        <w:rPr>
          <w:sz w:val="24"/>
        </w:rPr>
        <w:t>More generally, asset prices had been buoyant for some time. Developments in </w:t>
      </w:r>
      <w:r>
        <w:rPr>
          <w:spacing w:val="-2"/>
          <w:sz w:val="24"/>
        </w:rPr>
        <w:t>the </w:t>
      </w:r>
      <w:r>
        <w:rPr>
          <w:sz w:val="24"/>
        </w:rPr>
        <w:t>international</w:t>
      </w:r>
      <w:r>
        <w:rPr>
          <w:spacing w:val="-5"/>
          <w:sz w:val="24"/>
        </w:rPr>
        <w:t> </w:t>
      </w:r>
      <w:r>
        <w:rPr>
          <w:sz w:val="24"/>
        </w:rPr>
        <w:t>economy</w:t>
      </w:r>
      <w:r>
        <w:rPr>
          <w:spacing w:val="-4"/>
          <w:sz w:val="24"/>
        </w:rPr>
        <w:t> </w:t>
      </w:r>
      <w:r>
        <w:rPr>
          <w:sz w:val="24"/>
        </w:rPr>
        <w:t>had</w:t>
      </w:r>
      <w:r>
        <w:rPr>
          <w:spacing w:val="-5"/>
          <w:sz w:val="24"/>
        </w:rPr>
        <w:t> </w:t>
      </w:r>
      <w:r>
        <w:rPr>
          <w:sz w:val="24"/>
        </w:rPr>
        <w:t>been</w:t>
      </w:r>
      <w:r>
        <w:rPr>
          <w:spacing w:val="-5"/>
          <w:sz w:val="24"/>
        </w:rPr>
        <w:t> </w:t>
      </w:r>
      <w:r>
        <w:rPr>
          <w:sz w:val="24"/>
        </w:rPr>
        <w:t>positive,</w:t>
      </w:r>
      <w:r>
        <w:rPr>
          <w:spacing w:val="-5"/>
          <w:sz w:val="24"/>
        </w:rPr>
        <w:t> </w:t>
      </w:r>
      <w:r>
        <w:rPr>
          <w:sz w:val="24"/>
        </w:rPr>
        <w:t>with</w:t>
      </w:r>
      <w:r>
        <w:rPr>
          <w:spacing w:val="-2"/>
          <w:sz w:val="24"/>
        </w:rPr>
        <w:t> </w:t>
      </w:r>
      <w:r>
        <w:rPr>
          <w:sz w:val="24"/>
        </w:rPr>
        <w:t>growth</w:t>
      </w:r>
      <w:r>
        <w:rPr>
          <w:spacing w:val="-3"/>
          <w:sz w:val="24"/>
        </w:rPr>
        <w:t> </w:t>
      </w:r>
      <w:r>
        <w:rPr>
          <w:sz w:val="24"/>
        </w:rPr>
        <w:t>in</w:t>
      </w:r>
      <w:r>
        <w:rPr>
          <w:spacing w:val="-2"/>
          <w:sz w:val="24"/>
        </w:rPr>
        <w:t> </w:t>
      </w:r>
      <w:r>
        <w:rPr>
          <w:sz w:val="24"/>
        </w:rPr>
        <w:t>the</w:t>
      </w:r>
      <w:r>
        <w:rPr>
          <w:spacing w:val="-2"/>
          <w:sz w:val="24"/>
        </w:rPr>
        <w:t> </w:t>
      </w:r>
      <w:r>
        <w:rPr>
          <w:spacing w:val="-3"/>
          <w:sz w:val="24"/>
        </w:rPr>
        <w:t>United</w:t>
      </w:r>
      <w:r>
        <w:rPr>
          <w:spacing w:val="-6"/>
          <w:sz w:val="24"/>
        </w:rPr>
        <w:t> </w:t>
      </w:r>
      <w:r>
        <w:rPr>
          <w:sz w:val="24"/>
        </w:rPr>
        <w:t>Kingdom’s</w:t>
      </w:r>
      <w:r>
        <w:rPr>
          <w:spacing w:val="-2"/>
          <w:sz w:val="24"/>
        </w:rPr>
        <w:t> </w:t>
      </w:r>
      <w:r>
        <w:rPr>
          <w:sz w:val="24"/>
        </w:rPr>
        <w:t>main</w:t>
      </w:r>
      <w:r>
        <w:rPr>
          <w:spacing w:val="-2"/>
          <w:sz w:val="24"/>
        </w:rPr>
        <w:t> </w:t>
      </w:r>
      <w:r>
        <w:rPr>
          <w:sz w:val="24"/>
        </w:rPr>
        <w:t>export</w:t>
      </w:r>
      <w:r>
        <w:rPr>
          <w:spacing w:val="-3"/>
          <w:sz w:val="24"/>
        </w:rPr>
        <w:t> </w:t>
      </w:r>
      <w:r>
        <w:rPr>
          <w:sz w:val="24"/>
        </w:rPr>
        <w:t>markets</w:t>
      </w:r>
      <w:r>
        <w:rPr>
          <w:spacing w:val="-2"/>
          <w:sz w:val="24"/>
        </w:rPr>
        <w:t> </w:t>
      </w:r>
      <w:r>
        <w:rPr>
          <w:spacing w:val="-3"/>
          <w:sz w:val="24"/>
        </w:rPr>
        <w:t>at</w:t>
      </w:r>
    </w:p>
    <w:p>
      <w:pPr>
        <w:spacing w:after="0" w:line="357"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8" w:right="134"/>
      </w:pPr>
      <w:r>
        <w:rPr/>
        <w:t>least as strong as implied by the central projection in the November </w:t>
      </w:r>
      <w:r>
        <w:rPr>
          <w:i/>
        </w:rPr>
        <w:t>Inflation Report</w:t>
      </w:r>
      <w:r>
        <w:rPr/>
        <w:t>. Although oil prices had eased since the Committee’s last meeting, they remained substantially above their levels a year ago. In the United Kingdom, growth in non-oil GDP appeared to have been recovering gradually since the beginning of the year. Prospects for demand and output in Q4 were mixed. CPI inflation had fallen back a little, broadly in line with the November </w:t>
      </w:r>
      <w:r>
        <w:rPr>
          <w:i/>
        </w:rPr>
        <w:t>Inflation Report </w:t>
      </w:r>
      <w:r>
        <w:rPr/>
        <w:t>central projection. And, so far, wage growth had remained well contained.</w:t>
      </w:r>
    </w:p>
    <w:p>
      <w:pPr>
        <w:pStyle w:val="BodyText"/>
        <w:spacing w:before="6"/>
        <w:rPr>
          <w:sz w:val="36"/>
        </w:rPr>
      </w:pPr>
    </w:p>
    <w:p>
      <w:pPr>
        <w:pStyle w:val="ListParagraph"/>
        <w:numPr>
          <w:ilvl w:val="0"/>
          <w:numId w:val="1"/>
        </w:numPr>
        <w:tabs>
          <w:tab w:pos="671" w:val="left" w:leader="none"/>
          <w:tab w:pos="672" w:val="left" w:leader="none"/>
        </w:tabs>
        <w:spacing w:line="355" w:lineRule="auto" w:before="0" w:after="0"/>
        <w:ind w:left="108" w:right="1203" w:firstLine="0"/>
        <w:jc w:val="left"/>
        <w:rPr>
          <w:sz w:val="24"/>
        </w:rPr>
      </w:pPr>
      <w:r>
        <w:rPr>
          <w:spacing w:val="-3"/>
          <w:sz w:val="24"/>
        </w:rPr>
        <w:t>Against </w:t>
      </w:r>
      <w:r>
        <w:rPr>
          <w:sz w:val="24"/>
        </w:rPr>
        <w:t>this backdrop, there </w:t>
      </w:r>
      <w:r>
        <w:rPr>
          <w:spacing w:val="3"/>
          <w:sz w:val="24"/>
        </w:rPr>
        <w:t>were </w:t>
      </w:r>
      <w:r>
        <w:rPr>
          <w:sz w:val="24"/>
        </w:rPr>
        <w:t>several arguments in favour of leaving the repo rate unchanged, to which different members attached different</w:t>
      </w:r>
      <w:r>
        <w:rPr>
          <w:spacing w:val="-1"/>
          <w:sz w:val="24"/>
        </w:rPr>
        <w:t> </w:t>
      </w:r>
      <w:r>
        <w:rPr>
          <w:sz w:val="24"/>
        </w:rPr>
        <w:t>weights.</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122" w:firstLine="0"/>
        <w:jc w:val="left"/>
        <w:rPr>
          <w:sz w:val="24"/>
        </w:rPr>
      </w:pPr>
      <w:r>
        <w:rPr>
          <w:sz w:val="24"/>
        </w:rPr>
        <w:t>Growth appeared to be recovering broadly in line with the central projection in the November </w:t>
      </w:r>
      <w:r>
        <w:rPr>
          <w:i/>
          <w:sz w:val="24"/>
        </w:rPr>
        <w:t>Inflation Report. </w:t>
      </w:r>
      <w:r>
        <w:rPr>
          <w:sz w:val="24"/>
        </w:rPr>
        <w:t>There had been some tentative signs of a modest pickup in consumption, although it would be some time before reliable figures about spending over the Christmas and New Year period were available. </w:t>
      </w:r>
      <w:r>
        <w:rPr>
          <w:spacing w:val="-3"/>
          <w:sz w:val="24"/>
        </w:rPr>
        <w:t>Both </w:t>
      </w:r>
      <w:r>
        <w:rPr>
          <w:sz w:val="24"/>
        </w:rPr>
        <w:t>the housing market and the international economy had been a little stronger than implied by the central projection in the November </w:t>
      </w:r>
      <w:r>
        <w:rPr>
          <w:i/>
          <w:sz w:val="24"/>
        </w:rPr>
        <w:t>Report</w:t>
      </w:r>
      <w:r>
        <w:rPr>
          <w:sz w:val="24"/>
        </w:rPr>
        <w:t>. But the recent weakness in manufacturing perhaps posed a near-term downside risk to the central projection for GDP. Some members remained of</w:t>
      </w:r>
      <w:r>
        <w:rPr>
          <w:spacing w:val="-5"/>
          <w:sz w:val="24"/>
        </w:rPr>
        <w:t> </w:t>
      </w:r>
      <w:r>
        <w:rPr>
          <w:sz w:val="24"/>
        </w:rPr>
        <w:t>the</w:t>
      </w:r>
      <w:r>
        <w:rPr>
          <w:spacing w:val="-4"/>
          <w:sz w:val="24"/>
        </w:rPr>
        <w:t> </w:t>
      </w:r>
      <w:r>
        <w:rPr>
          <w:sz w:val="24"/>
        </w:rPr>
        <w:t>view</w:t>
      </w:r>
      <w:r>
        <w:rPr>
          <w:spacing w:val="-5"/>
          <w:sz w:val="24"/>
        </w:rPr>
        <w:t> </w:t>
      </w:r>
      <w:r>
        <w:rPr>
          <w:sz w:val="24"/>
        </w:rPr>
        <w:t>that</w:t>
      </w:r>
      <w:r>
        <w:rPr>
          <w:spacing w:val="-4"/>
          <w:sz w:val="24"/>
        </w:rPr>
        <w:t> </w:t>
      </w:r>
      <w:r>
        <w:rPr>
          <w:sz w:val="24"/>
        </w:rPr>
        <w:t>the</w:t>
      </w:r>
      <w:r>
        <w:rPr>
          <w:spacing w:val="-4"/>
          <w:sz w:val="24"/>
        </w:rPr>
        <w:t> </w:t>
      </w:r>
      <w:r>
        <w:rPr>
          <w:sz w:val="24"/>
        </w:rPr>
        <w:t>risks</w:t>
      </w:r>
      <w:r>
        <w:rPr>
          <w:spacing w:val="-5"/>
          <w:sz w:val="24"/>
        </w:rPr>
        <w:t> </w:t>
      </w:r>
      <w:r>
        <w:rPr>
          <w:sz w:val="24"/>
        </w:rPr>
        <w:t>to</w:t>
      </w:r>
      <w:r>
        <w:rPr>
          <w:spacing w:val="5"/>
          <w:sz w:val="24"/>
        </w:rPr>
        <w:t> </w:t>
      </w:r>
      <w:r>
        <w:rPr>
          <w:sz w:val="24"/>
        </w:rPr>
        <w:t>the</w:t>
      </w:r>
      <w:r>
        <w:rPr>
          <w:spacing w:val="-5"/>
          <w:sz w:val="24"/>
        </w:rPr>
        <w:t> </w:t>
      </w:r>
      <w:r>
        <w:rPr>
          <w:sz w:val="24"/>
        </w:rPr>
        <w:t>central</w:t>
      </w:r>
      <w:r>
        <w:rPr>
          <w:spacing w:val="-5"/>
          <w:sz w:val="24"/>
        </w:rPr>
        <w:t> </w:t>
      </w:r>
      <w:r>
        <w:rPr>
          <w:sz w:val="24"/>
        </w:rPr>
        <w:t>projection</w:t>
      </w:r>
      <w:r>
        <w:rPr>
          <w:spacing w:val="-5"/>
          <w:sz w:val="24"/>
        </w:rPr>
        <w:t> </w:t>
      </w:r>
      <w:r>
        <w:rPr>
          <w:sz w:val="24"/>
        </w:rPr>
        <w:t>for</w:t>
      </w:r>
      <w:r>
        <w:rPr>
          <w:spacing w:val="-6"/>
          <w:sz w:val="24"/>
        </w:rPr>
        <w:t> </w:t>
      </w:r>
      <w:r>
        <w:rPr>
          <w:sz w:val="24"/>
        </w:rPr>
        <w:t>GDP</w:t>
      </w:r>
      <w:r>
        <w:rPr>
          <w:spacing w:val="-5"/>
          <w:sz w:val="24"/>
        </w:rPr>
        <w:t> </w:t>
      </w:r>
      <w:r>
        <w:rPr>
          <w:sz w:val="24"/>
        </w:rPr>
        <w:t>were</w:t>
      </w:r>
      <w:r>
        <w:rPr>
          <w:spacing w:val="-5"/>
          <w:sz w:val="24"/>
        </w:rPr>
        <w:t> </w:t>
      </w:r>
      <w:r>
        <w:rPr>
          <w:sz w:val="24"/>
        </w:rPr>
        <w:t>weighted</w:t>
      </w:r>
      <w:r>
        <w:rPr>
          <w:spacing w:val="-6"/>
          <w:sz w:val="24"/>
        </w:rPr>
        <w:t> </w:t>
      </w:r>
      <w:r>
        <w:rPr>
          <w:sz w:val="24"/>
        </w:rPr>
        <w:t>somewhat</w:t>
      </w:r>
      <w:r>
        <w:rPr>
          <w:spacing w:val="-5"/>
          <w:sz w:val="24"/>
        </w:rPr>
        <w:t> </w:t>
      </w:r>
      <w:r>
        <w:rPr>
          <w:sz w:val="24"/>
        </w:rPr>
        <w:t>to</w:t>
      </w:r>
      <w:r>
        <w:rPr>
          <w:spacing w:val="-5"/>
          <w:sz w:val="24"/>
        </w:rPr>
        <w:t> </w:t>
      </w:r>
      <w:r>
        <w:rPr>
          <w:sz w:val="24"/>
        </w:rPr>
        <w:t>the</w:t>
      </w:r>
      <w:r>
        <w:rPr>
          <w:spacing w:val="-5"/>
          <w:sz w:val="24"/>
        </w:rPr>
        <w:t> </w:t>
      </w:r>
      <w:r>
        <w:rPr>
          <w:sz w:val="24"/>
        </w:rPr>
        <w:t>downside</w:t>
      </w:r>
      <w:r>
        <w:rPr>
          <w:spacing w:val="-6"/>
          <w:sz w:val="24"/>
        </w:rPr>
        <w:t> </w:t>
      </w:r>
      <w:r>
        <w:rPr>
          <w:sz w:val="24"/>
        </w:rPr>
        <w:t>in the</w:t>
      </w:r>
      <w:r>
        <w:rPr>
          <w:spacing w:val="-2"/>
          <w:sz w:val="24"/>
        </w:rPr>
        <w:t> </w:t>
      </w:r>
      <w:r>
        <w:rPr>
          <w:sz w:val="24"/>
        </w:rPr>
        <w:t>second</w:t>
      </w:r>
      <w:r>
        <w:rPr>
          <w:spacing w:val="-2"/>
          <w:sz w:val="24"/>
        </w:rPr>
        <w:t> </w:t>
      </w:r>
      <w:r>
        <w:rPr>
          <w:sz w:val="24"/>
        </w:rPr>
        <w:t>half</w:t>
      </w:r>
      <w:r>
        <w:rPr>
          <w:spacing w:val="-2"/>
          <w:sz w:val="24"/>
        </w:rPr>
        <w:t> </w:t>
      </w:r>
      <w:r>
        <w:rPr>
          <w:sz w:val="24"/>
        </w:rPr>
        <w:t>of</w:t>
      </w:r>
      <w:r>
        <w:rPr>
          <w:spacing w:val="-2"/>
          <w:sz w:val="24"/>
        </w:rPr>
        <w:t> </w:t>
      </w:r>
      <w:r>
        <w:rPr>
          <w:sz w:val="24"/>
        </w:rPr>
        <w:t>the</w:t>
      </w:r>
      <w:r>
        <w:rPr>
          <w:spacing w:val="-2"/>
          <w:sz w:val="24"/>
        </w:rPr>
        <w:t> </w:t>
      </w:r>
      <w:r>
        <w:rPr>
          <w:sz w:val="24"/>
        </w:rPr>
        <w:t>forecast</w:t>
      </w:r>
      <w:r>
        <w:rPr>
          <w:spacing w:val="-2"/>
          <w:sz w:val="24"/>
        </w:rPr>
        <w:t> </w:t>
      </w:r>
      <w:r>
        <w:rPr>
          <w:sz w:val="24"/>
        </w:rPr>
        <w:t>period,</w:t>
      </w:r>
      <w:r>
        <w:rPr>
          <w:spacing w:val="-4"/>
          <w:sz w:val="24"/>
        </w:rPr>
        <w:t> </w:t>
      </w:r>
      <w:r>
        <w:rPr>
          <w:sz w:val="24"/>
        </w:rPr>
        <w:t>reflecting</w:t>
      </w:r>
      <w:r>
        <w:rPr>
          <w:spacing w:val="-10"/>
          <w:sz w:val="24"/>
        </w:rPr>
        <w:t> </w:t>
      </w:r>
      <w:r>
        <w:rPr>
          <w:sz w:val="24"/>
        </w:rPr>
        <w:t>doubts</w:t>
      </w:r>
      <w:r>
        <w:rPr>
          <w:spacing w:val="-3"/>
          <w:sz w:val="24"/>
        </w:rPr>
        <w:t> </w:t>
      </w:r>
      <w:r>
        <w:rPr>
          <w:sz w:val="24"/>
        </w:rPr>
        <w:t>about</w:t>
      </w:r>
      <w:r>
        <w:rPr>
          <w:spacing w:val="-4"/>
          <w:sz w:val="24"/>
        </w:rPr>
        <w:t> </w:t>
      </w:r>
      <w:r>
        <w:rPr>
          <w:sz w:val="24"/>
        </w:rPr>
        <w:t>the</w:t>
      </w:r>
      <w:r>
        <w:rPr>
          <w:spacing w:val="-4"/>
          <w:sz w:val="24"/>
        </w:rPr>
        <w:t> </w:t>
      </w:r>
      <w:r>
        <w:rPr>
          <w:sz w:val="24"/>
        </w:rPr>
        <w:t>profiles</w:t>
      </w:r>
      <w:r>
        <w:rPr>
          <w:spacing w:val="-4"/>
          <w:sz w:val="24"/>
        </w:rPr>
        <w:t> </w:t>
      </w:r>
      <w:r>
        <w:rPr>
          <w:sz w:val="24"/>
        </w:rPr>
        <w:t>for</w:t>
      </w:r>
      <w:r>
        <w:rPr>
          <w:spacing w:val="-3"/>
          <w:sz w:val="24"/>
        </w:rPr>
        <w:t> </w:t>
      </w:r>
      <w:r>
        <w:rPr>
          <w:sz w:val="24"/>
        </w:rPr>
        <w:t>investment</w:t>
      </w:r>
      <w:r>
        <w:rPr>
          <w:spacing w:val="-4"/>
          <w:sz w:val="24"/>
        </w:rPr>
        <w:t> </w:t>
      </w:r>
      <w:r>
        <w:rPr>
          <w:sz w:val="24"/>
        </w:rPr>
        <w:t>and</w:t>
      </w:r>
      <w:r>
        <w:rPr>
          <w:spacing w:val="-4"/>
          <w:sz w:val="24"/>
        </w:rPr>
        <w:t> </w:t>
      </w:r>
      <w:r>
        <w:rPr>
          <w:sz w:val="24"/>
        </w:rPr>
        <w:t>net</w:t>
      </w:r>
      <w:r>
        <w:rPr>
          <w:spacing w:val="-4"/>
          <w:sz w:val="24"/>
        </w:rPr>
        <w:t> </w:t>
      </w:r>
      <w:r>
        <w:rPr>
          <w:sz w:val="24"/>
        </w:rPr>
        <w:t>trade.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35" w:firstLine="0"/>
        <w:jc w:val="left"/>
        <w:rPr>
          <w:sz w:val="24"/>
        </w:rPr>
      </w:pPr>
      <w:r>
        <w:rPr>
          <w:sz w:val="24"/>
        </w:rPr>
        <w:t>Inflation had fallen from its peak in September, broadly in line with the Committee’s expectations. But some of the particular uncertainties surrounding the short-term path for inflation identified in the November </w:t>
      </w:r>
      <w:r>
        <w:rPr>
          <w:i/>
          <w:sz w:val="24"/>
        </w:rPr>
        <w:t>Inflation Report </w:t>
      </w:r>
      <w:r>
        <w:rPr>
          <w:sz w:val="24"/>
        </w:rPr>
        <w:t>remained. For example, it was too soon to be confident that the oil price had </w:t>
      </w:r>
      <w:r>
        <w:rPr>
          <w:spacing w:val="-3"/>
          <w:sz w:val="24"/>
        </w:rPr>
        <w:t>peaked, </w:t>
      </w:r>
      <w:r>
        <w:rPr>
          <w:sz w:val="24"/>
        </w:rPr>
        <w:t>and it was unclear how the gas price would evolve in the coming months. It was also too early to conclude that there would be no wage response to the past pickup in inflation. In this regard, although it was encouraging that there had been little evidence that </w:t>
      </w:r>
      <w:r>
        <w:rPr>
          <w:spacing w:val="-3"/>
          <w:sz w:val="24"/>
        </w:rPr>
        <w:t>wage growth had </w:t>
      </w:r>
      <w:r>
        <w:rPr>
          <w:sz w:val="24"/>
        </w:rPr>
        <w:t>risen in response to higher energy prices, January was an important month for pay settlements. </w:t>
      </w:r>
      <w:r>
        <w:rPr>
          <w:spacing w:val="-4"/>
          <w:sz w:val="24"/>
        </w:rPr>
        <w:t>In </w:t>
      </w:r>
      <w:r>
        <w:rPr>
          <w:sz w:val="24"/>
        </w:rPr>
        <w:t>addition, there were uncertainties surrounding the likely evolution of import prices and the exchange rate, which </w:t>
      </w:r>
      <w:r>
        <w:rPr>
          <w:spacing w:val="2"/>
          <w:sz w:val="24"/>
        </w:rPr>
        <w:t>were </w:t>
      </w:r>
      <w:r>
        <w:rPr>
          <w:sz w:val="24"/>
        </w:rPr>
        <w:t>important influences on </w:t>
      </w:r>
      <w:r>
        <w:rPr>
          <w:spacing w:val="-3"/>
          <w:sz w:val="24"/>
        </w:rPr>
        <w:t>the </w:t>
      </w:r>
      <w:r>
        <w:rPr>
          <w:sz w:val="24"/>
        </w:rPr>
        <w:t>outlook for </w:t>
      </w:r>
      <w:r>
        <w:rPr>
          <w:spacing w:val="-9"/>
          <w:sz w:val="24"/>
        </w:rPr>
        <w:t>UK </w:t>
      </w:r>
      <w:r>
        <w:rPr>
          <w:sz w:val="24"/>
        </w:rPr>
        <w:t>inflation. So, overall, it was appropriate to leave the repo rate unchanged. For some members, no change was also justified as the stance of monetary policy was currently </w:t>
      </w:r>
      <w:r>
        <w:rPr>
          <w:spacing w:val="-3"/>
          <w:sz w:val="24"/>
        </w:rPr>
        <w:t>mildly </w:t>
      </w:r>
      <w:r>
        <w:rPr>
          <w:sz w:val="24"/>
        </w:rPr>
        <w:t>accommodative; this was appropriate as the economy appeared to be operating at a little below capacity, and inflation expectations seemed to be well </w:t>
      </w:r>
      <w:r>
        <w:rPr>
          <w:spacing w:val="-3"/>
          <w:sz w:val="24"/>
        </w:rPr>
        <w:t>anchored </w:t>
      </w:r>
      <w:r>
        <w:rPr>
          <w:sz w:val="24"/>
        </w:rPr>
        <w:t>to </w:t>
      </w:r>
      <w:r>
        <w:rPr>
          <w:spacing w:val="-3"/>
          <w:sz w:val="24"/>
        </w:rPr>
        <w:t>the </w:t>
      </w:r>
      <w:r>
        <w:rPr>
          <w:sz w:val="24"/>
        </w:rPr>
        <w:t>target.</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34" w:firstLine="0"/>
        <w:jc w:val="left"/>
        <w:rPr>
          <w:sz w:val="24"/>
        </w:rPr>
      </w:pPr>
      <w:r>
        <w:rPr>
          <w:sz w:val="24"/>
        </w:rPr>
        <w:t>For one member, there was a case for an immediate reduction in the repo rate. While </w:t>
      </w:r>
      <w:r>
        <w:rPr>
          <w:spacing w:val="-8"/>
          <w:sz w:val="24"/>
        </w:rPr>
        <w:t>the </w:t>
      </w:r>
      <w:r>
        <w:rPr>
          <w:sz w:val="24"/>
        </w:rPr>
        <w:t>November </w:t>
      </w:r>
      <w:r>
        <w:rPr>
          <w:i/>
          <w:sz w:val="24"/>
        </w:rPr>
        <w:t>Inflation Report </w:t>
      </w:r>
      <w:r>
        <w:rPr>
          <w:sz w:val="24"/>
        </w:rPr>
        <w:t>profile for consumption </w:t>
      </w:r>
      <w:r>
        <w:rPr>
          <w:spacing w:val="-6"/>
          <w:sz w:val="24"/>
        </w:rPr>
        <w:t>growth </w:t>
      </w:r>
      <w:r>
        <w:rPr>
          <w:sz w:val="24"/>
        </w:rPr>
        <w:t>appeared plausible, the central projections for investment growth and net trade seemed optimistic. Business surveys suggested a subdued outlook for investment, as did the recent easing in capacity pressures. The November </w:t>
      </w:r>
      <w:r>
        <w:rPr>
          <w:i/>
          <w:sz w:val="24"/>
        </w:rPr>
        <w:t>Inflation Report </w:t>
      </w:r>
      <w:r>
        <w:rPr>
          <w:sz w:val="24"/>
        </w:rPr>
        <w:t>implied </w:t>
      </w:r>
      <w:r>
        <w:rPr>
          <w:spacing w:val="-3"/>
          <w:sz w:val="24"/>
        </w:rPr>
        <w:t>that </w:t>
      </w:r>
      <w:r>
        <w:rPr>
          <w:sz w:val="24"/>
        </w:rPr>
        <w:t>net trade was likely to make a more positive contribution to growth in the future than it had done in the past. In addition, the growth of government consumption spending was likely to slow from 2007. Pipeline inflation pressures </w:t>
      </w:r>
      <w:r>
        <w:rPr>
          <w:spacing w:val="2"/>
          <w:sz w:val="24"/>
        </w:rPr>
        <w:t>were </w:t>
      </w:r>
      <w:r>
        <w:rPr>
          <w:sz w:val="24"/>
        </w:rPr>
        <w:t>also </w:t>
      </w:r>
      <w:r>
        <w:rPr>
          <w:spacing w:val="-5"/>
          <w:sz w:val="24"/>
        </w:rPr>
        <w:t>easing, </w:t>
      </w:r>
      <w:r>
        <w:rPr>
          <w:sz w:val="24"/>
        </w:rPr>
        <w:t>with </w:t>
      </w:r>
      <w:r>
        <w:rPr>
          <w:spacing w:val="-3"/>
          <w:sz w:val="24"/>
        </w:rPr>
        <w:t>outp </w:t>
      </w:r>
      <w:r>
        <w:rPr>
          <w:sz w:val="24"/>
        </w:rPr>
        <w:t>ut price inflation moving lower. </w:t>
      </w:r>
      <w:r>
        <w:rPr>
          <w:spacing w:val="-6"/>
          <w:sz w:val="24"/>
        </w:rPr>
        <w:t>And </w:t>
      </w:r>
      <w:r>
        <w:rPr>
          <w:sz w:val="24"/>
        </w:rPr>
        <w:t>there were no signs that the rapid rise in both oil prices and average tax rates since early 2004 had </w:t>
      </w:r>
      <w:r>
        <w:rPr>
          <w:spacing w:val="-3"/>
          <w:sz w:val="24"/>
        </w:rPr>
        <w:t>fed </w:t>
      </w:r>
      <w:r>
        <w:rPr>
          <w:sz w:val="24"/>
        </w:rPr>
        <w:t>through into wages. Taken together, these arguments implied that CPI inflation was likely to undershoot </w:t>
      </w:r>
      <w:r>
        <w:rPr>
          <w:spacing w:val="-3"/>
          <w:sz w:val="24"/>
        </w:rPr>
        <w:t>the </w:t>
      </w:r>
      <w:r>
        <w:rPr>
          <w:sz w:val="24"/>
        </w:rPr>
        <w:t>2% target in the medium</w:t>
      </w:r>
      <w:r>
        <w:rPr>
          <w:spacing w:val="9"/>
          <w:sz w:val="24"/>
        </w:rPr>
        <w:t> </w:t>
      </w:r>
      <w:r>
        <w:rPr>
          <w:spacing w:val="-5"/>
          <w:sz w:val="24"/>
        </w:rPr>
        <w:t>term.</w:t>
      </w:r>
    </w:p>
    <w:p>
      <w:pPr>
        <w:pStyle w:val="BodyText"/>
        <w:spacing w:before="6"/>
        <w:rPr>
          <w:sz w:val="36"/>
        </w:rPr>
      </w:pPr>
    </w:p>
    <w:p>
      <w:pPr>
        <w:pStyle w:val="ListParagraph"/>
        <w:numPr>
          <w:ilvl w:val="0"/>
          <w:numId w:val="1"/>
        </w:numPr>
        <w:tabs>
          <w:tab w:pos="731" w:val="left" w:leader="none"/>
          <w:tab w:pos="732" w:val="left" w:leader="none"/>
        </w:tabs>
        <w:spacing w:line="357" w:lineRule="auto" w:before="0" w:after="0"/>
        <w:ind w:left="107" w:right="281" w:firstLine="0"/>
        <w:jc w:val="left"/>
        <w:rPr>
          <w:sz w:val="24"/>
        </w:rPr>
      </w:pPr>
      <w:r>
        <w:rPr>
          <w:sz w:val="24"/>
        </w:rPr>
        <w:t>The Governor invited members to vote on the proposition that the repo rate should be maintained at 4.5%. Eight members of the Committee (the Governor, Rachel Lomax, Andrew Large, Kate Barker, Charles Bean, Richard Lambert, Paul Tucker and David Walton) voted in favour. Stephen Nickell voted against, preferring a reduction in the repo rate of 25 basis</w:t>
      </w:r>
      <w:r>
        <w:rPr>
          <w:spacing w:val="-11"/>
          <w:sz w:val="24"/>
        </w:rPr>
        <w:t> </w:t>
      </w:r>
      <w:r>
        <w:rPr>
          <w:sz w:val="24"/>
        </w:rPr>
        <w:t>points.</w:t>
      </w:r>
    </w:p>
    <w:p>
      <w:pPr>
        <w:pStyle w:val="BodyText"/>
        <w:spacing w:before="5"/>
        <w:rPr>
          <w:sz w:val="35"/>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The following members of the Committee were</w:t>
      </w:r>
      <w:r>
        <w:rPr>
          <w:spacing w:val="16"/>
          <w:sz w:val="24"/>
        </w:rPr>
        <w:t> </w:t>
      </w:r>
      <w:r>
        <w:rPr>
          <w:sz w:val="24"/>
        </w:rPr>
        <w:t>present:</w:t>
      </w:r>
    </w:p>
    <w:p>
      <w:pPr>
        <w:pStyle w:val="BodyText"/>
        <w:rPr>
          <w:sz w:val="26"/>
        </w:rPr>
      </w:pPr>
    </w:p>
    <w:p>
      <w:pPr>
        <w:pStyle w:val="BodyText"/>
        <w:rPr>
          <w:sz w:val="22"/>
        </w:rPr>
      </w:pPr>
    </w:p>
    <w:p>
      <w:pPr>
        <w:pStyle w:val="BodyText"/>
        <w:ind w:left="107"/>
      </w:pPr>
      <w:r>
        <w:rPr/>
        <w:t>Mervyn King, Governor</w:t>
      </w:r>
    </w:p>
    <w:p>
      <w:pPr>
        <w:pStyle w:val="BodyText"/>
        <w:ind w:left="107" w:right="3155"/>
      </w:pPr>
      <w:r>
        <w:rPr/>
        <w:t>Rachel Lomax, Deputy Governor responsible for monetary policy Andrew Large, Deputy Governor responsible for financial stability Kate Barker</w:t>
      </w:r>
    </w:p>
    <w:p>
      <w:pPr>
        <w:pStyle w:val="BodyText"/>
        <w:ind w:left="107" w:right="8360"/>
      </w:pPr>
      <w:r>
        <w:rPr/>
        <w:t>Charles Bean Richard Lambert Stephen Nickell Paul Tucker David Walton</w:t>
      </w:r>
    </w:p>
    <w:p>
      <w:pPr>
        <w:pStyle w:val="BodyText"/>
        <w:rPr>
          <w:sz w:val="25"/>
        </w:rPr>
      </w:pPr>
    </w:p>
    <w:p>
      <w:pPr>
        <w:pStyle w:val="BodyText"/>
        <w:spacing w:before="1"/>
        <w:ind w:left="107"/>
      </w:pPr>
      <w:r>
        <w:rPr/>
        <w:t>Nicholas Macpherson was present as the Treasury representative.</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Book Antiqua" w:hAnsi="Book Antiqua" w:eastAsia="Book Antiqua" w:cs="Book Antiqua"/>
      <w:sz w:val="25"/>
      <w:szCs w:val="25"/>
    </w:rPr>
  </w:style>
  <w:style w:styleId="Heading2" w:type="paragraph">
    <w:name w:val="Heading 2"/>
    <w:basedOn w:val="Normal"/>
    <w:uiPriority w:val="1"/>
    <w:qFormat/>
    <w:pPr>
      <w:ind w:left="10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right="1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12.pdf" TargetMode="External"/><Relationship Id="rId6" Type="http://schemas.openxmlformats.org/officeDocument/2006/relationships/hyperlink" Target="http://www.bankofengland.co.uk/publications/minutes/mpc/pdf/2005/index.htm"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7 and 8 December 2005</dc:title>
  <dcterms:created xsi:type="dcterms:W3CDTF">2020-06-01T02:14:53Z</dcterms:created>
  <dcterms:modified xsi:type="dcterms:W3CDTF">2020-06-01T02:14:53Z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2006-01-19T00:00:00Z</vt:filetime>
  </property>
  <property fmtid="{D5CDD505-2E9C-101B-9397-08002B2CF9AE}" pid="3" name="Creator">
    <vt:lpwstr>Dec 05 - FINAL version - Microsoft Word</vt:lpwstr>
  </property>
  <property fmtid="{D5CDD505-2E9C-101B-9397-08002B2CF9AE}" pid="4" name="LastSaved">
    <vt:filetime>2020-06-01T00:00:00Z</vt:filetime>
  </property>
</Properties>
</file>