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23 March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3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55" w:right="2984" w:firstLine="0"/>
        <w:jc w:val="center"/>
        <w:rPr>
          <w:rFonts w:ascii="Book Antiqua"/>
          <w:b/>
          <w:sz w:val="48"/>
        </w:rPr>
      </w:pPr>
      <w:r>
        <w:rPr>
          <w:rFonts w:ascii="Book Antiqua"/>
          <w:b/>
          <w:sz w:val="48"/>
        </w:rPr>
        <w:t>9 and 10 March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639"/>
      </w:pPr>
      <w:r>
        <w:rPr/>
        <w:t>These are the minutes of the Monetary Policy Committee meeting held on 9 and 10 March 2005.</w:t>
      </w:r>
    </w:p>
    <w:p>
      <w:pPr>
        <w:pStyle w:val="BodyText"/>
        <w:spacing w:before="7"/>
        <w:rPr>
          <w:rFonts w:ascii="Book Antiqua"/>
          <w:sz w:val="22"/>
        </w:rPr>
      </w:pPr>
    </w:p>
    <w:p>
      <w:pPr>
        <w:spacing w:line="288" w:lineRule="auto" w:before="0"/>
        <w:ind w:left="141" w:right="358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(http://www.bankofengland.co.uk/mpc/mpc0503.pdf).</w:t>
        </w:r>
      </w:hyperlink>
    </w:p>
    <w:p>
      <w:pPr>
        <w:pStyle w:val="BodyText"/>
        <w:spacing w:before="6"/>
        <w:rPr>
          <w:rFonts w:ascii="Book Antiqua"/>
          <w:sz w:val="22"/>
        </w:rPr>
      </w:pPr>
    </w:p>
    <w:p>
      <w:pPr>
        <w:spacing w:line="288" w:lineRule="auto" w:before="0"/>
        <w:ind w:left="141" w:right="27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April will be published on</w:t>
      </w:r>
    </w:p>
    <w:p>
      <w:pPr>
        <w:spacing w:before="1"/>
        <w:ind w:left="141" w:right="0" w:firstLine="0"/>
        <w:jc w:val="left"/>
        <w:rPr>
          <w:rFonts w:ascii="Book Antiqua"/>
          <w:sz w:val="26"/>
        </w:rPr>
      </w:pPr>
      <w:r>
        <w:rPr>
          <w:rFonts w:ascii="Book Antiqua"/>
          <w:sz w:val="26"/>
        </w:rPr>
        <w:t>20 April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880" w:right="74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spacing w:line="249" w:lineRule="auto" w:before="94"/>
        <w:ind w:left="247" w:right="504" w:firstLine="0"/>
        <w:jc w:val="left"/>
        <w:rPr>
          <w:b/>
          <w:sz w:val="27"/>
        </w:rPr>
      </w:pPr>
      <w:r>
        <w:rPr>
          <w:b/>
          <w:sz w:val="27"/>
        </w:rPr>
        <w:t>MINUTES OF THE MONETARY POLICY COMMITTEE MEETING HELD ON 9-10 MARCH 2005</w:t>
      </w:r>
    </w:p>
    <w:p>
      <w:pPr>
        <w:pStyle w:val="BodyText"/>
        <w:rPr>
          <w:b/>
          <w:sz w:val="30"/>
        </w:rPr>
      </w:pPr>
    </w:p>
    <w:p>
      <w:pPr>
        <w:pStyle w:val="ListParagraph"/>
        <w:numPr>
          <w:ilvl w:val="0"/>
          <w:numId w:val="1"/>
        </w:numPr>
        <w:tabs>
          <w:tab w:pos="811" w:val="left" w:leader="none"/>
          <w:tab w:pos="812" w:val="left" w:leader="none"/>
        </w:tabs>
        <w:spacing w:line="360" w:lineRule="auto" w:before="201" w:after="0"/>
        <w:ind w:left="247" w:right="669" w:firstLine="0"/>
        <w:jc w:val="left"/>
        <w:rPr>
          <w:sz w:val="24"/>
        </w:rPr>
      </w:pPr>
      <w:r>
        <w:rPr>
          <w:sz w:val="24"/>
        </w:rPr>
        <w:t>Before turning to its immediate policy decision, the Committee discussed developments in financial markets; the international economy; </w:t>
      </w:r>
      <w:r>
        <w:rPr>
          <w:spacing w:val="-4"/>
          <w:sz w:val="24"/>
        </w:rPr>
        <w:t>money, </w:t>
      </w:r>
      <w:r>
        <w:rPr>
          <w:sz w:val="24"/>
        </w:rPr>
        <w:t>credit, demand and output; and the labour market, costs and</w:t>
      </w:r>
      <w:r>
        <w:rPr>
          <w:spacing w:val="-4"/>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1" w:after="0"/>
        <w:ind w:left="247" w:right="216" w:firstLine="0"/>
        <w:jc w:val="left"/>
        <w:rPr>
          <w:sz w:val="24"/>
        </w:rPr>
      </w:pPr>
      <w:r>
        <w:rPr>
          <w:spacing w:val="-4"/>
          <w:sz w:val="24"/>
        </w:rPr>
        <w:t>The </w:t>
      </w:r>
      <w:r>
        <w:rPr>
          <w:sz w:val="24"/>
        </w:rPr>
        <w:t>main development in financial markets over the month had been the significant rise in </w:t>
      </w:r>
      <w:r>
        <w:rPr>
          <w:spacing w:val="-3"/>
          <w:sz w:val="24"/>
        </w:rPr>
        <w:t>short </w:t>
      </w:r>
      <w:r>
        <w:rPr>
          <w:sz w:val="24"/>
        </w:rPr>
        <w:t>and long-term market interest rates. Sterling short-term interest rates had increased in </w:t>
      </w:r>
      <w:r>
        <w:rPr>
          <w:spacing w:val="-3"/>
          <w:sz w:val="24"/>
        </w:rPr>
        <w:t>response to </w:t>
      </w:r>
      <w:r>
        <w:rPr>
          <w:sz w:val="24"/>
        </w:rPr>
        <w:t>comments by Committee members and the publication of the Minutes of the Committee’s February </w:t>
      </w:r>
      <w:r>
        <w:rPr>
          <w:spacing w:val="-3"/>
          <w:sz w:val="24"/>
        </w:rPr>
        <w:t>meeting. </w:t>
      </w:r>
      <w:r>
        <w:rPr>
          <w:sz w:val="24"/>
        </w:rPr>
        <w:t>Although none of the economists surveyed by Reuters had predicted a change in rates at this </w:t>
      </w:r>
      <w:r>
        <w:rPr>
          <w:spacing w:val="-3"/>
          <w:sz w:val="24"/>
        </w:rPr>
        <w:t>meeting </w:t>
      </w:r>
      <w:r>
        <w:rPr>
          <w:sz w:val="24"/>
        </w:rPr>
        <w:t>– the mean probability attached to ‘no change’ was 75% – expectations of an increase in the </w:t>
      </w:r>
      <w:r>
        <w:rPr>
          <w:spacing w:val="-3"/>
          <w:sz w:val="24"/>
        </w:rPr>
        <w:t>Bank’s </w:t>
      </w:r>
      <w:r>
        <w:rPr>
          <w:sz w:val="24"/>
        </w:rPr>
        <w:t>repo rate by </w:t>
      </w:r>
      <w:r>
        <w:rPr>
          <w:spacing w:val="-5"/>
          <w:sz w:val="24"/>
        </w:rPr>
        <w:t>the </w:t>
      </w:r>
      <w:r>
        <w:rPr>
          <w:sz w:val="24"/>
        </w:rPr>
        <w:t>middle of the year had </w:t>
      </w:r>
      <w:r>
        <w:rPr>
          <w:spacing w:val="-4"/>
          <w:sz w:val="24"/>
        </w:rPr>
        <w:t>risen. </w:t>
      </w:r>
      <w:r>
        <w:rPr>
          <w:sz w:val="24"/>
        </w:rPr>
        <w:t>The rise in sterling market interest rates </w:t>
      </w:r>
      <w:r>
        <w:rPr>
          <w:spacing w:val="3"/>
          <w:sz w:val="24"/>
        </w:rPr>
        <w:t>was </w:t>
      </w:r>
      <w:r>
        <w:rPr>
          <w:sz w:val="24"/>
        </w:rPr>
        <w:t>beginning to feed through into increases in some fixed-rate mortgage rates. US dollar </w:t>
      </w:r>
      <w:r>
        <w:rPr>
          <w:spacing w:val="-3"/>
          <w:sz w:val="24"/>
        </w:rPr>
        <w:t>short-term </w:t>
      </w:r>
      <w:r>
        <w:rPr>
          <w:sz w:val="24"/>
        </w:rPr>
        <w:t>interest rates had also increased, in reaction to stronger-than-expected US economic data, but equivalent euro rates were little</w:t>
      </w:r>
      <w:r>
        <w:rPr>
          <w:spacing w:val="-7"/>
          <w:sz w:val="24"/>
        </w:rPr>
        <w:t> </w:t>
      </w:r>
      <w:r>
        <w:rPr>
          <w:sz w:val="24"/>
        </w:rPr>
        <w:t>changed.</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06" w:firstLine="0"/>
        <w:jc w:val="left"/>
        <w:rPr>
          <w:sz w:val="24"/>
        </w:rPr>
      </w:pPr>
      <w:r>
        <w:rPr>
          <w:sz w:val="24"/>
        </w:rPr>
        <w:t>Long-term nominal forward interest rates had risen internationally, at times abruptly, apparently triggered by remarks by Federal Reserve Chairman Greenspan. Part of the fall in long-term forward </w:t>
      </w:r>
      <w:r>
        <w:rPr>
          <w:spacing w:val="2"/>
          <w:sz w:val="24"/>
        </w:rPr>
        <w:t>real </w:t>
      </w:r>
      <w:r>
        <w:rPr>
          <w:sz w:val="24"/>
        </w:rPr>
        <w:t>interest rates over the previous few months </w:t>
      </w:r>
      <w:r>
        <w:rPr>
          <w:spacing w:val="-3"/>
          <w:sz w:val="24"/>
        </w:rPr>
        <w:t>had </w:t>
      </w:r>
      <w:r>
        <w:rPr>
          <w:sz w:val="24"/>
        </w:rPr>
        <w:t>been reversed, although these rates remained at historically low levels. </w:t>
      </w:r>
      <w:r>
        <w:rPr>
          <w:spacing w:val="-3"/>
          <w:sz w:val="24"/>
        </w:rPr>
        <w:t>Sterling </w:t>
      </w:r>
      <w:r>
        <w:rPr>
          <w:sz w:val="24"/>
        </w:rPr>
        <w:t>and </w:t>
      </w:r>
      <w:r>
        <w:rPr>
          <w:spacing w:val="-5"/>
          <w:sz w:val="24"/>
        </w:rPr>
        <w:t>US </w:t>
      </w:r>
      <w:r>
        <w:rPr>
          <w:sz w:val="24"/>
        </w:rPr>
        <w:t>dollar inflation expectations, derived from yields on </w:t>
      </w:r>
      <w:r>
        <w:rPr>
          <w:spacing w:val="-3"/>
          <w:sz w:val="24"/>
        </w:rPr>
        <w:t>inflation- </w:t>
      </w:r>
      <w:r>
        <w:rPr>
          <w:sz w:val="24"/>
        </w:rPr>
        <w:t>linked bonds, had also ticked</w:t>
      </w:r>
      <w:r>
        <w:rPr>
          <w:spacing w:val="11"/>
          <w:sz w:val="24"/>
        </w:rPr>
        <w:t> </w:t>
      </w:r>
      <w:r>
        <w:rPr>
          <w:sz w:val="24"/>
        </w:rPr>
        <w:t>upwards.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8" w:right="274" w:firstLine="0"/>
        <w:jc w:val="left"/>
        <w:rPr>
          <w:sz w:val="24"/>
        </w:rPr>
      </w:pPr>
      <w:r>
        <w:rPr>
          <w:sz w:val="24"/>
        </w:rPr>
        <w:t>Despite</w:t>
      </w:r>
      <w:r>
        <w:rPr>
          <w:spacing w:val="-4"/>
          <w:sz w:val="24"/>
        </w:rPr>
        <w:t> </w:t>
      </w:r>
      <w:r>
        <w:rPr>
          <w:sz w:val="24"/>
        </w:rPr>
        <w:t>higher</w:t>
      </w:r>
      <w:r>
        <w:rPr>
          <w:spacing w:val="-3"/>
          <w:sz w:val="24"/>
        </w:rPr>
        <w:t> </w:t>
      </w:r>
      <w:r>
        <w:rPr>
          <w:sz w:val="24"/>
        </w:rPr>
        <w:t>real</w:t>
      </w:r>
      <w:r>
        <w:rPr>
          <w:spacing w:val="-3"/>
          <w:sz w:val="24"/>
        </w:rPr>
        <w:t> </w:t>
      </w:r>
      <w:r>
        <w:rPr>
          <w:sz w:val="24"/>
        </w:rPr>
        <w:t>interest</w:t>
      </w:r>
      <w:r>
        <w:rPr>
          <w:spacing w:val="-3"/>
          <w:sz w:val="24"/>
        </w:rPr>
        <w:t> </w:t>
      </w:r>
      <w:r>
        <w:rPr>
          <w:sz w:val="24"/>
        </w:rPr>
        <w:t>rates,</w:t>
      </w:r>
      <w:r>
        <w:rPr>
          <w:spacing w:val="-4"/>
          <w:sz w:val="24"/>
        </w:rPr>
        <w:t> </w:t>
      </w:r>
      <w:r>
        <w:rPr>
          <w:sz w:val="24"/>
        </w:rPr>
        <w:t>the</w:t>
      </w:r>
      <w:r>
        <w:rPr>
          <w:spacing w:val="-3"/>
          <w:sz w:val="24"/>
        </w:rPr>
        <w:t> </w:t>
      </w:r>
      <w:r>
        <w:rPr>
          <w:sz w:val="24"/>
        </w:rPr>
        <w:t>FTSE</w:t>
      </w:r>
      <w:r>
        <w:rPr>
          <w:spacing w:val="-2"/>
          <w:sz w:val="24"/>
        </w:rPr>
        <w:t> </w:t>
      </w:r>
      <w:r>
        <w:rPr>
          <w:sz w:val="24"/>
        </w:rPr>
        <w:t>All-Share</w:t>
      </w:r>
      <w:r>
        <w:rPr>
          <w:spacing w:val="-4"/>
          <w:sz w:val="24"/>
        </w:rPr>
        <w:t> </w:t>
      </w:r>
      <w:r>
        <w:rPr>
          <w:sz w:val="24"/>
        </w:rPr>
        <w:t>equity</w:t>
      </w:r>
      <w:r>
        <w:rPr>
          <w:spacing w:val="-2"/>
          <w:sz w:val="24"/>
        </w:rPr>
        <w:t> </w:t>
      </w:r>
      <w:r>
        <w:rPr>
          <w:sz w:val="24"/>
        </w:rPr>
        <w:t>index</w:t>
      </w:r>
      <w:r>
        <w:rPr>
          <w:spacing w:val="-3"/>
          <w:sz w:val="24"/>
        </w:rPr>
        <w:t> </w:t>
      </w:r>
      <w:r>
        <w:rPr>
          <w:sz w:val="24"/>
        </w:rPr>
        <w:t>was</w:t>
      </w:r>
      <w:r>
        <w:rPr>
          <w:spacing w:val="-2"/>
          <w:sz w:val="24"/>
        </w:rPr>
        <w:t> </w:t>
      </w:r>
      <w:r>
        <w:rPr>
          <w:sz w:val="24"/>
        </w:rPr>
        <w:t>broadly</w:t>
      </w:r>
      <w:r>
        <w:rPr>
          <w:spacing w:val="-13"/>
          <w:sz w:val="24"/>
        </w:rPr>
        <w:t> </w:t>
      </w:r>
      <w:r>
        <w:rPr>
          <w:sz w:val="24"/>
        </w:rPr>
        <w:t>unchanged</w:t>
      </w:r>
      <w:r>
        <w:rPr>
          <w:spacing w:val="-3"/>
          <w:sz w:val="24"/>
        </w:rPr>
        <w:t> </w:t>
      </w:r>
      <w:r>
        <w:rPr>
          <w:sz w:val="24"/>
        </w:rPr>
        <w:t>over </w:t>
      </w:r>
      <w:r>
        <w:rPr>
          <w:spacing w:val="-4"/>
          <w:sz w:val="24"/>
        </w:rPr>
        <w:t>the month and the </w:t>
      </w:r>
      <w:r>
        <w:rPr>
          <w:spacing w:val="4"/>
          <w:sz w:val="24"/>
        </w:rPr>
        <w:t>major </w:t>
      </w:r>
      <w:r>
        <w:rPr>
          <w:sz w:val="24"/>
        </w:rPr>
        <w:t>overseas equity indices had risen in local currency terms . Spreads between yields on corporate and emerging-market bonds and on risk-free bonds had continued to narrow and implied volatilities from options prices in </w:t>
      </w:r>
      <w:r>
        <w:rPr>
          <w:spacing w:val="-4"/>
          <w:sz w:val="24"/>
        </w:rPr>
        <w:t>many </w:t>
      </w:r>
      <w:r>
        <w:rPr>
          <w:sz w:val="24"/>
        </w:rPr>
        <w:t>financial markets remained low. Borrowers were continuing to obtain </w:t>
      </w:r>
      <w:r>
        <w:rPr>
          <w:spacing w:val="-5"/>
          <w:sz w:val="24"/>
        </w:rPr>
        <w:t>finance </w:t>
      </w:r>
      <w:r>
        <w:rPr>
          <w:sz w:val="24"/>
        </w:rPr>
        <w:t>on favourable terms and the apparent abundance of liquidity globally would add some stimulus to </w:t>
      </w:r>
      <w:r>
        <w:rPr>
          <w:spacing w:val="2"/>
          <w:sz w:val="24"/>
        </w:rPr>
        <w:t>world </w:t>
      </w:r>
      <w:r>
        <w:rPr>
          <w:spacing w:val="-3"/>
          <w:sz w:val="24"/>
        </w:rPr>
        <w:t>demand </w:t>
      </w:r>
      <w:r>
        <w:rPr>
          <w:sz w:val="24"/>
        </w:rPr>
        <w:t>in the </w:t>
      </w:r>
      <w:r>
        <w:rPr>
          <w:spacing w:val="-3"/>
          <w:sz w:val="24"/>
        </w:rPr>
        <w:t>near</w:t>
      </w:r>
      <w:r>
        <w:rPr>
          <w:spacing w:val="-6"/>
          <w:sz w:val="24"/>
        </w:rPr>
        <w:t> </w:t>
      </w:r>
      <w:r>
        <w:rPr>
          <w:spacing w:val="-3"/>
          <w:sz w:val="24"/>
        </w:rPr>
        <w:t>term.</w:t>
      </w:r>
    </w:p>
    <w:p>
      <w:pPr>
        <w:spacing w:after="0" w:line="360" w:lineRule="auto"/>
        <w:jc w:val="left"/>
        <w:rPr>
          <w:sz w:val="24"/>
        </w:rPr>
        <w:sectPr>
          <w:pgSz w:w="11900" w:h="16840"/>
          <w:pgMar w:top="1600" w:bottom="280" w:left="88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2" w:lineRule="auto" w:before="90" w:after="0"/>
        <w:ind w:left="247" w:right="216" w:firstLine="0"/>
        <w:jc w:val="left"/>
        <w:rPr>
          <w:sz w:val="24"/>
        </w:rPr>
      </w:pPr>
      <w:r>
        <w:rPr>
          <w:sz w:val="24"/>
        </w:rPr>
        <w:t>The sterling effective exchange rate index was unchanged since the Committee’s February meeting and in line with the February </w:t>
      </w:r>
      <w:r>
        <w:rPr>
          <w:i/>
          <w:sz w:val="24"/>
        </w:rPr>
        <w:t>Inflation Report </w:t>
      </w:r>
      <w:r>
        <w:rPr>
          <w:spacing w:val="-3"/>
          <w:sz w:val="24"/>
        </w:rPr>
        <w:t>number. </w:t>
      </w:r>
      <w:r>
        <w:rPr>
          <w:sz w:val="24"/>
        </w:rPr>
        <w:t>Sterling had depreciated a little against the euro. But it had risen against the US dollar, which had resumed its</w:t>
      </w:r>
      <w:r>
        <w:rPr>
          <w:spacing w:val="-43"/>
          <w:sz w:val="24"/>
        </w:rPr>
        <w:t> </w:t>
      </w:r>
      <w:r>
        <w:rPr>
          <w:sz w:val="24"/>
        </w:rPr>
        <w:t>fall against other major currencies, despite the stronger-than-expected US data over the</w:t>
      </w:r>
      <w:r>
        <w:rPr>
          <w:spacing w:val="3"/>
          <w:sz w:val="24"/>
        </w:rPr>
        <w:t> </w:t>
      </w:r>
      <w:r>
        <w:rPr>
          <w:spacing w:val="-2"/>
          <w:sz w:val="24"/>
        </w:rPr>
        <w:t>month.</w:t>
      </w:r>
    </w:p>
    <w:p>
      <w:pPr>
        <w:pStyle w:val="BodyText"/>
        <w:spacing w:before="6"/>
        <w:rPr>
          <w:sz w:val="35"/>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812" w:val="left" w:leader="none"/>
        </w:tabs>
        <w:spacing w:line="360" w:lineRule="auto" w:before="0" w:after="0"/>
        <w:ind w:left="247" w:right="162" w:firstLine="0"/>
        <w:jc w:val="both"/>
        <w:rPr>
          <w:sz w:val="24"/>
        </w:rPr>
      </w:pPr>
      <w:r>
        <w:rPr>
          <w:sz w:val="24"/>
        </w:rPr>
        <w:t>The </w:t>
      </w:r>
      <w:r>
        <w:rPr>
          <w:spacing w:val="-3"/>
          <w:sz w:val="24"/>
        </w:rPr>
        <w:t>main news </w:t>
      </w:r>
      <w:r>
        <w:rPr>
          <w:sz w:val="24"/>
        </w:rPr>
        <w:t>on the </w:t>
      </w:r>
      <w:r>
        <w:rPr>
          <w:spacing w:val="-3"/>
          <w:sz w:val="24"/>
        </w:rPr>
        <w:t>month </w:t>
      </w:r>
      <w:r>
        <w:rPr>
          <w:sz w:val="24"/>
        </w:rPr>
        <w:t>had </w:t>
      </w:r>
      <w:r>
        <w:rPr>
          <w:spacing w:val="-3"/>
          <w:sz w:val="24"/>
        </w:rPr>
        <w:t>been </w:t>
      </w:r>
      <w:r>
        <w:rPr>
          <w:sz w:val="24"/>
        </w:rPr>
        <w:t>a sharp rise in oil prices and signs that growth in the euro area</w:t>
      </w:r>
      <w:r>
        <w:rPr>
          <w:spacing w:val="-1"/>
          <w:sz w:val="24"/>
        </w:rPr>
        <w:t> </w:t>
      </w:r>
      <w:r>
        <w:rPr>
          <w:sz w:val="24"/>
        </w:rPr>
        <w:t>would</w:t>
      </w:r>
      <w:r>
        <w:rPr>
          <w:spacing w:val="-5"/>
          <w:sz w:val="24"/>
        </w:rPr>
        <w:t> </w:t>
      </w:r>
      <w:r>
        <w:rPr>
          <w:sz w:val="24"/>
        </w:rPr>
        <w:t>be</w:t>
      </w:r>
      <w:r>
        <w:rPr>
          <w:spacing w:val="-5"/>
          <w:sz w:val="24"/>
        </w:rPr>
        <w:t> </w:t>
      </w:r>
      <w:r>
        <w:rPr>
          <w:sz w:val="24"/>
        </w:rPr>
        <w:t>somewhat</w:t>
      </w:r>
      <w:r>
        <w:rPr>
          <w:spacing w:val="-4"/>
          <w:sz w:val="24"/>
        </w:rPr>
        <w:t> </w:t>
      </w:r>
      <w:r>
        <w:rPr>
          <w:sz w:val="24"/>
        </w:rPr>
        <w:t>weaker</w:t>
      </w:r>
      <w:r>
        <w:rPr>
          <w:spacing w:val="-5"/>
          <w:sz w:val="24"/>
        </w:rPr>
        <w:t> </w:t>
      </w:r>
      <w:r>
        <w:rPr>
          <w:sz w:val="24"/>
        </w:rPr>
        <w:t>than</w:t>
      </w:r>
      <w:r>
        <w:rPr>
          <w:spacing w:val="-5"/>
          <w:sz w:val="24"/>
        </w:rPr>
        <w:t> </w:t>
      </w:r>
      <w:r>
        <w:rPr>
          <w:sz w:val="24"/>
        </w:rPr>
        <w:t>envisaged</w:t>
      </w:r>
      <w:r>
        <w:rPr>
          <w:spacing w:val="-2"/>
          <w:sz w:val="24"/>
        </w:rPr>
        <w:t> </w:t>
      </w:r>
      <w:r>
        <w:rPr>
          <w:sz w:val="24"/>
        </w:rPr>
        <w:t>at</w:t>
      </w:r>
      <w:r>
        <w:rPr>
          <w:spacing w:val="-3"/>
          <w:sz w:val="24"/>
        </w:rPr>
        <w:t> </w:t>
      </w:r>
      <w:r>
        <w:rPr>
          <w:sz w:val="24"/>
        </w:rPr>
        <w:t>the</w:t>
      </w:r>
      <w:r>
        <w:rPr>
          <w:spacing w:val="-3"/>
          <w:sz w:val="24"/>
        </w:rPr>
        <w:t> </w:t>
      </w:r>
      <w:r>
        <w:rPr>
          <w:sz w:val="24"/>
        </w:rPr>
        <w:t>time</w:t>
      </w:r>
      <w:r>
        <w:rPr>
          <w:spacing w:val="-3"/>
          <w:sz w:val="24"/>
        </w:rPr>
        <w:t> </w:t>
      </w:r>
      <w:r>
        <w:rPr>
          <w:sz w:val="24"/>
        </w:rPr>
        <w:t>of</w:t>
      </w:r>
      <w:r>
        <w:rPr>
          <w:spacing w:val="-3"/>
          <w:sz w:val="24"/>
        </w:rPr>
        <w:t> </w:t>
      </w:r>
      <w:r>
        <w:rPr>
          <w:sz w:val="24"/>
        </w:rPr>
        <w:t>the</w:t>
      </w:r>
      <w:r>
        <w:rPr>
          <w:spacing w:val="-2"/>
          <w:sz w:val="24"/>
        </w:rPr>
        <w:t> </w:t>
      </w:r>
      <w:r>
        <w:rPr>
          <w:sz w:val="24"/>
        </w:rPr>
        <w:t>February</w:t>
      </w:r>
      <w:r>
        <w:rPr>
          <w:spacing w:val="8"/>
          <w:sz w:val="24"/>
        </w:rPr>
        <w:t> </w:t>
      </w:r>
      <w:r>
        <w:rPr>
          <w:i/>
          <w:sz w:val="24"/>
        </w:rPr>
        <w:t>Inflation</w:t>
      </w:r>
      <w:r>
        <w:rPr>
          <w:i/>
          <w:spacing w:val="-1"/>
          <w:sz w:val="24"/>
        </w:rPr>
        <w:t> </w:t>
      </w:r>
      <w:r>
        <w:rPr>
          <w:i/>
          <w:sz w:val="24"/>
        </w:rPr>
        <w:t>Report</w:t>
      </w:r>
      <w:r>
        <w:rPr>
          <w:sz w:val="24"/>
        </w:rPr>
        <w:t>,</w:t>
      </w:r>
      <w:r>
        <w:rPr>
          <w:spacing w:val="-7"/>
          <w:sz w:val="24"/>
        </w:rPr>
        <w:t> </w:t>
      </w:r>
      <w:r>
        <w:rPr>
          <w:sz w:val="24"/>
        </w:rPr>
        <w:t>at</w:t>
      </w:r>
      <w:r>
        <w:rPr>
          <w:spacing w:val="-7"/>
          <w:sz w:val="24"/>
        </w:rPr>
        <w:t> </w:t>
      </w:r>
      <w:r>
        <w:rPr>
          <w:sz w:val="24"/>
        </w:rPr>
        <w:t>least</w:t>
      </w:r>
      <w:r>
        <w:rPr>
          <w:spacing w:val="-6"/>
          <w:sz w:val="24"/>
        </w:rPr>
        <w:t> </w:t>
      </w:r>
      <w:r>
        <w:rPr>
          <w:sz w:val="24"/>
        </w:rPr>
        <w:t>in the near</w:t>
      </w:r>
      <w:r>
        <w:rPr>
          <w:spacing w:val="2"/>
          <w:sz w:val="24"/>
        </w:rPr>
        <w:t> </w:t>
      </w:r>
      <w:r>
        <w:rPr>
          <w:spacing w:val="-7"/>
          <w:sz w:val="24"/>
        </w:rPr>
        <w:t>term.</w:t>
      </w:r>
    </w:p>
    <w:p>
      <w:pPr>
        <w:pStyle w:val="BodyText"/>
        <w:rPr>
          <w:sz w:val="36"/>
        </w:rPr>
      </w:pPr>
    </w:p>
    <w:p>
      <w:pPr>
        <w:pStyle w:val="ListParagraph"/>
        <w:numPr>
          <w:ilvl w:val="0"/>
          <w:numId w:val="1"/>
        </w:numPr>
        <w:tabs>
          <w:tab w:pos="811" w:val="left" w:leader="none"/>
          <w:tab w:pos="812" w:val="left" w:leader="none"/>
        </w:tabs>
        <w:spacing w:line="360" w:lineRule="auto" w:before="1" w:after="0"/>
        <w:ind w:left="248" w:right="180" w:firstLine="0"/>
        <w:jc w:val="left"/>
        <w:rPr>
          <w:sz w:val="24"/>
        </w:rPr>
      </w:pPr>
      <w:r>
        <w:rPr>
          <w:sz w:val="24"/>
        </w:rPr>
        <w:t>Oil prices had risen by more than 20% since the Committee’s February meeting, in both dollar and sterling terms. </w:t>
      </w:r>
      <w:r>
        <w:rPr>
          <w:spacing w:val="-4"/>
          <w:sz w:val="24"/>
        </w:rPr>
        <w:t>Non-oil </w:t>
      </w:r>
      <w:r>
        <w:rPr>
          <w:sz w:val="24"/>
        </w:rPr>
        <w:t>commodities prices had also increased. Significantly, the oil futures curve had shifted upwards, with the oil price expected to be over US$40 per barrel over the next three years, well above the level assumed at the time of the February </w:t>
      </w:r>
      <w:r>
        <w:rPr>
          <w:i/>
          <w:sz w:val="24"/>
        </w:rPr>
        <w:t>Inflation Report</w:t>
      </w:r>
      <w:r>
        <w:rPr>
          <w:sz w:val="24"/>
        </w:rPr>
        <w:t>. Although unusually cold weather in Europe and North America had influenced the rise in spot oil prices, lower expectations of future oil supply appeared to have been an important factor behind higher futures prices, suggesting that oil prices might remain at higher levels than thought previously. Higher oil prices would raise the level of producer input and petrol prices, although the relatively high rates of fuel duty in the United Kingdom would limit the impact on UK CPI inflation. If sustained at the current levels, higher oil prices would also </w:t>
      </w:r>
      <w:r>
        <w:rPr>
          <w:spacing w:val="-4"/>
          <w:sz w:val="24"/>
        </w:rPr>
        <w:t>slow </w:t>
      </w:r>
      <w:r>
        <w:rPr>
          <w:sz w:val="24"/>
        </w:rPr>
        <w:t>global growth a little in the medium</w:t>
      </w:r>
      <w:r>
        <w:rPr>
          <w:spacing w:val="-4"/>
          <w:sz w:val="24"/>
        </w:rPr>
        <w:t> </w:t>
      </w:r>
      <w:r>
        <w:rPr>
          <w:sz w:val="24"/>
        </w:rPr>
        <w:t>term.</w:t>
      </w:r>
    </w:p>
    <w:p>
      <w:pPr>
        <w:pStyle w:val="BodyText"/>
        <w:spacing w:before="5"/>
        <w:rPr>
          <w:sz w:val="35"/>
        </w:rPr>
      </w:pPr>
    </w:p>
    <w:p>
      <w:pPr>
        <w:pStyle w:val="ListParagraph"/>
        <w:numPr>
          <w:ilvl w:val="0"/>
          <w:numId w:val="1"/>
        </w:numPr>
        <w:tabs>
          <w:tab w:pos="811" w:val="left" w:leader="none"/>
          <w:tab w:pos="812" w:val="left" w:leader="none"/>
        </w:tabs>
        <w:spacing w:line="360" w:lineRule="auto" w:before="1" w:after="0"/>
        <w:ind w:left="248" w:right="285" w:firstLine="0"/>
        <w:jc w:val="left"/>
        <w:rPr>
          <w:sz w:val="24"/>
        </w:rPr>
      </w:pPr>
      <w:r>
        <w:rPr>
          <w:sz w:val="24"/>
        </w:rPr>
        <w:t>According to </w:t>
      </w:r>
      <w:r>
        <w:rPr>
          <w:spacing w:val="-3"/>
          <w:sz w:val="24"/>
        </w:rPr>
        <w:t>the </w:t>
      </w:r>
      <w:r>
        <w:rPr>
          <w:sz w:val="24"/>
        </w:rPr>
        <w:t>first estimate, euro-area GDP had grown by only 0.2% in 2004 Q4. Final domestic </w:t>
      </w:r>
      <w:r>
        <w:rPr>
          <w:spacing w:val="-3"/>
          <w:sz w:val="24"/>
        </w:rPr>
        <w:t>demand </w:t>
      </w:r>
      <w:r>
        <w:rPr>
          <w:sz w:val="24"/>
        </w:rPr>
        <w:t>growth had </w:t>
      </w:r>
      <w:r>
        <w:rPr>
          <w:spacing w:val="-3"/>
          <w:sz w:val="24"/>
        </w:rPr>
        <w:t>picked </w:t>
      </w:r>
      <w:r>
        <w:rPr>
          <w:sz w:val="24"/>
        </w:rPr>
        <w:t>up only patchily, with strong consumption growth in France and Spain but more subdued spending elsewhere. </w:t>
      </w:r>
      <w:r>
        <w:rPr>
          <w:spacing w:val="-3"/>
          <w:sz w:val="24"/>
        </w:rPr>
        <w:t>Net </w:t>
      </w:r>
      <w:r>
        <w:rPr>
          <w:sz w:val="24"/>
        </w:rPr>
        <w:t>trade had made a negative contribution to </w:t>
      </w:r>
      <w:r>
        <w:rPr>
          <w:spacing w:val="-4"/>
          <w:sz w:val="24"/>
        </w:rPr>
        <w:t>growth, </w:t>
      </w:r>
      <w:r>
        <w:rPr>
          <w:sz w:val="24"/>
        </w:rPr>
        <w:t>perhaps reflecting the appreciation of the euro. Investment had increased for the third quarter in succession, underpinned by rising profits and a low cost of capital. Business surveys suggested that the</w:t>
      </w:r>
      <w:r>
        <w:rPr>
          <w:spacing w:val="-4"/>
          <w:sz w:val="24"/>
        </w:rPr>
        <w:t> </w:t>
      </w:r>
      <w:r>
        <w:rPr>
          <w:sz w:val="24"/>
        </w:rPr>
        <w:t>weakness</w:t>
      </w:r>
      <w:r>
        <w:rPr>
          <w:spacing w:val="-3"/>
          <w:sz w:val="24"/>
        </w:rPr>
        <w:t> </w:t>
      </w:r>
      <w:r>
        <w:rPr>
          <w:sz w:val="24"/>
        </w:rPr>
        <w:t>in</w:t>
      </w:r>
      <w:r>
        <w:rPr>
          <w:spacing w:val="-3"/>
          <w:sz w:val="24"/>
        </w:rPr>
        <w:t> </w:t>
      </w:r>
      <w:r>
        <w:rPr>
          <w:sz w:val="24"/>
        </w:rPr>
        <w:t>output</w:t>
      </w:r>
      <w:r>
        <w:rPr>
          <w:spacing w:val="-3"/>
          <w:sz w:val="24"/>
        </w:rPr>
        <w:t> </w:t>
      </w:r>
      <w:r>
        <w:rPr>
          <w:sz w:val="24"/>
        </w:rPr>
        <w:t>growth</w:t>
      </w:r>
      <w:r>
        <w:rPr>
          <w:spacing w:val="-3"/>
          <w:sz w:val="24"/>
        </w:rPr>
        <w:t> </w:t>
      </w:r>
      <w:r>
        <w:rPr>
          <w:sz w:val="24"/>
        </w:rPr>
        <w:t>might</w:t>
      </w:r>
      <w:r>
        <w:rPr>
          <w:spacing w:val="8"/>
          <w:sz w:val="24"/>
        </w:rPr>
        <w:t> </w:t>
      </w:r>
      <w:r>
        <w:rPr>
          <w:sz w:val="24"/>
        </w:rPr>
        <w:t>be</w:t>
      </w:r>
      <w:r>
        <w:rPr>
          <w:spacing w:val="-3"/>
          <w:sz w:val="24"/>
        </w:rPr>
        <w:t> </w:t>
      </w:r>
      <w:r>
        <w:rPr>
          <w:sz w:val="24"/>
        </w:rPr>
        <w:t>continuing</w:t>
      </w:r>
      <w:r>
        <w:rPr>
          <w:spacing w:val="-15"/>
          <w:sz w:val="24"/>
        </w:rPr>
        <w:t> </w:t>
      </w:r>
      <w:r>
        <w:rPr>
          <w:sz w:val="24"/>
        </w:rPr>
        <w:t>in</w:t>
      </w:r>
      <w:r>
        <w:rPr>
          <w:spacing w:val="-3"/>
          <w:sz w:val="24"/>
        </w:rPr>
        <w:t> </w:t>
      </w:r>
      <w:r>
        <w:rPr>
          <w:sz w:val="24"/>
        </w:rPr>
        <w:t>2005</w:t>
      </w:r>
      <w:r>
        <w:rPr>
          <w:spacing w:val="-3"/>
          <w:sz w:val="24"/>
        </w:rPr>
        <w:t> </w:t>
      </w:r>
      <w:r>
        <w:rPr>
          <w:sz w:val="24"/>
        </w:rPr>
        <w:t>Q1,</w:t>
      </w:r>
      <w:r>
        <w:rPr>
          <w:spacing w:val="-3"/>
          <w:sz w:val="24"/>
        </w:rPr>
        <w:t> </w:t>
      </w:r>
      <w:r>
        <w:rPr>
          <w:sz w:val="24"/>
        </w:rPr>
        <w:t>although</w:t>
      </w:r>
      <w:r>
        <w:rPr>
          <w:spacing w:val="-4"/>
          <w:sz w:val="24"/>
        </w:rPr>
        <w:t> </w:t>
      </w:r>
      <w:r>
        <w:rPr>
          <w:sz w:val="24"/>
        </w:rPr>
        <w:t>rising</w:t>
      </w:r>
      <w:r>
        <w:rPr>
          <w:spacing w:val="-3"/>
          <w:sz w:val="24"/>
        </w:rPr>
        <w:t> </w:t>
      </w:r>
      <w:r>
        <w:rPr>
          <w:sz w:val="24"/>
        </w:rPr>
        <w:t>capital</w:t>
      </w:r>
      <w:r>
        <w:rPr>
          <w:spacing w:val="-3"/>
          <w:sz w:val="24"/>
        </w:rPr>
        <w:t> </w:t>
      </w:r>
      <w:r>
        <w:rPr>
          <w:sz w:val="24"/>
        </w:rPr>
        <w:t>goods</w:t>
      </w:r>
      <w:r>
        <w:rPr>
          <w:spacing w:val="-3"/>
          <w:sz w:val="24"/>
        </w:rPr>
        <w:t> </w:t>
      </w:r>
      <w:r>
        <w:rPr>
          <w:sz w:val="24"/>
        </w:rPr>
        <w:t>imports in 2004 Q4 might </w:t>
      </w:r>
      <w:r>
        <w:rPr>
          <w:spacing w:val="-3"/>
          <w:sz w:val="24"/>
        </w:rPr>
        <w:t>have </w:t>
      </w:r>
      <w:r>
        <w:rPr>
          <w:sz w:val="24"/>
        </w:rPr>
        <w:t>indicated continued investment expansion. Euro-area HICP inflation had fallen to 1.9% in</w:t>
      </w:r>
      <w:r>
        <w:rPr>
          <w:spacing w:val="-5"/>
          <w:sz w:val="24"/>
        </w:rPr>
        <w:t> </w:t>
      </w:r>
      <w:r>
        <w:rPr>
          <w:sz w:val="24"/>
        </w:rPr>
        <w:t>January.</w:t>
      </w:r>
    </w:p>
    <w:p>
      <w:pPr>
        <w:pStyle w:val="BodyText"/>
        <w:spacing w:before="6"/>
        <w:rPr>
          <w:sz w:val="36"/>
        </w:rPr>
      </w:pPr>
    </w:p>
    <w:p>
      <w:pPr>
        <w:pStyle w:val="ListParagraph"/>
        <w:numPr>
          <w:ilvl w:val="0"/>
          <w:numId w:val="1"/>
        </w:numPr>
        <w:tabs>
          <w:tab w:pos="811" w:val="left" w:leader="none"/>
          <w:tab w:pos="812" w:val="left" w:leader="none"/>
        </w:tabs>
        <w:spacing w:line="355" w:lineRule="auto" w:before="0" w:after="0"/>
        <w:ind w:left="248" w:right="574" w:firstLine="0"/>
        <w:jc w:val="left"/>
        <w:rPr>
          <w:sz w:val="24"/>
        </w:rPr>
      </w:pPr>
      <w:r>
        <w:rPr>
          <w:sz w:val="24"/>
        </w:rPr>
        <w:t>The</w:t>
      </w:r>
      <w:r>
        <w:rPr>
          <w:spacing w:val="-5"/>
          <w:sz w:val="24"/>
        </w:rPr>
        <w:t> </w:t>
      </w:r>
      <w:r>
        <w:rPr>
          <w:sz w:val="24"/>
        </w:rPr>
        <w:t>prospects</w:t>
      </w:r>
      <w:r>
        <w:rPr>
          <w:spacing w:val="-4"/>
          <w:sz w:val="24"/>
        </w:rPr>
        <w:t> </w:t>
      </w:r>
      <w:r>
        <w:rPr>
          <w:sz w:val="24"/>
        </w:rPr>
        <w:t>for</w:t>
      </w:r>
      <w:r>
        <w:rPr>
          <w:spacing w:val="-4"/>
          <w:sz w:val="24"/>
        </w:rPr>
        <w:t> </w:t>
      </w:r>
      <w:r>
        <w:rPr>
          <w:sz w:val="24"/>
        </w:rPr>
        <w:t>euro-area</w:t>
      </w:r>
      <w:r>
        <w:rPr>
          <w:spacing w:val="-5"/>
          <w:sz w:val="24"/>
        </w:rPr>
        <w:t> </w:t>
      </w:r>
      <w:r>
        <w:rPr>
          <w:sz w:val="24"/>
        </w:rPr>
        <w:t>growth</w:t>
      </w:r>
      <w:r>
        <w:rPr>
          <w:spacing w:val="-4"/>
          <w:sz w:val="24"/>
        </w:rPr>
        <w:t> </w:t>
      </w:r>
      <w:r>
        <w:rPr>
          <w:sz w:val="24"/>
        </w:rPr>
        <w:t>over</w:t>
      </w:r>
      <w:r>
        <w:rPr>
          <w:spacing w:val="-4"/>
          <w:sz w:val="24"/>
        </w:rPr>
        <w:t> </w:t>
      </w:r>
      <w:r>
        <w:rPr>
          <w:sz w:val="24"/>
        </w:rPr>
        <w:t>the</w:t>
      </w:r>
      <w:r>
        <w:rPr>
          <w:spacing w:val="-4"/>
          <w:sz w:val="24"/>
        </w:rPr>
        <w:t> </w:t>
      </w:r>
      <w:r>
        <w:rPr>
          <w:sz w:val="24"/>
        </w:rPr>
        <w:t>rest</w:t>
      </w:r>
      <w:r>
        <w:rPr>
          <w:spacing w:val="-5"/>
          <w:sz w:val="24"/>
        </w:rPr>
        <w:t> </w:t>
      </w:r>
      <w:r>
        <w:rPr>
          <w:sz w:val="24"/>
        </w:rPr>
        <w:t>of</w:t>
      </w:r>
      <w:r>
        <w:rPr>
          <w:spacing w:val="-4"/>
          <w:sz w:val="24"/>
        </w:rPr>
        <w:t> </w:t>
      </w:r>
      <w:r>
        <w:rPr>
          <w:sz w:val="24"/>
        </w:rPr>
        <w:t>2005</w:t>
      </w:r>
      <w:r>
        <w:rPr>
          <w:spacing w:val="-4"/>
          <w:sz w:val="24"/>
        </w:rPr>
        <w:t> </w:t>
      </w:r>
      <w:r>
        <w:rPr>
          <w:sz w:val="24"/>
        </w:rPr>
        <w:t>depended</w:t>
      </w:r>
      <w:r>
        <w:rPr>
          <w:spacing w:val="-5"/>
          <w:sz w:val="24"/>
        </w:rPr>
        <w:t> </w:t>
      </w:r>
      <w:r>
        <w:rPr>
          <w:sz w:val="24"/>
        </w:rPr>
        <w:t>in</w:t>
      </w:r>
      <w:r>
        <w:rPr>
          <w:spacing w:val="-4"/>
          <w:sz w:val="24"/>
        </w:rPr>
        <w:t> </w:t>
      </w:r>
      <w:r>
        <w:rPr>
          <w:sz w:val="24"/>
        </w:rPr>
        <w:t>large</w:t>
      </w:r>
      <w:r>
        <w:rPr>
          <w:spacing w:val="-4"/>
          <w:sz w:val="24"/>
        </w:rPr>
        <w:t> </w:t>
      </w:r>
      <w:r>
        <w:rPr>
          <w:sz w:val="24"/>
        </w:rPr>
        <w:t>part</w:t>
      </w:r>
      <w:r>
        <w:rPr>
          <w:spacing w:val="-4"/>
          <w:sz w:val="24"/>
        </w:rPr>
        <w:t> </w:t>
      </w:r>
      <w:r>
        <w:rPr>
          <w:sz w:val="24"/>
        </w:rPr>
        <w:t>on</w:t>
      </w:r>
      <w:r>
        <w:rPr>
          <w:spacing w:val="-5"/>
          <w:sz w:val="24"/>
        </w:rPr>
        <w:t> </w:t>
      </w:r>
      <w:r>
        <w:rPr>
          <w:sz w:val="24"/>
        </w:rPr>
        <w:t>growth</w:t>
      </w:r>
      <w:r>
        <w:rPr>
          <w:spacing w:val="-4"/>
          <w:sz w:val="24"/>
        </w:rPr>
        <w:t> </w:t>
      </w:r>
      <w:r>
        <w:rPr>
          <w:sz w:val="24"/>
        </w:rPr>
        <w:t>in consumer spending, which had been particularly weak in </w:t>
      </w:r>
      <w:r>
        <w:rPr>
          <w:spacing w:val="-3"/>
          <w:sz w:val="24"/>
        </w:rPr>
        <w:t>Germany. </w:t>
      </w:r>
      <w:r>
        <w:rPr>
          <w:sz w:val="24"/>
        </w:rPr>
        <w:t>Consumption growth</w:t>
      </w:r>
      <w:r>
        <w:rPr>
          <w:spacing w:val="-24"/>
          <w:sz w:val="24"/>
        </w:rPr>
        <w:t> </w:t>
      </w:r>
      <w:r>
        <w:rPr>
          <w:sz w:val="24"/>
        </w:rPr>
        <w:t>seemed</w:t>
      </w:r>
    </w:p>
    <w:p>
      <w:pPr>
        <w:spacing w:after="0" w:line="355" w:lineRule="auto"/>
        <w:jc w:val="left"/>
        <w:rPr>
          <w:sz w:val="24"/>
        </w:rPr>
        <w:sectPr>
          <w:headerReference w:type="default" r:id="rId7"/>
          <w:pgSz w:w="11900" w:h="16840"/>
          <w:pgMar w:header="1134" w:footer="0" w:top="1380" w:bottom="280" w:left="88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247" w:right="125"/>
      </w:pPr>
      <w:r>
        <w:rPr/>
        <w:t>unlikely to pick up without more rapid growth in real labour income. There was a risk that continued weak consumption growth might in turn discourage investment, which might also be vulnerable to any further appreciation of the euro against the US dollar. However, </w:t>
      </w:r>
      <w:r>
        <w:rPr>
          <w:spacing w:val="-4"/>
        </w:rPr>
        <w:t>falling </w:t>
      </w:r>
      <w:r>
        <w:rPr/>
        <w:t>unit labour costs had improved </w:t>
      </w:r>
      <w:r>
        <w:rPr>
          <w:spacing w:val="-4"/>
        </w:rPr>
        <w:t>the </w:t>
      </w:r>
      <w:r>
        <w:rPr/>
        <w:t>price competitiveness of German firms, which should further improve profits, encourage investment and, in time, lead to higher income and consumption growth in</w:t>
      </w:r>
      <w:r>
        <w:rPr>
          <w:spacing w:val="3"/>
        </w:rPr>
        <w:t> </w:t>
      </w:r>
      <w:r>
        <w:rPr/>
        <w:t>Germany.</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49" w:firstLine="0"/>
        <w:jc w:val="left"/>
        <w:rPr>
          <w:sz w:val="24"/>
        </w:rPr>
      </w:pPr>
      <w:r>
        <w:rPr>
          <w:sz w:val="24"/>
        </w:rPr>
        <w:t>In the United States, estimated GDP growth in 2004 Q4 had, as expected, been revised upwards to 0.9%. Business surveys were consistent with continuing robust growth in 2005 Q1, in line with the February </w:t>
      </w:r>
      <w:r>
        <w:rPr>
          <w:i/>
          <w:sz w:val="24"/>
        </w:rPr>
        <w:t>Inflation Report </w:t>
      </w:r>
      <w:r>
        <w:rPr>
          <w:sz w:val="24"/>
        </w:rPr>
        <w:t>projections. Employment growth – non-farm payrolls had risen by 262,000 in February – strong consumer confidence and rising house prices would continue to underpin consumption growth. </w:t>
      </w:r>
      <w:r>
        <w:rPr>
          <w:spacing w:val="-3"/>
          <w:sz w:val="24"/>
        </w:rPr>
        <w:t>Core </w:t>
      </w:r>
      <w:r>
        <w:rPr>
          <w:sz w:val="24"/>
        </w:rPr>
        <w:t>US CPI inflation had continued to rise slowly, reaching 2.3% in January, the highest level since August 2002. The Federal Reserve’s </w:t>
      </w:r>
      <w:r>
        <w:rPr>
          <w:spacing w:val="-3"/>
          <w:sz w:val="24"/>
        </w:rPr>
        <w:t>most </w:t>
      </w:r>
      <w:r>
        <w:rPr>
          <w:spacing w:val="-4"/>
          <w:sz w:val="24"/>
        </w:rPr>
        <w:t>recent </w:t>
      </w:r>
      <w:r>
        <w:rPr>
          <w:i/>
          <w:sz w:val="24"/>
        </w:rPr>
        <w:t>Beige Book </w:t>
      </w:r>
      <w:r>
        <w:rPr>
          <w:spacing w:val="-3"/>
          <w:sz w:val="24"/>
        </w:rPr>
        <w:t>had </w:t>
      </w:r>
      <w:r>
        <w:rPr>
          <w:spacing w:val="-4"/>
          <w:sz w:val="24"/>
        </w:rPr>
        <w:t>noted that </w:t>
      </w:r>
      <w:r>
        <w:rPr>
          <w:spacing w:val="-3"/>
          <w:sz w:val="24"/>
        </w:rPr>
        <w:t>some </w:t>
      </w:r>
      <w:r>
        <w:rPr>
          <w:sz w:val="24"/>
        </w:rPr>
        <w:t>manufacturers had reported increased pricing</w:t>
      </w:r>
      <w:r>
        <w:rPr>
          <w:spacing w:val="6"/>
          <w:sz w:val="24"/>
        </w:rPr>
        <w:t> </w:t>
      </w:r>
      <w:r>
        <w:rPr>
          <w:sz w:val="24"/>
        </w:rPr>
        <w:t>power.</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16" w:firstLine="0"/>
        <w:jc w:val="left"/>
        <w:rPr>
          <w:sz w:val="24"/>
        </w:rPr>
      </w:pPr>
      <w:r>
        <w:rPr>
          <w:sz w:val="24"/>
        </w:rPr>
        <w:t>The</w:t>
      </w:r>
      <w:r>
        <w:rPr>
          <w:spacing w:val="-6"/>
          <w:sz w:val="24"/>
        </w:rPr>
        <w:t> </w:t>
      </w:r>
      <w:r>
        <w:rPr>
          <w:sz w:val="24"/>
        </w:rPr>
        <w:t>first</w:t>
      </w:r>
      <w:r>
        <w:rPr>
          <w:spacing w:val="-5"/>
          <w:sz w:val="24"/>
        </w:rPr>
        <w:t> </w:t>
      </w:r>
      <w:r>
        <w:rPr>
          <w:sz w:val="24"/>
        </w:rPr>
        <w:t>release</w:t>
      </w:r>
      <w:r>
        <w:rPr>
          <w:spacing w:val="-6"/>
          <w:sz w:val="24"/>
        </w:rPr>
        <w:t> </w:t>
      </w:r>
      <w:r>
        <w:rPr>
          <w:sz w:val="24"/>
        </w:rPr>
        <w:t>suggested</w:t>
      </w:r>
      <w:r>
        <w:rPr>
          <w:spacing w:val="-5"/>
          <w:sz w:val="24"/>
        </w:rPr>
        <w:t> </w:t>
      </w:r>
      <w:r>
        <w:rPr>
          <w:sz w:val="24"/>
        </w:rPr>
        <w:t>that</w:t>
      </w:r>
      <w:r>
        <w:rPr>
          <w:spacing w:val="5"/>
          <w:sz w:val="24"/>
        </w:rPr>
        <w:t> </w:t>
      </w:r>
      <w:r>
        <w:rPr>
          <w:sz w:val="24"/>
        </w:rPr>
        <w:t>Japanese</w:t>
      </w:r>
      <w:r>
        <w:rPr>
          <w:spacing w:val="1"/>
          <w:sz w:val="24"/>
        </w:rPr>
        <w:t> </w:t>
      </w:r>
      <w:r>
        <w:rPr>
          <w:sz w:val="24"/>
        </w:rPr>
        <w:t>GDP growth had been</w:t>
      </w:r>
      <w:r>
        <w:rPr>
          <w:spacing w:val="-16"/>
          <w:sz w:val="24"/>
        </w:rPr>
        <w:t> </w:t>
      </w:r>
      <w:r>
        <w:rPr>
          <w:sz w:val="24"/>
        </w:rPr>
        <w:t>marginally</w:t>
      </w:r>
      <w:r>
        <w:rPr>
          <w:spacing w:val="-14"/>
          <w:sz w:val="24"/>
        </w:rPr>
        <w:t> </w:t>
      </w:r>
      <w:r>
        <w:rPr>
          <w:sz w:val="24"/>
        </w:rPr>
        <w:t>negative</w:t>
      </w:r>
      <w:r>
        <w:rPr>
          <w:spacing w:val="-3"/>
          <w:sz w:val="24"/>
        </w:rPr>
        <w:t> </w:t>
      </w:r>
      <w:r>
        <w:rPr>
          <w:sz w:val="24"/>
        </w:rPr>
        <w:t>for</w:t>
      </w:r>
      <w:r>
        <w:rPr>
          <w:spacing w:val="-3"/>
          <w:sz w:val="24"/>
        </w:rPr>
        <w:t> </w:t>
      </w:r>
      <w:r>
        <w:rPr>
          <w:sz w:val="24"/>
        </w:rPr>
        <w:t>the</w:t>
      </w:r>
      <w:r>
        <w:rPr>
          <w:spacing w:val="-2"/>
          <w:sz w:val="24"/>
        </w:rPr>
        <w:t> </w:t>
      </w:r>
      <w:r>
        <w:rPr>
          <w:sz w:val="24"/>
        </w:rPr>
        <w:t>third consecutive quarter in 2004 Q4, with weakness in net trade and private consumption growth. Export growth had apparently been affected by slowing in the global IT industry. Rising machinery orders in 2004 Q4, however, might signal an investment-led return to positive growth in 2005. </w:t>
      </w:r>
      <w:r>
        <w:rPr>
          <w:spacing w:val="-3"/>
          <w:sz w:val="24"/>
        </w:rPr>
        <w:t>There </w:t>
      </w:r>
      <w:r>
        <w:rPr>
          <w:sz w:val="24"/>
        </w:rPr>
        <w:t>had </w:t>
      </w:r>
      <w:r>
        <w:rPr>
          <w:spacing w:val="-3"/>
          <w:sz w:val="24"/>
        </w:rPr>
        <w:t>not </w:t>
      </w:r>
      <w:r>
        <w:rPr>
          <w:sz w:val="24"/>
        </w:rPr>
        <w:t>been much news about growth in the rest of Asia, which seemed to </w:t>
      </w:r>
      <w:r>
        <w:rPr>
          <w:spacing w:val="-3"/>
          <w:sz w:val="24"/>
        </w:rPr>
        <w:t>have </w:t>
      </w:r>
      <w:r>
        <w:rPr>
          <w:sz w:val="24"/>
        </w:rPr>
        <w:t>remained</w:t>
      </w:r>
      <w:r>
        <w:rPr>
          <w:spacing w:val="-2"/>
          <w:sz w:val="24"/>
        </w:rPr>
        <w:t> </w:t>
      </w:r>
      <w:r>
        <w:rPr>
          <w:spacing w:val="-3"/>
          <w:sz w:val="24"/>
        </w:rPr>
        <w:t>buoyant.</w:t>
      </w:r>
    </w:p>
    <w:p>
      <w:pPr>
        <w:pStyle w:val="BodyText"/>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1" w:after="0"/>
        <w:ind w:left="247" w:right="138" w:firstLine="0"/>
        <w:jc w:val="left"/>
        <w:rPr>
          <w:sz w:val="24"/>
        </w:rPr>
      </w:pPr>
      <w:r>
        <w:rPr>
          <w:spacing w:val="-3"/>
          <w:sz w:val="24"/>
        </w:rPr>
        <w:t>Growth </w:t>
      </w:r>
      <w:r>
        <w:rPr>
          <w:sz w:val="24"/>
        </w:rPr>
        <w:t>in the monetary aggregates </w:t>
      </w:r>
      <w:r>
        <w:rPr>
          <w:spacing w:val="-3"/>
          <w:sz w:val="24"/>
        </w:rPr>
        <w:t>had </w:t>
      </w:r>
      <w:r>
        <w:rPr>
          <w:sz w:val="24"/>
        </w:rPr>
        <w:t>remained rapid in January, although the rates had been decreasing a little in </w:t>
      </w:r>
      <w:r>
        <w:rPr>
          <w:spacing w:val="-3"/>
          <w:sz w:val="24"/>
        </w:rPr>
        <w:t>recent </w:t>
      </w:r>
      <w:r>
        <w:rPr>
          <w:sz w:val="24"/>
        </w:rPr>
        <w:t>months. Secured lending growth had also eased but unsecured lending growth remained stable and strong. It was possible that a fall in the relative cost of unsecured compared with secured debt had encouraged some switching between the </w:t>
      </w:r>
      <w:r>
        <w:rPr>
          <w:spacing w:val="-4"/>
          <w:sz w:val="24"/>
        </w:rPr>
        <w:t>two, </w:t>
      </w:r>
      <w:r>
        <w:rPr>
          <w:sz w:val="24"/>
        </w:rPr>
        <w:t>including by property owners – for example, some lenders were prepared to take account of collateral in assessing creditworthiness without actually taking security over it. Nonetheless, continuing rapid unsecured debt growth was likely to increase the vulnerability of some consumers to future</w:t>
      </w:r>
      <w:r>
        <w:rPr>
          <w:spacing w:val="-19"/>
          <w:sz w:val="24"/>
        </w:rPr>
        <w:t> </w:t>
      </w:r>
      <w:r>
        <w:rPr>
          <w:sz w:val="24"/>
        </w:rPr>
        <w:t>shocks.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30" w:firstLine="0"/>
        <w:jc w:val="left"/>
        <w:rPr>
          <w:sz w:val="24"/>
        </w:rPr>
      </w:pPr>
      <w:r>
        <w:rPr>
          <w:sz w:val="24"/>
        </w:rPr>
        <w:t>The ONS estimate of growth in UK GDP in 2004 Q4 had been unrevised at 0.7%, which was in line with the Committee’s expectations at the time of the February </w:t>
      </w:r>
      <w:r>
        <w:rPr>
          <w:i/>
          <w:sz w:val="24"/>
        </w:rPr>
        <w:t>Inflation Report</w:t>
      </w:r>
      <w:r>
        <w:rPr>
          <w:sz w:val="24"/>
        </w:rPr>
        <w:t>. Services </w:t>
      </w:r>
      <w:r>
        <w:rPr>
          <w:spacing w:val="-2"/>
          <w:sz w:val="24"/>
        </w:rPr>
        <w:t>output </w:t>
      </w:r>
      <w:r>
        <w:rPr>
          <w:spacing w:val="-3"/>
          <w:sz w:val="24"/>
        </w:rPr>
        <w:t>growth </w:t>
      </w:r>
      <w:r>
        <w:rPr>
          <w:sz w:val="24"/>
        </w:rPr>
        <w:t>had </w:t>
      </w:r>
      <w:r>
        <w:rPr>
          <w:spacing w:val="-3"/>
          <w:sz w:val="24"/>
        </w:rPr>
        <w:t>been </w:t>
      </w:r>
      <w:r>
        <w:rPr>
          <w:sz w:val="24"/>
        </w:rPr>
        <w:t>revised downwards but had remained strong. Estimated manufacturing output</w:t>
      </w:r>
      <w:r>
        <w:rPr>
          <w:spacing w:val="3"/>
          <w:sz w:val="24"/>
        </w:rPr>
        <w:t> </w:t>
      </w:r>
      <w:r>
        <w:rPr>
          <w:spacing w:val="-4"/>
          <w:sz w:val="24"/>
        </w:rPr>
        <w:t>growth</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2" w:lineRule="auto" w:before="90"/>
        <w:ind w:left="247" w:right="175"/>
      </w:pPr>
      <w:r>
        <w:rPr/>
        <w:t>had been revised upwards for 2004 Q3 and Q4 and was subsequently raised again in the January Index of Production release. This had brought the ONS estimates closer to the Committee’s assessment of the likely pace of manufacturing output growth in the second half of 2004, though recent business surveys had suggested still stronger growth.</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86" w:firstLine="0"/>
        <w:jc w:val="left"/>
        <w:rPr>
          <w:sz w:val="24"/>
        </w:rPr>
      </w:pPr>
      <w:r>
        <w:rPr>
          <w:sz w:val="24"/>
        </w:rPr>
        <w:t>Estimated growth in private consumption had dipped to 0.4% in 2004 Q4, but this had been expected following the weak retail sales data and other indicators of household spending. Investment had been stronger than in the previous quarter. Over 2004 as a whole, there had been some rebalancing of growth in private sector demand from consumption to investment, with annual </w:t>
      </w:r>
      <w:r>
        <w:rPr>
          <w:spacing w:val="-2"/>
          <w:sz w:val="24"/>
        </w:rPr>
        <w:t>growth </w:t>
      </w:r>
      <w:r>
        <w:rPr>
          <w:sz w:val="24"/>
        </w:rPr>
        <w:t>in investment exceeding consumption for the first time since 1998. Nonetheless, the recent rate of expansion in business investment continued to look moderate compared with previous periods of investment recovery and given the low cost of finance and ample corporate liquidity. Companies had also been making net returns of cash to</w:t>
      </w:r>
      <w:r>
        <w:rPr>
          <w:spacing w:val="12"/>
          <w:sz w:val="24"/>
        </w:rPr>
        <w:t> </w:t>
      </w:r>
      <w:r>
        <w:rPr>
          <w:sz w:val="24"/>
        </w:rPr>
        <w:t>investors.</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53" w:firstLine="0"/>
        <w:jc w:val="left"/>
        <w:rPr>
          <w:sz w:val="24"/>
        </w:rPr>
      </w:pPr>
      <w:r>
        <w:rPr>
          <w:sz w:val="24"/>
        </w:rPr>
        <w:t>Output appeared to be continuing to expand at around trend in 2005 Q1. The Chartered Institute of Purchasing and Supply (CIPS) services business activity </w:t>
      </w:r>
      <w:r>
        <w:rPr>
          <w:spacing w:val="2"/>
          <w:sz w:val="24"/>
        </w:rPr>
        <w:t>index </w:t>
      </w:r>
      <w:r>
        <w:rPr>
          <w:sz w:val="24"/>
        </w:rPr>
        <w:t>had fallen slightly in February but remained consistent with steady growth. Reports from the Bank’s regional Agents </w:t>
      </w:r>
      <w:r>
        <w:rPr>
          <w:spacing w:val="-3"/>
          <w:sz w:val="24"/>
        </w:rPr>
        <w:t>had </w:t>
      </w:r>
      <w:r>
        <w:rPr>
          <w:sz w:val="24"/>
        </w:rPr>
        <w:t>pointed to robust growth in business services but more modest growth in manufacturing.</w:t>
      </w:r>
      <w:r>
        <w:rPr>
          <w:spacing w:val="-10"/>
          <w:sz w:val="24"/>
        </w:rPr>
        <w:t> </w:t>
      </w:r>
      <w:r>
        <w:rPr>
          <w:sz w:val="24"/>
        </w:rPr>
        <w:t>The ONS had estimated growth in manufacturing output of 0.2% in January but lower energy sector output had left overall industrial production slightly </w:t>
      </w:r>
      <w:r>
        <w:rPr>
          <w:spacing w:val="7"/>
          <w:sz w:val="24"/>
        </w:rPr>
        <w:t>down </w:t>
      </w:r>
      <w:r>
        <w:rPr>
          <w:sz w:val="24"/>
        </w:rPr>
        <w:t>over the </w:t>
      </w:r>
      <w:r>
        <w:rPr>
          <w:spacing w:val="-3"/>
          <w:sz w:val="24"/>
        </w:rPr>
        <w:t>month. </w:t>
      </w:r>
      <w:r>
        <w:rPr>
          <w:sz w:val="24"/>
        </w:rPr>
        <w:t>Despite falling in January, export volumes had </w:t>
      </w:r>
      <w:r>
        <w:rPr>
          <w:spacing w:val="-3"/>
          <w:sz w:val="24"/>
        </w:rPr>
        <w:t>been </w:t>
      </w:r>
      <w:r>
        <w:rPr>
          <w:sz w:val="24"/>
        </w:rPr>
        <w:t>growing at just over 2% on a three-month-on-three-month basis. A survey by the Bank’s Agents had suggested that UK companies expected exports to grow more rapidly over the next six </w:t>
      </w:r>
      <w:r>
        <w:rPr>
          <w:spacing w:val="-2"/>
          <w:sz w:val="24"/>
        </w:rPr>
        <w:t>months </w:t>
      </w:r>
      <w:r>
        <w:rPr>
          <w:sz w:val="24"/>
        </w:rPr>
        <w:t>than the previous six months, particularly to the United States and euro</w:t>
      </w:r>
      <w:r>
        <w:rPr>
          <w:spacing w:val="23"/>
          <w:sz w:val="24"/>
        </w:rPr>
        <w:t> </w:t>
      </w:r>
      <w:r>
        <w:rPr>
          <w:sz w:val="24"/>
        </w:rPr>
        <w:t>area.</w:t>
      </w:r>
    </w:p>
    <w:p>
      <w:pPr>
        <w:pStyle w:val="BodyText"/>
        <w:rPr>
          <w:sz w:val="36"/>
        </w:rPr>
      </w:pPr>
    </w:p>
    <w:p>
      <w:pPr>
        <w:pStyle w:val="ListParagraph"/>
        <w:numPr>
          <w:ilvl w:val="0"/>
          <w:numId w:val="1"/>
        </w:numPr>
        <w:tabs>
          <w:tab w:pos="811" w:val="left" w:leader="none"/>
          <w:tab w:pos="812" w:val="left" w:leader="none"/>
        </w:tabs>
        <w:spacing w:line="360" w:lineRule="auto" w:before="1" w:after="0"/>
        <w:ind w:left="248" w:right="154" w:firstLine="0"/>
        <w:jc w:val="left"/>
        <w:rPr>
          <w:sz w:val="24"/>
        </w:rPr>
      </w:pPr>
      <w:r>
        <w:rPr>
          <w:sz w:val="24"/>
        </w:rPr>
        <w:t>It remained hard to gauge the momentum in consumption growth, with only a limited amount of new evidence coming to light since the Committee’s February meeting. Retail sales had risen </w:t>
      </w:r>
      <w:r>
        <w:rPr>
          <w:spacing w:val="-4"/>
          <w:sz w:val="24"/>
        </w:rPr>
        <w:t>in </w:t>
      </w:r>
      <w:r>
        <w:rPr>
          <w:sz w:val="24"/>
        </w:rPr>
        <w:t>January following the fall in December. But the rebound had been modest and sales in the three months to the end of January were unchanged </w:t>
      </w:r>
      <w:r>
        <w:rPr>
          <w:spacing w:val="6"/>
          <w:sz w:val="24"/>
        </w:rPr>
        <w:t>on </w:t>
      </w:r>
      <w:r>
        <w:rPr>
          <w:sz w:val="24"/>
        </w:rPr>
        <w:t>the previous three months. The February British Retail Consortium </w:t>
      </w:r>
      <w:r>
        <w:rPr>
          <w:i/>
          <w:sz w:val="24"/>
        </w:rPr>
        <w:t>Retail Sales Monitor </w:t>
      </w:r>
      <w:r>
        <w:rPr>
          <w:spacing w:val="-3"/>
          <w:sz w:val="24"/>
        </w:rPr>
        <w:t>and </w:t>
      </w:r>
      <w:r>
        <w:rPr>
          <w:i/>
          <w:sz w:val="24"/>
        </w:rPr>
        <w:t>CBI Distributive Trades Survey </w:t>
      </w:r>
      <w:r>
        <w:rPr>
          <w:sz w:val="24"/>
        </w:rPr>
        <w:t>were consistent with moderate retail sales growth in February. </w:t>
      </w:r>
      <w:r>
        <w:rPr>
          <w:spacing w:val="3"/>
          <w:sz w:val="24"/>
        </w:rPr>
        <w:t>The </w:t>
      </w:r>
      <w:r>
        <w:rPr>
          <w:sz w:val="24"/>
        </w:rPr>
        <w:t>Bank’s Agents had, however, reported some further slowing, with contacts expecting retail sales values to be broadly flat. Total car registrations had </w:t>
      </w:r>
      <w:r>
        <w:rPr>
          <w:spacing w:val="-2"/>
          <w:sz w:val="24"/>
        </w:rPr>
        <w:t>fallen </w:t>
      </w:r>
      <w:r>
        <w:rPr>
          <w:sz w:val="24"/>
        </w:rPr>
        <w:t>further in February and private registrations </w:t>
      </w:r>
      <w:r>
        <w:rPr>
          <w:spacing w:val="-3"/>
          <w:sz w:val="24"/>
        </w:rPr>
        <w:t>had </w:t>
      </w:r>
      <w:r>
        <w:rPr>
          <w:sz w:val="24"/>
        </w:rPr>
        <w:t>remained particularly weak. A large proportion of new car registrations annually occurred in March and some manufacturers were reportedly</w:t>
      </w:r>
      <w:r>
        <w:rPr>
          <w:spacing w:val="-34"/>
          <w:sz w:val="24"/>
        </w:rPr>
        <w:t> </w:t>
      </w:r>
      <w:r>
        <w:rPr>
          <w:sz w:val="24"/>
        </w:rPr>
        <w:t>discounting</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247" w:right="35"/>
      </w:pPr>
      <w:r>
        <w:rPr/>
        <w:t>in an attempt to boost sales. Overall consumer spending had grown more rapidly than retail sales in 2004 Q4 and the Bank’s Agents had reported that non-retail consumer spending growth – in hotels and restaurants, for example – had remained firm.</w:t>
      </w:r>
    </w:p>
    <w:p>
      <w:pPr>
        <w:pStyle w:val="BodyText"/>
        <w:rPr>
          <w:sz w:val="36"/>
        </w:rPr>
      </w:pPr>
    </w:p>
    <w:p>
      <w:pPr>
        <w:pStyle w:val="ListParagraph"/>
        <w:numPr>
          <w:ilvl w:val="0"/>
          <w:numId w:val="1"/>
        </w:numPr>
        <w:tabs>
          <w:tab w:pos="931" w:val="left" w:leader="none"/>
          <w:tab w:pos="932" w:val="left" w:leader="none"/>
        </w:tabs>
        <w:spacing w:line="360" w:lineRule="auto" w:before="0" w:after="0"/>
        <w:ind w:left="247" w:right="214" w:firstLine="0"/>
        <w:jc w:val="left"/>
        <w:rPr>
          <w:sz w:val="24"/>
        </w:rPr>
      </w:pPr>
      <w:r>
        <w:rPr>
          <w:sz w:val="24"/>
        </w:rPr>
        <w:t>The slowdown in consumer spending growth might prove temporary. For example, retail sales in February might have been affected by the cold weather. Household spending should be underpinned by recent steady growth in earnings </w:t>
      </w:r>
      <w:r>
        <w:rPr>
          <w:spacing w:val="-3"/>
          <w:sz w:val="24"/>
        </w:rPr>
        <w:t>and </w:t>
      </w:r>
      <w:r>
        <w:rPr>
          <w:sz w:val="24"/>
        </w:rPr>
        <w:t>rising employment and equity prices. </w:t>
      </w:r>
      <w:r>
        <w:rPr>
          <w:spacing w:val="-5"/>
          <w:sz w:val="24"/>
        </w:rPr>
        <w:t>Some </w:t>
      </w:r>
      <w:r>
        <w:rPr>
          <w:sz w:val="24"/>
        </w:rPr>
        <w:t>pickup in consumption growth in the first quarter still seemed </w:t>
      </w:r>
      <w:r>
        <w:rPr>
          <w:spacing w:val="-3"/>
          <w:sz w:val="24"/>
        </w:rPr>
        <w:t>likely. </w:t>
      </w:r>
      <w:r>
        <w:rPr>
          <w:sz w:val="24"/>
        </w:rPr>
        <w:t>A more persistent slowdown in consumption growth would be likely to imply a rise in the household saving rate. Possible explanations</w:t>
      </w:r>
      <w:r>
        <w:rPr>
          <w:spacing w:val="-6"/>
          <w:sz w:val="24"/>
        </w:rPr>
        <w:t> </w:t>
      </w:r>
      <w:r>
        <w:rPr>
          <w:sz w:val="24"/>
        </w:rPr>
        <w:t>for</w:t>
      </w:r>
      <w:r>
        <w:rPr>
          <w:spacing w:val="-5"/>
          <w:sz w:val="24"/>
        </w:rPr>
        <w:t> </w:t>
      </w:r>
      <w:r>
        <w:rPr>
          <w:sz w:val="24"/>
        </w:rPr>
        <w:t>higher</w:t>
      </w:r>
      <w:r>
        <w:rPr>
          <w:spacing w:val="-5"/>
          <w:sz w:val="24"/>
        </w:rPr>
        <w:t> </w:t>
      </w:r>
      <w:r>
        <w:rPr>
          <w:sz w:val="24"/>
        </w:rPr>
        <w:t>saving</w:t>
      </w:r>
      <w:r>
        <w:rPr>
          <w:spacing w:val="-6"/>
          <w:sz w:val="24"/>
        </w:rPr>
        <w:t> </w:t>
      </w:r>
      <w:r>
        <w:rPr>
          <w:sz w:val="24"/>
        </w:rPr>
        <w:t>included</w:t>
      </w:r>
      <w:r>
        <w:rPr>
          <w:spacing w:val="-5"/>
          <w:sz w:val="24"/>
        </w:rPr>
        <w:t> </w:t>
      </w:r>
      <w:r>
        <w:rPr>
          <w:sz w:val="24"/>
        </w:rPr>
        <w:t>a</w:t>
      </w:r>
      <w:r>
        <w:rPr>
          <w:spacing w:val="-5"/>
          <w:sz w:val="24"/>
        </w:rPr>
        <w:t> </w:t>
      </w:r>
      <w:r>
        <w:rPr>
          <w:sz w:val="24"/>
        </w:rPr>
        <w:t>greater-than-expected</w:t>
      </w:r>
      <w:r>
        <w:rPr>
          <w:spacing w:val="-11"/>
          <w:sz w:val="24"/>
        </w:rPr>
        <w:t> </w:t>
      </w:r>
      <w:r>
        <w:rPr>
          <w:sz w:val="24"/>
        </w:rPr>
        <w:t>effect</w:t>
      </w:r>
      <w:r>
        <w:rPr>
          <w:spacing w:val="-11"/>
          <w:sz w:val="24"/>
        </w:rPr>
        <w:t> </w:t>
      </w:r>
      <w:r>
        <w:rPr>
          <w:sz w:val="24"/>
        </w:rPr>
        <w:t>of slowing</w:t>
      </w:r>
      <w:r>
        <w:rPr>
          <w:spacing w:val="-2"/>
          <w:sz w:val="24"/>
        </w:rPr>
        <w:t> </w:t>
      </w:r>
      <w:r>
        <w:rPr>
          <w:sz w:val="24"/>
        </w:rPr>
        <w:t>house</w:t>
      </w:r>
      <w:r>
        <w:rPr>
          <w:spacing w:val="-1"/>
          <w:sz w:val="24"/>
        </w:rPr>
        <w:t> </w:t>
      </w:r>
      <w:r>
        <w:rPr>
          <w:sz w:val="24"/>
        </w:rPr>
        <w:t>price</w:t>
      </w:r>
      <w:r>
        <w:rPr>
          <w:spacing w:val="-14"/>
          <w:sz w:val="24"/>
        </w:rPr>
        <w:t> </w:t>
      </w:r>
      <w:r>
        <w:rPr>
          <w:sz w:val="24"/>
        </w:rPr>
        <w:t>inflation on consumer spending, a concern about the adequacy of savings for retirement or a response to higher official interest rates, which might have had a bigger impact than expected on highly indebted households in particular. But there was little clear evidence to support any of these hypotheses at this </w:t>
      </w:r>
      <w:r>
        <w:rPr>
          <w:spacing w:val="-3"/>
          <w:sz w:val="24"/>
        </w:rPr>
        <w:t>stage.</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395" w:firstLine="0"/>
        <w:jc w:val="left"/>
        <w:rPr>
          <w:sz w:val="24"/>
        </w:rPr>
      </w:pPr>
      <w:r>
        <w:rPr>
          <w:sz w:val="24"/>
        </w:rPr>
        <w:t>There was some evidence that the housing market was stabilising. An average of the lenders’ indices was unchanged in February and house prices appeared to have remained more or less flat </w:t>
      </w:r>
      <w:r>
        <w:rPr>
          <w:spacing w:val="-2"/>
          <w:sz w:val="24"/>
        </w:rPr>
        <w:t>for </w:t>
      </w:r>
      <w:r>
        <w:rPr>
          <w:sz w:val="24"/>
        </w:rPr>
        <w:t>the past few months. Indicators of activity in the housing market were mixed. On </w:t>
      </w:r>
      <w:r>
        <w:rPr>
          <w:spacing w:val="-3"/>
          <w:sz w:val="24"/>
        </w:rPr>
        <w:t>the one </w:t>
      </w:r>
      <w:r>
        <w:rPr>
          <w:sz w:val="24"/>
        </w:rPr>
        <w:t>hand, </w:t>
      </w:r>
      <w:r>
        <w:rPr>
          <w:spacing w:val="-2"/>
          <w:sz w:val="24"/>
        </w:rPr>
        <w:t>the </w:t>
      </w:r>
      <w:r>
        <w:rPr>
          <w:sz w:val="24"/>
        </w:rPr>
        <w:t>Royal Institution of Chartered Surveyors survey had shown that new buyer enquiries had stopped declining. On the other hand, the ratio of estate agents’ sales to stocks </w:t>
      </w:r>
      <w:r>
        <w:rPr>
          <w:spacing w:val="-6"/>
          <w:sz w:val="24"/>
        </w:rPr>
        <w:t>and </w:t>
      </w:r>
      <w:r>
        <w:rPr>
          <w:sz w:val="24"/>
        </w:rPr>
        <w:t>mortgage loan approvals </w:t>
      </w:r>
      <w:r>
        <w:rPr>
          <w:spacing w:val="-3"/>
          <w:sz w:val="24"/>
        </w:rPr>
        <w:t>had </w:t>
      </w:r>
      <w:r>
        <w:rPr>
          <w:sz w:val="24"/>
        </w:rPr>
        <w:t>both</w:t>
      </w:r>
      <w:r>
        <w:rPr>
          <w:spacing w:val="8"/>
          <w:sz w:val="24"/>
        </w:rPr>
        <w:t> </w:t>
      </w:r>
      <w:r>
        <w:rPr>
          <w:sz w:val="24"/>
        </w:rPr>
        <w:t>fallen.</w:t>
      </w:r>
    </w:p>
    <w:p>
      <w:pPr>
        <w:pStyle w:val="BodyText"/>
        <w:spacing w:before="6"/>
        <w:rPr>
          <w:sz w:val="35"/>
        </w:rPr>
      </w:pPr>
    </w:p>
    <w:p>
      <w:pPr>
        <w:pStyle w:val="Heading2"/>
      </w:pPr>
      <w:r>
        <w:rPr/>
        <w:t>The labour market, costs and prices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55" w:firstLine="0"/>
        <w:jc w:val="left"/>
        <w:rPr>
          <w:sz w:val="24"/>
        </w:rPr>
      </w:pPr>
      <w:r>
        <w:rPr>
          <w:sz w:val="24"/>
        </w:rPr>
        <w:t>Employment had risen by 90,000 in 2004 Q4 on the Labour Force Survey (LFS) measure, slightly faster than the growth in the adult population, leading to a small rise in the employment rate. Average weekly hours worked had also risen. But the various surveys had provided a mixed picture </w:t>
      </w:r>
      <w:r>
        <w:rPr>
          <w:spacing w:val="-4"/>
          <w:sz w:val="24"/>
        </w:rPr>
        <w:t>of </w:t>
      </w:r>
      <w:r>
        <w:rPr>
          <w:sz w:val="24"/>
        </w:rPr>
        <w:t>the demand for labour. The overall balance </w:t>
      </w:r>
      <w:r>
        <w:rPr>
          <w:spacing w:val="3"/>
          <w:sz w:val="24"/>
        </w:rPr>
        <w:t>for </w:t>
      </w:r>
      <w:r>
        <w:rPr>
          <w:sz w:val="24"/>
        </w:rPr>
        <w:t>employment in the CIPS survey had fallen to just below</w:t>
      </w:r>
      <w:r>
        <w:rPr>
          <w:spacing w:val="-5"/>
          <w:sz w:val="24"/>
        </w:rPr>
        <w:t> </w:t>
      </w:r>
      <w:r>
        <w:rPr>
          <w:sz w:val="24"/>
        </w:rPr>
        <w:t>the</w:t>
      </w:r>
      <w:r>
        <w:rPr>
          <w:spacing w:val="-5"/>
          <w:sz w:val="24"/>
        </w:rPr>
        <w:t> </w:t>
      </w:r>
      <w:r>
        <w:rPr>
          <w:sz w:val="24"/>
        </w:rPr>
        <w:t>50</w:t>
      </w:r>
      <w:r>
        <w:rPr>
          <w:spacing w:val="-4"/>
          <w:sz w:val="24"/>
        </w:rPr>
        <w:t> </w:t>
      </w:r>
      <w:r>
        <w:rPr>
          <w:sz w:val="24"/>
        </w:rPr>
        <w:t>‘no</w:t>
      </w:r>
      <w:r>
        <w:rPr>
          <w:spacing w:val="-5"/>
          <w:sz w:val="24"/>
        </w:rPr>
        <w:t> </w:t>
      </w:r>
      <w:r>
        <w:rPr>
          <w:sz w:val="24"/>
        </w:rPr>
        <w:t>change’</w:t>
      </w:r>
      <w:r>
        <w:rPr>
          <w:spacing w:val="-5"/>
          <w:sz w:val="24"/>
        </w:rPr>
        <w:t> </w:t>
      </w:r>
      <w:r>
        <w:rPr>
          <w:sz w:val="24"/>
        </w:rPr>
        <w:t>level</w:t>
      </w:r>
      <w:r>
        <w:rPr>
          <w:spacing w:val="-4"/>
          <w:sz w:val="24"/>
        </w:rPr>
        <w:t> </w:t>
      </w:r>
      <w:r>
        <w:rPr>
          <w:sz w:val="24"/>
        </w:rPr>
        <w:t>in</w:t>
      </w:r>
      <w:r>
        <w:rPr>
          <w:spacing w:val="-5"/>
          <w:sz w:val="24"/>
        </w:rPr>
        <w:t> </w:t>
      </w:r>
      <w:r>
        <w:rPr>
          <w:sz w:val="24"/>
        </w:rPr>
        <w:t>February</w:t>
      </w:r>
      <w:r>
        <w:rPr>
          <w:spacing w:val="-4"/>
          <w:sz w:val="24"/>
        </w:rPr>
        <w:t> </w:t>
      </w:r>
      <w:r>
        <w:rPr>
          <w:sz w:val="24"/>
        </w:rPr>
        <w:t>but</w:t>
      </w:r>
      <w:r>
        <w:rPr>
          <w:spacing w:val="-5"/>
          <w:sz w:val="24"/>
        </w:rPr>
        <w:t> </w:t>
      </w:r>
      <w:r>
        <w:rPr>
          <w:sz w:val="24"/>
        </w:rPr>
        <w:t>the</w:t>
      </w:r>
      <w:r>
        <w:rPr>
          <w:spacing w:val="5"/>
          <w:sz w:val="24"/>
        </w:rPr>
        <w:t> </w:t>
      </w:r>
      <w:r>
        <w:rPr>
          <w:spacing w:val="2"/>
          <w:sz w:val="24"/>
        </w:rPr>
        <w:t>earlier</w:t>
      </w:r>
      <w:r>
        <w:rPr>
          <w:spacing w:val="-1"/>
          <w:sz w:val="24"/>
        </w:rPr>
        <w:t> </w:t>
      </w:r>
      <w:r>
        <w:rPr>
          <w:sz w:val="24"/>
        </w:rPr>
        <w:t>British</w:t>
      </w:r>
      <w:r>
        <w:rPr>
          <w:spacing w:val="-7"/>
          <w:sz w:val="24"/>
        </w:rPr>
        <w:t> </w:t>
      </w:r>
      <w:r>
        <w:rPr>
          <w:sz w:val="24"/>
        </w:rPr>
        <w:t>Chambers</w:t>
      </w:r>
      <w:r>
        <w:rPr>
          <w:spacing w:val="-6"/>
          <w:sz w:val="24"/>
        </w:rPr>
        <w:t> </w:t>
      </w:r>
      <w:r>
        <w:rPr>
          <w:sz w:val="24"/>
        </w:rPr>
        <w:t>of</w:t>
      </w:r>
      <w:r>
        <w:rPr>
          <w:spacing w:val="-7"/>
          <w:sz w:val="24"/>
        </w:rPr>
        <w:t> </w:t>
      </w:r>
      <w:r>
        <w:rPr>
          <w:sz w:val="24"/>
        </w:rPr>
        <w:t>Commerce</w:t>
      </w:r>
      <w:r>
        <w:rPr>
          <w:spacing w:val="-6"/>
          <w:sz w:val="24"/>
        </w:rPr>
        <w:t> </w:t>
      </w:r>
      <w:r>
        <w:rPr>
          <w:sz w:val="24"/>
        </w:rPr>
        <w:t>measures</w:t>
      </w:r>
      <w:r>
        <w:rPr>
          <w:spacing w:val="-6"/>
          <w:sz w:val="24"/>
        </w:rPr>
        <w:t> </w:t>
      </w:r>
      <w:r>
        <w:rPr>
          <w:sz w:val="24"/>
        </w:rPr>
        <w:t>of employment intentions in services and, to a lesser degree, manufacturing had remained strong. The Bank’s Agents had reported subdued but stable private sector employment growth, mainly in business services.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7" w:right="226" w:firstLine="0"/>
        <w:jc w:val="left"/>
        <w:rPr>
          <w:sz w:val="24"/>
        </w:rPr>
      </w:pPr>
      <w:r>
        <w:rPr>
          <w:sz w:val="24"/>
        </w:rPr>
        <w:t>There was little news on pay. The Bank </w:t>
      </w:r>
      <w:r>
        <w:rPr>
          <w:spacing w:val="2"/>
          <w:sz w:val="24"/>
        </w:rPr>
        <w:t>had </w:t>
      </w:r>
      <w:r>
        <w:rPr>
          <w:sz w:val="24"/>
        </w:rPr>
        <w:t>received information on only around 15% of </w:t>
      </w:r>
      <w:r>
        <w:rPr>
          <w:spacing w:val="-2"/>
          <w:sz w:val="24"/>
        </w:rPr>
        <w:t>the </w:t>
      </w:r>
      <w:r>
        <w:rPr>
          <w:sz w:val="24"/>
        </w:rPr>
        <w:t>January wage settlements about which it would expect to receive reports. Based on this small sample, there was no evidence </w:t>
      </w:r>
      <w:r>
        <w:rPr>
          <w:spacing w:val="-4"/>
          <w:sz w:val="24"/>
        </w:rPr>
        <w:t>yet </w:t>
      </w:r>
      <w:r>
        <w:rPr>
          <w:sz w:val="24"/>
        </w:rPr>
        <w:t>of an increase in settlements, but it was too soon to draw firm conclusions. Regular pay and overall average earnings growth had picked up in the three months to December compared with the same period a year earlier, but were flat compared with the previous three months. Bonuses had made a negative contribution. But regular pay drift had continued upwards, which was consistent with reports by the Bank’s Agents, particularly in business</w:t>
      </w:r>
      <w:r>
        <w:rPr>
          <w:spacing w:val="-6"/>
          <w:sz w:val="24"/>
        </w:rPr>
        <w:t> </w:t>
      </w:r>
      <w:r>
        <w:rPr>
          <w:sz w:val="24"/>
        </w:rPr>
        <w:t>services.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67" w:firstLine="0"/>
        <w:jc w:val="left"/>
        <w:rPr>
          <w:sz w:val="24"/>
        </w:rPr>
      </w:pPr>
      <w:r>
        <w:rPr>
          <w:sz w:val="24"/>
        </w:rPr>
        <w:t>CPI inflation had been unchanged at 1.6% in January. Evidence about pricing pressures along the supply chain was mixed. Manufacturers’ </w:t>
      </w:r>
      <w:r>
        <w:rPr>
          <w:spacing w:val="-3"/>
          <w:sz w:val="24"/>
        </w:rPr>
        <w:t>annual </w:t>
      </w:r>
      <w:r>
        <w:rPr>
          <w:sz w:val="24"/>
        </w:rPr>
        <w:t>input price inflation had risen to nearly 10% in January, mainly because of higher oil and other fuel prices, </w:t>
      </w:r>
      <w:r>
        <w:rPr>
          <w:spacing w:val="-4"/>
          <w:sz w:val="24"/>
        </w:rPr>
        <w:t>but the </w:t>
      </w:r>
      <w:r>
        <w:rPr>
          <w:sz w:val="24"/>
        </w:rPr>
        <w:t>CIPS survey had suggested it eased in February. Many of the contacts of the Bank’s Agents had suggested that </w:t>
      </w:r>
      <w:r>
        <w:rPr>
          <w:spacing w:val="-4"/>
          <w:sz w:val="24"/>
        </w:rPr>
        <w:t>they </w:t>
      </w:r>
      <w:r>
        <w:rPr>
          <w:sz w:val="24"/>
        </w:rPr>
        <w:t>were currently able to pass </w:t>
      </w:r>
      <w:r>
        <w:rPr>
          <w:spacing w:val="-3"/>
          <w:sz w:val="24"/>
        </w:rPr>
        <w:t>these </w:t>
      </w:r>
      <w:r>
        <w:rPr>
          <w:sz w:val="24"/>
        </w:rPr>
        <w:t>increases in costs to their customers. </w:t>
      </w:r>
      <w:r>
        <w:rPr>
          <w:spacing w:val="-3"/>
          <w:sz w:val="24"/>
        </w:rPr>
        <w:t>But </w:t>
      </w:r>
      <w:r>
        <w:rPr>
          <w:sz w:val="24"/>
        </w:rPr>
        <w:t>manufacturers’ </w:t>
      </w:r>
      <w:r>
        <w:rPr>
          <w:spacing w:val="-3"/>
          <w:sz w:val="24"/>
        </w:rPr>
        <w:t>annual </w:t>
      </w:r>
      <w:r>
        <w:rPr>
          <w:sz w:val="24"/>
        </w:rPr>
        <w:t>output price inflation, excluding oil, </w:t>
      </w:r>
      <w:r>
        <w:rPr>
          <w:spacing w:val="-4"/>
          <w:sz w:val="24"/>
        </w:rPr>
        <w:t>had </w:t>
      </w:r>
      <w:r>
        <w:rPr>
          <w:sz w:val="24"/>
        </w:rPr>
        <w:t>stabilised at around 2% over the past few months and the CIPS survey pointed to some </w:t>
      </w:r>
      <w:r>
        <w:rPr>
          <w:spacing w:val="-3"/>
          <w:sz w:val="24"/>
        </w:rPr>
        <w:t>easing. </w:t>
      </w:r>
      <w:r>
        <w:rPr>
          <w:sz w:val="24"/>
        </w:rPr>
        <w:t>Manufacturers’ domestic margins appeared to have been widening in the past couple of years, mainly reflecting falling unit labour costs. Measures of capacity utilisation remained </w:t>
      </w:r>
      <w:r>
        <w:rPr>
          <w:spacing w:val="-4"/>
          <w:sz w:val="24"/>
        </w:rPr>
        <w:t>high, </w:t>
      </w:r>
      <w:r>
        <w:rPr>
          <w:sz w:val="24"/>
        </w:rPr>
        <w:t>but had fallen slightly in the business surveys and according to the Bank’s Agents. The prices of</w:t>
      </w:r>
      <w:r>
        <w:rPr>
          <w:spacing w:val="-38"/>
          <w:sz w:val="24"/>
        </w:rPr>
        <w:t> </w:t>
      </w:r>
      <w:r>
        <w:rPr>
          <w:sz w:val="24"/>
        </w:rPr>
        <w:t>imported goods, excluding oil and erratics, had risen again in January following the fall in December. These data were not </w:t>
      </w:r>
      <w:r>
        <w:rPr>
          <w:spacing w:val="-3"/>
          <w:sz w:val="24"/>
        </w:rPr>
        <w:t>seasonally </w:t>
      </w:r>
      <w:r>
        <w:rPr>
          <w:sz w:val="24"/>
        </w:rPr>
        <w:t>adjusted and were volatile </w:t>
      </w:r>
      <w:r>
        <w:rPr>
          <w:spacing w:val="-3"/>
          <w:sz w:val="24"/>
        </w:rPr>
        <w:t>from month </w:t>
      </w:r>
      <w:r>
        <w:rPr>
          <w:sz w:val="24"/>
        </w:rPr>
        <w:t>to </w:t>
      </w:r>
      <w:r>
        <w:rPr>
          <w:spacing w:val="-3"/>
          <w:sz w:val="24"/>
        </w:rPr>
        <w:t>month </w:t>
      </w:r>
      <w:r>
        <w:rPr>
          <w:sz w:val="24"/>
        </w:rPr>
        <w:t>but the </w:t>
      </w:r>
      <w:r>
        <w:rPr>
          <w:spacing w:val="-3"/>
          <w:sz w:val="24"/>
        </w:rPr>
        <w:t>underlying </w:t>
      </w:r>
      <w:r>
        <w:rPr>
          <w:sz w:val="24"/>
        </w:rPr>
        <w:t>picture was that import prices had risen over the past three quarters, whereas they had been falling for most of the period from mid-2001 until the beginning of</w:t>
      </w:r>
      <w:r>
        <w:rPr>
          <w:spacing w:val="11"/>
          <w:sz w:val="24"/>
        </w:rPr>
        <w:t> </w:t>
      </w:r>
      <w:r>
        <w:rPr>
          <w:sz w:val="24"/>
        </w:rPr>
        <w:t>2004.</w:t>
      </w:r>
    </w:p>
    <w:p>
      <w:pPr>
        <w:pStyle w:val="BodyText"/>
        <w:rPr>
          <w:sz w:val="36"/>
        </w:rPr>
      </w:pPr>
    </w:p>
    <w:p>
      <w:pPr>
        <w:pStyle w:val="ListParagraph"/>
        <w:numPr>
          <w:ilvl w:val="0"/>
          <w:numId w:val="1"/>
        </w:numPr>
        <w:tabs>
          <w:tab w:pos="811" w:val="left" w:leader="none"/>
          <w:tab w:pos="812" w:val="left" w:leader="none"/>
        </w:tabs>
        <w:spacing w:line="362" w:lineRule="auto" w:before="1" w:after="0"/>
        <w:ind w:left="248" w:right="311" w:firstLine="0"/>
        <w:jc w:val="left"/>
        <w:rPr>
          <w:sz w:val="24"/>
        </w:rPr>
      </w:pPr>
      <w:r>
        <w:rPr>
          <w:sz w:val="24"/>
        </w:rPr>
        <w:t>It was striking </w:t>
      </w:r>
      <w:r>
        <w:rPr>
          <w:spacing w:val="-6"/>
          <w:sz w:val="24"/>
        </w:rPr>
        <w:t>that </w:t>
      </w:r>
      <w:r>
        <w:rPr>
          <w:sz w:val="24"/>
        </w:rPr>
        <w:t>producer price inflation had risen elsewhere too but so far without any significant pass-through into consumer price </w:t>
      </w:r>
      <w:r>
        <w:rPr>
          <w:spacing w:val="-3"/>
          <w:sz w:val="24"/>
        </w:rPr>
        <w:t>inflation. </w:t>
      </w:r>
      <w:r>
        <w:rPr>
          <w:sz w:val="24"/>
        </w:rPr>
        <w:t>In the United States and the United </w:t>
      </w:r>
      <w:r>
        <w:rPr>
          <w:spacing w:val="-4"/>
          <w:sz w:val="24"/>
        </w:rPr>
        <w:t>Kingdom, </w:t>
      </w:r>
      <w:r>
        <w:rPr>
          <w:sz w:val="24"/>
        </w:rPr>
        <w:t>the ratio of consumer price inflation to producer price inflation (excluding </w:t>
      </w:r>
      <w:r>
        <w:rPr>
          <w:spacing w:val="-6"/>
          <w:sz w:val="24"/>
        </w:rPr>
        <w:t>food </w:t>
      </w:r>
      <w:r>
        <w:rPr>
          <w:sz w:val="24"/>
        </w:rPr>
        <w:t>and fuel) </w:t>
      </w:r>
      <w:r>
        <w:rPr>
          <w:spacing w:val="-3"/>
          <w:sz w:val="24"/>
        </w:rPr>
        <w:t>had </w:t>
      </w:r>
      <w:r>
        <w:rPr>
          <w:sz w:val="24"/>
        </w:rPr>
        <w:t>been falling since the </w:t>
      </w:r>
      <w:r>
        <w:rPr>
          <w:spacing w:val="-3"/>
          <w:sz w:val="24"/>
        </w:rPr>
        <w:t>late </w:t>
      </w:r>
      <w:r>
        <w:rPr>
          <w:sz w:val="24"/>
        </w:rPr>
        <w:t>1990s, although this did not appear to </w:t>
      </w:r>
      <w:r>
        <w:rPr>
          <w:spacing w:val="-3"/>
          <w:sz w:val="24"/>
        </w:rPr>
        <w:t>have </w:t>
      </w:r>
      <w:r>
        <w:rPr>
          <w:spacing w:val="3"/>
          <w:sz w:val="24"/>
        </w:rPr>
        <w:t>been </w:t>
      </w:r>
      <w:r>
        <w:rPr>
          <w:sz w:val="24"/>
        </w:rPr>
        <w:t>the case in the euro</w:t>
      </w:r>
      <w:r>
        <w:rPr>
          <w:spacing w:val="-14"/>
          <w:sz w:val="24"/>
        </w:rPr>
        <w:t> </w:t>
      </w:r>
      <w:r>
        <w:rPr>
          <w:sz w:val="24"/>
        </w:rPr>
        <w:t>area.</w:t>
      </w:r>
    </w:p>
    <w:p>
      <w:pPr>
        <w:pStyle w:val="BodyText"/>
        <w:spacing w:before="6"/>
        <w:rPr>
          <w:sz w:val="35"/>
        </w:rPr>
      </w:pPr>
    </w:p>
    <w:p>
      <w:pPr>
        <w:pStyle w:val="Heading2"/>
        <w:ind w:left="248"/>
      </w:pPr>
      <w:r>
        <w:rPr/>
        <w:t>The immediate policy decision</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8" w:right="181" w:firstLine="0"/>
        <w:jc w:val="left"/>
        <w:rPr>
          <w:sz w:val="24"/>
        </w:rPr>
      </w:pPr>
      <w:r>
        <w:rPr>
          <w:sz w:val="24"/>
        </w:rPr>
        <w:t>There had not been a lot of news over the month. In the United Kingdom, GDP seemed likely to continue to grow at broadly its trend rate, in line with the February </w:t>
      </w:r>
      <w:r>
        <w:rPr>
          <w:i/>
          <w:sz w:val="24"/>
        </w:rPr>
        <w:t>Inflation Report </w:t>
      </w:r>
      <w:r>
        <w:rPr>
          <w:sz w:val="24"/>
        </w:rPr>
        <w:t>projections. </w:t>
      </w:r>
      <w:r>
        <w:rPr>
          <w:spacing w:val="-4"/>
          <w:sz w:val="24"/>
        </w:rPr>
        <w:t>But </w:t>
      </w:r>
      <w:r>
        <w:rPr>
          <w:sz w:val="24"/>
        </w:rPr>
        <w:t>the </w:t>
      </w:r>
      <w:r>
        <w:rPr>
          <w:spacing w:val="-3"/>
          <w:sz w:val="24"/>
        </w:rPr>
        <w:t>news </w:t>
      </w:r>
      <w:r>
        <w:rPr>
          <w:sz w:val="24"/>
        </w:rPr>
        <w:t>on UK-weighted world demand had been slightly on the downside, with the rise in oil</w:t>
      </w:r>
      <w:r>
        <w:rPr>
          <w:spacing w:val="-36"/>
          <w:sz w:val="24"/>
        </w:rPr>
        <w:t> </w:t>
      </w:r>
      <w:r>
        <w:rPr>
          <w:sz w:val="24"/>
        </w:rPr>
        <w:t>prices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and signs of weaker euro-area growth. And higher sterling market interest rates would tend to reduce activity and lower inflation.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53" w:firstLine="0"/>
        <w:jc w:val="left"/>
        <w:rPr>
          <w:sz w:val="24"/>
        </w:rPr>
      </w:pPr>
      <w:r>
        <w:rPr>
          <w:sz w:val="24"/>
        </w:rPr>
        <w:t>For most members, the position had changed little since the Committee’s February </w:t>
      </w:r>
      <w:r>
        <w:rPr>
          <w:spacing w:val="-3"/>
          <w:sz w:val="24"/>
        </w:rPr>
        <w:t>meeting. </w:t>
      </w:r>
      <w:r>
        <w:rPr>
          <w:sz w:val="24"/>
        </w:rPr>
        <w:t>The two key risks discussed at the February meeting had neither crystallised nor clearly diminished. Members continued to differ in the weights that they attached to each and in the amount of additional evidence that they would need to justify a rise in interest rates. The first key risk was to household spending in the near term. The pickup in January retail sales and signs that the housing market was stabilising perhaps meant that a sharp decline in household spending was less likely. But the available evidence suggested continuing uncertainty about the momentum in consumption growth. If consumer confidence was fragile, a rise in interest rates could dent it further. The second key risk had concerned how rapidly consumer prices would respond to demand and cost pressures. There was still little evidence of inflationary pressures in the supply chain passing through into wages or consumer prices. Recent subdued pay and price outturns might suggest either that there was not a great deal of excess demand in the economy or that the increased availability of immigrant workers and other changes in the labour market might have dampened the </w:t>
      </w:r>
      <w:r>
        <w:rPr>
          <w:spacing w:val="-5"/>
          <w:sz w:val="24"/>
        </w:rPr>
        <w:t>upward </w:t>
      </w:r>
      <w:r>
        <w:rPr>
          <w:sz w:val="24"/>
        </w:rPr>
        <w:t>pressure on earnings from excess demand. More evidence on the current wage round would help to shed further light on those</w:t>
      </w:r>
      <w:r>
        <w:rPr>
          <w:spacing w:val="-2"/>
          <w:sz w:val="24"/>
        </w:rPr>
        <w:t> </w:t>
      </w:r>
      <w:r>
        <w:rPr>
          <w:sz w:val="24"/>
        </w:rPr>
        <w:t>questions.</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15" w:firstLine="0"/>
        <w:jc w:val="left"/>
        <w:rPr>
          <w:sz w:val="24"/>
        </w:rPr>
      </w:pPr>
      <w:r>
        <w:rPr>
          <w:sz w:val="24"/>
        </w:rPr>
        <w:t>For these members, the balance of risks to the inflation forecast remained sufficiently to the downside in the </w:t>
      </w:r>
      <w:r>
        <w:rPr>
          <w:spacing w:val="-3"/>
          <w:sz w:val="24"/>
        </w:rPr>
        <w:t>near term </w:t>
      </w:r>
      <w:r>
        <w:rPr>
          <w:sz w:val="24"/>
        </w:rPr>
        <w:t>to justify maintaining the Bank’s repo rate at its current level. </w:t>
      </w:r>
      <w:r>
        <w:rPr>
          <w:spacing w:val="-3"/>
          <w:sz w:val="24"/>
        </w:rPr>
        <w:t>With </w:t>
      </w:r>
      <w:r>
        <w:rPr>
          <w:sz w:val="24"/>
        </w:rPr>
        <w:t>inflation</w:t>
      </w:r>
      <w:r>
        <w:rPr>
          <w:spacing w:val="-5"/>
          <w:sz w:val="24"/>
        </w:rPr>
        <w:t> </w:t>
      </w:r>
      <w:r>
        <w:rPr>
          <w:sz w:val="24"/>
        </w:rPr>
        <w:t>expectations</w:t>
      </w:r>
      <w:r>
        <w:rPr>
          <w:spacing w:val="-4"/>
          <w:sz w:val="24"/>
        </w:rPr>
        <w:t> </w:t>
      </w:r>
      <w:r>
        <w:rPr>
          <w:sz w:val="24"/>
        </w:rPr>
        <w:t>remaining</w:t>
      </w:r>
      <w:r>
        <w:rPr>
          <w:spacing w:val="-4"/>
          <w:sz w:val="24"/>
        </w:rPr>
        <w:t> </w:t>
      </w:r>
      <w:r>
        <w:rPr>
          <w:sz w:val="24"/>
        </w:rPr>
        <w:t>well</w:t>
      </w:r>
      <w:r>
        <w:rPr>
          <w:spacing w:val="-5"/>
          <w:sz w:val="24"/>
        </w:rPr>
        <w:t> </w:t>
      </w:r>
      <w:r>
        <w:rPr>
          <w:sz w:val="24"/>
        </w:rPr>
        <w:t>anchored,</w:t>
      </w:r>
      <w:r>
        <w:rPr>
          <w:spacing w:val="-4"/>
          <w:sz w:val="24"/>
        </w:rPr>
        <w:t> </w:t>
      </w:r>
      <w:r>
        <w:rPr>
          <w:sz w:val="24"/>
        </w:rPr>
        <w:t>the</w:t>
      </w:r>
      <w:r>
        <w:rPr>
          <w:spacing w:val="-4"/>
          <w:sz w:val="24"/>
        </w:rPr>
        <w:t> </w:t>
      </w:r>
      <w:r>
        <w:rPr>
          <w:sz w:val="24"/>
        </w:rPr>
        <w:t>Committee</w:t>
      </w:r>
      <w:r>
        <w:rPr>
          <w:spacing w:val="-5"/>
          <w:sz w:val="24"/>
        </w:rPr>
        <w:t> </w:t>
      </w:r>
      <w:r>
        <w:rPr>
          <w:sz w:val="24"/>
        </w:rPr>
        <w:t>could</w:t>
      </w:r>
      <w:r>
        <w:rPr>
          <w:spacing w:val="-4"/>
          <w:sz w:val="24"/>
        </w:rPr>
        <w:t> </w:t>
      </w:r>
      <w:r>
        <w:rPr>
          <w:sz w:val="24"/>
        </w:rPr>
        <w:t>afford</w:t>
      </w:r>
      <w:r>
        <w:rPr>
          <w:spacing w:val="-4"/>
          <w:sz w:val="24"/>
        </w:rPr>
        <w:t> </w:t>
      </w:r>
      <w:r>
        <w:rPr>
          <w:sz w:val="24"/>
        </w:rPr>
        <w:t>to</w:t>
      </w:r>
      <w:r>
        <w:rPr>
          <w:spacing w:val="-5"/>
          <w:sz w:val="24"/>
        </w:rPr>
        <w:t> </w:t>
      </w:r>
      <w:r>
        <w:rPr>
          <w:sz w:val="24"/>
        </w:rPr>
        <w:t>wait</w:t>
      </w:r>
      <w:r>
        <w:rPr>
          <w:spacing w:val="-4"/>
          <w:sz w:val="24"/>
        </w:rPr>
        <w:t> </w:t>
      </w:r>
      <w:r>
        <w:rPr>
          <w:sz w:val="24"/>
        </w:rPr>
        <w:t>for</w:t>
      </w:r>
      <w:r>
        <w:rPr>
          <w:spacing w:val="-4"/>
          <w:sz w:val="24"/>
        </w:rPr>
        <w:t> </w:t>
      </w:r>
      <w:r>
        <w:rPr>
          <w:sz w:val="24"/>
        </w:rPr>
        <w:t>more</w:t>
      </w:r>
      <w:r>
        <w:rPr>
          <w:spacing w:val="-5"/>
          <w:sz w:val="24"/>
        </w:rPr>
        <w:t> </w:t>
      </w:r>
      <w:r>
        <w:rPr>
          <w:sz w:val="24"/>
        </w:rPr>
        <w:t>evidence to become available, though some members continued to think that a rise in interest rates might be warranted in due course if the economy evolved in line with the February </w:t>
      </w:r>
      <w:r>
        <w:rPr>
          <w:i/>
          <w:sz w:val="24"/>
        </w:rPr>
        <w:t>Inflation Report </w:t>
      </w:r>
      <w:r>
        <w:rPr>
          <w:sz w:val="24"/>
        </w:rPr>
        <w:t>central projection.</w:t>
      </w:r>
    </w:p>
    <w:p>
      <w:pPr>
        <w:pStyle w:val="BodyText"/>
        <w:spacing w:before="6"/>
        <w:rPr>
          <w:sz w:val="36"/>
        </w:rPr>
      </w:pPr>
    </w:p>
    <w:p>
      <w:pPr>
        <w:pStyle w:val="ListParagraph"/>
        <w:numPr>
          <w:ilvl w:val="0"/>
          <w:numId w:val="1"/>
        </w:numPr>
        <w:tabs>
          <w:tab w:pos="811" w:val="left" w:leader="none"/>
          <w:tab w:pos="812" w:val="left" w:leader="none"/>
        </w:tabs>
        <w:spacing w:line="360" w:lineRule="auto" w:before="1" w:after="0"/>
        <w:ind w:left="248" w:right="189" w:firstLine="0"/>
        <w:jc w:val="left"/>
        <w:rPr>
          <w:sz w:val="24"/>
        </w:rPr>
      </w:pPr>
      <w:r>
        <w:rPr>
          <w:sz w:val="24"/>
        </w:rPr>
        <w:t>For </w:t>
      </w:r>
      <w:r>
        <w:rPr>
          <w:spacing w:val="-3"/>
          <w:sz w:val="24"/>
        </w:rPr>
        <w:t>some </w:t>
      </w:r>
      <w:r>
        <w:rPr>
          <w:sz w:val="24"/>
        </w:rPr>
        <w:t>members, a rise of 25 basis points in the Bank’s repo rate was warranted now. It was likely that there was already a degree of excess demand in the economy, which was apparent </w:t>
      </w:r>
      <w:r>
        <w:rPr>
          <w:spacing w:val="-4"/>
          <w:sz w:val="24"/>
        </w:rPr>
        <w:t>in </w:t>
      </w:r>
      <w:r>
        <w:rPr>
          <w:sz w:val="24"/>
        </w:rPr>
        <w:t>indicators of capacity utilisation, producers’ pricing power and output price inflation. Although </w:t>
      </w:r>
      <w:r>
        <w:rPr>
          <w:spacing w:val="-4"/>
          <w:sz w:val="24"/>
        </w:rPr>
        <w:t>there </w:t>
      </w:r>
      <w:r>
        <w:rPr>
          <w:sz w:val="24"/>
        </w:rPr>
        <w:t>were doubts about the near-term strength of consumer spending, indicators of output growth remained robust. </w:t>
      </w:r>
      <w:r>
        <w:rPr>
          <w:spacing w:val="-3"/>
          <w:sz w:val="24"/>
        </w:rPr>
        <w:t>With </w:t>
      </w:r>
      <w:r>
        <w:rPr>
          <w:sz w:val="24"/>
        </w:rPr>
        <w:t>the prospect of import prices no longer falling, the pressure of excess demand on domestic</w:t>
      </w:r>
      <w:r>
        <w:rPr>
          <w:spacing w:val="-6"/>
          <w:sz w:val="24"/>
        </w:rPr>
        <w:t> </w:t>
      </w:r>
      <w:r>
        <w:rPr>
          <w:sz w:val="24"/>
        </w:rPr>
        <w:t>supply</w:t>
      </w:r>
      <w:r>
        <w:rPr>
          <w:spacing w:val="-6"/>
          <w:sz w:val="24"/>
        </w:rPr>
        <w:t> </w:t>
      </w:r>
      <w:r>
        <w:rPr>
          <w:sz w:val="24"/>
        </w:rPr>
        <w:t>would</w:t>
      </w:r>
      <w:r>
        <w:rPr>
          <w:spacing w:val="5"/>
          <w:sz w:val="24"/>
        </w:rPr>
        <w:t> </w:t>
      </w:r>
      <w:r>
        <w:rPr>
          <w:sz w:val="24"/>
        </w:rPr>
        <w:t>most</w:t>
      </w:r>
      <w:r>
        <w:rPr>
          <w:spacing w:val="-12"/>
          <w:sz w:val="24"/>
        </w:rPr>
        <w:t> </w:t>
      </w:r>
      <w:r>
        <w:rPr>
          <w:sz w:val="24"/>
        </w:rPr>
        <w:t>likely</w:t>
      </w:r>
      <w:r>
        <w:rPr>
          <w:spacing w:val="9"/>
          <w:sz w:val="24"/>
        </w:rPr>
        <w:t> </w:t>
      </w:r>
      <w:r>
        <w:rPr>
          <w:sz w:val="24"/>
        </w:rPr>
        <w:t>feed</w:t>
      </w:r>
      <w:r>
        <w:rPr>
          <w:spacing w:val="-4"/>
          <w:sz w:val="24"/>
        </w:rPr>
        <w:t> </w:t>
      </w:r>
      <w:r>
        <w:rPr>
          <w:sz w:val="24"/>
        </w:rPr>
        <w:t>through</w:t>
      </w:r>
      <w:r>
        <w:rPr>
          <w:spacing w:val="-4"/>
          <w:sz w:val="24"/>
        </w:rPr>
        <w:t> </w:t>
      </w:r>
      <w:r>
        <w:rPr>
          <w:sz w:val="24"/>
        </w:rPr>
        <w:t>into</w:t>
      </w:r>
      <w:r>
        <w:rPr>
          <w:spacing w:val="-4"/>
          <w:sz w:val="24"/>
        </w:rPr>
        <w:t> </w:t>
      </w:r>
      <w:r>
        <w:rPr>
          <w:sz w:val="24"/>
        </w:rPr>
        <w:t>higher</w:t>
      </w:r>
      <w:r>
        <w:rPr>
          <w:spacing w:val="-4"/>
          <w:sz w:val="24"/>
        </w:rPr>
        <w:t> </w:t>
      </w:r>
      <w:r>
        <w:rPr>
          <w:sz w:val="24"/>
        </w:rPr>
        <w:t>CPI</w:t>
      </w:r>
      <w:r>
        <w:rPr>
          <w:spacing w:val="-4"/>
          <w:sz w:val="24"/>
        </w:rPr>
        <w:t> </w:t>
      </w:r>
      <w:r>
        <w:rPr>
          <w:sz w:val="24"/>
        </w:rPr>
        <w:t>inflation,</w:t>
      </w:r>
      <w:r>
        <w:rPr>
          <w:spacing w:val="-4"/>
          <w:sz w:val="24"/>
        </w:rPr>
        <w:t> </w:t>
      </w:r>
      <w:r>
        <w:rPr>
          <w:sz w:val="24"/>
        </w:rPr>
        <w:t>even</w:t>
      </w:r>
      <w:r>
        <w:rPr>
          <w:spacing w:val="-4"/>
          <w:sz w:val="24"/>
        </w:rPr>
        <w:t> </w:t>
      </w:r>
      <w:r>
        <w:rPr>
          <w:sz w:val="24"/>
        </w:rPr>
        <w:t>if</w:t>
      </w:r>
      <w:r>
        <w:rPr>
          <w:spacing w:val="-4"/>
          <w:sz w:val="24"/>
        </w:rPr>
        <w:t> </w:t>
      </w:r>
      <w:r>
        <w:rPr>
          <w:sz w:val="24"/>
        </w:rPr>
        <w:t>improvements</w:t>
      </w:r>
      <w:r>
        <w:rPr>
          <w:spacing w:val="-4"/>
          <w:sz w:val="24"/>
        </w:rPr>
        <w:t> </w:t>
      </w:r>
      <w:r>
        <w:rPr>
          <w:sz w:val="24"/>
        </w:rPr>
        <w:t>in</w:t>
      </w:r>
      <w:r>
        <w:rPr>
          <w:spacing w:val="-4"/>
          <w:sz w:val="24"/>
        </w:rPr>
        <w:t> </w:t>
      </w:r>
      <w:r>
        <w:rPr>
          <w:sz w:val="24"/>
        </w:rPr>
        <w:t>the functioning of </w:t>
      </w:r>
      <w:r>
        <w:rPr>
          <w:spacing w:val="-4"/>
          <w:sz w:val="24"/>
        </w:rPr>
        <w:t>the </w:t>
      </w:r>
      <w:r>
        <w:rPr>
          <w:sz w:val="24"/>
        </w:rPr>
        <w:t>labour market had lowered the rate of unemployment at which these pressures would be </w:t>
      </w:r>
      <w:r>
        <w:rPr>
          <w:spacing w:val="-3"/>
          <w:sz w:val="24"/>
        </w:rPr>
        <w:t>felt. </w:t>
      </w:r>
      <w:r>
        <w:rPr>
          <w:sz w:val="24"/>
        </w:rPr>
        <w:t>Sterling market interest rates had risen over the </w:t>
      </w:r>
      <w:r>
        <w:rPr>
          <w:spacing w:val="-3"/>
          <w:sz w:val="24"/>
        </w:rPr>
        <w:t>month, </w:t>
      </w:r>
      <w:r>
        <w:rPr>
          <w:sz w:val="24"/>
        </w:rPr>
        <w:t>tightening credit</w:t>
      </w:r>
      <w:r>
        <w:rPr>
          <w:spacing w:val="7"/>
          <w:sz w:val="24"/>
        </w:rPr>
        <w:t> </w:t>
      </w:r>
      <w:r>
        <w:rPr>
          <w:sz w:val="24"/>
        </w:rPr>
        <w:t>conditions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247"/>
      </w:pPr>
      <w:r>
        <w:rPr/>
        <w:t>somewhat, but the Committee could not rely on that continuing unless it validated these revised expectations. A modest rise in interest rates now would help to pre-empt inflationary pressures and an increase in interest rates this month would not be a major surprise.</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45" w:firstLine="0"/>
        <w:jc w:val="left"/>
        <w:rPr>
          <w:sz w:val="24"/>
        </w:rPr>
      </w:pPr>
      <w:r>
        <w:rPr>
          <w:sz w:val="24"/>
        </w:rPr>
        <w:t>The Governor invited members to vote on the proposition that the repo rate should be</w:t>
      </w:r>
      <w:r>
        <w:rPr>
          <w:spacing w:val="-32"/>
          <w:sz w:val="24"/>
        </w:rPr>
        <w:t> </w:t>
      </w:r>
      <w:r>
        <w:rPr>
          <w:sz w:val="24"/>
        </w:rPr>
        <w:t>maintained at 4.75%. Seven members (the Governor, Rachel Lo max, Kate Barker, Charles Bean, Marian Bell, Richard Lambert and Stephen Nickell) voted in favour. Two members (Andrew Large</w:t>
      </w:r>
      <w:r>
        <w:rPr>
          <w:spacing w:val="-11"/>
          <w:sz w:val="24"/>
        </w:rPr>
        <w:t> </w:t>
      </w:r>
      <w:r>
        <w:rPr>
          <w:sz w:val="24"/>
        </w:rPr>
        <w:t>and</w:t>
      </w:r>
    </w:p>
    <w:p>
      <w:pPr>
        <w:pStyle w:val="BodyText"/>
        <w:spacing w:before="6"/>
        <w:ind w:left="247"/>
      </w:pPr>
      <w:r>
        <w:rPr/>
        <w:t>Paul Tucker) voted against, preferring a rise in the repo rate of 25 basis points.</w:t>
      </w:r>
    </w:p>
    <w:p>
      <w:pPr>
        <w:pStyle w:val="BodyText"/>
        <w:spacing w:before="1"/>
        <w:rPr>
          <w:sz w:val="23"/>
        </w:rPr>
      </w:pPr>
    </w:p>
    <w:p>
      <w:pPr>
        <w:pStyle w:val="ListParagraph"/>
        <w:numPr>
          <w:ilvl w:val="0"/>
          <w:numId w:val="1"/>
        </w:numPr>
        <w:tabs>
          <w:tab w:pos="811" w:val="left" w:leader="none"/>
          <w:tab w:pos="812" w:val="left" w:leader="none"/>
        </w:tabs>
        <w:spacing w:line="550" w:lineRule="atLeast" w:before="1" w:after="0"/>
        <w:ind w:left="247" w:right="4090" w:firstLine="0"/>
        <w:jc w:val="left"/>
        <w:rPr>
          <w:sz w:val="24"/>
        </w:rPr>
      </w:pPr>
      <w:r>
        <w:rPr>
          <w:sz w:val="24"/>
        </w:rPr>
        <w:t>The</w:t>
      </w:r>
      <w:r>
        <w:rPr>
          <w:spacing w:val="-7"/>
          <w:sz w:val="24"/>
        </w:rPr>
        <w:t> </w:t>
      </w:r>
      <w:r>
        <w:rPr>
          <w:sz w:val="24"/>
        </w:rPr>
        <w:t>following</w:t>
      </w:r>
      <w:r>
        <w:rPr>
          <w:spacing w:val="-6"/>
          <w:sz w:val="24"/>
        </w:rPr>
        <w:t> </w:t>
      </w:r>
      <w:r>
        <w:rPr>
          <w:sz w:val="24"/>
        </w:rPr>
        <w:t>members</w:t>
      </w:r>
      <w:r>
        <w:rPr>
          <w:spacing w:val="-6"/>
          <w:sz w:val="24"/>
        </w:rPr>
        <w:t> </w:t>
      </w:r>
      <w:r>
        <w:rPr>
          <w:sz w:val="24"/>
        </w:rPr>
        <w:t>of</w:t>
      </w:r>
      <w:r>
        <w:rPr>
          <w:spacing w:val="-6"/>
          <w:sz w:val="24"/>
        </w:rPr>
        <w:t> </w:t>
      </w:r>
      <w:r>
        <w:rPr>
          <w:sz w:val="24"/>
        </w:rPr>
        <w:t>the</w:t>
      </w:r>
      <w:r>
        <w:rPr>
          <w:spacing w:val="-6"/>
          <w:sz w:val="24"/>
        </w:rPr>
        <w:t> </w:t>
      </w:r>
      <w:r>
        <w:rPr>
          <w:sz w:val="24"/>
        </w:rPr>
        <w:t>Committee</w:t>
      </w:r>
      <w:r>
        <w:rPr>
          <w:spacing w:val="-6"/>
          <w:sz w:val="24"/>
        </w:rPr>
        <w:t> </w:t>
      </w:r>
      <w:r>
        <w:rPr>
          <w:sz w:val="24"/>
        </w:rPr>
        <w:t>were</w:t>
      </w:r>
      <w:r>
        <w:rPr>
          <w:spacing w:val="-11"/>
          <w:sz w:val="24"/>
        </w:rPr>
        <w:t> </w:t>
      </w:r>
      <w:r>
        <w:rPr>
          <w:sz w:val="24"/>
        </w:rPr>
        <w:t>present: Mervyn King,</w:t>
      </w:r>
      <w:r>
        <w:rPr>
          <w:spacing w:val="18"/>
          <w:sz w:val="24"/>
        </w:rPr>
        <w:t> </w:t>
      </w:r>
      <w:r>
        <w:rPr>
          <w:sz w:val="24"/>
        </w:rPr>
        <w:t>Governor</w:t>
      </w:r>
    </w:p>
    <w:p>
      <w:pPr>
        <w:pStyle w:val="BodyText"/>
        <w:spacing w:before="2"/>
        <w:ind w:left="247" w:right="3580"/>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247" w:right="8380"/>
      </w:pPr>
      <w:r>
        <w:rPr/>
        <w:t>Charles Bean Marian Bell Richard Lambert Stephen Nickell Paul</w:t>
      </w:r>
      <w:r>
        <w:rPr>
          <w:spacing w:val="-2"/>
        </w:rPr>
        <w:t> </w:t>
      </w:r>
      <w:r>
        <w:rPr/>
        <w:t>Tucker</w:t>
      </w:r>
    </w:p>
    <w:p>
      <w:pPr>
        <w:pStyle w:val="BodyText"/>
      </w:pPr>
    </w:p>
    <w:p>
      <w:pPr>
        <w:pStyle w:val="BodyText"/>
        <w:ind w:left="247"/>
      </w:pPr>
      <w:r>
        <w:rPr/>
        <w:t>Jon Cunliffe was present as the Treasury representative.</w:t>
      </w:r>
    </w:p>
    <w:sectPr>
      <w:pgSz w:w="11900" w:h="16840"/>
      <w:pgMar w:header="1134" w:footer="0" w:top="138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497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244" w:hanging="564"/>
      </w:pPr>
      <w:rPr>
        <w:rFonts w:hint="default"/>
      </w:rPr>
    </w:lvl>
    <w:lvl w:ilvl="2">
      <w:start w:val="0"/>
      <w:numFmt w:val="bullet"/>
      <w:lvlText w:val="•"/>
      <w:lvlJc w:val="left"/>
      <w:pPr>
        <w:ind w:left="2248" w:hanging="564"/>
      </w:pPr>
      <w:rPr>
        <w:rFonts w:hint="default"/>
      </w:rPr>
    </w:lvl>
    <w:lvl w:ilvl="3">
      <w:start w:val="0"/>
      <w:numFmt w:val="bullet"/>
      <w:lvlText w:val="•"/>
      <w:lvlJc w:val="left"/>
      <w:pPr>
        <w:ind w:left="3252" w:hanging="564"/>
      </w:pPr>
      <w:rPr>
        <w:rFonts w:hint="default"/>
      </w:rPr>
    </w:lvl>
    <w:lvl w:ilvl="4">
      <w:start w:val="0"/>
      <w:numFmt w:val="bullet"/>
      <w:lvlText w:val="•"/>
      <w:lvlJc w:val="left"/>
      <w:pPr>
        <w:ind w:left="4256" w:hanging="564"/>
      </w:pPr>
      <w:rPr>
        <w:rFonts w:hint="default"/>
      </w:rPr>
    </w:lvl>
    <w:lvl w:ilvl="5">
      <w:start w:val="0"/>
      <w:numFmt w:val="bullet"/>
      <w:lvlText w:val="•"/>
      <w:lvlJc w:val="left"/>
      <w:pPr>
        <w:ind w:left="5260" w:hanging="564"/>
      </w:pPr>
      <w:rPr>
        <w:rFonts w:hint="default"/>
      </w:rPr>
    </w:lvl>
    <w:lvl w:ilvl="6">
      <w:start w:val="0"/>
      <w:numFmt w:val="bullet"/>
      <w:lvlText w:val="•"/>
      <w:lvlJc w:val="left"/>
      <w:pPr>
        <w:ind w:left="6264" w:hanging="564"/>
      </w:pPr>
      <w:rPr>
        <w:rFonts w:hint="default"/>
      </w:rPr>
    </w:lvl>
    <w:lvl w:ilvl="7">
      <w:start w:val="0"/>
      <w:numFmt w:val="bullet"/>
      <w:lvlText w:val="•"/>
      <w:lvlJc w:val="left"/>
      <w:pPr>
        <w:ind w:left="7268" w:hanging="564"/>
      </w:pPr>
      <w:rPr>
        <w:rFonts w:hint="default"/>
      </w:rPr>
    </w:lvl>
    <w:lvl w:ilvl="8">
      <w:start w:val="0"/>
      <w:numFmt w:val="bullet"/>
      <w:lvlText w:val="•"/>
      <w:lvlJc w:val="left"/>
      <w:pPr>
        <w:ind w:left="827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1"/>
      <w:outlineLvl w:val="1"/>
    </w:pPr>
    <w:rPr>
      <w:rFonts w:ascii="Book Antiqua" w:hAnsi="Book Antiqua" w:eastAsia="Book Antiqua" w:cs="Book Antiqua"/>
      <w:sz w:val="26"/>
      <w:szCs w:val="26"/>
    </w:rPr>
  </w:style>
  <w:style w:styleId="Heading2" w:type="paragraph">
    <w:name w:val="Heading 2"/>
    <w:basedOn w:val="Normal"/>
    <w:uiPriority w:val="1"/>
    <w:qFormat/>
    <w:pPr>
      <w:ind w:left="24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47" w:right="2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full minutes</cp:keywords>
  <dc:subject>held on 9 &amp; 10 March 2005</dc:subject>
  <dc:title>Minutes of the Monetary Policy Committee Meeting </dc:title>
  <dcterms:created xsi:type="dcterms:W3CDTF">2020-06-01T02:18:25Z</dcterms:created>
  <dcterms:modified xsi:type="dcterms:W3CDTF">2020-06-01T02:18:25Z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2005-04-21T00:00:00Z</vt:filetime>
  </property>
  <property fmtid="{D5CDD505-2E9C-101B-9397-08002B2CF9AE}" pid="3" name="Creator">
    <vt:lpwstr>FULL MINUTES - MARCH - Microsoft Word</vt:lpwstr>
  </property>
  <property fmtid="{D5CDD505-2E9C-101B-9397-08002B2CF9AE}" pid="4" name="LastSaved">
    <vt:filetime>2020-06-01T00:00:00Z</vt:filetime>
  </property>
</Properties>
</file>