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24 January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71" w:right="2554" w:firstLine="0"/>
        <w:jc w:val="center"/>
        <w:rPr>
          <w:rFonts w:ascii="Book Antiqua"/>
          <w:b/>
          <w:sz w:val="48"/>
        </w:rPr>
      </w:pPr>
      <w:r>
        <w:rPr>
          <w:rFonts w:ascii="Book Antiqua"/>
          <w:b/>
          <w:sz w:val="48"/>
        </w:rPr>
        <w:t>10 &amp; 11 JANUARY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10 &amp; 11 January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&amp; 8 February will be published on</w:t>
      </w:r>
    </w:p>
    <w:p>
      <w:pPr>
        <w:spacing w:before="1"/>
        <w:ind w:left="119" w:right="0" w:firstLine="0"/>
        <w:jc w:val="left"/>
        <w:rPr>
          <w:rFonts w:ascii="Book Antiqua"/>
          <w:sz w:val="26"/>
        </w:rPr>
      </w:pPr>
      <w:r>
        <w:rPr>
          <w:rFonts w:ascii="Book Antiqua"/>
          <w:sz w:val="26"/>
        </w:rPr>
        <w:t>21 February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spacing w:before="266"/>
        <w:ind w:left="114" w:right="534" w:firstLine="0"/>
        <w:jc w:val="left"/>
        <w:rPr>
          <w:b/>
          <w:sz w:val="28"/>
        </w:rPr>
      </w:pPr>
      <w:bookmarkStart w:name="MINUTES OF THE MONETARY POLICY COMMITTEE" w:id="1"/>
      <w:bookmarkEnd w:id="1"/>
      <w:r>
        <w:rPr/>
      </w:r>
      <w:r>
        <w:rPr>
          <w:b/>
          <w:sz w:val="28"/>
        </w:rPr>
        <w:t>MINUTES OF THE MONETARY POLICY COMMITTEE MEETING HELD ON 10-11 JANUARY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In the United Kingdom, the United States and the euro area, short-term interest rates had risen by around 30 basis points since the Committee’s December meeting and longer-term forward rates had risen by 10-30 basis points. Interest rates had risen steadily over the month and there had been no obvious single explanatory factor. In the United Kingdom, market prices were now consistent with a further increase of 25 basis points in Bank Rate in the next few months and a relatively flat profile thereafter. Expectations for interest rate increases in the euro area had also firmed and expectations of cuts in the United States had diminished</w:t>
      </w:r>
      <w:r>
        <w:rPr>
          <w:spacing w:val="-7"/>
          <w:sz w:val="24"/>
        </w:rPr>
        <w:t> </w:t>
      </w:r>
      <w:r>
        <w:rPr>
          <w:sz w:val="24"/>
        </w:rPr>
        <w:t>somewhat.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Foreign exchange rates were little changed on the month. The sterling effective exchange rate index (ERI) had remained near the top of the range it had occupied for the previous decade. Estimates published by a number of economic commentators were all consistent with a long-run equilibrium exchange rate below the current</w:t>
      </w:r>
      <w:r>
        <w:rPr>
          <w:spacing w:val="-5"/>
          <w:sz w:val="24"/>
        </w:rPr>
        <w:t> </w:t>
      </w:r>
      <w:r>
        <w:rPr>
          <w:sz w:val="24"/>
        </w:rPr>
        <w:t>level.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72" w:firstLine="0"/>
        <w:jc w:val="left"/>
        <w:rPr>
          <w:sz w:val="24"/>
        </w:rPr>
      </w:pPr>
      <w:r>
        <w:rPr>
          <w:sz w:val="24"/>
        </w:rPr>
        <w:t>The major equity market indices in Europe and Japan had risen again on the month, despite rising real interest rates. There had been general buoyancy in asset prices, which some thought partly reflected the expansion in global liquidity and credit. Relatively low interest rates, for example in Japan and Switzerland, might be helping to fund cross-currency investments into higher yielding assets, with investors assuming that low exchange rate volatility would persist, as implied by options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Estimates of the equity risk premium seemed not to have declined in line with the continuing compression of spreads for more risky fixed-income assets. One possible explanation of this could have been the strong income growth and high saving rates in Asian countries which tended to invest in fixed-income securities rather than</w:t>
      </w:r>
      <w:r>
        <w:rPr>
          <w:spacing w:val="-4"/>
          <w:sz w:val="24"/>
        </w:rPr>
        <w:t> </w:t>
      </w:r>
      <w:r>
        <w:rPr>
          <w:sz w:val="24"/>
        </w:rPr>
        <w:t>equities.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9"/>
        <w:rPr>
          <w:sz w:val="16"/>
        </w:rPr>
      </w:pPr>
    </w:p>
    <w:p>
      <w:pPr>
        <w:pStyle w:val="Heading2"/>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news on the world economy during the month pointed to continued growth in the United Kingdom’s major overseas markets. Survey and official data for the euro area in the fourth quarter had been consistent with GDP growth slightly above trend. The apparent weakness in German retail sales growth in 2006 remained a puzzle given the increase in VAT that had been announced for the start of 2007. But stronger employment growth in Germany seemed likely to support household income and hence future consumption</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In the United States, the fall in home sales had shown some signs of leveling off and there was little evidence of a significant spillover from the weak housing market to consumption. Employment growth was particularly robust in the fourth quarter and this would support consumption. The Institute of Supply Management (ISM) manufacturing survey index for December had been consistent with some degree of expansion in output. The ISM non-manufacturing index had eased slightly, but remained high. GDP growth in the fourth quarter seemed likely to be firm. It now seemed more probable that the United States would experience only a modest overall slowdown in growth, concentrated in residential investment and the auto</w:t>
      </w:r>
      <w:r>
        <w:rPr>
          <w:spacing w:val="-7"/>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spot price of oil had fallen by nearly 18% on the month, reflecting unusually mild winter weather in the United States and high stock levels. In the previous week the prices of several metals had fallen. In the euro area, the flash estimate of HICP inflation for December was for an unchanged rate of 1.9%. US CPI inflation had picked up to 2% in November, from 1.3% in October, as the negative effect from lower energy prices diminished. Falling US unemployment might presage greater wage pressures, but the relatively high profit share in the United States suggested that any pickup in pay growth might not feed directly into higher</w:t>
      </w:r>
      <w:r>
        <w:rPr>
          <w:spacing w:val="-10"/>
          <w:sz w:val="24"/>
        </w:rPr>
        <w:t> </w:t>
      </w:r>
      <w:r>
        <w:rPr>
          <w:sz w:val="24"/>
        </w:rPr>
        <w:t>prices.</w:t>
      </w:r>
    </w:p>
    <w:p>
      <w:pPr>
        <w:pStyle w:val="BodyText"/>
        <w:spacing w:before="2"/>
        <w:rPr>
          <w:sz w:val="36"/>
        </w:rPr>
      </w:pPr>
    </w:p>
    <w:p>
      <w:pPr>
        <w:pStyle w:val="Heading2"/>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7" w:firstLine="0"/>
        <w:jc w:val="left"/>
        <w:rPr>
          <w:sz w:val="24"/>
        </w:rPr>
      </w:pPr>
      <w:r>
        <w:rPr>
          <w:sz w:val="24"/>
        </w:rPr>
        <w:t>The level of UK GDP had been revised up by some 0.2%, though the estimated quarterly growth rate in the third quarter had remained at 0.7%. Within the expenditure components, the levels of consumption and whole economy investment had been revised down, while the levels of net trade and business investment were</w:t>
      </w:r>
      <w:r>
        <w:rPr>
          <w:spacing w:val="-4"/>
          <w:sz w:val="24"/>
        </w:rPr>
        <w:t> </w:t>
      </w:r>
      <w:r>
        <w:rPr>
          <w:sz w:val="24"/>
        </w:rPr>
        <w:t>higher.</w:t>
      </w:r>
    </w:p>
    <w:p>
      <w:pPr>
        <w:spacing w:after="0" w:line="360" w:lineRule="auto"/>
        <w:jc w:val="left"/>
        <w:rPr>
          <w:sz w:val="24"/>
        </w:rPr>
        <w:sectPr>
          <w:headerReference w:type="default" r:id="rId7"/>
          <w:pgSz w:w="11910" w:h="16840"/>
          <w:pgMar w:header="1019" w:footer="0" w:top="1600" w:bottom="280" w:left="1020" w:right="740"/>
          <w:pgNumType w:start="2"/>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4" w:right="229" w:firstLine="0"/>
        <w:jc w:val="left"/>
        <w:rPr>
          <w:sz w:val="24"/>
        </w:rPr>
      </w:pPr>
      <w:r>
        <w:rPr>
          <w:sz w:val="24"/>
        </w:rPr>
        <w:t>In December, the CIPS/RBS business activity index for services had recorded a balance of 60.6, its highest level since June 1997. The Bank’s regional Agents had also reported slightly stronger service sector output growth. However, the weighted number of profit warnings from service sector businesses had increased further in the fourth quarter, although it was not clear whether this indicated something about the level of overall activity, or other factors such as unexpected cost</w:t>
      </w:r>
      <w:r>
        <w:rPr>
          <w:spacing w:val="-20"/>
          <w:sz w:val="24"/>
        </w:rPr>
        <w:t> </w:t>
      </w:r>
      <w:r>
        <w:rPr>
          <w:sz w:val="24"/>
        </w:rPr>
        <w:t>increases.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Manufacturing growth in the fourth quarter looked to have been weaker than earlier in the year. Data from the Office for National Statistics (ONS) had recorded a fall in output in October which was largely reversed in November, but the CIPS/RBS survey balance had eased further in December. Taking monthly manufacturing and services data, business surveys and the Agents’ reports together suggested that Q4 GDP growth would be close to its longer-term potential</w:t>
      </w:r>
      <w:r>
        <w:rPr>
          <w:spacing w:val="-9"/>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Expenditure indicators for the fourth quarter indicated reasonably robust growth.  Retail sales had risen by 0.5% in the 3 months to November. And a survey by the Agents had suggested that sales in December had been higher than a year earlier. In the housing market, the average of the lenders’ house price indices was up 3.7% in the fourth quarter and 9.5% in the year to December. The quantity indicators gave more mixed signals: loan approvals were high, but the Royal Institution of Chartered Surveyors’ survey balance for new buyer enquiries had continued to fall. The ratio of house prices to earnings remained well above its long-run average although it remained difficult to know how much of this could be justified by a fundamental shift in demand relative to</w:t>
      </w:r>
      <w:r>
        <w:rPr>
          <w:spacing w:val="-12"/>
          <w:sz w:val="24"/>
        </w:rPr>
        <w:t> </w:t>
      </w:r>
      <w:r>
        <w:rPr>
          <w:sz w:val="24"/>
        </w:rPr>
        <w:t>supply.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2" w:firstLine="0"/>
        <w:jc w:val="left"/>
        <w:rPr>
          <w:sz w:val="24"/>
        </w:rPr>
      </w:pPr>
      <w:r>
        <w:rPr>
          <w:sz w:val="24"/>
        </w:rPr>
        <w:t>The annual growth rate of broad money (M4) had slowed to 13% in November, but overall credit growth (M4 lending) had picked up to 16.5%.  Nominal domestic demand growth had picked up during the course of 2006.</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The latest Labour Force Survey data, for the three months to October, showed the employment rate stable at 60.1%, and the unemployment and participation rates as having ticked down to 5.5% and 63.6% respectively. A measure of weighted non-employment appeared to have stabilised in the past few months. On the supply of labour, there was little indication that the extent of inward migration would diminish in the near term and there probably remained a degree of slack in the labour</w:t>
      </w:r>
      <w:r>
        <w:rPr>
          <w:spacing w:val="-8"/>
          <w:sz w:val="24"/>
        </w:rPr>
        <w:t> </w:t>
      </w:r>
      <w:r>
        <w:rPr>
          <w:sz w:val="24"/>
        </w:rPr>
        <w:t>market.</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3" w:right="311" w:firstLine="0"/>
        <w:jc w:val="left"/>
        <w:rPr>
          <w:sz w:val="24"/>
        </w:rPr>
      </w:pPr>
      <w:r>
        <w:rPr>
          <w:sz w:val="24"/>
        </w:rPr>
        <w:t>Survey measures of capacity utilisation in manufacturing and services, weighted together to produce whole-economy estimates, suggested that the degree of spare capacity within firms had been diminishing. The reports of the Bank’s regional Agents had been consistent with a continued reduction in spare capacity in both manufacturing and services firms in the fourth</w:t>
      </w:r>
      <w:r>
        <w:rPr>
          <w:spacing w:val="-8"/>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There had been little new information on settlements and earnings. Regular pay growth had picked up to 3.8% in the three months to October. In November, settlements had remained unchanged at 3%. A report from Income Data Services (IDS) had recorded that the first few settlements in 2007 had produced a median settlement of 4%, compared with a median of 3% in the fourth quarter of 2006. But these early settlements related to only 10% of the employees normally covered by January agreements and they included the later stages of some multi-year</w:t>
      </w:r>
      <w:r>
        <w:rPr>
          <w:spacing w:val="-4"/>
          <w:sz w:val="24"/>
        </w:rPr>
        <w:t> </w:t>
      </w:r>
      <w:r>
        <w:rPr>
          <w:sz w:val="24"/>
        </w:rPr>
        <w:t>agreements.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annual rate of inflation in manufacturers’ input prices had fallen further in November and output price inflation had been broadly stable. CIPS/RBS survey measures for December had indicated that input price inflation had continued to diminish in both manufacturing and services. But the survey balances for output price inflation in services had picked up a little in December, in contrast to the manufacturing sector, perhaps reflecting the relative growth of</w:t>
      </w:r>
      <w:r>
        <w:rPr>
          <w:spacing w:val="-16"/>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In line with pre-release arrangements, an advance estimate of CPI inflation of 3.0% in December had been provided to the Governor ahead of publication. That compared with 2.7% in</w:t>
      </w:r>
      <w:r>
        <w:rPr>
          <w:spacing w:val="-16"/>
          <w:sz w:val="24"/>
        </w:rPr>
        <w:t> </w:t>
      </w:r>
      <w:r>
        <w:rPr>
          <w:sz w:val="24"/>
        </w:rPr>
        <w:t>November.</w:t>
      </w:r>
    </w:p>
    <w:p>
      <w:pPr>
        <w:pStyle w:val="BodyText"/>
        <w:spacing w:line="360" w:lineRule="auto" w:before="1"/>
        <w:ind w:left="114" w:right="118"/>
      </w:pPr>
      <w:r>
        <w:rPr/>
        <w:t>Part of the rise in the inflation rate could be explained by petrol prices having risen this December while having fallen in December 2005. Analysis of the data had to wait until publication but, since the summer of 2006, the Committee had been projecting a sharp pickup in CPI inflation during the autumn and winter months before falling back towards the target in 2007 as energy and import price inflation moderated. Although that pickup had occurred, it appeared that there had been some news:</w:t>
      </w:r>
    </w:p>
    <w:p>
      <w:pPr>
        <w:pStyle w:val="BodyText"/>
        <w:spacing w:line="360" w:lineRule="auto"/>
        <w:ind w:left="114" w:right="605"/>
      </w:pPr>
      <w:r>
        <w:rPr/>
        <w:t>lower-than-expected contributions, for example, from energy and university tuition fees, had been offset by a broader range of price increases, especially for food.</w:t>
      </w:r>
    </w:p>
    <w:p>
      <w:pPr>
        <w:spacing w:after="0" w:line="360" w:lineRule="auto"/>
        <w:sectPr>
          <w:pgSz w:w="11910" w:h="16840"/>
          <w:pgMar w:header="1019" w:footer="0" w:top="1600" w:bottom="280" w:left="1020" w:right="740"/>
        </w:sectPr>
      </w:pPr>
    </w:p>
    <w:p>
      <w:pPr>
        <w:pStyle w:val="BodyText"/>
        <w:rPr>
          <w:sz w:val="20"/>
        </w:rPr>
      </w:pPr>
    </w:p>
    <w:p>
      <w:pPr>
        <w:pStyle w:val="BodyText"/>
        <w:spacing w:before="9"/>
        <w:rPr>
          <w:sz w:val="16"/>
        </w:rPr>
      </w:pPr>
    </w:p>
    <w:p>
      <w:pPr>
        <w:pStyle w:val="Heading2"/>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96" w:firstLine="0"/>
        <w:jc w:val="left"/>
        <w:rPr>
          <w:sz w:val="24"/>
        </w:rPr>
      </w:pPr>
      <w:r>
        <w:rPr>
          <w:sz w:val="24"/>
        </w:rPr>
        <w:t>The world and domestic economies had evolved largely as the Committee had projected in the August and November </w:t>
      </w:r>
      <w:r>
        <w:rPr>
          <w:i/>
          <w:sz w:val="24"/>
        </w:rPr>
        <w:t>Inflation Reports </w:t>
      </w:r>
      <w:r>
        <w:rPr>
          <w:sz w:val="24"/>
        </w:rPr>
        <w:t>but the recent data had suggested that the balance of risks might have shifted. In particular, the risk of a greater slowdown in the United States, arising from a weakening housing market, had diminished. Overall, the world economy appeared to be robust and the downside risks appeared to have diminished</w:t>
      </w:r>
      <w:r>
        <w:rPr>
          <w:spacing w:val="-7"/>
          <w:sz w:val="24"/>
        </w:rPr>
        <w:t> </w:t>
      </w:r>
      <w:r>
        <w:rPr>
          <w:sz w:val="24"/>
        </w:rPr>
        <w:t>somewhat.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8" w:firstLine="0"/>
        <w:jc w:val="left"/>
        <w:rPr>
          <w:sz w:val="24"/>
        </w:rPr>
      </w:pPr>
      <w:r>
        <w:rPr>
          <w:sz w:val="24"/>
        </w:rPr>
        <w:t>There had been a further significant fall in the spot price of oil, which was probably explained by unusually mild weather and high stock levels. If sustained, the lower oil price would help to contain inflationary pressures in oil-consuming countries, as well as supporting demand growth going</w:t>
      </w:r>
      <w:r>
        <w:rPr>
          <w:spacing w:val="-10"/>
          <w:sz w:val="24"/>
        </w:rPr>
        <w:t> </w:t>
      </w:r>
      <w:r>
        <w:rPr>
          <w:sz w:val="24"/>
        </w:rPr>
        <w:t>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There had been little news about the path of domestic output growth. The level of GDP had been revised up a little and, within that, the level of consumption was estimated to be a little lower and net trade and business investment a little higher.  The Committee placed little weight on the early estimates of the expenditure</w:t>
      </w:r>
      <w:r>
        <w:rPr>
          <w:spacing w:val="-1"/>
          <w:sz w:val="24"/>
        </w:rPr>
        <w:t> </w:t>
      </w:r>
      <w:r>
        <w:rPr>
          <w:sz w:val="24"/>
        </w:rPr>
        <w:t>components.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In aggregate, the data were broadly consistent with the November </w:t>
      </w:r>
      <w:r>
        <w:rPr>
          <w:i/>
          <w:sz w:val="24"/>
        </w:rPr>
        <w:t>Inflation Report </w:t>
      </w:r>
      <w:r>
        <w:rPr>
          <w:sz w:val="24"/>
        </w:rPr>
        <w:t>projections. But the CIPS/RBS business surveys and the Agents’ reports both suggested some upside risks to short- term growth. And the retail sales indicators for the fourth quarter had been robust, perhaps suggesting less downside risk of a further slowing in consumption growth. Broad money and credit growth continued to be very strong and asset prices were buoyant across the</w:t>
      </w:r>
      <w:r>
        <w:rPr>
          <w:spacing w:val="-18"/>
          <w:sz w:val="24"/>
        </w:rPr>
        <w:t> </w:t>
      </w:r>
      <w:r>
        <w:rPr>
          <w:sz w:val="24"/>
        </w:rPr>
        <w:t>board.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The Committee considered whether the high level of asset prices should be a concern for monetary policy. There could be some risk arising from a direct pass through of higher asset prices to household wealth and hence into the demand for goods and services. There could also be some risk of a sharp reversal in asset prices although, to the extent that they were reflecting ongoing fundamental changes in the global economy such as growth in China, it was perhaps unlikely that they would unwind soon. Some members argued that the strength of money, credit and asset prices could influence the nominal side of the economy, for example, by influencing inflation expectations. That strength could be an indicator of incipient inflationary</w:t>
      </w:r>
      <w:r>
        <w:rPr>
          <w:spacing w:val="-4"/>
          <w:sz w:val="24"/>
        </w:rPr>
        <w:t> </w:t>
      </w:r>
      <w:r>
        <w:rPr>
          <w:sz w:val="24"/>
        </w:rPr>
        <w:t>pressures.</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3" w:right="136" w:firstLine="0"/>
        <w:jc w:val="left"/>
        <w:rPr>
          <w:sz w:val="24"/>
        </w:rPr>
      </w:pPr>
      <w:r>
        <w:rPr>
          <w:sz w:val="24"/>
        </w:rPr>
        <w:t>The labour market had developed largely as the Committee had expected. The quantity indicators showed a broadly stable picture and there was little evidence yet of any change in wage settlements or pay growth. The Committee noted the high median pay settlement recorded by IDS, but it was too early to tell what would happen with January settlements overall.  It was likely that there was some continuing slack in the labour market, but the increase in retail price inflation posed an upside risk to pay growth.</w:t>
      </w:r>
    </w:p>
    <w:p>
      <w:pPr>
        <w:pStyle w:val="BodyText"/>
        <w:rPr>
          <w:sz w:val="36"/>
        </w:rPr>
      </w:pPr>
    </w:p>
    <w:p>
      <w:pPr>
        <w:pStyle w:val="ListParagraph"/>
        <w:numPr>
          <w:ilvl w:val="0"/>
          <w:numId w:val="1"/>
        </w:numPr>
        <w:tabs>
          <w:tab w:pos="474" w:val="left" w:leader="none"/>
        </w:tabs>
        <w:spacing w:line="360" w:lineRule="auto" w:before="0" w:after="0"/>
        <w:ind w:left="113" w:right="139" w:firstLine="0"/>
        <w:jc w:val="left"/>
        <w:rPr>
          <w:sz w:val="24"/>
        </w:rPr>
      </w:pPr>
      <w:r>
        <w:rPr>
          <w:sz w:val="24"/>
        </w:rPr>
        <w:t>The available survey evidence on spare capacity within firms had suggested that this had continued to tighten. The Agents had reported an increased readiness of retailers to push through price increases, particularly for foodstuffs. Investment growth had been strengthening, perhaps encouraged by the increased supply of labour as well as by robust demand, but it would take some time for new fixed investment to relieve capacity</w:t>
      </w:r>
      <w:r>
        <w:rPr>
          <w:spacing w:val="-4"/>
          <w:sz w:val="24"/>
        </w:rPr>
        <w:t> </w:t>
      </w:r>
      <w:r>
        <w:rPr>
          <w:sz w:val="24"/>
        </w:rPr>
        <w:t>constraints.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In its August and November </w:t>
      </w:r>
      <w:r>
        <w:rPr>
          <w:i/>
          <w:sz w:val="24"/>
        </w:rPr>
        <w:t>Inflation Reports, </w:t>
      </w:r>
      <w:r>
        <w:rPr>
          <w:sz w:val="24"/>
        </w:rPr>
        <w:t>the Committee had anticipated a short-run spike in CPI inflation, falling back during 2007. While the outturn for CPI inflation had been close to the Committee’s projections during the autumn, some members thought that there seemed to be more underlying inflationary pressure in the short run than previously expected. Looking back over 2006 as a whole, the outturn for GDP growth looked set to be very close to that expected in the February 2006 </w:t>
      </w:r>
      <w:r>
        <w:rPr>
          <w:i/>
          <w:sz w:val="24"/>
        </w:rPr>
        <w:t>Inflation Report, </w:t>
      </w:r>
      <w:r>
        <w:rPr>
          <w:sz w:val="24"/>
        </w:rPr>
        <w:t>but CPI inflation was materially higher than projected at that time. Some of that surprise could be accounted for by the effects of unexpected energy price increases. Another unexpected increase had come from the rise in fuel duty. One possible explanation for the extent of upwards pressure on inflation was that profit margins might have been initially squeezed by higher energy prices in the face of some weakness in demand in 2005. As demand growth had recovered through 2006, firms might have sought to raise profits by increasing</w:t>
      </w:r>
      <w:r>
        <w:rPr>
          <w:spacing w:val="-10"/>
          <w:sz w:val="24"/>
        </w:rPr>
        <w:t> </w:t>
      </w:r>
      <w:r>
        <w:rPr>
          <w:sz w:val="24"/>
        </w:rPr>
        <w:t>prices.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05" w:firstLine="0"/>
        <w:jc w:val="left"/>
        <w:rPr>
          <w:sz w:val="24"/>
        </w:rPr>
      </w:pPr>
      <w:r>
        <w:rPr>
          <w:sz w:val="24"/>
        </w:rPr>
        <w:t>Although the Committee had received advance notification of the December CPI release on the morning of its meeting, it had not had been able to analyse in detail the reasons for the sharp increase in inflation. The central projection in the November </w:t>
      </w:r>
      <w:r>
        <w:rPr>
          <w:i/>
          <w:sz w:val="24"/>
        </w:rPr>
        <w:t>Inflation Report </w:t>
      </w:r>
      <w:r>
        <w:rPr>
          <w:sz w:val="24"/>
        </w:rPr>
        <w:t>had been for CPI inflation to fall back towards the target during 2007, as energy and import price inflation moderated. Some members thought that the balance of risks to this central case had now shifted to the upside. A risk for the medium-term was the possibility of dislodging inflation expectations. With RPI inflation likely to be nearly 4½% in December, the Committee noted that it was important that wage negotiators did not accommodate what should prove to be a temporary spike in</w:t>
      </w:r>
      <w:r>
        <w:rPr>
          <w:spacing w:val="-7"/>
          <w:sz w:val="24"/>
        </w:rPr>
        <w:t> </w:t>
      </w:r>
      <w:r>
        <w:rPr>
          <w:sz w:val="24"/>
        </w:rPr>
        <w:t>inflation.</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ListParagraph"/>
        <w:numPr>
          <w:ilvl w:val="0"/>
          <w:numId w:val="1"/>
        </w:numPr>
        <w:tabs>
          <w:tab w:pos="681" w:val="left" w:leader="none"/>
          <w:tab w:pos="682" w:val="left" w:leader="none"/>
        </w:tabs>
        <w:spacing w:line="360" w:lineRule="auto" w:before="0" w:after="0"/>
        <w:ind w:left="113" w:right="532" w:firstLine="0"/>
        <w:jc w:val="left"/>
        <w:rPr>
          <w:sz w:val="24"/>
        </w:rPr>
      </w:pPr>
      <w:r>
        <w:rPr>
          <w:sz w:val="24"/>
        </w:rPr>
        <w:t>On the policy decision, the Committee noted that an immediate change in Bank Rate would clearly be a surprise to financial markets. Market prices indicated that a rate rise of 25 basis points was expected, but not until February. This probably reflected the fact that the Committee had not changed interest rates other than in an </w:t>
      </w:r>
      <w:r>
        <w:rPr>
          <w:i/>
          <w:sz w:val="24"/>
        </w:rPr>
        <w:t>Inflation Report </w:t>
      </w:r>
      <w:r>
        <w:rPr>
          <w:sz w:val="24"/>
        </w:rPr>
        <w:t>month for some 2½</w:t>
      </w:r>
      <w:r>
        <w:rPr>
          <w:spacing w:val="-8"/>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0" w:firstLine="0"/>
        <w:jc w:val="left"/>
        <w:rPr>
          <w:sz w:val="24"/>
        </w:rPr>
      </w:pPr>
      <w:r>
        <w:rPr>
          <w:sz w:val="24"/>
        </w:rPr>
        <w:t>The Committee agreed that, although the news on the month had been broadly in line with its central projections, the balance of risks to the outlook for inflation had shifted upwards. There was a range of views amongst the Committee over the new balance of risks and over whether the news had been sufficient to warrant an increase in Bank Rate this month or whether it would be better to wait and judge the news in the context of the Committee’s February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For a majority of members there was already sufficient evidence to justify an increase in Bank Rate and no compelling reason to delay. The world economy was robust, nominal domestic demand was growing strongly and real output growing at least at its potential rate. Spare capacity had diminished and inflation had been rising as it had become easier to increase prices. For these members there was a significant risk that inflation would not fall back as quickly as the Committee had expected in its central case in the November </w:t>
      </w:r>
      <w:r>
        <w:rPr>
          <w:i/>
          <w:sz w:val="24"/>
        </w:rPr>
        <w:t>Inflation Report </w:t>
      </w:r>
      <w:r>
        <w:rPr>
          <w:sz w:val="24"/>
        </w:rPr>
        <w:t>and little risk that an increase in interest rates would cause an unnecessarily sharp slowdown in activity.  There was a risk that the 50 basis points rise in Bank Rate since August might not be sufficient to keep demand and inflation expectations in check and an early increase in rates might prevent larger increases later. For some of these members, the fast pace of money and credit growth and buoyant asset prices gave additional concerns about upside pressures to</w:t>
      </w:r>
      <w:r>
        <w:rPr>
          <w:spacing w:val="-3"/>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For other members, there was insufficient news to warrant an immediate increase in Bank Rate. Although the upside risks had increased, the most likely prospect was that inflation would fall back later this year. The Committee should not be interpreted as reacting to short-term volatility in CPI inflation. It was difficult to know how informative the current inflation rate was, given sharp movements in volatile components such as energy and food. The Committee had already raised rates by 50 basis points since the summer. If new data made it clear that it was necessary to increase Bank Rate further then it would help to have the </w:t>
      </w:r>
      <w:r>
        <w:rPr>
          <w:i/>
          <w:sz w:val="24"/>
        </w:rPr>
        <w:t>Inflation Report </w:t>
      </w:r>
      <w:r>
        <w:rPr>
          <w:sz w:val="24"/>
        </w:rPr>
        <w:t>to explain why in the context of the medium-term prospect. In the meantime, the recent increase in CPI inflation would add to the risks in the current wage round, and so it was important to communicate clearly that the Committee would</w:t>
      </w:r>
      <w:r>
        <w:rPr>
          <w:spacing w:val="-6"/>
          <w:sz w:val="24"/>
        </w:rPr>
        <w:t> </w:t>
      </w:r>
      <w:r>
        <w:rPr>
          <w:sz w:val="24"/>
        </w:rPr>
        <w:t>act</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BodyText"/>
        <w:spacing w:line="360" w:lineRule="auto" w:before="90"/>
        <w:ind w:left="113" w:right="118"/>
      </w:pPr>
      <w:r>
        <w:rPr/>
        <w:t>if pay accelerated or inflation expectations were threatened. But an increase in Bank Rate this month ran the risk of prompting an excessive monetary tightening by shifting up market interest 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38" w:firstLine="0"/>
        <w:jc w:val="left"/>
        <w:rPr>
          <w:sz w:val="24"/>
        </w:rPr>
      </w:pPr>
      <w:r>
        <w:rPr>
          <w:sz w:val="24"/>
        </w:rPr>
        <w:t>The Governor invited the Committee to vote on the proposition that Bank Rate should be increased by 25 basis points to 5.25%. Five members of the Committee (the Governor, John Gieve, Kate Barker, Tim Besley and Andrew Sentance) voted in favour of the proposition. Rachel Lomax, Charlie Bean, David Blanchflower and Paul Tucker voted against, preferring to maintain Bank Rate at 5.0%.</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019"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49.926342pt;width:12pt;height:15.3pt;mso-position-horizontal-relative:page;mso-position-vertical-relative:page;z-index:-2518446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- 24 January 2007</dc:subject>
  <dc:title>Minutes of the Monetary Policy Committee meeting held on 10 &amp; 11 January 2007</dc:title>
  <dcterms:created xsi:type="dcterms:W3CDTF">2020-06-01T02:02:49Z</dcterms:created>
  <dcterms:modified xsi:type="dcterms:W3CDTF">2020-06-01T02:02:49Z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2007-01-23T00:00:00Z</vt:filetime>
  </property>
  <property fmtid="{D5CDD505-2E9C-101B-9397-08002B2CF9AE}" pid="3" name="Creator">
    <vt:lpwstr>Acrobat PDFMaker 7.0.7 for Word</vt:lpwstr>
  </property>
  <property fmtid="{D5CDD505-2E9C-101B-9397-08002B2CF9AE}" pid="4" name="LastSaved">
    <vt:filetime>2020-06-01T00:00:00Z</vt:filetime>
  </property>
</Properties>
</file>