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20 February 2008</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2391" w:right="2275" w:firstLine="0"/>
        <w:jc w:val="center"/>
        <w:rPr>
          <w:rFonts w:ascii="Book Antiqua"/>
          <w:b/>
          <w:sz w:val="48"/>
        </w:rPr>
      </w:pPr>
      <w:r>
        <w:rPr>
          <w:rFonts w:ascii="Book Antiqua"/>
          <w:b/>
          <w:sz w:val="48"/>
        </w:rPr>
        <w:t>6 AND 7 FEBRUARY 2008</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6 &amp; 7 February 2008.</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http://www.bankofengland.co.uk/publications/minutes/mpc/pdf/2008/mpc0802.pdf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5 and 6 March will be published on</w:t>
      </w:r>
    </w:p>
    <w:p>
      <w:pPr>
        <w:spacing w:before="1"/>
        <w:ind w:left="119" w:right="0" w:firstLine="0"/>
        <w:jc w:val="left"/>
        <w:rPr>
          <w:rFonts w:ascii="Book Antiqua"/>
          <w:sz w:val="26"/>
        </w:rPr>
      </w:pPr>
      <w:r>
        <w:rPr>
          <w:rFonts w:ascii="Book Antiqua"/>
          <w:sz w:val="26"/>
        </w:rPr>
        <w:t>19 March 2008.</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27"/>
        </w:rPr>
      </w:pPr>
      <w:r>
        <w:rPr/>
        <w:drawing>
          <wp:anchor distT="0" distB="0" distL="0" distR="0" allowOverlap="1" layoutInCell="1" locked="0" behindDoc="0" simplePos="0" relativeHeight="2">
            <wp:simplePos x="0" y="0"/>
            <wp:positionH relativeFrom="page">
              <wp:posOffset>5581650</wp:posOffset>
            </wp:positionH>
            <wp:positionV relativeFrom="paragraph">
              <wp:posOffset>239437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7"/>
        </w:rPr>
        <w:sectPr>
          <w:type w:val="continuous"/>
          <w:pgSz w:w="11900" w:h="16840"/>
          <w:pgMar w:top="1360" w:bottom="280" w:left="760" w:right="700"/>
        </w:sectPr>
      </w:pPr>
    </w:p>
    <w:p>
      <w:pPr>
        <w:pStyle w:val="BodyText"/>
        <w:rPr>
          <w:rFonts w:ascii="Book Antiqua"/>
          <w:sz w:val="20"/>
        </w:rPr>
      </w:pPr>
    </w:p>
    <w:p>
      <w:pPr>
        <w:pStyle w:val="BodyText"/>
        <w:spacing w:before="3"/>
        <w:rPr>
          <w:rFonts w:ascii="Book Antiqua"/>
        </w:rPr>
      </w:pPr>
    </w:p>
    <w:p>
      <w:pPr>
        <w:spacing w:before="88"/>
        <w:ind w:left="114" w:right="534" w:firstLine="0"/>
        <w:jc w:val="left"/>
        <w:rPr>
          <w:b/>
          <w:sz w:val="28"/>
        </w:rPr>
      </w:pPr>
      <w:bookmarkStart w:name="MINUTES OF THE MONETARY POLICY COMMITTEE" w:id="1"/>
      <w:bookmarkEnd w:id="1"/>
      <w:r>
        <w:rPr/>
      </w:r>
      <w:r>
        <w:rPr>
          <w:b/>
          <w:sz w:val="28"/>
        </w:rPr>
        <w:t>MINUTES OF THE MONETARY POLICY COMMITTEE MEETING HELD ON 6-7 FEBRUARY 2008</w:t>
      </w:r>
    </w:p>
    <w:p>
      <w:pPr>
        <w:pStyle w:val="BodyText"/>
        <w:rPr>
          <w:b/>
          <w:sz w:val="30"/>
        </w:rPr>
      </w:pPr>
    </w:p>
    <w:p>
      <w:pPr>
        <w:pStyle w:val="ListParagraph"/>
        <w:numPr>
          <w:ilvl w:val="0"/>
          <w:numId w:val="1"/>
        </w:numPr>
        <w:tabs>
          <w:tab w:pos="681" w:val="left" w:leader="none"/>
          <w:tab w:pos="682" w:val="left" w:leader="none"/>
        </w:tabs>
        <w:spacing w:line="360" w:lineRule="auto" w:before="204" w:after="0"/>
        <w:ind w:left="113" w:right="556" w:firstLine="0"/>
        <w:jc w:val="left"/>
        <w:rPr>
          <w:sz w:val="24"/>
        </w:rPr>
      </w:pPr>
      <w:r>
        <w:rPr>
          <w:sz w:val="24"/>
        </w:rPr>
        <w:t>Before turning to its immediate policy decision, and against the background of its latest projections for output and inflation, the Committee discussed financial markets developments; the international economy; credit, demand and output; and costs and</w:t>
      </w:r>
      <w:r>
        <w:rPr>
          <w:spacing w:val="-6"/>
          <w:sz w:val="24"/>
        </w:rPr>
        <w:t> </w:t>
      </w:r>
      <w:r>
        <w:rPr>
          <w:sz w:val="24"/>
        </w:rPr>
        <w:t>prices.</w:t>
      </w:r>
    </w:p>
    <w:p>
      <w:pPr>
        <w:pStyle w:val="BodyText"/>
        <w:spacing w:before="1"/>
        <w:rPr>
          <w:sz w:val="36"/>
        </w:rPr>
      </w:pPr>
    </w:p>
    <w:p>
      <w:pPr>
        <w:pStyle w:val="Heading1"/>
        <w:ind w:left="113"/>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149" w:firstLine="0"/>
        <w:jc w:val="left"/>
        <w:rPr>
          <w:sz w:val="24"/>
        </w:rPr>
      </w:pPr>
      <w:r>
        <w:rPr>
          <w:sz w:val="24"/>
        </w:rPr>
        <w:t>Financial markets had continued to be stressed. Markets for most asset-backed securities (ABS), particularly those backed by mortgages, had remained largely closed and spreads had continued to widen. In both the United States and the United Kingdom, spreads on ABS backed by credit card repayments and commercial property had also</w:t>
      </w:r>
      <w:r>
        <w:rPr>
          <w:spacing w:val="-1"/>
          <w:sz w:val="24"/>
        </w:rPr>
        <w:t> </w:t>
      </w:r>
      <w:r>
        <w:rPr>
          <w:sz w:val="24"/>
        </w:rPr>
        <w:t>widened.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3" w:firstLine="0"/>
        <w:jc w:val="left"/>
        <w:rPr>
          <w:sz w:val="24"/>
        </w:rPr>
      </w:pPr>
      <w:r>
        <w:rPr>
          <w:sz w:val="24"/>
        </w:rPr>
        <w:t>In inter-bank money markets, unsecured interest rate spreads over expected policy rates had continued to narrow in early January, with funding conditions for UK banks reported to have improved a little. But towards the end of the month, these spreads had begun to edge slightly wider and market contacts reported that liquidity conditions had started to deteriorate again. Forward markets suggested that money market spreads were expected to narrow slowly during</w:t>
      </w:r>
      <w:r>
        <w:rPr>
          <w:spacing w:val="-7"/>
          <w:sz w:val="24"/>
        </w:rPr>
        <w:t> </w:t>
      </w:r>
      <w:r>
        <w:rPr>
          <w:sz w:val="24"/>
        </w:rPr>
        <w:t>2008.</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30" w:firstLine="0"/>
        <w:jc w:val="left"/>
        <w:rPr>
          <w:sz w:val="24"/>
        </w:rPr>
      </w:pPr>
      <w:r>
        <w:rPr>
          <w:sz w:val="24"/>
        </w:rPr>
        <w:t>The news on the month had indicated that pressure on banks’ balance sheets had continued to intensify. Some large US and European banks had reported revised and higher write-downs related </w:t>
      </w:r>
      <w:r>
        <w:rPr>
          <w:spacing w:val="-6"/>
          <w:sz w:val="24"/>
        </w:rPr>
        <w:t>to </w:t>
      </w:r>
      <w:r>
        <w:rPr>
          <w:sz w:val="24"/>
        </w:rPr>
        <w:t>sub-prime mortgage ABS. There remained considerable uncertainty in financial markets about the positions of firms that had yet to report any significant losses. In some cases, this was because of different reporting cycles, but in part it also possibly reflected the potential for differing accounting and regulatory practices across</w:t>
      </w:r>
      <w:r>
        <w:rPr>
          <w:spacing w:val="-4"/>
          <w:sz w:val="24"/>
        </w:rPr>
        <w:t> </w:t>
      </w:r>
      <w:r>
        <w:rPr>
          <w:sz w:val="24"/>
        </w:rPr>
        <w:t>countries.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96" w:firstLine="0"/>
        <w:jc w:val="left"/>
        <w:rPr>
          <w:sz w:val="24"/>
        </w:rPr>
      </w:pPr>
      <w:r>
        <w:rPr>
          <w:sz w:val="24"/>
        </w:rPr>
        <w:t>In addition, there had been ratings downgrades for some of the major non-bank financial guarantors (known as ‘monoline’ insurers). These guarantors sold credit protection on a variety of assets including US municipal bonds and structured credit products. As default probabilities had risen on assets guaranteed by the insurers, there had been mounting concern about counterparty credit exposures, and hence the value of the insurance had fallen. Further downgrades were likely. It was possible that banks might have to make provisions against their exposures to the monolines, or</w:t>
      </w:r>
      <w:r>
        <w:rPr>
          <w:spacing w:val="-17"/>
          <w:sz w:val="24"/>
        </w:rPr>
        <w:t> </w:t>
      </w:r>
      <w:r>
        <w:rPr>
          <w:sz w:val="24"/>
        </w:rPr>
        <w:t>take</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325"/>
      </w:pPr>
      <w:r>
        <w:rPr/>
        <w:t>further write-downs on the insured assets, and might feel pressure to sell some of those assets into an already depressed market. The changing value of insurance would not in itself increase the overall scale of losses related to sub-prime mortgages, but it would have the effect of redistributing those losses towards the banking system, among others, and would raise the already high degree of uncertainty about banks’ capital ratios.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03" w:firstLine="0"/>
        <w:jc w:val="left"/>
        <w:rPr>
          <w:sz w:val="24"/>
        </w:rPr>
      </w:pPr>
      <w:r>
        <w:rPr>
          <w:sz w:val="24"/>
        </w:rPr>
        <w:t>International equity markets, which had previously been affected less by the developments in credit markets, had fallen sharply in the middle of the month and had remained volatile since. The falls had been prompted by further news about bank write-downs and the monoline downgrades as well as weaker data, especially for the US economy. The major UK and US equity indices were </w:t>
      </w:r>
      <w:r>
        <w:rPr>
          <w:spacing w:val="-3"/>
          <w:sz w:val="24"/>
        </w:rPr>
        <w:t>5-6% </w:t>
      </w:r>
      <w:r>
        <w:rPr>
          <w:sz w:val="24"/>
        </w:rPr>
        <w:t>lower since the previous MPC meeting, and euro-area indices had fallen by around 10%. Emerging- market indices had previously been more resilient, but they too had fallen by an average of around 8% on the</w:t>
      </w:r>
      <w:r>
        <w:rPr>
          <w:spacing w:val="-1"/>
          <w:sz w:val="24"/>
        </w:rPr>
        <w:t> </w:t>
      </w:r>
      <w:r>
        <w:rPr>
          <w:sz w:val="24"/>
        </w:rPr>
        <w:t>month.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71" w:firstLine="0"/>
        <w:jc w:val="left"/>
        <w:rPr>
          <w:sz w:val="24"/>
        </w:rPr>
      </w:pPr>
      <w:r>
        <w:rPr>
          <w:sz w:val="24"/>
        </w:rPr>
        <w:t>In the United Kingdom, short-term interest rates were little changed on the month. In the euro area they had fallen by 40-50 basis points. In the United States, the Federal Open Market Committee had cut their policy rate twice, by a total of 125 basis points, including 75 basis points in an unexpected inter-meeting move on 22 January. Uncertainty about the future path of interest rates had risen</w:t>
      </w:r>
      <w:r>
        <w:rPr>
          <w:spacing w:val="-2"/>
          <w:sz w:val="24"/>
        </w:rPr>
        <w:t> </w:t>
      </w:r>
      <w:r>
        <w:rPr>
          <w:sz w:val="24"/>
        </w:rPr>
        <w:t>internationally.</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62" w:firstLine="0"/>
        <w:jc w:val="left"/>
        <w:rPr>
          <w:sz w:val="24"/>
        </w:rPr>
      </w:pPr>
      <w:r>
        <w:rPr>
          <w:sz w:val="24"/>
        </w:rPr>
        <w:t>Longer-term nominal forward interest rates in the United Kingdom, the euro area and the United States were generally higher on the month, by up to 25 basis points. In the United States, there had been a fall of around 25 basis points in five-year forward real interest rates, five years ahead, and a larger increase in the corresponding implied inflation rates. This seemed to be consistent with a rise in future inflation uncertainty, given the increase in implied interest rate volatilities at the same maturity. In the United Kingdom, longer-term implied inflation rates derived from index-linked gilts had continued to move slowly upwards but implied volatilities had not increased to the same extent as in the United</w:t>
      </w:r>
      <w:r>
        <w:rPr>
          <w:spacing w:val="-1"/>
          <w:sz w:val="24"/>
        </w:rPr>
        <w:t> </w:t>
      </w:r>
      <w:r>
        <w:rPr>
          <w:sz w:val="24"/>
        </w:rPr>
        <w:t>States.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76" w:firstLine="0"/>
        <w:jc w:val="left"/>
        <w:rPr>
          <w:sz w:val="24"/>
        </w:rPr>
      </w:pPr>
      <w:r>
        <w:rPr>
          <w:sz w:val="24"/>
        </w:rPr>
        <w:t>The sterling effective exchange rate had been broadly unchanged on the month. The balance of risks, as derived from options prices, continued to suggest that market participants placed greater weight on the risk of further falls, rather than rises. The starting point for the sterling</w:t>
      </w:r>
      <w:r>
        <w:rPr>
          <w:spacing w:val="-14"/>
          <w:sz w:val="24"/>
        </w:rPr>
        <w:t> </w:t>
      </w:r>
      <w:r>
        <w:rPr>
          <w:sz w:val="24"/>
        </w:rPr>
        <w:t>effective</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spacing w:line="360" w:lineRule="auto" w:before="90"/>
        <w:ind w:left="113" w:right="280" w:firstLine="0"/>
        <w:jc w:val="left"/>
        <w:rPr>
          <w:sz w:val="24"/>
        </w:rPr>
      </w:pPr>
      <w:r>
        <w:rPr>
          <w:sz w:val="24"/>
        </w:rPr>
        <w:t>exchange rate index (the ERI) in the February </w:t>
      </w:r>
      <w:r>
        <w:rPr>
          <w:i/>
          <w:sz w:val="24"/>
        </w:rPr>
        <w:t>Inflation Report </w:t>
      </w:r>
      <w:r>
        <w:rPr>
          <w:sz w:val="24"/>
        </w:rPr>
        <w:t>was around 6% lower than that for the November </w:t>
      </w:r>
      <w:r>
        <w:rPr>
          <w:i/>
          <w:sz w:val="24"/>
        </w:rPr>
        <w:t>Inflation Report</w:t>
      </w:r>
      <w:r>
        <w:rPr>
          <w:sz w:val="24"/>
        </w:rPr>
        <w:t>.</w:t>
      </w:r>
    </w:p>
    <w:p>
      <w:pPr>
        <w:pStyle w:val="BodyText"/>
        <w:spacing w:before="2"/>
        <w:rPr>
          <w:sz w:val="36"/>
        </w:rPr>
      </w:pPr>
    </w:p>
    <w:p>
      <w:pPr>
        <w:pStyle w:val="Heading1"/>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172" w:firstLine="0"/>
        <w:jc w:val="left"/>
        <w:rPr>
          <w:sz w:val="24"/>
        </w:rPr>
      </w:pPr>
      <w:r>
        <w:rPr>
          <w:sz w:val="24"/>
        </w:rPr>
        <w:t>There had been a variety of weak data for the United States over the month. GDP growth in the fourth quarter had been estimated at just 0.2%, partly reflecting the largest fall in residential investment for 26 years. Stockbuilding had also made a significant negative contribution, whereas consumption and non-residential investment had been more robust. The manufacturing survey by the Institute for Supply Management (ISM) had indicated some modest expansion in January, but the non- manufacturing business activity balance had declined by 12.5 points to 41.9. The January non-farm payrolls data had shown a contraction in employment and downward revisions to the level and growth of employment during 2007. US housing activity data had also been weak, with declines in housing starts, new building permits and new home sales. The latest Senior Loan Officers’ Survey had indicated a further tightening in lending</w:t>
      </w:r>
      <w:r>
        <w:rPr>
          <w:spacing w:val="-7"/>
          <w:sz w:val="24"/>
        </w:rPr>
        <w:t> </w:t>
      </w:r>
      <w:r>
        <w:rPr>
          <w:sz w:val="24"/>
        </w:rPr>
        <w:t>standards.</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69" w:firstLine="0"/>
        <w:jc w:val="left"/>
        <w:rPr>
          <w:sz w:val="24"/>
        </w:rPr>
      </w:pPr>
      <w:r>
        <w:rPr>
          <w:sz w:val="24"/>
        </w:rPr>
        <w:t>The US authorities were responding to the deteriorating outlook for growth by relaxing both monetary and fiscal policy. In addition to the cuts in interest rates, a fiscal package was being negotiated, with proposals to include tax rebates for people on lower incomes and measures designed to stimulate capital spending on new equipment. The overall stimulus to activity would be</w:t>
      </w:r>
      <w:r>
        <w:rPr>
          <w:spacing w:val="-36"/>
          <w:sz w:val="24"/>
        </w:rPr>
        <w:t> </w:t>
      </w:r>
      <w:r>
        <w:rPr>
          <w:sz w:val="24"/>
        </w:rPr>
        <w:t>substantial.</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10" w:firstLine="0"/>
        <w:jc w:val="left"/>
        <w:rPr>
          <w:sz w:val="24"/>
        </w:rPr>
      </w:pPr>
      <w:r>
        <w:rPr>
          <w:sz w:val="24"/>
        </w:rPr>
        <w:t>In the euro area, there had been less significant news, but growth also seemed to have been slowing. Consumption growth appeared to have eased, with retail sales down 1% in the fourth quarter and the European Commission consumer confidence survey had weakened further in January. A mixture of survey data for manufacturing and services had pointed to modest growth in the first quarter of 2008. The latest credit conditions survey had also suggested tightening credit</w:t>
      </w:r>
      <w:r>
        <w:rPr>
          <w:spacing w:val="-14"/>
          <w:sz w:val="24"/>
        </w:rPr>
        <w:t> </w:t>
      </w:r>
      <w:r>
        <w:rPr>
          <w:sz w:val="24"/>
        </w:rPr>
        <w:t>availability.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06" w:firstLine="0"/>
        <w:jc w:val="left"/>
        <w:rPr>
          <w:sz w:val="24"/>
        </w:rPr>
      </w:pPr>
      <w:r>
        <w:rPr>
          <w:sz w:val="24"/>
        </w:rPr>
        <w:t>In Japan, there had been little news on output growth. Elsewhere in Asia, growth had been robust. The Committee concluded that it was too early to tell how far the emerging market economies would be affected by slowing growth in the developed economies. There had been some weather- related disruption in China, which should prove to be temporary, but rising inflationary pressures indicated that growth there might need to slow</w:t>
      </w:r>
      <w:r>
        <w:rPr>
          <w:spacing w:val="-8"/>
          <w:sz w:val="24"/>
        </w:rPr>
        <w:t> </w:t>
      </w:r>
      <w:r>
        <w:rPr>
          <w:sz w:val="24"/>
        </w:rPr>
        <w:t>somewhat.</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68" w:firstLine="0"/>
        <w:jc w:val="left"/>
        <w:rPr>
          <w:sz w:val="24"/>
        </w:rPr>
      </w:pPr>
      <w:r>
        <w:rPr>
          <w:sz w:val="24"/>
        </w:rPr>
        <w:t>HICP inflation in the euro area had reached 3.2% in January, its highest since the inception of the euro. US CPI inflation had fallen a little, to 4.1% in December, although the core measure had picked up to 2.4%. In Japan, annual core CPI inflation had reached 0.8% in December, its highest rate for nearly ten years. But the sterling price of oil had fallen by over 8% on the</w:t>
      </w:r>
      <w:r>
        <w:rPr>
          <w:spacing w:val="-18"/>
          <w:sz w:val="24"/>
        </w:rPr>
        <w:t> </w:t>
      </w:r>
      <w:r>
        <w:rPr>
          <w:sz w:val="24"/>
        </w:rPr>
        <w:t>month.</w:t>
      </w:r>
    </w:p>
    <w:p>
      <w:pPr>
        <w:pStyle w:val="BodyText"/>
        <w:spacing w:before="2"/>
        <w:rPr>
          <w:sz w:val="36"/>
        </w:rPr>
      </w:pPr>
    </w:p>
    <w:p>
      <w:pPr>
        <w:pStyle w:val="Heading1"/>
        <w:spacing w:before="1"/>
      </w:pPr>
      <w:r>
        <w:rPr/>
        <w:t>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264" w:firstLine="0"/>
        <w:jc w:val="left"/>
        <w:rPr>
          <w:sz w:val="24"/>
        </w:rPr>
      </w:pPr>
      <w:r>
        <w:rPr>
          <w:sz w:val="24"/>
        </w:rPr>
        <w:t>In the United Kingdom, the provisional estimate of GDP growth in the fourth quarter had been 0.6%, around its post-war average rate. Manufacturing output was reported to have been broadly flat for the second successive quarter and there had been a fall in service sector growth to 0.7%. The CBI </w:t>
      </w:r>
      <w:r>
        <w:rPr>
          <w:i/>
          <w:sz w:val="24"/>
        </w:rPr>
        <w:t>Quarterly Industrial Trends </w:t>
      </w:r>
      <w:r>
        <w:rPr>
          <w:sz w:val="24"/>
        </w:rPr>
        <w:t>and the British Chambers of Commerce (BCC) surveys had been consistent with slightly stronger Q4 growth, especially in manufacturing. But persistent differences between the strength of the official and business survey data for manufacturing were not</w:t>
      </w:r>
      <w:r>
        <w:rPr>
          <w:spacing w:val="-11"/>
          <w:sz w:val="24"/>
        </w:rPr>
        <w:t> </w:t>
      </w:r>
      <w:r>
        <w:rPr>
          <w:sz w:val="24"/>
        </w:rPr>
        <w:t>unusual.</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18" w:firstLine="0"/>
        <w:jc w:val="left"/>
        <w:rPr>
          <w:sz w:val="24"/>
        </w:rPr>
      </w:pPr>
      <w:r>
        <w:rPr>
          <w:sz w:val="24"/>
        </w:rPr>
        <w:t>Business survey data for output in January had generally indicated continuing growth, but the more forward-looking elements were consistent with slowing activity. The CIPS/NTC survey for manufacturing output continued to indicate positive growth in January but the new orders balance had signalled contraction. The services survey output balance had edged up, but the business expectations balance had been its lowest level since</w:t>
      </w:r>
      <w:r>
        <w:rPr>
          <w:spacing w:val="-8"/>
          <w:sz w:val="24"/>
        </w:rPr>
        <w:t> </w:t>
      </w:r>
      <w:r>
        <w:rPr>
          <w:sz w:val="24"/>
        </w:rPr>
        <w:t>2001.</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25" w:firstLine="0"/>
        <w:jc w:val="left"/>
        <w:rPr>
          <w:sz w:val="24"/>
        </w:rPr>
      </w:pPr>
      <w:r>
        <w:rPr>
          <w:sz w:val="24"/>
        </w:rPr>
        <w:t>Consumption growth appeared to have eased. Retail sales volumes had fallen by 0.4% in December, although were still 2.7% higher than December 2006. The survey evidence for January had been consistent with some further easing, although the changes in the CBI </w:t>
      </w:r>
      <w:r>
        <w:rPr>
          <w:i/>
          <w:sz w:val="24"/>
        </w:rPr>
        <w:t>Distributive Trades Survey </w:t>
      </w:r>
      <w:r>
        <w:rPr>
          <w:sz w:val="24"/>
        </w:rPr>
        <w:t>balance, and the Agents’ scores for retail goods, had been small. The GfK NOP consumer confidence survey on behalf of the European Commission (seasonally adjusted by the Bank) had fallen further, to its lowest level since December 1992, and retailers’ profit warnings had</w:t>
      </w:r>
      <w:r>
        <w:rPr>
          <w:spacing w:val="-6"/>
          <w:sz w:val="24"/>
        </w:rPr>
        <w:t> </w:t>
      </w:r>
      <w:r>
        <w:rPr>
          <w:sz w:val="24"/>
        </w:rPr>
        <w:t>increased.</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4" w:right="191" w:firstLine="0"/>
        <w:jc w:val="left"/>
        <w:rPr>
          <w:sz w:val="24"/>
        </w:rPr>
      </w:pPr>
      <w:r>
        <w:rPr>
          <w:sz w:val="24"/>
        </w:rPr>
        <w:t>Activity in the housing market had continued to decline, with mortgage approvals for house purchase reaching their lowest since 1995. Forward-looking indicators of activity had also fallen, including the balances for site visitors (seasonally adjusted) recorded in the Home Builders Federation survey and new buyer enquiries in the preview of the Royal Institution of Chartered Surveyors survey. House prices had been broadly flat in January.</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224" w:firstLine="0"/>
        <w:jc w:val="left"/>
        <w:rPr>
          <w:sz w:val="24"/>
        </w:rPr>
      </w:pPr>
      <w:r>
        <w:rPr>
          <w:sz w:val="24"/>
        </w:rPr>
        <w:t>The Committee discussed the potential impact of a housing market slowdown. A period of relative stability in house prices would be welcome. A small number of borrowers for whom fixed mortgage rates would be re-set during 2008 could face higher repayments, which might affect their saving and consumption plans. Given the general uncertainty about economic prospects and access </w:t>
      </w:r>
      <w:r>
        <w:rPr>
          <w:spacing w:val="-6"/>
          <w:sz w:val="24"/>
        </w:rPr>
        <w:t>to </w:t>
      </w:r>
      <w:r>
        <w:rPr>
          <w:sz w:val="24"/>
        </w:rPr>
        <w:t>credit, it was possible that precautionary saving would rise. But there was little evidence to suggest that a slowing housing market would lead to widespread financial distress and defaults in the United Kingdom unless there was also a significant rise in unemployment or mortgage rates, which had both been factors in the rise in possessions in the early</w:t>
      </w:r>
      <w:r>
        <w:rPr>
          <w:spacing w:val="-11"/>
          <w:sz w:val="24"/>
        </w:rPr>
        <w:t> </w:t>
      </w:r>
      <w:r>
        <w:rPr>
          <w:sz w:val="24"/>
        </w:rPr>
        <w:t>1990s.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95" w:firstLine="0"/>
        <w:jc w:val="left"/>
        <w:rPr>
          <w:sz w:val="24"/>
        </w:rPr>
      </w:pPr>
      <w:r>
        <w:rPr>
          <w:sz w:val="24"/>
        </w:rPr>
        <w:t>There had been little new evidence on the supply of corporate credit. Although sterling corporate borrowing continued to grow robustly, the growth of total credit facilities granted to non- financial companies had slowed, which might indicate some financing constraints on future business investment. The CIPS/NTC capital goods new orders index had also fallen sharply in two successive surveys, alongside a fall-off in export orders. The commercial property market had weakened significantly. Although investment in non-residential construction accounted for only a small percentage of GDP, a sharp contraction could reduce growth</w:t>
      </w:r>
      <w:r>
        <w:rPr>
          <w:spacing w:val="-1"/>
          <w:sz w:val="24"/>
        </w:rPr>
        <w:t> </w:t>
      </w:r>
      <w:r>
        <w:rPr>
          <w:sz w:val="24"/>
        </w:rPr>
        <w:t>significantly.</w:t>
      </w:r>
    </w:p>
    <w:p>
      <w:pPr>
        <w:pStyle w:val="BodyText"/>
        <w:spacing w:before="2"/>
        <w:rPr>
          <w:sz w:val="36"/>
        </w:rPr>
      </w:pPr>
    </w:p>
    <w:p>
      <w:pPr>
        <w:pStyle w:val="Heading1"/>
        <w:ind w:left="113"/>
      </w:pPr>
      <w:r>
        <w:rPr/>
        <w:t>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80" w:firstLine="0"/>
        <w:jc w:val="left"/>
        <w:rPr>
          <w:sz w:val="24"/>
        </w:rPr>
      </w:pPr>
      <w:r>
        <w:rPr>
          <w:sz w:val="24"/>
        </w:rPr>
        <w:t>In the labour market, there had been a growing divergence between the evidence from the robust official data and the softer signals from business surveys. In the three months to November, employment was estimated to have increased by 175,000, the largest three-monthly rise since 1997, and the unemployment rate had fallen slightly. This reflected the strength in UK activity growth during 2007. In contrast, the CIPS/NTC surveys suggested that employment growth had drifted down in recent months. And most indicators suggested that recruitment difficulties had been declining, especially in</w:t>
      </w:r>
      <w:r>
        <w:rPr>
          <w:spacing w:val="-2"/>
          <w:sz w:val="24"/>
        </w:rPr>
        <w:t> </w:t>
      </w:r>
      <w:r>
        <w:rPr>
          <w:sz w:val="24"/>
        </w:rPr>
        <w:t>manufacturing.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84" w:firstLine="0"/>
        <w:jc w:val="left"/>
        <w:rPr>
          <w:sz w:val="24"/>
        </w:rPr>
      </w:pPr>
      <w:r>
        <w:rPr>
          <w:sz w:val="24"/>
        </w:rPr>
        <w:t>Pay settlements were broadly unchanged in December and for early data on January. That had been consistent with the annual survey on pay carried out by the Bank’s Agents. Total average earnings growth, at 4.0%, had been unchanged in the three months to November. The Average Weekly Earnings series indicated some slowing in pay growth, narrowing the wedge over the Average Earnings Index</w:t>
      </w:r>
      <w:r>
        <w:rPr>
          <w:spacing w:val="-1"/>
          <w:sz w:val="24"/>
        </w:rPr>
        <w:t> </w:t>
      </w:r>
      <w:r>
        <w:rPr>
          <w:sz w:val="24"/>
        </w:rPr>
        <w:t>measure.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209" w:firstLine="0"/>
        <w:jc w:val="left"/>
        <w:rPr>
          <w:sz w:val="24"/>
        </w:rPr>
      </w:pPr>
      <w:r>
        <w:rPr>
          <w:sz w:val="24"/>
        </w:rPr>
        <w:t>Annual manufacturing input price inflation had risen to 11.2% in December. Unlike in previous months, this latest rise had not been driven by energy or food but by imported materials, perhaps an early sign of the consequences of the weakening exchange rate. Output price inflation had also risen, to 5% in December, its highest since August 1991. Many of the manufacturing survey price balances were also showing readings that were at their highest since the series began, although most did not have long histories. In the services sector, both the CIPS/NTC and BCC surveys had recorded output price increases, the latter a record</w:t>
      </w:r>
      <w:r>
        <w:rPr>
          <w:spacing w:val="-7"/>
          <w:sz w:val="24"/>
        </w:rPr>
        <w:t> </w:t>
      </w:r>
      <w:r>
        <w:rPr>
          <w:sz w:val="24"/>
        </w:rPr>
        <w:t>high.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08" w:firstLine="0"/>
        <w:jc w:val="left"/>
        <w:rPr>
          <w:sz w:val="24"/>
        </w:rPr>
      </w:pPr>
      <w:r>
        <w:rPr>
          <w:sz w:val="24"/>
        </w:rPr>
        <w:t>CPI inflation had been unchanged in December at 2.1%. In line with pre-release arrangements, an advance estimate of CPI inflation of 2.2% in January had been provided to the Governor ahead of publication. The Office for National Statistics had also confirmed that they would cease the phasing-in of utility prices, starting with the February index. CPI inflation was likely to rise sharply in the following few months, given previously announced changes in electricity and gas prices, the upward pressure on oil and food prices, and more general pressure on imported prices following the recent depreciation of sterling. And rises in the twelve-month inflation rate would also reflect cuts in energy prices during 2007 dropping out of the annual calculation.</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30" w:firstLine="0"/>
        <w:jc w:val="left"/>
        <w:rPr>
          <w:sz w:val="24"/>
        </w:rPr>
      </w:pPr>
      <w:r>
        <w:rPr>
          <w:sz w:val="24"/>
        </w:rPr>
        <w:t>Short-term measures of inflation expectations had remained elevated. This was not surprising, given the Committee’s own projections, but inflation expectations had not fallen back in line with actual CPI inflation following its temporary rise during 2007. The GfK NOP consumer confidence survey in January had reported that perceptions of current inflation had risen over the previous year to their highest since the question was first asked in 1995, although the forward-looking measure remained close to its series average. The Citigroup/YouGov measure for year-ahead price expectations had risen by 0.6 percentage points to its highest-ever reading. However, the longer-term (five to ten years ahead) expectations measure in this survey was broadly</w:t>
      </w:r>
      <w:r>
        <w:rPr>
          <w:spacing w:val="-14"/>
          <w:sz w:val="24"/>
        </w:rPr>
        <w:t> </w:t>
      </w:r>
      <w:r>
        <w:rPr>
          <w:sz w:val="24"/>
        </w:rPr>
        <w:t>stable.</w:t>
      </w:r>
    </w:p>
    <w:p>
      <w:pPr>
        <w:pStyle w:val="BodyText"/>
        <w:spacing w:before="2"/>
        <w:rPr>
          <w:sz w:val="36"/>
        </w:rPr>
      </w:pPr>
    </w:p>
    <w:p>
      <w:pPr>
        <w:pStyle w:val="Heading1"/>
        <w:spacing w:before="1"/>
      </w:pPr>
      <w:r>
        <w:rPr/>
        <w:t>The February GDP growth and inflation projections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54" w:firstLine="0"/>
        <w:jc w:val="left"/>
        <w:rPr>
          <w:sz w:val="24"/>
        </w:rPr>
      </w:pPr>
      <w:r>
        <w:rPr>
          <w:sz w:val="24"/>
        </w:rPr>
        <w:t>The Committee reached its policy decision in the light of the projections to be published in the </w:t>
      </w:r>
      <w:r>
        <w:rPr>
          <w:i/>
          <w:sz w:val="24"/>
        </w:rPr>
        <w:t>Inflation Report </w:t>
      </w:r>
      <w:r>
        <w:rPr>
          <w:sz w:val="24"/>
        </w:rPr>
        <w:t>on Wednesday 13 February. The projections were conditioned on the assumption that Bank Rate followed the path implied by market yields, falling to around 4.5% by the end of</w:t>
      </w:r>
      <w:r>
        <w:rPr>
          <w:spacing w:val="-2"/>
          <w:sz w:val="24"/>
        </w:rPr>
        <w:t> </w:t>
      </w:r>
      <w:r>
        <w:rPr>
          <w:sz w:val="24"/>
        </w:rPr>
        <w:t>2008.</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371" w:firstLine="0"/>
        <w:jc w:val="left"/>
        <w:rPr>
          <w:sz w:val="24"/>
        </w:rPr>
      </w:pPr>
      <w:r>
        <w:rPr>
          <w:sz w:val="24"/>
        </w:rPr>
        <w:t>The Committee’s central projection for GDP growth was for output to slow markedly through 2008 as tighter credit conditions and weaker real income growth bore down on domestic demand. Growth was projected to recover as credit conditions improved and the effects of lower interest rates and weaker sterling worked through. The projected slowdown was somewhat deeper and more prolonged than in the November </w:t>
      </w:r>
      <w:r>
        <w:rPr>
          <w:i/>
          <w:sz w:val="24"/>
        </w:rPr>
        <w:t>Inflation</w:t>
      </w:r>
      <w:r>
        <w:rPr>
          <w:i/>
          <w:spacing w:val="-6"/>
          <w:sz w:val="24"/>
        </w:rPr>
        <w:t> </w:t>
      </w:r>
      <w:r>
        <w:rPr>
          <w:i/>
          <w:sz w:val="24"/>
        </w:rPr>
        <w:t>Report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70" w:firstLine="0"/>
        <w:jc w:val="left"/>
        <w:rPr>
          <w:sz w:val="24"/>
        </w:rPr>
      </w:pPr>
      <w:r>
        <w:rPr>
          <w:sz w:val="24"/>
        </w:rPr>
        <w:t>For CPI inflation, the Committee’s central projection was for higher energy, food and import prices to push inflation up sharply in the near term. Inflation was then projected to ease back to a little above the 2% target in the medium term, as the rise in energy prices dropped out of the twelve-month rate and capacity pressures moderated. The profile was higher than in the November </w:t>
      </w:r>
      <w:r>
        <w:rPr>
          <w:i/>
          <w:sz w:val="24"/>
        </w:rPr>
        <w:t>Inflation Report</w:t>
      </w:r>
      <w:r>
        <w:rPr>
          <w:sz w:val="24"/>
        </w:rPr>
        <w:t>, particularly in the near</w:t>
      </w:r>
      <w:r>
        <w:rPr>
          <w:spacing w:val="-5"/>
          <w:sz w:val="24"/>
        </w:rPr>
        <w:t> </w:t>
      </w:r>
      <w:r>
        <w:rPr>
          <w:sz w:val="24"/>
        </w:rPr>
        <w:t>term.</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23" w:firstLine="0"/>
        <w:jc w:val="left"/>
        <w:rPr>
          <w:sz w:val="24"/>
        </w:rPr>
      </w:pPr>
      <w:r>
        <w:rPr>
          <w:sz w:val="24"/>
        </w:rPr>
        <w:t>As usual, there were substantial uncertainties around these projections. The key risks were: on the downside, the potential for a greater tightening in credit conditions, and the associated impact on demand, at home and abroad; and, on the upside, the possibility that the short-term rise in inflation would lead to a more persistent rise in medium-term inflation expectations. Overall, the risks around the central projection to growth lay to the downside, while those to inflation were balanced. But there was a range of views among the Committee on both the central projection and the balance of</w:t>
      </w:r>
      <w:r>
        <w:rPr>
          <w:spacing w:val="-15"/>
          <w:sz w:val="24"/>
        </w:rPr>
        <w:t> </w:t>
      </w:r>
      <w:r>
        <w:rPr>
          <w:sz w:val="24"/>
        </w:rPr>
        <w:t>risks.</w:t>
      </w:r>
    </w:p>
    <w:p>
      <w:pPr>
        <w:pStyle w:val="BodyText"/>
        <w:spacing w:before="2"/>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53" w:firstLine="0"/>
        <w:jc w:val="left"/>
        <w:rPr>
          <w:sz w:val="24"/>
        </w:rPr>
      </w:pPr>
      <w:r>
        <w:rPr>
          <w:sz w:val="24"/>
        </w:rPr>
        <w:t>The Committee discussed the immediate policy decision in the context of the key risks identified in the February </w:t>
      </w:r>
      <w:r>
        <w:rPr>
          <w:i/>
          <w:sz w:val="24"/>
        </w:rPr>
        <w:t>Inflation</w:t>
      </w:r>
      <w:r>
        <w:rPr>
          <w:i/>
          <w:spacing w:val="-2"/>
          <w:sz w:val="24"/>
        </w:rPr>
        <w:t> </w:t>
      </w:r>
      <w:r>
        <w:rPr>
          <w:i/>
          <w:sz w:val="24"/>
        </w:rPr>
        <w:t>Report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89" w:firstLine="0"/>
        <w:jc w:val="left"/>
        <w:rPr>
          <w:sz w:val="24"/>
        </w:rPr>
      </w:pPr>
      <w:r>
        <w:rPr>
          <w:sz w:val="24"/>
        </w:rPr>
        <w:t>The prospects for output growth abroad had deteriorated and the disruption to global financial markets had continued. That posed a downside risk to inflation in the medium term. Growth seemed likely to slow in the United States, the euro area and Japan. There was no sign of slowing yet in commodity-producing countries and the emerging Asian economies, which continued to grow strongly. The Committee thought it most likely that UK-weighted global growth would slow gradually, with the risks judged to be to the</w:t>
      </w:r>
      <w:r>
        <w:rPr>
          <w:spacing w:val="-5"/>
          <w:sz w:val="24"/>
        </w:rPr>
        <w:t> </w:t>
      </w:r>
      <w:r>
        <w:rPr>
          <w:sz w:val="24"/>
        </w:rPr>
        <w:t>downside.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175" w:firstLine="0"/>
        <w:jc w:val="left"/>
        <w:rPr>
          <w:sz w:val="24"/>
        </w:rPr>
      </w:pPr>
      <w:r>
        <w:rPr>
          <w:sz w:val="24"/>
        </w:rPr>
        <w:t>The turmoil in financial markets had spread to some markets that had been relatively unaffected previously. International equity prices had been volatile and had fallen sharply during the month, including those for emerging market economies. Although spreads over expected policy rates had narrowed in inter-bank money markets in December and early January, they had started to move up again towards the end of the month. In the face of continuing uncertainty about the scale and distribution of write-downs by banks relating to sub-prime mortgage assets, and the further complications arising from ratings downgrades for some of the major non-bank financial guarantors, it seemed likely that conditions in credit markets would remain difficult for some time to</w:t>
      </w:r>
      <w:r>
        <w:rPr>
          <w:spacing w:val="-7"/>
          <w:sz w:val="24"/>
        </w:rPr>
        <w:t> </w:t>
      </w:r>
      <w:r>
        <w:rPr>
          <w:sz w:val="24"/>
        </w:rPr>
        <w:t>come.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43" w:firstLine="0"/>
        <w:jc w:val="left"/>
        <w:rPr>
          <w:sz w:val="24"/>
        </w:rPr>
      </w:pPr>
      <w:r>
        <w:rPr>
          <w:sz w:val="24"/>
        </w:rPr>
        <w:t>In the United Kingdom, activity data during the previous six months had been broadly consistent with the modest slowdown in growth envisaged in the central projection of the August 2007 </w:t>
      </w:r>
      <w:r>
        <w:rPr>
          <w:i/>
          <w:sz w:val="24"/>
        </w:rPr>
        <w:t>Inflation </w:t>
      </w:r>
      <w:r>
        <w:rPr>
          <w:i/>
          <w:sz w:val="24"/>
        </w:rPr>
        <w:t>Report. </w:t>
      </w:r>
      <w:r>
        <w:rPr>
          <w:sz w:val="24"/>
        </w:rPr>
        <w:t>Credit conditions for households and businesses had been tightening and consumption growth appeared to have softened. Although the substantial fall in the sterling exchange rate was likely to boost net exports, promoting a rebalancing of total demand, output growth had moderated to around its post-war average rate and measures of consumer confidence and business surveys suggested that further slowing was in prospect, as projected in the February</w:t>
      </w:r>
      <w:r>
        <w:rPr>
          <w:spacing w:val="-7"/>
          <w:sz w:val="24"/>
        </w:rPr>
        <w:t> </w:t>
      </w:r>
      <w:r>
        <w:rPr>
          <w:i/>
          <w:sz w:val="24"/>
        </w:rPr>
        <w:t>Report</w:t>
      </w:r>
      <w:r>
        <w:rPr>
          <w:sz w:val="24"/>
        </w:rPr>
        <w:t>.</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44" w:firstLine="0"/>
        <w:jc w:val="left"/>
        <w:rPr>
          <w:sz w:val="24"/>
        </w:rPr>
      </w:pPr>
      <w:r>
        <w:rPr>
          <w:sz w:val="24"/>
        </w:rPr>
        <w:t>CPI inflation, at 2.2% in January, was close to the 2% target. But the Committee expected that higher energy and food prices would raise inflation, possibly quite sharply, in the coming months. Producer input and output prices were already rising rapidly and the decline in the sterling ERI would boost import costs further.  The impact of these short-term pressures on CPI inflation was likely to fade later in 2008, so that inflation was likely to fall back towards the target. But measures of inflation expectations had not fallen in line with actual CPI inflation following its peak during 2007. There was a risk that above-target CPI inflation in the near term would affect inflation expectations, and hence have some tendency to persist in the medium</w:t>
      </w:r>
      <w:r>
        <w:rPr>
          <w:spacing w:val="-10"/>
          <w:sz w:val="24"/>
        </w:rPr>
        <w:t> </w:t>
      </w:r>
      <w:r>
        <w:rPr>
          <w:sz w:val="24"/>
        </w:rPr>
        <w:t>term.</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8" w:firstLine="0"/>
        <w:jc w:val="left"/>
        <w:rPr>
          <w:sz w:val="24"/>
        </w:rPr>
      </w:pPr>
      <w:r>
        <w:rPr>
          <w:sz w:val="24"/>
        </w:rPr>
        <w:t>Given this outlook for inflation, the Committee noted that some slowing of demand growth, by reducing the pressure on capacity, was likely to be necessary to return inflation to target in the medium term. The Committee needed to balance the risk that a sharp slowing in activity would pull inflation below the target in the medium term against the risk that elevated inflation expectations would keep inflation above target. Changes in Bank Rate could not be expected to smooth out all short-term fluctuations in output</w:t>
      </w:r>
      <w:r>
        <w:rPr>
          <w:spacing w:val="-4"/>
          <w:sz w:val="24"/>
        </w:rPr>
        <w:t> </w:t>
      </w:r>
      <w:r>
        <w:rPr>
          <w:sz w:val="24"/>
        </w:rPr>
        <w:t>growth.</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58" w:firstLine="0"/>
        <w:jc w:val="left"/>
        <w:rPr>
          <w:sz w:val="24"/>
        </w:rPr>
      </w:pPr>
      <w:r>
        <w:rPr>
          <w:sz w:val="24"/>
        </w:rPr>
        <w:t>For a majority of Committee members, balancing these key risks required an immediate reduction in Bank Rate of 25 basis points. Interest rates were probably still bearing down on demand, partly because higher market spreads meant that the level of Bank Rate consistent with any given monetary stance was lower than it had been before spreads had widened. The February </w:t>
      </w:r>
      <w:r>
        <w:rPr>
          <w:i/>
          <w:sz w:val="24"/>
        </w:rPr>
        <w:t>Inflation </w:t>
      </w:r>
      <w:r>
        <w:rPr>
          <w:i/>
          <w:sz w:val="24"/>
        </w:rPr>
        <w:t>Report, </w:t>
      </w:r>
      <w:r>
        <w:rPr>
          <w:sz w:val="24"/>
        </w:rPr>
        <w:t>and its accompanying projections, would set out in detail the upside and downside risks to the outlook for inflation. The central projection suggested that there was most likely to be some spare capacity in the economy, even if interest rates followed the path implied by market yields. That would therefore help to ensure that inflation returned to the 2% target in the medium</w:t>
      </w:r>
      <w:r>
        <w:rPr>
          <w:spacing w:val="-18"/>
          <w:sz w:val="24"/>
        </w:rPr>
        <w:t> </w:t>
      </w:r>
      <w:r>
        <w:rPr>
          <w:sz w:val="24"/>
        </w:rPr>
        <w:t>term.</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98" w:firstLine="0"/>
        <w:jc w:val="left"/>
        <w:rPr>
          <w:sz w:val="24"/>
        </w:rPr>
      </w:pPr>
      <w:r>
        <w:rPr>
          <w:sz w:val="24"/>
        </w:rPr>
        <w:t>For one member, more weight should be placed on the risk of a very sharp slowdown in UK growth. There were similarities between the recent data and outlook for the United Kingdom and those for the United States several months previously, especially in the labour market. Subdued pay pressures and increasing spare capacity in firms would mean that the prospective short-term rise in inflation should not carry through to the medium term. For this member, a larger, precautionary reduction in Bank Rate was warranted, bringing forward cuts already built into the yield</w:t>
      </w:r>
      <w:r>
        <w:rPr>
          <w:spacing w:val="-15"/>
          <w:sz w:val="24"/>
        </w:rPr>
        <w:t> </w:t>
      </w:r>
      <w:r>
        <w:rPr>
          <w:sz w:val="24"/>
        </w:rPr>
        <w:t>curve.</w:t>
      </w:r>
    </w:p>
    <w:p>
      <w:pPr>
        <w:pStyle w:val="BodyText"/>
        <w:spacing w:before="11"/>
        <w:rPr>
          <w:sz w:val="35"/>
        </w:rPr>
      </w:pPr>
    </w:p>
    <w:p>
      <w:pPr>
        <w:pStyle w:val="ListParagraph"/>
        <w:numPr>
          <w:ilvl w:val="0"/>
          <w:numId w:val="1"/>
        </w:numPr>
        <w:tabs>
          <w:tab w:pos="713" w:val="left" w:leader="none"/>
          <w:tab w:pos="714" w:val="left" w:leader="none"/>
        </w:tabs>
        <w:spacing w:line="360" w:lineRule="auto" w:before="0" w:after="0"/>
        <w:ind w:left="114" w:right="175" w:firstLine="0"/>
        <w:jc w:val="left"/>
        <w:rPr>
          <w:sz w:val="24"/>
        </w:rPr>
      </w:pPr>
      <w:r>
        <w:rPr>
          <w:sz w:val="24"/>
        </w:rPr>
        <w:t>The Governor invited the Committee to vote on the proposition that Bank Rate should be reduced by 25 basis points to 5.25%. Eight members of the Committee (the Governor, Rachel Lomax, John Gieve, Kate Barker, Charles Bean, Tim Besley, Andrew Sentance and Paul Tucker) voted in favour of the proposition. David Blanchflower voted against, preferring a reduction in Bank Rate of 50 basis points.</w:t>
      </w:r>
    </w:p>
    <w:p>
      <w:pPr>
        <w:pStyle w:val="ListParagraph"/>
        <w:numPr>
          <w:ilvl w:val="0"/>
          <w:numId w:val="1"/>
        </w:numPr>
        <w:tabs>
          <w:tab w:pos="713" w:val="left" w:leader="none"/>
          <w:tab w:pos="714" w:val="left" w:leader="none"/>
        </w:tabs>
        <w:spacing w:line="630" w:lineRule="atLeast" w:before="5" w:after="0"/>
        <w:ind w:left="114" w:right="4035"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5"/>
        <w:ind w:left="114" w:right="3684"/>
      </w:pPr>
      <w:r>
        <w:rPr/>
        <w:t>Rachel Lomax, Deputy Governor responsible for monetary policy John Gieve, Deputy Governor responsible for financial stability Kate Barker</w:t>
      </w:r>
    </w:p>
    <w:p>
      <w:pPr>
        <w:pStyle w:val="BodyText"/>
        <w:ind w:left="114" w:right="8729"/>
      </w:pPr>
      <w:r>
        <w:rPr/>
        <w:t>Charles Bean Tim Besley</w:t>
      </w:r>
    </w:p>
    <w:p>
      <w:pPr>
        <w:pStyle w:val="BodyText"/>
        <w:ind w:left="114" w:right="8063"/>
      </w:pPr>
      <w:r>
        <w:rPr/>
        <w:t>David Blanchflower Andrew Sentance Paul Tucker</w:t>
      </w:r>
    </w:p>
    <w:p>
      <w:pPr>
        <w:pStyle w:val="BodyText"/>
      </w:pPr>
    </w:p>
    <w:p>
      <w:pPr>
        <w:pStyle w:val="BodyText"/>
        <w:ind w:left="114"/>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6099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7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8/mpc0802.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6 and 7 February 2008</dc:title>
  <dcterms:created xsi:type="dcterms:W3CDTF">2020-06-01T02:04:44Z</dcterms:created>
  <dcterms:modified xsi:type="dcterms:W3CDTF">2020-06-01T02:04:44Z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2008-02-19T00:00:00Z</vt:filetime>
  </property>
  <property fmtid="{D5CDD505-2E9C-101B-9397-08002B2CF9AE}" pid="3" name="Creator">
    <vt:lpwstr>PScript5.dll Version 5.2.2</vt:lpwstr>
  </property>
  <property fmtid="{D5CDD505-2E9C-101B-9397-08002B2CF9AE}" pid="4" name="LastSaved">
    <vt:filetime>2020-06-01T00:00:00Z</vt:filetime>
  </property>
</Properties>
</file>