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65" w:lineRule="auto" w:before="85"/>
        <w:ind w:left="300" w:right="4032" w:firstLine="0"/>
        <w:jc w:val="left"/>
        <w:rPr>
          <w:b/>
          <w:sz w:val="22"/>
        </w:rPr>
      </w:pPr>
      <w:r>
        <w:rPr>
          <w:b/>
          <w:color w:val="8B0D64"/>
          <w:sz w:val="22"/>
        </w:rPr>
        <w:t>RTGS Renewal Transition Working Group - Minutes </w:t>
      </w:r>
      <w:r>
        <w:rPr>
          <w:b/>
          <w:color w:val="777877"/>
          <w:sz w:val="22"/>
        </w:rPr>
        <w:t>Friday 8th December 2017</w:t>
      </w:r>
    </w:p>
    <w:p>
      <w:pPr>
        <w:pStyle w:val="BodyText"/>
        <w:spacing w:line="228" w:lineRule="exact"/>
        <w:ind w:left="300"/>
      </w:pPr>
      <w:r>
        <w:rPr>
          <w:b/>
        </w:rPr>
        <w:t>Venue: </w:t>
      </w:r>
      <w:r>
        <w:rPr/>
        <w:t>Bank of England, Threadneedle Street</w:t>
      </w:r>
    </w:p>
    <w:p>
      <w:pPr>
        <w:pStyle w:val="BodyText"/>
        <w:spacing w:before="1"/>
        <w:rPr>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2261"/>
      </w:tblGrid>
      <w:tr>
        <w:trPr>
          <w:trHeight w:val="3927" w:hRule="atLeast"/>
        </w:trPr>
        <w:tc>
          <w:tcPr>
            <w:tcW w:w="1627" w:type="dxa"/>
          </w:tcPr>
          <w:p>
            <w:pPr>
              <w:pStyle w:val="TableParagraph"/>
              <w:spacing w:line="224" w:lineRule="exact"/>
              <w:ind w:left="200"/>
              <w:rPr>
                <w:b/>
                <w:sz w:val="20"/>
              </w:rPr>
            </w:pPr>
            <w:r>
              <w:rPr>
                <w:b/>
                <w:sz w:val="20"/>
              </w:rPr>
              <w:t>Attendees</w:t>
            </w:r>
          </w:p>
        </w:tc>
        <w:tc>
          <w:tcPr>
            <w:tcW w:w="2261" w:type="dxa"/>
          </w:tcPr>
          <w:p>
            <w:pPr>
              <w:pStyle w:val="TableParagraph"/>
              <w:spacing w:line="276" w:lineRule="auto"/>
              <w:ind w:left="459" w:right="565"/>
              <w:rPr>
                <w:b/>
                <w:sz w:val="20"/>
              </w:rPr>
            </w:pPr>
            <w:r>
              <w:rPr>
                <w:b/>
                <w:sz w:val="20"/>
              </w:rPr>
              <w:t>Barclays BNY </w:t>
            </w:r>
            <w:r>
              <w:rPr>
                <w:b/>
                <w:spacing w:val="-4"/>
                <w:sz w:val="20"/>
              </w:rPr>
              <w:t>Mellon </w:t>
            </w:r>
            <w:r>
              <w:rPr>
                <w:b/>
                <w:sz w:val="20"/>
              </w:rPr>
              <w:t>CLS</w:t>
            </w:r>
          </w:p>
          <w:p>
            <w:pPr>
              <w:pStyle w:val="TableParagraph"/>
              <w:spacing w:line="276" w:lineRule="auto"/>
              <w:ind w:left="459"/>
              <w:rPr>
                <w:b/>
                <w:sz w:val="20"/>
              </w:rPr>
            </w:pPr>
            <w:r>
              <w:rPr>
                <w:b/>
                <w:sz w:val="20"/>
              </w:rPr>
              <w:t>Clydesdale </w:t>
            </w:r>
            <w:r>
              <w:rPr>
                <w:b/>
                <w:spacing w:val="-4"/>
                <w:sz w:val="20"/>
              </w:rPr>
              <w:t>Bank </w:t>
            </w:r>
            <w:r>
              <w:rPr>
                <w:b/>
                <w:sz w:val="20"/>
              </w:rPr>
              <w:t>FPS</w:t>
            </w:r>
          </w:p>
          <w:p>
            <w:pPr>
              <w:pStyle w:val="TableParagraph"/>
              <w:ind w:left="459"/>
              <w:rPr>
                <w:b/>
                <w:sz w:val="20"/>
              </w:rPr>
            </w:pPr>
            <w:r>
              <w:rPr>
                <w:b/>
                <w:sz w:val="20"/>
              </w:rPr>
              <w:t>HSBC</w:t>
            </w:r>
          </w:p>
          <w:p>
            <w:pPr>
              <w:pStyle w:val="TableParagraph"/>
              <w:spacing w:line="276" w:lineRule="auto" w:before="29"/>
              <w:ind w:left="459" w:right="155"/>
              <w:rPr>
                <w:b/>
                <w:sz w:val="20"/>
              </w:rPr>
            </w:pPr>
            <w:r>
              <w:rPr>
                <w:b/>
                <w:sz w:val="20"/>
              </w:rPr>
              <w:t>JP Morgan Lloyds Nationwide Payments </w:t>
            </w:r>
            <w:r>
              <w:rPr>
                <w:b/>
                <w:spacing w:val="-9"/>
                <w:sz w:val="20"/>
              </w:rPr>
              <w:t>UK </w:t>
            </w:r>
            <w:r>
              <w:rPr>
                <w:b/>
                <w:sz w:val="20"/>
              </w:rPr>
              <w:t>PSR</w:t>
            </w:r>
          </w:p>
          <w:p>
            <w:pPr>
              <w:pStyle w:val="TableParagraph"/>
              <w:ind w:left="459"/>
              <w:rPr>
                <w:b/>
                <w:sz w:val="20"/>
              </w:rPr>
            </w:pPr>
            <w:r>
              <w:rPr>
                <w:b/>
                <w:sz w:val="20"/>
              </w:rPr>
              <w:t>RBS</w:t>
            </w:r>
          </w:p>
          <w:p>
            <w:pPr>
              <w:pStyle w:val="TableParagraph"/>
              <w:spacing w:line="276" w:lineRule="auto" w:before="34"/>
              <w:ind w:left="459" w:right="803"/>
              <w:rPr>
                <w:b/>
                <w:sz w:val="20"/>
              </w:rPr>
            </w:pPr>
            <w:r>
              <w:rPr>
                <w:b/>
                <w:sz w:val="20"/>
              </w:rPr>
              <w:t>Santander SWIFT</w:t>
            </w:r>
          </w:p>
          <w:p>
            <w:pPr>
              <w:pStyle w:val="TableParagraph"/>
              <w:spacing w:line="210" w:lineRule="exact"/>
              <w:ind w:left="459"/>
              <w:rPr>
                <w:b/>
                <w:sz w:val="20"/>
              </w:rPr>
            </w:pPr>
            <w:r>
              <w:rPr>
                <w:b/>
                <w:sz w:val="20"/>
              </w:rPr>
              <w:t>Bank of England</w:t>
            </w:r>
          </w:p>
        </w:tc>
      </w:tr>
    </w:tbl>
    <w:p>
      <w:pPr>
        <w:pStyle w:val="BodyText"/>
        <w:spacing w:before="11"/>
        <w:rPr>
          <w:sz w:val="22"/>
        </w:rPr>
      </w:pPr>
    </w:p>
    <w:p>
      <w:pPr>
        <w:pStyle w:val="Heading1"/>
      </w:pPr>
      <w:r>
        <w:rPr/>
        <w:t>Welcome and introductions</w:t>
      </w:r>
    </w:p>
    <w:p>
      <w:pPr>
        <w:pStyle w:val="BodyText"/>
        <w:spacing w:before="4"/>
        <w:rPr>
          <w:b/>
        </w:rPr>
      </w:pPr>
    </w:p>
    <w:p>
      <w:pPr>
        <w:spacing w:before="0"/>
        <w:ind w:left="300" w:right="0" w:firstLine="0"/>
        <w:jc w:val="left"/>
        <w:rPr>
          <w:b/>
          <w:sz w:val="20"/>
        </w:rPr>
      </w:pPr>
      <w:r>
        <w:rPr>
          <w:b/>
          <w:sz w:val="20"/>
        </w:rPr>
        <w:t>Item 1: Purpose of the RTGS Transition Working Group – Terms of reference</w:t>
      </w:r>
    </w:p>
    <w:p>
      <w:pPr>
        <w:pStyle w:val="BodyText"/>
        <w:spacing w:before="4"/>
        <w:rPr>
          <w:b/>
        </w:rPr>
      </w:pPr>
    </w:p>
    <w:p>
      <w:pPr>
        <w:pStyle w:val="ListParagraph"/>
        <w:numPr>
          <w:ilvl w:val="0"/>
          <w:numId w:val="1"/>
        </w:numPr>
        <w:tabs>
          <w:tab w:pos="661" w:val="left" w:leader="none"/>
        </w:tabs>
        <w:spacing w:line="240" w:lineRule="auto" w:before="0" w:after="0"/>
        <w:ind w:left="660" w:right="0" w:hanging="361"/>
        <w:jc w:val="left"/>
        <w:rPr>
          <w:sz w:val="20"/>
        </w:rPr>
      </w:pPr>
      <w:r>
        <w:rPr>
          <w:sz w:val="20"/>
        </w:rPr>
        <w:t>The Chair welcomed members to the first Transition Working Group and led a round of</w:t>
      </w:r>
      <w:r>
        <w:rPr>
          <w:spacing w:val="-11"/>
          <w:sz w:val="20"/>
        </w:rPr>
        <w:t> </w:t>
      </w:r>
      <w:r>
        <w:rPr>
          <w:sz w:val="20"/>
        </w:rPr>
        <w:t>introductions.</w:t>
      </w:r>
    </w:p>
    <w:p>
      <w:pPr>
        <w:pStyle w:val="BodyText"/>
        <w:rPr>
          <w:sz w:val="26"/>
        </w:rPr>
      </w:pPr>
    </w:p>
    <w:p>
      <w:pPr>
        <w:pStyle w:val="ListParagraph"/>
        <w:numPr>
          <w:ilvl w:val="0"/>
          <w:numId w:val="1"/>
        </w:numPr>
        <w:tabs>
          <w:tab w:pos="661" w:val="left" w:leader="none"/>
        </w:tabs>
        <w:spacing w:line="240" w:lineRule="auto" w:before="0" w:after="0"/>
        <w:ind w:left="660" w:right="0" w:hanging="361"/>
        <w:jc w:val="left"/>
        <w:rPr>
          <w:sz w:val="20"/>
        </w:rPr>
      </w:pPr>
      <w:r>
        <w:rPr>
          <w:sz w:val="20"/>
        </w:rPr>
        <w:t>The Terms of Reference for the group were discussed and</w:t>
      </w:r>
      <w:r>
        <w:rPr>
          <w:spacing w:val="-5"/>
          <w:sz w:val="20"/>
        </w:rPr>
        <w:t> </w:t>
      </w:r>
      <w:r>
        <w:rPr>
          <w:sz w:val="20"/>
        </w:rPr>
        <w:t>agreed.</w:t>
      </w:r>
    </w:p>
    <w:p>
      <w:pPr>
        <w:pStyle w:val="BodyText"/>
        <w:spacing w:before="6"/>
      </w:pPr>
    </w:p>
    <w:p>
      <w:pPr>
        <w:pStyle w:val="Heading1"/>
      </w:pPr>
      <w:r>
        <w:rPr/>
        <w:t>Item 2: RTGS Renewal – Progress since the blueprint</w:t>
      </w:r>
    </w:p>
    <w:p>
      <w:pPr>
        <w:pStyle w:val="BodyText"/>
        <w:spacing w:before="3"/>
        <w:rPr>
          <w:b/>
        </w:rPr>
      </w:pPr>
    </w:p>
    <w:p>
      <w:pPr>
        <w:pStyle w:val="ListParagraph"/>
        <w:numPr>
          <w:ilvl w:val="0"/>
          <w:numId w:val="1"/>
        </w:numPr>
        <w:tabs>
          <w:tab w:pos="661" w:val="left" w:leader="none"/>
        </w:tabs>
        <w:spacing w:line="276" w:lineRule="auto" w:before="0" w:after="0"/>
        <w:ind w:left="660" w:right="168" w:hanging="361"/>
        <w:jc w:val="left"/>
        <w:rPr>
          <w:sz w:val="20"/>
        </w:rPr>
      </w:pPr>
      <w:r>
        <w:rPr>
          <w:sz w:val="20"/>
        </w:rPr>
        <w:t>An update on programme progress was provided. The initial programme scope had been developed and emerging thinking would be shared with the wider payments industry at the briefing sessions planned in December. Work was being progressed across a number of other areas, including assessing the impact on the Bank’s operating model and developing the solution</w:t>
      </w:r>
      <w:r>
        <w:rPr>
          <w:spacing w:val="-12"/>
          <w:sz w:val="20"/>
        </w:rPr>
        <w:t> </w:t>
      </w:r>
      <w:r>
        <w:rPr>
          <w:sz w:val="20"/>
        </w:rPr>
        <w:t>architecture.</w:t>
      </w:r>
    </w:p>
    <w:p>
      <w:pPr>
        <w:pStyle w:val="BodyText"/>
        <w:rPr>
          <w:sz w:val="23"/>
        </w:rPr>
      </w:pPr>
    </w:p>
    <w:p>
      <w:pPr>
        <w:pStyle w:val="ListParagraph"/>
        <w:numPr>
          <w:ilvl w:val="0"/>
          <w:numId w:val="1"/>
        </w:numPr>
        <w:tabs>
          <w:tab w:pos="661" w:val="left" w:leader="none"/>
        </w:tabs>
        <w:spacing w:line="276" w:lineRule="auto" w:before="0" w:after="0"/>
        <w:ind w:left="660" w:right="104" w:hanging="361"/>
        <w:jc w:val="left"/>
        <w:rPr>
          <w:sz w:val="20"/>
        </w:rPr>
      </w:pPr>
      <w:r>
        <w:rPr>
          <w:sz w:val="20"/>
        </w:rPr>
        <w:t>Detailed programme planning had continued to be a major area of focus. The Bank recognised the need for industry to have delivery timelines to support forward planning, and had therefore for the first time set out indicative date ranges for delivery of functionality. The indicative timeline of the programme was presented to the group. The Chair noted that public procurement considerations were also likely to make this phase longer than it might be for private</w:t>
      </w:r>
      <w:r>
        <w:rPr>
          <w:spacing w:val="-6"/>
          <w:sz w:val="20"/>
        </w:rPr>
        <w:t> </w:t>
      </w:r>
      <w:r>
        <w:rPr>
          <w:sz w:val="20"/>
        </w:rPr>
        <w:t>institutions</w:t>
      </w:r>
    </w:p>
    <w:p>
      <w:pPr>
        <w:pStyle w:val="BodyText"/>
        <w:rPr>
          <w:sz w:val="23"/>
        </w:rPr>
      </w:pPr>
    </w:p>
    <w:p>
      <w:pPr>
        <w:pStyle w:val="ListParagraph"/>
        <w:numPr>
          <w:ilvl w:val="0"/>
          <w:numId w:val="1"/>
        </w:numPr>
        <w:tabs>
          <w:tab w:pos="661" w:val="left" w:leader="none"/>
        </w:tabs>
        <w:spacing w:line="276" w:lineRule="auto" w:before="0" w:after="0"/>
        <w:ind w:left="660" w:right="190" w:hanging="361"/>
        <w:jc w:val="left"/>
        <w:rPr>
          <w:sz w:val="20"/>
        </w:rPr>
      </w:pPr>
      <w:r>
        <w:rPr>
          <w:sz w:val="20"/>
        </w:rPr>
        <w:t>Members asked whether the programme had considered the impact of migrating users concurrently meaning migration would need to move at the pace of the slowest. The Chair acknowledged the point and emphasised the role of the TWG in shaping a transition plan that enables a safe migration, while delivering the best possible outcomes for both the Bank and users of RTGS. In addition, members queried whether the Bank expects a period of parallel running. The Bank advised that there would be a period of dual running and this would be scoped and planned in due</w:t>
      </w:r>
      <w:r>
        <w:rPr>
          <w:spacing w:val="-7"/>
          <w:sz w:val="20"/>
        </w:rPr>
        <w:t> </w:t>
      </w:r>
      <w:r>
        <w:rPr>
          <w:sz w:val="20"/>
        </w:rPr>
        <w:t>course.</w:t>
      </w:r>
    </w:p>
    <w:p>
      <w:pPr>
        <w:pStyle w:val="BodyText"/>
        <w:rPr>
          <w:sz w:val="23"/>
        </w:rPr>
      </w:pPr>
    </w:p>
    <w:p>
      <w:pPr>
        <w:pStyle w:val="ListParagraph"/>
        <w:numPr>
          <w:ilvl w:val="0"/>
          <w:numId w:val="1"/>
        </w:numPr>
        <w:tabs>
          <w:tab w:pos="661" w:val="left" w:leader="none"/>
        </w:tabs>
        <w:spacing w:line="240" w:lineRule="auto" w:before="0" w:after="0"/>
        <w:ind w:left="660" w:right="0" w:hanging="361"/>
        <w:jc w:val="left"/>
        <w:rPr>
          <w:sz w:val="20"/>
        </w:rPr>
      </w:pPr>
      <w:r>
        <w:rPr>
          <w:sz w:val="20"/>
        </w:rPr>
        <w:t>The Chair noted that a number of other key design choices would also impact on the</w:t>
      </w:r>
      <w:r>
        <w:rPr>
          <w:spacing w:val="-8"/>
          <w:sz w:val="20"/>
        </w:rPr>
        <w:t> </w:t>
      </w:r>
      <w:r>
        <w:rPr>
          <w:sz w:val="20"/>
        </w:rPr>
        <w:t>timeline</w:t>
      </w:r>
    </w:p>
    <w:p>
      <w:pPr>
        <w:pStyle w:val="BodyText"/>
        <w:spacing w:before="6"/>
      </w:pPr>
    </w:p>
    <w:p>
      <w:pPr>
        <w:pStyle w:val="Heading1"/>
      </w:pPr>
      <w:r>
        <w:rPr/>
        <w:t>Item 3: Transition Questionnaire</w:t>
      </w:r>
    </w:p>
    <w:p>
      <w:pPr>
        <w:spacing w:after="0"/>
        <w:sectPr>
          <w:headerReference w:type="default" r:id="rId5"/>
          <w:footerReference w:type="default" r:id="rId6"/>
          <w:type w:val="continuous"/>
          <w:pgSz w:w="11910" w:h="16840"/>
          <w:pgMar w:header="247" w:footer="711" w:top="1340" w:bottom="900" w:left="1140" w:right="1040"/>
          <w:pgNumType w:start="1"/>
        </w:sectPr>
      </w:pPr>
    </w:p>
    <w:p>
      <w:pPr>
        <w:pStyle w:val="ListParagraph"/>
        <w:numPr>
          <w:ilvl w:val="0"/>
          <w:numId w:val="1"/>
        </w:numPr>
        <w:tabs>
          <w:tab w:pos="661" w:val="left" w:leader="none"/>
        </w:tabs>
        <w:spacing w:line="276" w:lineRule="auto" w:before="84" w:after="0"/>
        <w:ind w:left="660" w:right="467" w:hanging="361"/>
        <w:jc w:val="left"/>
        <w:rPr>
          <w:sz w:val="20"/>
        </w:rPr>
      </w:pPr>
      <w:r>
        <w:rPr>
          <w:sz w:val="20"/>
        </w:rPr>
        <w:t>The Bank will circulate a transition questionnaire to direct CHAPS participants and some other stakeholders in January 2018. The Chair outlined that the purpose of the questionnaire is to establish preferences regarding the sequence in which new functionality is delivered and to understand what constraints might impact timelines. The questionnaire was being shared in draft with the group to seek early views and</w:t>
      </w:r>
      <w:r>
        <w:rPr>
          <w:spacing w:val="-2"/>
          <w:sz w:val="20"/>
        </w:rPr>
        <w:t> </w:t>
      </w:r>
      <w:r>
        <w:rPr>
          <w:sz w:val="20"/>
        </w:rPr>
        <w:t>input.</w:t>
      </w:r>
    </w:p>
    <w:p>
      <w:pPr>
        <w:pStyle w:val="BodyText"/>
        <w:spacing w:before="11"/>
        <w:rPr>
          <w:sz w:val="22"/>
        </w:rPr>
      </w:pPr>
    </w:p>
    <w:p>
      <w:pPr>
        <w:pStyle w:val="ListParagraph"/>
        <w:numPr>
          <w:ilvl w:val="0"/>
          <w:numId w:val="1"/>
        </w:numPr>
        <w:tabs>
          <w:tab w:pos="661" w:val="left" w:leader="none"/>
        </w:tabs>
        <w:spacing w:line="276" w:lineRule="auto" w:before="0" w:after="0"/>
        <w:ind w:left="660" w:right="647" w:hanging="361"/>
        <w:jc w:val="left"/>
        <w:rPr>
          <w:sz w:val="20"/>
        </w:rPr>
      </w:pPr>
      <w:r>
        <w:rPr>
          <w:sz w:val="20"/>
        </w:rPr>
        <w:t>The TWG discussed the questionnaire. They noted that a number of questions required further clarification or additional supporting information to inform responses. In particular, members requested further information on the planned technical architecture. The Bank will incorporate feedback. The group was supportive of the overall</w:t>
      </w:r>
      <w:r>
        <w:rPr>
          <w:spacing w:val="-5"/>
          <w:sz w:val="20"/>
        </w:rPr>
        <w:t> </w:t>
      </w:r>
      <w:r>
        <w:rPr>
          <w:sz w:val="20"/>
        </w:rPr>
        <w:t>approach.</w:t>
      </w:r>
    </w:p>
    <w:p>
      <w:pPr>
        <w:pStyle w:val="BodyText"/>
        <w:spacing w:before="1"/>
        <w:rPr>
          <w:sz w:val="23"/>
        </w:rPr>
      </w:pPr>
    </w:p>
    <w:p>
      <w:pPr>
        <w:pStyle w:val="Heading1"/>
        <w:numPr>
          <w:ilvl w:val="0"/>
          <w:numId w:val="1"/>
        </w:numPr>
        <w:tabs>
          <w:tab w:pos="658" w:val="left" w:leader="none"/>
        </w:tabs>
        <w:spacing w:line="276" w:lineRule="auto" w:before="0" w:after="0"/>
        <w:ind w:left="658" w:right="464" w:hanging="358"/>
        <w:jc w:val="left"/>
      </w:pPr>
      <w:r>
        <w:rPr/>
        <w:t>Action: Bank to incorporate TWG feedback in to the questionnaire. Action: TWG members provide suggestions for a sample of other organisations to complete the</w:t>
      </w:r>
      <w:r>
        <w:rPr>
          <w:spacing w:val="-9"/>
        </w:rPr>
        <w:t> </w:t>
      </w:r>
      <w:r>
        <w:rPr/>
        <w:t>questionnaire.</w:t>
      </w:r>
    </w:p>
    <w:p>
      <w:pPr>
        <w:pStyle w:val="BodyText"/>
        <w:rPr>
          <w:b/>
          <w:sz w:val="22"/>
        </w:rPr>
      </w:pPr>
    </w:p>
    <w:p>
      <w:pPr>
        <w:pStyle w:val="BodyText"/>
        <w:spacing w:before="5"/>
        <w:rPr>
          <w:b/>
          <w:sz w:val="18"/>
        </w:rPr>
      </w:pPr>
    </w:p>
    <w:p>
      <w:pPr>
        <w:spacing w:before="0"/>
        <w:ind w:left="300" w:right="0" w:firstLine="0"/>
        <w:jc w:val="left"/>
        <w:rPr>
          <w:b/>
          <w:sz w:val="20"/>
        </w:rPr>
      </w:pPr>
      <w:r>
        <w:rPr>
          <w:b/>
          <w:sz w:val="20"/>
        </w:rPr>
        <w:t>Item 4: AOB</w:t>
      </w:r>
    </w:p>
    <w:p>
      <w:pPr>
        <w:pStyle w:val="BodyText"/>
        <w:spacing w:before="10"/>
        <w:rPr>
          <w:b/>
          <w:sz w:val="25"/>
        </w:rPr>
      </w:pPr>
    </w:p>
    <w:p>
      <w:pPr>
        <w:pStyle w:val="ListParagraph"/>
        <w:numPr>
          <w:ilvl w:val="0"/>
          <w:numId w:val="1"/>
        </w:numPr>
        <w:tabs>
          <w:tab w:pos="661" w:val="left" w:leader="none"/>
        </w:tabs>
        <w:spacing w:line="276" w:lineRule="auto" w:before="0" w:after="0"/>
        <w:ind w:left="660" w:right="192" w:hanging="361"/>
        <w:jc w:val="left"/>
        <w:rPr>
          <w:sz w:val="20"/>
        </w:rPr>
      </w:pPr>
      <w:r>
        <w:rPr>
          <w:sz w:val="20"/>
        </w:rPr>
        <w:t>The Bank advised that for direct members, the questionnaire will be distributed to participant representatives, Chaps Technical and Operations Committee (TOC) representatives and TWG members (if different). For those TOC members not at the TWG, the Bank was providing an update to the TOC on 13 December and would circulate the draft questionnaire to TOC following that meeting. In addition, the Bank would provide a wider update at the December industry briefing events.</w:t>
      </w:r>
    </w:p>
    <w:p>
      <w:pPr>
        <w:pStyle w:val="BodyText"/>
        <w:rPr>
          <w:sz w:val="23"/>
        </w:rPr>
      </w:pPr>
    </w:p>
    <w:p>
      <w:pPr>
        <w:pStyle w:val="ListParagraph"/>
        <w:numPr>
          <w:ilvl w:val="0"/>
          <w:numId w:val="1"/>
        </w:numPr>
        <w:tabs>
          <w:tab w:pos="658" w:val="left" w:leader="none"/>
        </w:tabs>
        <w:spacing w:line="276" w:lineRule="auto" w:before="1" w:after="0"/>
        <w:ind w:left="658" w:right="685" w:hanging="361"/>
        <w:jc w:val="left"/>
        <w:rPr>
          <w:sz w:val="20"/>
        </w:rPr>
      </w:pPr>
      <w:r>
        <w:rPr>
          <w:sz w:val="20"/>
        </w:rPr>
        <w:t>TWG members were asked to give early consideration as to who in their organisation would be needed to input to</w:t>
      </w:r>
      <w:r>
        <w:rPr>
          <w:spacing w:val="-4"/>
          <w:sz w:val="20"/>
        </w:rPr>
        <w:t> </w:t>
      </w:r>
      <w:r>
        <w:rPr>
          <w:sz w:val="20"/>
        </w:rPr>
        <w:t>responses.</w:t>
      </w:r>
    </w:p>
    <w:p>
      <w:pPr>
        <w:pStyle w:val="BodyText"/>
        <w:spacing w:before="7"/>
        <w:rPr>
          <w:sz w:val="17"/>
        </w:rPr>
      </w:pPr>
    </w:p>
    <w:tbl>
      <w:tblPr>
        <w:tblW w:w="0" w:type="auto"/>
        <w:jc w:val="left"/>
        <w:tblInd w:w="289" w:type="dxa"/>
        <w:tblBorders>
          <w:top w:val="single" w:sz="4" w:space="0" w:color="777877"/>
          <w:left w:val="single" w:sz="4" w:space="0" w:color="777877"/>
          <w:bottom w:val="single" w:sz="4" w:space="0" w:color="777877"/>
          <w:right w:val="single" w:sz="4" w:space="0" w:color="777877"/>
          <w:insideH w:val="single" w:sz="4" w:space="0" w:color="777877"/>
          <w:insideV w:val="single" w:sz="4" w:space="0" w:color="777877"/>
        </w:tblBorders>
        <w:tblLayout w:type="fixed"/>
        <w:tblCellMar>
          <w:top w:w="0" w:type="dxa"/>
          <w:left w:w="0" w:type="dxa"/>
          <w:bottom w:w="0" w:type="dxa"/>
          <w:right w:w="0" w:type="dxa"/>
        </w:tblCellMar>
        <w:tblLook w:val="01E0"/>
      </w:tblPr>
      <w:tblGrid>
        <w:gridCol w:w="894"/>
        <w:gridCol w:w="883"/>
        <w:gridCol w:w="2634"/>
        <w:gridCol w:w="1272"/>
        <w:gridCol w:w="996"/>
        <w:gridCol w:w="992"/>
        <w:gridCol w:w="1559"/>
      </w:tblGrid>
      <w:tr>
        <w:trPr>
          <w:trHeight w:val="690" w:hRule="atLeast"/>
        </w:trPr>
        <w:tc>
          <w:tcPr>
            <w:tcW w:w="894" w:type="dxa"/>
            <w:shd w:val="clear" w:color="auto" w:fill="8B0D64"/>
          </w:tcPr>
          <w:p>
            <w:pPr>
              <w:pStyle w:val="TableParagraph"/>
              <w:spacing w:before="113"/>
              <w:ind w:left="284" w:right="108" w:hanging="151"/>
              <w:rPr>
                <w:b/>
                <w:sz w:val="20"/>
              </w:rPr>
            </w:pPr>
            <w:r>
              <w:rPr>
                <w:b/>
                <w:color w:val="FFFFFF"/>
                <w:sz w:val="20"/>
              </w:rPr>
              <w:t>Action Ref</w:t>
            </w:r>
          </w:p>
        </w:tc>
        <w:tc>
          <w:tcPr>
            <w:tcW w:w="883" w:type="dxa"/>
            <w:shd w:val="clear" w:color="auto" w:fill="8B0D64"/>
          </w:tcPr>
          <w:p>
            <w:pPr>
              <w:pStyle w:val="TableParagraph"/>
              <w:ind w:left="189" w:right="177"/>
              <w:jc w:val="center"/>
              <w:rPr>
                <w:b/>
                <w:sz w:val="20"/>
              </w:rPr>
            </w:pPr>
            <w:r>
              <w:rPr>
                <w:b/>
                <w:color w:val="FFFFFF"/>
                <w:sz w:val="20"/>
              </w:rPr>
              <w:t>Date</w:t>
            </w:r>
            <w:r>
              <w:rPr>
                <w:b/>
                <w:color w:val="FFFFFF"/>
                <w:w w:val="100"/>
                <w:sz w:val="20"/>
              </w:rPr>
              <w:t> </w:t>
            </w:r>
            <w:r>
              <w:rPr>
                <w:b/>
                <w:color w:val="FFFFFF"/>
                <w:sz w:val="20"/>
              </w:rPr>
              <w:t>of</w:t>
            </w:r>
          </w:p>
          <w:p>
            <w:pPr>
              <w:pStyle w:val="TableParagraph"/>
              <w:spacing w:line="211" w:lineRule="exact"/>
              <w:ind w:left="189" w:right="177"/>
              <w:jc w:val="center"/>
              <w:rPr>
                <w:b/>
                <w:sz w:val="20"/>
              </w:rPr>
            </w:pPr>
            <w:r>
              <w:rPr>
                <w:b/>
                <w:color w:val="FFFFFF"/>
                <w:sz w:val="20"/>
              </w:rPr>
              <w:t>TWG</w:t>
            </w:r>
          </w:p>
        </w:tc>
        <w:tc>
          <w:tcPr>
            <w:tcW w:w="2634" w:type="dxa"/>
            <w:shd w:val="clear" w:color="auto" w:fill="8B0D64"/>
          </w:tcPr>
          <w:p>
            <w:pPr>
              <w:pStyle w:val="TableParagraph"/>
              <w:spacing w:before="10"/>
              <w:rPr>
                <w:sz w:val="19"/>
              </w:rPr>
            </w:pPr>
          </w:p>
          <w:p>
            <w:pPr>
              <w:pStyle w:val="TableParagraph"/>
              <w:ind w:left="108"/>
              <w:rPr>
                <w:b/>
                <w:sz w:val="20"/>
              </w:rPr>
            </w:pPr>
            <w:r>
              <w:rPr>
                <w:b/>
                <w:color w:val="FFFFFF"/>
                <w:sz w:val="20"/>
              </w:rPr>
              <w:t>Action agreed</w:t>
            </w:r>
          </w:p>
        </w:tc>
        <w:tc>
          <w:tcPr>
            <w:tcW w:w="1272" w:type="dxa"/>
            <w:shd w:val="clear" w:color="auto" w:fill="8B0D64"/>
          </w:tcPr>
          <w:p>
            <w:pPr>
              <w:pStyle w:val="TableParagraph"/>
              <w:spacing w:before="113"/>
              <w:ind w:left="107" w:right="512"/>
              <w:rPr>
                <w:b/>
                <w:sz w:val="20"/>
              </w:rPr>
            </w:pPr>
            <w:r>
              <w:rPr>
                <w:b/>
                <w:color w:val="FFFFFF"/>
                <w:sz w:val="20"/>
              </w:rPr>
              <w:t>Action Owner</w:t>
            </w:r>
          </w:p>
        </w:tc>
        <w:tc>
          <w:tcPr>
            <w:tcW w:w="996" w:type="dxa"/>
            <w:shd w:val="clear" w:color="auto" w:fill="8B0D64"/>
          </w:tcPr>
          <w:p>
            <w:pPr>
              <w:pStyle w:val="TableParagraph"/>
              <w:spacing w:before="113"/>
              <w:ind w:left="320" w:right="252" w:hanging="40"/>
              <w:rPr>
                <w:b/>
                <w:sz w:val="20"/>
              </w:rPr>
            </w:pPr>
            <w:r>
              <w:rPr>
                <w:b/>
                <w:color w:val="FFFFFF"/>
                <w:sz w:val="20"/>
              </w:rPr>
              <w:t>Date due</w:t>
            </w:r>
          </w:p>
        </w:tc>
        <w:tc>
          <w:tcPr>
            <w:tcW w:w="992" w:type="dxa"/>
            <w:shd w:val="clear" w:color="auto" w:fill="8B0D64"/>
          </w:tcPr>
          <w:p>
            <w:pPr>
              <w:pStyle w:val="TableParagraph"/>
              <w:spacing w:before="10"/>
              <w:rPr>
                <w:sz w:val="19"/>
              </w:rPr>
            </w:pPr>
          </w:p>
          <w:p>
            <w:pPr>
              <w:pStyle w:val="TableParagraph"/>
              <w:ind w:left="170" w:right="159"/>
              <w:jc w:val="center"/>
              <w:rPr>
                <w:b/>
                <w:sz w:val="20"/>
              </w:rPr>
            </w:pPr>
            <w:r>
              <w:rPr>
                <w:b/>
                <w:color w:val="FFFFFF"/>
                <w:sz w:val="20"/>
              </w:rPr>
              <w:t>Status</w:t>
            </w:r>
          </w:p>
        </w:tc>
        <w:tc>
          <w:tcPr>
            <w:tcW w:w="1559" w:type="dxa"/>
            <w:shd w:val="clear" w:color="auto" w:fill="8B0D64"/>
          </w:tcPr>
          <w:p>
            <w:pPr>
              <w:pStyle w:val="TableParagraph"/>
              <w:spacing w:before="10"/>
              <w:rPr>
                <w:sz w:val="19"/>
              </w:rPr>
            </w:pPr>
          </w:p>
          <w:p>
            <w:pPr>
              <w:pStyle w:val="TableParagraph"/>
              <w:ind w:left="108"/>
              <w:rPr>
                <w:b/>
                <w:sz w:val="20"/>
              </w:rPr>
            </w:pPr>
            <w:r>
              <w:rPr>
                <w:b/>
                <w:color w:val="FFFFFF"/>
                <w:sz w:val="20"/>
              </w:rPr>
              <w:t>Update</w:t>
            </w:r>
          </w:p>
        </w:tc>
      </w:tr>
      <w:tr>
        <w:trPr>
          <w:trHeight w:val="1050" w:hRule="atLeast"/>
        </w:trPr>
        <w:tc>
          <w:tcPr>
            <w:tcW w:w="894" w:type="dxa"/>
          </w:tcPr>
          <w:p>
            <w:pPr>
              <w:pStyle w:val="TableParagraph"/>
              <w:rPr>
                <w:sz w:val="22"/>
              </w:rPr>
            </w:pPr>
          </w:p>
          <w:p>
            <w:pPr>
              <w:pStyle w:val="TableParagraph"/>
              <w:spacing w:before="154"/>
              <w:ind w:left="7"/>
              <w:jc w:val="center"/>
              <w:rPr>
                <w:sz w:val="20"/>
              </w:rPr>
            </w:pPr>
            <w:r>
              <w:rPr>
                <w:w w:val="100"/>
                <w:sz w:val="20"/>
              </w:rPr>
              <w:t>1</w:t>
            </w:r>
          </w:p>
        </w:tc>
        <w:tc>
          <w:tcPr>
            <w:tcW w:w="883" w:type="dxa"/>
          </w:tcPr>
          <w:p>
            <w:pPr>
              <w:pStyle w:val="TableParagraph"/>
              <w:rPr>
                <w:sz w:val="22"/>
              </w:rPr>
            </w:pPr>
          </w:p>
          <w:p>
            <w:pPr>
              <w:pStyle w:val="TableParagraph"/>
              <w:spacing w:before="154"/>
              <w:ind w:left="88" w:right="77"/>
              <w:jc w:val="center"/>
              <w:rPr>
                <w:sz w:val="20"/>
              </w:rPr>
            </w:pPr>
            <w:r>
              <w:rPr>
                <w:sz w:val="20"/>
              </w:rPr>
              <w:t>8/12/17</w:t>
            </w:r>
          </w:p>
        </w:tc>
        <w:tc>
          <w:tcPr>
            <w:tcW w:w="2634" w:type="dxa"/>
          </w:tcPr>
          <w:p>
            <w:pPr>
              <w:pStyle w:val="TableParagraph"/>
              <w:spacing w:line="276" w:lineRule="auto" w:before="125"/>
              <w:ind w:left="108" w:right="377"/>
              <w:jc w:val="both"/>
              <w:rPr>
                <w:sz w:val="20"/>
              </w:rPr>
            </w:pPr>
            <w:r>
              <w:rPr>
                <w:sz w:val="20"/>
              </w:rPr>
              <w:t>The Bank to incorporate TWG feedback in to the transition questionnaire.</w:t>
            </w:r>
          </w:p>
        </w:tc>
        <w:tc>
          <w:tcPr>
            <w:tcW w:w="1272" w:type="dxa"/>
          </w:tcPr>
          <w:p>
            <w:pPr>
              <w:pStyle w:val="TableParagraph"/>
              <w:spacing w:before="4"/>
              <w:rPr>
                <w:sz w:val="25"/>
              </w:rPr>
            </w:pPr>
          </w:p>
          <w:p>
            <w:pPr>
              <w:pStyle w:val="TableParagraph"/>
              <w:ind w:left="107" w:right="90"/>
              <w:rPr>
                <w:sz w:val="20"/>
              </w:rPr>
            </w:pPr>
            <w:r>
              <w:rPr>
                <w:sz w:val="20"/>
              </w:rPr>
              <w:t>Programme Team</w:t>
            </w:r>
          </w:p>
        </w:tc>
        <w:tc>
          <w:tcPr>
            <w:tcW w:w="996" w:type="dxa"/>
          </w:tcPr>
          <w:p>
            <w:pPr>
              <w:pStyle w:val="TableParagraph"/>
              <w:rPr>
                <w:sz w:val="22"/>
              </w:rPr>
            </w:pPr>
          </w:p>
          <w:p>
            <w:pPr>
              <w:pStyle w:val="TableParagraph"/>
              <w:spacing w:before="154"/>
              <w:ind w:left="89" w:right="78"/>
              <w:jc w:val="center"/>
              <w:rPr>
                <w:sz w:val="20"/>
              </w:rPr>
            </w:pPr>
            <w:r>
              <w:rPr>
                <w:sz w:val="20"/>
              </w:rPr>
              <w:t>12/01/18</w:t>
            </w:r>
          </w:p>
        </w:tc>
        <w:tc>
          <w:tcPr>
            <w:tcW w:w="992" w:type="dxa"/>
          </w:tcPr>
          <w:p>
            <w:pPr>
              <w:pStyle w:val="TableParagraph"/>
              <w:rPr>
                <w:sz w:val="22"/>
              </w:rPr>
            </w:pPr>
          </w:p>
          <w:p>
            <w:pPr>
              <w:pStyle w:val="TableParagraph"/>
              <w:spacing w:before="154"/>
              <w:ind w:left="169" w:right="159"/>
              <w:jc w:val="center"/>
              <w:rPr>
                <w:sz w:val="20"/>
              </w:rPr>
            </w:pPr>
            <w:r>
              <w:rPr>
                <w:sz w:val="20"/>
              </w:rPr>
              <w:t>Open</w:t>
            </w:r>
          </w:p>
        </w:tc>
        <w:tc>
          <w:tcPr>
            <w:tcW w:w="1559" w:type="dxa"/>
          </w:tcPr>
          <w:p>
            <w:pPr>
              <w:pStyle w:val="TableParagraph"/>
              <w:rPr>
                <w:rFonts w:ascii="Times New Roman"/>
                <w:sz w:val="20"/>
              </w:rPr>
            </w:pPr>
          </w:p>
        </w:tc>
      </w:tr>
      <w:tr>
        <w:trPr>
          <w:trHeight w:val="920" w:hRule="atLeast"/>
        </w:trPr>
        <w:tc>
          <w:tcPr>
            <w:tcW w:w="894" w:type="dxa"/>
          </w:tcPr>
          <w:p>
            <w:pPr>
              <w:pStyle w:val="TableParagraph"/>
              <w:spacing w:before="9"/>
              <w:rPr>
                <w:sz w:val="29"/>
              </w:rPr>
            </w:pPr>
          </w:p>
          <w:p>
            <w:pPr>
              <w:pStyle w:val="TableParagraph"/>
              <w:ind w:left="7"/>
              <w:jc w:val="center"/>
              <w:rPr>
                <w:sz w:val="20"/>
              </w:rPr>
            </w:pPr>
            <w:r>
              <w:rPr>
                <w:w w:val="100"/>
                <w:sz w:val="20"/>
              </w:rPr>
              <w:t>2</w:t>
            </w:r>
          </w:p>
        </w:tc>
        <w:tc>
          <w:tcPr>
            <w:tcW w:w="883" w:type="dxa"/>
          </w:tcPr>
          <w:p>
            <w:pPr>
              <w:pStyle w:val="TableParagraph"/>
              <w:spacing w:before="9"/>
              <w:rPr>
                <w:sz w:val="29"/>
              </w:rPr>
            </w:pPr>
          </w:p>
          <w:p>
            <w:pPr>
              <w:pStyle w:val="TableParagraph"/>
              <w:ind w:left="88" w:right="77"/>
              <w:jc w:val="center"/>
              <w:rPr>
                <w:sz w:val="20"/>
              </w:rPr>
            </w:pPr>
            <w:r>
              <w:rPr>
                <w:sz w:val="20"/>
              </w:rPr>
              <w:t>8/12/17</w:t>
            </w:r>
          </w:p>
        </w:tc>
        <w:tc>
          <w:tcPr>
            <w:tcW w:w="2634" w:type="dxa"/>
          </w:tcPr>
          <w:p>
            <w:pPr>
              <w:pStyle w:val="TableParagraph"/>
              <w:ind w:left="108" w:right="272"/>
              <w:rPr>
                <w:sz w:val="20"/>
              </w:rPr>
            </w:pPr>
            <w:r>
              <w:rPr>
                <w:sz w:val="20"/>
              </w:rPr>
              <w:t>TWG members provide suggestions for a sample of other organisations to</w:t>
            </w:r>
          </w:p>
          <w:p>
            <w:pPr>
              <w:pStyle w:val="TableParagraph"/>
              <w:spacing w:line="213" w:lineRule="exact"/>
              <w:ind w:left="108"/>
              <w:rPr>
                <w:sz w:val="20"/>
              </w:rPr>
            </w:pPr>
            <w:r>
              <w:rPr>
                <w:sz w:val="20"/>
              </w:rPr>
              <w:t>complete the questionnaire</w:t>
            </w:r>
          </w:p>
        </w:tc>
        <w:tc>
          <w:tcPr>
            <w:tcW w:w="1272" w:type="dxa"/>
          </w:tcPr>
          <w:p>
            <w:pPr>
              <w:pStyle w:val="TableParagraph"/>
              <w:spacing w:before="9"/>
              <w:rPr>
                <w:sz w:val="29"/>
              </w:rPr>
            </w:pPr>
          </w:p>
          <w:p>
            <w:pPr>
              <w:pStyle w:val="TableParagraph"/>
              <w:ind w:left="107"/>
              <w:rPr>
                <w:sz w:val="20"/>
              </w:rPr>
            </w:pPr>
            <w:r>
              <w:rPr>
                <w:sz w:val="20"/>
              </w:rPr>
              <w:t>TWG</w:t>
            </w:r>
          </w:p>
        </w:tc>
        <w:tc>
          <w:tcPr>
            <w:tcW w:w="996" w:type="dxa"/>
          </w:tcPr>
          <w:p>
            <w:pPr>
              <w:pStyle w:val="TableParagraph"/>
              <w:spacing w:before="9"/>
              <w:rPr>
                <w:sz w:val="29"/>
              </w:rPr>
            </w:pPr>
          </w:p>
          <w:p>
            <w:pPr>
              <w:pStyle w:val="TableParagraph"/>
              <w:ind w:left="89" w:right="78"/>
              <w:jc w:val="center"/>
              <w:rPr>
                <w:sz w:val="20"/>
              </w:rPr>
            </w:pPr>
            <w:r>
              <w:rPr>
                <w:sz w:val="20"/>
              </w:rPr>
              <w:t>12/01/18</w:t>
            </w:r>
          </w:p>
        </w:tc>
        <w:tc>
          <w:tcPr>
            <w:tcW w:w="992" w:type="dxa"/>
          </w:tcPr>
          <w:p>
            <w:pPr>
              <w:pStyle w:val="TableParagraph"/>
              <w:spacing w:before="9"/>
              <w:rPr>
                <w:sz w:val="29"/>
              </w:rPr>
            </w:pPr>
          </w:p>
          <w:p>
            <w:pPr>
              <w:pStyle w:val="TableParagraph"/>
              <w:ind w:left="169" w:right="159"/>
              <w:jc w:val="center"/>
              <w:rPr>
                <w:sz w:val="20"/>
              </w:rPr>
            </w:pPr>
            <w:r>
              <w:rPr>
                <w:sz w:val="20"/>
              </w:rPr>
              <w:t>Open</w:t>
            </w:r>
          </w:p>
        </w:tc>
        <w:tc>
          <w:tcPr>
            <w:tcW w:w="1559" w:type="dxa"/>
          </w:tcPr>
          <w:p>
            <w:pPr>
              <w:pStyle w:val="TableParagraph"/>
              <w:rPr>
                <w:rFonts w:ascii="Times New Roman"/>
                <w:sz w:val="20"/>
              </w:rPr>
            </w:pPr>
          </w:p>
        </w:tc>
      </w:tr>
    </w:tbl>
    <w:sectPr>
      <w:pgSz w:w="11910" w:h="16840"/>
      <w:pgMar w:header="247" w:footer="711" w:top="1340" w:bottom="90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0.700012pt;margin-top:795.392517pt;width:11.05pt;height:12.1pt;mso-position-horizontal-relative:page;mso-position-vertical-relative:page;z-index:-25182822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87232">
          <wp:simplePos x="0" y="0"/>
          <wp:positionH relativeFrom="page">
            <wp:posOffset>4213323</wp:posOffset>
          </wp:positionH>
          <wp:positionV relativeFrom="page">
            <wp:posOffset>156844</wp:posOffset>
          </wp:positionV>
          <wp:extent cx="3337461" cy="6572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337461" cy="6572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0" w:hanging="361"/>
        <w:jc w:val="left"/>
      </w:pPr>
      <w:rPr>
        <w:rFonts w:hint="default" w:ascii="Arial" w:hAnsi="Arial" w:eastAsia="Arial" w:cs="Arial"/>
        <w:w w:val="100"/>
        <w:sz w:val="20"/>
        <w:szCs w:val="20"/>
        <w:lang w:val="en-gb" w:eastAsia="en-gb" w:bidi="en-gb"/>
      </w:rPr>
    </w:lvl>
    <w:lvl w:ilvl="1">
      <w:start w:val="0"/>
      <w:numFmt w:val="bullet"/>
      <w:lvlText w:val="•"/>
      <w:lvlJc w:val="left"/>
      <w:pPr>
        <w:ind w:left="1566" w:hanging="361"/>
      </w:pPr>
      <w:rPr>
        <w:rFonts w:hint="default"/>
        <w:lang w:val="en-gb" w:eastAsia="en-gb" w:bidi="en-gb"/>
      </w:rPr>
    </w:lvl>
    <w:lvl w:ilvl="2">
      <w:start w:val="0"/>
      <w:numFmt w:val="bullet"/>
      <w:lvlText w:val="•"/>
      <w:lvlJc w:val="left"/>
      <w:pPr>
        <w:ind w:left="2473" w:hanging="361"/>
      </w:pPr>
      <w:rPr>
        <w:rFonts w:hint="default"/>
        <w:lang w:val="en-gb" w:eastAsia="en-gb" w:bidi="en-gb"/>
      </w:rPr>
    </w:lvl>
    <w:lvl w:ilvl="3">
      <w:start w:val="0"/>
      <w:numFmt w:val="bullet"/>
      <w:lvlText w:val="•"/>
      <w:lvlJc w:val="left"/>
      <w:pPr>
        <w:ind w:left="3379" w:hanging="361"/>
      </w:pPr>
      <w:rPr>
        <w:rFonts w:hint="default"/>
        <w:lang w:val="en-gb" w:eastAsia="en-gb" w:bidi="en-gb"/>
      </w:rPr>
    </w:lvl>
    <w:lvl w:ilvl="4">
      <w:start w:val="0"/>
      <w:numFmt w:val="bullet"/>
      <w:lvlText w:val="•"/>
      <w:lvlJc w:val="left"/>
      <w:pPr>
        <w:ind w:left="4286" w:hanging="361"/>
      </w:pPr>
      <w:rPr>
        <w:rFonts w:hint="default"/>
        <w:lang w:val="en-gb" w:eastAsia="en-gb" w:bidi="en-gb"/>
      </w:rPr>
    </w:lvl>
    <w:lvl w:ilvl="5">
      <w:start w:val="0"/>
      <w:numFmt w:val="bullet"/>
      <w:lvlText w:val="•"/>
      <w:lvlJc w:val="left"/>
      <w:pPr>
        <w:ind w:left="5193" w:hanging="361"/>
      </w:pPr>
      <w:rPr>
        <w:rFonts w:hint="default"/>
        <w:lang w:val="en-gb" w:eastAsia="en-gb" w:bidi="en-gb"/>
      </w:rPr>
    </w:lvl>
    <w:lvl w:ilvl="6">
      <w:start w:val="0"/>
      <w:numFmt w:val="bullet"/>
      <w:lvlText w:val="•"/>
      <w:lvlJc w:val="left"/>
      <w:pPr>
        <w:ind w:left="6099" w:hanging="361"/>
      </w:pPr>
      <w:rPr>
        <w:rFonts w:hint="default"/>
        <w:lang w:val="en-gb" w:eastAsia="en-gb" w:bidi="en-gb"/>
      </w:rPr>
    </w:lvl>
    <w:lvl w:ilvl="7">
      <w:start w:val="0"/>
      <w:numFmt w:val="bullet"/>
      <w:lvlText w:val="•"/>
      <w:lvlJc w:val="left"/>
      <w:pPr>
        <w:ind w:left="7006" w:hanging="361"/>
      </w:pPr>
      <w:rPr>
        <w:rFonts w:hint="default"/>
        <w:lang w:val="en-gb" w:eastAsia="en-gb" w:bidi="en-gb"/>
      </w:rPr>
    </w:lvl>
    <w:lvl w:ilvl="8">
      <w:start w:val="0"/>
      <w:numFmt w:val="bullet"/>
      <w:lvlText w:val="•"/>
      <w:lvlJc w:val="left"/>
      <w:pPr>
        <w:ind w:left="7913" w:hanging="3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660"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RTGS Renewal Transition Working Group - Minutes</dc:title>
  <dcterms:created xsi:type="dcterms:W3CDTF">2020-06-01T02:19:40Z</dcterms:created>
  <dcterms:modified xsi:type="dcterms:W3CDTF">2020-06-01T02:19:40Z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LastSaved">
    <vt:filetime>2020-06-01T00:00:00Z</vt:filetime>
  </property>
</Properties>
</file>