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056" w:val="left" w:leader="none"/>
        </w:tabs>
        <w:spacing w:line="240" w:lineRule="auto"/>
        <w:ind w:left="100" w:right="0" w:firstLine="0"/>
        <w:rPr>
          <w:rFonts w:ascii="Times New Roman"/>
          <w:sz w:val="20"/>
        </w:rPr>
      </w:pPr>
      <w:r>
        <w:rPr>
          <w:rFonts w:ascii="Times New Roman"/>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5"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33"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0;top:0;width:194;height:202" type="#_x0000_t75" stroked="false">
              <v:imagedata r:id="rId11" o:title=""/>
            </v:shape>
            <v:shape style="position:absolute;left:258;top:1;width:113;height:197"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3"/>
          <w:position w:val="27"/>
          <w:sz w:val="19"/>
        </w:rPr>
        <w:t> </w:t>
      </w:r>
      <w:r>
        <w:rPr>
          <w:rFonts w:ascii="Times New Roman"/>
          <w:spacing w:val="13"/>
          <w:position w:val="27"/>
          <w:sz w:val="20"/>
        </w:rPr>
        <w:pict>
          <v:group style="width:26.65pt;height:9.9pt;mso-position-horizontal-relative:char;mso-position-vertical-relative:line" coordorigin="0,0" coordsize="533,198">
            <v:shape style="position:absolute;left:134;top:0;width:175;height:198" type="#_x0000_t75" stroked="false">
              <v:imagedata r:id="rId16" o:title=""/>
            </v:shape>
            <v:shape style="position:absolute;left:0;top:0;width:101;height:197" type="#_x0000_t75" stroked="false">
              <v:imagedata r:id="rId17" o:title=""/>
            </v:shape>
            <v:shape style="position:absolute;left:361;top:0;width:171;height:197" type="#_x0000_t75" stroked="false">
              <v:imagedata r:id="rId18" o:title=""/>
            </v:shape>
          </v:group>
        </w:pict>
      </w:r>
      <w:r>
        <w:rPr>
          <w:rFonts w:ascii="Times New Roman"/>
          <w:spacing w:val="13"/>
          <w:position w:val="27"/>
          <w:sz w:val="20"/>
        </w:rPr>
      </w:r>
      <w:r>
        <w:rPr>
          <w:rFonts w:ascii="Times New Roman"/>
          <w:spacing w:val="15"/>
          <w:position w:val="27"/>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spacing w:before="1"/>
        <w:rPr>
          <w:rFonts w:ascii="Times New Roman"/>
          <w:sz w:val="23"/>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7321"/>
        <w:gridCol w:w="807"/>
      </w:tblGrid>
      <w:tr>
        <w:trPr>
          <w:trHeight w:val="535" w:hRule="atLeast"/>
        </w:trPr>
        <w:tc>
          <w:tcPr>
            <w:tcW w:w="9194" w:type="dxa"/>
            <w:gridSpan w:val="3"/>
          </w:tcPr>
          <w:p>
            <w:pPr>
              <w:pStyle w:val="TableParagraph"/>
              <w:spacing w:line="491" w:lineRule="exact"/>
              <w:ind w:left="2"/>
              <w:rPr>
                <w:sz w:val="44"/>
              </w:rPr>
            </w:pPr>
            <w:r>
              <w:rPr>
                <w:sz w:val="44"/>
              </w:rPr>
              <w:t>Minutes</w:t>
            </w:r>
          </w:p>
        </w:tc>
      </w:tr>
      <w:tr>
        <w:trPr>
          <w:trHeight w:val="337" w:hRule="atLeast"/>
        </w:trPr>
        <w:tc>
          <w:tcPr>
            <w:tcW w:w="9194" w:type="dxa"/>
            <w:gridSpan w:val="3"/>
          </w:tcPr>
          <w:p>
            <w:pPr>
              <w:pStyle w:val="TableParagraph"/>
              <w:spacing w:before="37"/>
              <w:ind w:left="2"/>
              <w:rPr>
                <w:b/>
                <w:sz w:val="24"/>
              </w:rPr>
            </w:pPr>
            <w:r>
              <w:rPr>
                <w:b/>
                <w:sz w:val="24"/>
              </w:rPr>
              <w:t>SONIA Advisory Committee</w:t>
            </w:r>
          </w:p>
        </w:tc>
      </w:tr>
      <w:tr>
        <w:trPr>
          <w:trHeight w:val="560" w:hRule="atLeast"/>
        </w:trPr>
        <w:tc>
          <w:tcPr>
            <w:tcW w:w="9194" w:type="dxa"/>
            <w:gridSpan w:val="3"/>
            <w:tcBorders>
              <w:bottom w:val="single" w:sz="4" w:space="0" w:color="000000"/>
            </w:tcBorders>
          </w:tcPr>
          <w:p>
            <w:pPr>
              <w:pStyle w:val="TableParagraph"/>
              <w:spacing w:before="16"/>
              <w:ind w:left="2"/>
              <w:rPr>
                <w:sz w:val="24"/>
              </w:rPr>
            </w:pPr>
            <w:r>
              <w:rPr>
                <w:sz w:val="24"/>
              </w:rPr>
              <w:t>16 March 2017</w:t>
            </w:r>
          </w:p>
        </w:tc>
      </w:tr>
      <w:tr>
        <w:trPr>
          <w:trHeight w:val="577" w:hRule="atLeast"/>
        </w:trPr>
        <w:tc>
          <w:tcPr>
            <w:tcW w:w="1066" w:type="dxa"/>
            <w:tcBorders>
              <w:top w:val="single" w:sz="4" w:space="0" w:color="000000"/>
            </w:tcBorders>
          </w:tcPr>
          <w:p>
            <w:pPr>
              <w:pStyle w:val="TableParagraph"/>
              <w:spacing w:before="3"/>
              <w:rPr>
                <w:rFonts w:ascii="Times New Roman"/>
                <w:sz w:val="18"/>
              </w:rPr>
            </w:pPr>
          </w:p>
          <w:p>
            <w:pPr>
              <w:pStyle w:val="TableParagraph"/>
              <w:ind w:left="2"/>
              <w:rPr>
                <w:b/>
                <w:sz w:val="20"/>
              </w:rPr>
            </w:pPr>
            <w:r>
              <w:rPr>
                <w:b/>
                <w:sz w:val="20"/>
              </w:rPr>
              <w:t>Location:</w:t>
            </w:r>
          </w:p>
        </w:tc>
        <w:tc>
          <w:tcPr>
            <w:tcW w:w="7321" w:type="dxa"/>
            <w:tcBorders>
              <w:top w:val="single" w:sz="4" w:space="0" w:color="000000"/>
            </w:tcBorders>
          </w:tcPr>
          <w:p>
            <w:pPr>
              <w:pStyle w:val="TableParagraph"/>
              <w:spacing w:before="6"/>
              <w:rPr>
                <w:rFonts w:ascii="Times New Roman"/>
                <w:sz w:val="18"/>
              </w:rPr>
            </w:pPr>
          </w:p>
          <w:p>
            <w:pPr>
              <w:pStyle w:val="TableParagraph"/>
              <w:ind w:left="33"/>
              <w:rPr>
                <w:sz w:val="20"/>
              </w:rPr>
            </w:pPr>
            <w:r>
              <w:rPr>
                <w:sz w:val="20"/>
              </w:rPr>
              <w:t>Bank of England</w:t>
            </w:r>
          </w:p>
        </w:tc>
        <w:tc>
          <w:tcPr>
            <w:tcW w:w="807" w:type="dxa"/>
            <w:tcBorders>
              <w:top w:val="single" w:sz="4" w:space="0" w:color="000000"/>
            </w:tcBorders>
          </w:tcPr>
          <w:p>
            <w:pPr>
              <w:pStyle w:val="TableParagraph"/>
              <w:rPr>
                <w:rFonts w:ascii="Times New Roman"/>
                <w:sz w:val="20"/>
              </w:rPr>
            </w:pPr>
          </w:p>
        </w:tc>
      </w:tr>
      <w:tr>
        <w:trPr>
          <w:trHeight w:val="2286" w:hRule="atLeast"/>
        </w:trPr>
        <w:tc>
          <w:tcPr>
            <w:tcW w:w="1066" w:type="dxa"/>
          </w:tcPr>
          <w:p>
            <w:pPr>
              <w:pStyle w:val="TableParagraph"/>
              <w:spacing w:before="127"/>
              <w:ind w:left="2"/>
              <w:rPr>
                <w:b/>
                <w:sz w:val="20"/>
              </w:rPr>
            </w:pPr>
            <w:r>
              <w:rPr>
                <w:b/>
                <w:sz w:val="20"/>
              </w:rPr>
              <w:t>Members:</w:t>
            </w:r>
          </w:p>
        </w:tc>
        <w:tc>
          <w:tcPr>
            <w:tcW w:w="7321" w:type="dxa"/>
          </w:tcPr>
          <w:p>
            <w:pPr>
              <w:pStyle w:val="TableParagraph"/>
              <w:spacing w:before="127"/>
              <w:ind w:left="33" w:right="5578"/>
              <w:rPr>
                <w:sz w:val="20"/>
              </w:rPr>
            </w:pPr>
            <w:r>
              <w:rPr>
                <w:sz w:val="20"/>
              </w:rPr>
              <w:t>Sarah John (Chair) Alex McDonald David Clark</w:t>
            </w:r>
          </w:p>
          <w:p>
            <w:pPr>
              <w:pStyle w:val="TableParagraph"/>
              <w:spacing w:before="1"/>
              <w:ind w:left="33" w:right="6021"/>
              <w:rPr>
                <w:sz w:val="20"/>
              </w:rPr>
            </w:pPr>
            <w:r>
              <w:rPr>
                <w:sz w:val="20"/>
              </w:rPr>
              <w:t>Philip</w:t>
            </w:r>
            <w:r>
              <w:rPr>
                <w:spacing w:val="-15"/>
                <w:sz w:val="20"/>
              </w:rPr>
              <w:t> </w:t>
            </w:r>
            <w:r>
              <w:rPr>
                <w:sz w:val="20"/>
              </w:rPr>
              <w:t>Chilvers Brad Jeffery Will Parry Rob Thurlow Peter</w:t>
            </w:r>
            <w:r>
              <w:rPr>
                <w:spacing w:val="-3"/>
                <w:sz w:val="20"/>
              </w:rPr>
              <w:t> </w:t>
            </w:r>
            <w:r>
              <w:rPr>
                <w:sz w:val="20"/>
              </w:rPr>
              <w:t>Weston</w:t>
            </w:r>
          </w:p>
          <w:p>
            <w:pPr>
              <w:pStyle w:val="TableParagraph"/>
              <w:spacing w:before="3"/>
              <w:ind w:left="33"/>
              <w:rPr>
                <w:sz w:val="20"/>
              </w:rPr>
            </w:pPr>
            <w:r>
              <w:rPr>
                <w:sz w:val="20"/>
              </w:rPr>
              <w:t>Philip Whitehurst</w:t>
            </w:r>
          </w:p>
        </w:tc>
        <w:tc>
          <w:tcPr>
            <w:tcW w:w="807" w:type="dxa"/>
          </w:tcPr>
          <w:p>
            <w:pPr>
              <w:pStyle w:val="TableParagraph"/>
              <w:rPr>
                <w:rFonts w:ascii="Times New Roman"/>
                <w:sz w:val="20"/>
              </w:rPr>
            </w:pPr>
          </w:p>
        </w:tc>
      </w:tr>
      <w:tr>
        <w:trPr>
          <w:trHeight w:val="888" w:hRule="atLeast"/>
        </w:trPr>
        <w:tc>
          <w:tcPr>
            <w:tcW w:w="1066" w:type="dxa"/>
          </w:tcPr>
          <w:p>
            <w:pPr>
              <w:pStyle w:val="TableParagraph"/>
              <w:spacing w:before="78"/>
              <w:ind w:left="2"/>
              <w:rPr>
                <w:b/>
                <w:sz w:val="20"/>
              </w:rPr>
            </w:pPr>
            <w:r>
              <w:rPr>
                <w:b/>
                <w:sz w:val="20"/>
              </w:rPr>
              <w:t>Attendees:</w:t>
            </w:r>
          </w:p>
        </w:tc>
        <w:tc>
          <w:tcPr>
            <w:tcW w:w="7321" w:type="dxa"/>
          </w:tcPr>
          <w:p>
            <w:pPr>
              <w:pStyle w:val="TableParagraph"/>
              <w:spacing w:line="276" w:lineRule="auto" w:before="80"/>
              <w:ind w:left="33" w:right="6123"/>
              <w:rPr>
                <w:sz w:val="20"/>
              </w:rPr>
            </w:pPr>
            <w:r>
              <w:rPr>
                <w:sz w:val="20"/>
              </w:rPr>
              <w:t>Rob Harris Steve Wright</w:t>
            </w:r>
          </w:p>
          <w:p>
            <w:pPr>
              <w:pStyle w:val="TableParagraph"/>
              <w:spacing w:before="2"/>
              <w:ind w:left="33"/>
              <w:rPr>
                <w:sz w:val="20"/>
              </w:rPr>
            </w:pPr>
            <w:r>
              <w:rPr>
                <w:sz w:val="20"/>
              </w:rPr>
              <w:t>Joanna McLafferty</w:t>
            </w:r>
          </w:p>
        </w:tc>
        <w:tc>
          <w:tcPr>
            <w:tcW w:w="807" w:type="dxa"/>
          </w:tcPr>
          <w:p>
            <w:pPr>
              <w:pStyle w:val="TableParagraph"/>
              <w:rPr>
                <w:rFonts w:ascii="Times New Roman"/>
                <w:sz w:val="20"/>
              </w:rPr>
            </w:pPr>
          </w:p>
        </w:tc>
      </w:tr>
      <w:tr>
        <w:trPr>
          <w:trHeight w:val="505" w:hRule="atLeast"/>
        </w:trPr>
        <w:tc>
          <w:tcPr>
            <w:tcW w:w="1066" w:type="dxa"/>
            <w:tcBorders>
              <w:bottom w:val="single" w:sz="2" w:space="0" w:color="000000"/>
            </w:tcBorders>
          </w:tcPr>
          <w:p>
            <w:pPr>
              <w:pStyle w:val="TableParagraph"/>
              <w:spacing w:before="40"/>
              <w:ind w:left="2"/>
              <w:rPr>
                <w:b/>
                <w:sz w:val="20"/>
              </w:rPr>
            </w:pPr>
            <w:r>
              <w:rPr>
                <w:b/>
                <w:sz w:val="20"/>
              </w:rPr>
              <w:t>Apologies</w:t>
            </w:r>
          </w:p>
        </w:tc>
        <w:tc>
          <w:tcPr>
            <w:tcW w:w="7321" w:type="dxa"/>
            <w:tcBorders>
              <w:bottom w:val="single" w:sz="2" w:space="0" w:color="000000"/>
            </w:tcBorders>
          </w:tcPr>
          <w:p>
            <w:pPr>
              <w:pStyle w:val="TableParagraph"/>
              <w:spacing w:before="42"/>
              <w:ind w:left="33"/>
              <w:rPr>
                <w:sz w:val="20"/>
              </w:rPr>
            </w:pPr>
            <w:r>
              <w:rPr>
                <w:sz w:val="20"/>
              </w:rPr>
              <w:t>Ian Mair</w:t>
            </w:r>
          </w:p>
        </w:tc>
        <w:tc>
          <w:tcPr>
            <w:tcW w:w="807" w:type="dxa"/>
            <w:tcBorders>
              <w:bottom w:val="single" w:sz="2" w:space="0" w:color="000000"/>
            </w:tcBorders>
          </w:tcPr>
          <w:p>
            <w:pPr>
              <w:pStyle w:val="TableParagraph"/>
              <w:rPr>
                <w:rFonts w:ascii="Times New Roman"/>
                <w:sz w:val="20"/>
              </w:rPr>
            </w:pPr>
          </w:p>
        </w:tc>
      </w:tr>
      <w:tr>
        <w:trPr>
          <w:trHeight w:val="695" w:hRule="atLeast"/>
        </w:trPr>
        <w:tc>
          <w:tcPr>
            <w:tcW w:w="1066" w:type="dxa"/>
            <w:tcBorders>
              <w:top w:val="single" w:sz="2" w:space="0" w:color="000000"/>
            </w:tcBorders>
          </w:tcPr>
          <w:p>
            <w:pPr>
              <w:pStyle w:val="TableParagraph"/>
              <w:spacing w:before="6"/>
              <w:rPr>
                <w:rFonts w:ascii="Times New Roman"/>
                <w:sz w:val="19"/>
              </w:rPr>
            </w:pPr>
          </w:p>
          <w:p>
            <w:pPr>
              <w:pStyle w:val="TableParagraph"/>
              <w:spacing w:line="230" w:lineRule="atLeast"/>
              <w:ind w:left="110" w:right="291"/>
              <w:rPr>
                <w:b/>
                <w:sz w:val="20"/>
              </w:rPr>
            </w:pPr>
            <w:r>
              <w:rPr>
                <w:b/>
                <w:sz w:val="20"/>
              </w:rPr>
              <w:t>Minute no.</w:t>
            </w:r>
          </w:p>
        </w:tc>
        <w:tc>
          <w:tcPr>
            <w:tcW w:w="7321" w:type="dxa"/>
            <w:tcBorders>
              <w:top w:val="single" w:sz="2" w:space="0" w:color="000000"/>
            </w:tcBorders>
          </w:tcPr>
          <w:p>
            <w:pPr>
              <w:pStyle w:val="TableParagraph"/>
              <w:spacing w:before="6"/>
              <w:rPr>
                <w:rFonts w:ascii="Times New Roman"/>
                <w:sz w:val="19"/>
              </w:rPr>
            </w:pPr>
          </w:p>
          <w:p>
            <w:pPr>
              <w:pStyle w:val="TableParagraph"/>
              <w:ind w:left="76"/>
              <w:rPr>
                <w:b/>
                <w:sz w:val="20"/>
              </w:rPr>
            </w:pPr>
            <w:r>
              <w:rPr>
                <w:b/>
                <w:sz w:val="20"/>
              </w:rPr>
              <w:t>Minute</w:t>
            </w:r>
          </w:p>
        </w:tc>
        <w:tc>
          <w:tcPr>
            <w:tcW w:w="807" w:type="dxa"/>
            <w:tcBorders>
              <w:top w:val="single" w:sz="2" w:space="0" w:color="000000"/>
            </w:tcBorders>
          </w:tcPr>
          <w:p>
            <w:pPr>
              <w:pStyle w:val="TableParagraph"/>
              <w:spacing w:before="6"/>
              <w:rPr>
                <w:rFonts w:ascii="Times New Roman"/>
                <w:sz w:val="19"/>
              </w:rPr>
            </w:pPr>
          </w:p>
          <w:p>
            <w:pPr>
              <w:pStyle w:val="TableParagraph"/>
              <w:ind w:right="13"/>
              <w:jc w:val="right"/>
              <w:rPr>
                <w:b/>
                <w:sz w:val="20"/>
              </w:rPr>
            </w:pPr>
            <w:r>
              <w:rPr>
                <w:b/>
                <w:sz w:val="20"/>
              </w:rPr>
              <w:t>Action</w:t>
            </w:r>
          </w:p>
        </w:tc>
      </w:tr>
      <w:tr>
        <w:trPr>
          <w:trHeight w:val="3598" w:hRule="atLeast"/>
        </w:trPr>
        <w:tc>
          <w:tcPr>
            <w:tcW w:w="1066" w:type="dxa"/>
          </w:tcPr>
          <w:p>
            <w:pPr>
              <w:pStyle w:val="TableParagraph"/>
              <w:spacing w:before="5"/>
              <w:ind w:left="110"/>
              <w:rPr>
                <w:sz w:val="20"/>
              </w:rPr>
            </w:pPr>
            <w:r>
              <w:rPr>
                <w:sz w:val="20"/>
              </w:rPr>
              <w:t>1.</w:t>
            </w:r>
          </w:p>
        </w:tc>
        <w:tc>
          <w:tcPr>
            <w:tcW w:w="7321" w:type="dxa"/>
          </w:tcPr>
          <w:p>
            <w:pPr>
              <w:pStyle w:val="TableParagraph"/>
              <w:spacing w:before="2"/>
              <w:ind w:left="76"/>
              <w:rPr>
                <w:b/>
                <w:sz w:val="20"/>
              </w:rPr>
            </w:pPr>
            <w:r>
              <w:rPr>
                <w:b/>
                <w:sz w:val="20"/>
              </w:rPr>
              <w:t>Review of the SONIA</w:t>
            </w:r>
            <w:r>
              <w:rPr>
                <w:b/>
                <w:spacing w:val="-12"/>
                <w:sz w:val="20"/>
              </w:rPr>
              <w:t> </w:t>
            </w:r>
            <w:r>
              <w:rPr>
                <w:b/>
                <w:sz w:val="20"/>
              </w:rPr>
              <w:t>Dashboard</w:t>
            </w:r>
          </w:p>
          <w:p>
            <w:pPr>
              <w:pStyle w:val="TableParagraph"/>
              <w:spacing w:before="3"/>
              <w:ind w:left="76" w:right="999"/>
              <w:rPr>
                <w:sz w:val="20"/>
              </w:rPr>
            </w:pPr>
            <w:r>
              <w:rPr>
                <w:sz w:val="20"/>
              </w:rPr>
              <w:t>The Committee reviewed the SONIA Dashboard covering the period</w:t>
            </w:r>
            <w:r>
              <w:rPr>
                <w:spacing w:val="-22"/>
                <w:sz w:val="20"/>
              </w:rPr>
              <w:t> </w:t>
            </w:r>
            <w:r>
              <w:rPr>
                <w:sz w:val="20"/>
              </w:rPr>
              <w:t>of December 2016 to February</w:t>
            </w:r>
            <w:r>
              <w:rPr>
                <w:spacing w:val="-4"/>
                <w:sz w:val="20"/>
              </w:rPr>
              <w:t> </w:t>
            </w:r>
            <w:r>
              <w:rPr>
                <w:sz w:val="20"/>
              </w:rPr>
              <w:t>2017.</w:t>
            </w:r>
          </w:p>
          <w:p>
            <w:pPr>
              <w:pStyle w:val="TableParagraph"/>
              <w:spacing w:before="8"/>
              <w:rPr>
                <w:rFonts w:ascii="Times New Roman"/>
                <w:sz w:val="20"/>
              </w:rPr>
            </w:pPr>
          </w:p>
          <w:p>
            <w:pPr>
              <w:pStyle w:val="TableParagraph"/>
              <w:spacing w:before="1"/>
              <w:ind w:left="76" w:right="274"/>
              <w:rPr>
                <w:sz w:val="20"/>
              </w:rPr>
            </w:pPr>
            <w:r>
              <w:rPr>
                <w:sz w:val="20"/>
              </w:rPr>
              <w:t>SONIA had been stable throughout the period, with the exception of year-end, when the rate fell significantly compared to previous quarter-ends. It was noted that daily trading volumes had increased over the quarter with the exception of year-end. There was a brief discussion of possible reasons driving the volume increase, including: substitution out of Treasury Bills or secured markets; substitution down the maturity curve; and cross-currency arbitrage.</w:t>
            </w:r>
          </w:p>
          <w:p>
            <w:pPr>
              <w:pStyle w:val="TableParagraph"/>
              <w:spacing w:before="10"/>
              <w:rPr>
                <w:rFonts w:ascii="Times New Roman"/>
                <w:sz w:val="20"/>
              </w:rPr>
            </w:pPr>
          </w:p>
          <w:p>
            <w:pPr>
              <w:pStyle w:val="TableParagraph"/>
              <w:ind w:left="76" w:right="154"/>
              <w:rPr>
                <w:sz w:val="20"/>
              </w:rPr>
            </w:pPr>
            <w:r>
              <w:rPr>
                <w:sz w:val="20"/>
              </w:rPr>
              <w:t>There were five contributor reporting issues during the quarter; none had impact on SONIA above the 1 basis point re-publication threshold. The Committee members expressed their general impression that the number of contributors’ reporting and system issues had been steadily falling.</w:t>
            </w:r>
          </w:p>
        </w:tc>
        <w:tc>
          <w:tcPr>
            <w:tcW w:w="807" w:type="dxa"/>
          </w:tcPr>
          <w:p>
            <w:pPr>
              <w:pStyle w:val="TableParagraph"/>
              <w:spacing w:before="5"/>
              <w:ind w:right="14"/>
              <w:jc w:val="right"/>
              <w:rPr>
                <w:sz w:val="20"/>
              </w:rPr>
            </w:pPr>
            <w:r>
              <w:rPr>
                <w:w w:val="95"/>
                <w:sz w:val="20"/>
              </w:rPr>
              <w:t>N/A</w:t>
            </w:r>
          </w:p>
        </w:tc>
      </w:tr>
      <w:tr>
        <w:trPr>
          <w:trHeight w:val="3576" w:hRule="atLeast"/>
        </w:trPr>
        <w:tc>
          <w:tcPr>
            <w:tcW w:w="1066" w:type="dxa"/>
          </w:tcPr>
          <w:p>
            <w:pPr>
              <w:pStyle w:val="TableParagraph"/>
              <w:spacing w:before="118"/>
              <w:ind w:left="110"/>
              <w:rPr>
                <w:sz w:val="20"/>
              </w:rPr>
            </w:pPr>
            <w:r>
              <w:rPr>
                <w:sz w:val="20"/>
              </w:rPr>
              <w:t>2.</w:t>
            </w:r>
          </w:p>
        </w:tc>
        <w:tc>
          <w:tcPr>
            <w:tcW w:w="7321" w:type="dxa"/>
          </w:tcPr>
          <w:p>
            <w:pPr>
              <w:pStyle w:val="TableParagraph"/>
              <w:spacing w:before="115"/>
              <w:ind w:left="76"/>
              <w:rPr>
                <w:b/>
                <w:sz w:val="20"/>
              </w:rPr>
            </w:pPr>
            <w:r>
              <w:rPr>
                <w:b/>
                <w:sz w:val="20"/>
              </w:rPr>
              <w:t>Reform of SONIA: supplementary consultation</w:t>
            </w:r>
          </w:p>
          <w:p>
            <w:pPr>
              <w:pStyle w:val="TableParagraph"/>
              <w:spacing w:before="1"/>
              <w:ind w:left="76" w:right="274"/>
              <w:rPr>
                <w:sz w:val="20"/>
              </w:rPr>
            </w:pPr>
            <w:r>
              <w:rPr>
                <w:sz w:val="20"/>
              </w:rPr>
              <w:t>The Bank updated the Committee on the supplementary consultation for reformed SONIA and the revised timeline of the reform. The consultation was due to close on 16 March.</w:t>
            </w:r>
          </w:p>
          <w:p>
            <w:pPr>
              <w:pStyle w:val="TableParagraph"/>
              <w:spacing w:before="121"/>
              <w:ind w:left="76" w:right="245"/>
              <w:rPr>
                <w:sz w:val="20"/>
              </w:rPr>
            </w:pPr>
            <w:r>
              <w:rPr>
                <w:sz w:val="20"/>
              </w:rPr>
              <w:t>Overall, the Committee members agreed that the currently proposed methodology (volume-weighted trimmed mean) was preferred to the previously proposed volume-weighted median. There was some support for an untrimmed volume-weighted mean, but it was recognised that reduction of the influence of outliers, through trimming, would be beneficial.</w:t>
            </w:r>
          </w:p>
          <w:p>
            <w:pPr>
              <w:pStyle w:val="TableParagraph"/>
              <w:spacing w:before="120"/>
              <w:ind w:left="76" w:right="364"/>
              <w:jc w:val="both"/>
              <w:rPr>
                <w:sz w:val="20"/>
              </w:rPr>
            </w:pPr>
            <w:r>
              <w:rPr>
                <w:sz w:val="20"/>
              </w:rPr>
              <w:t>There was also a discussion on the appropriate level of additional information the Bank intended to publish alongside the SONIA rate. The Committee</w:t>
            </w:r>
            <w:r>
              <w:rPr>
                <w:spacing w:val="-19"/>
                <w:sz w:val="20"/>
              </w:rPr>
              <w:t> </w:t>
            </w:r>
            <w:r>
              <w:rPr>
                <w:sz w:val="20"/>
              </w:rPr>
              <w:t>noted that there was no specific need for any additional statistics to be made</w:t>
            </w:r>
            <w:r>
              <w:rPr>
                <w:spacing w:val="-21"/>
                <w:sz w:val="20"/>
              </w:rPr>
              <w:t> </w:t>
            </w:r>
            <w:r>
              <w:rPr>
                <w:sz w:val="20"/>
              </w:rPr>
              <w:t>public</w:t>
            </w:r>
          </w:p>
          <w:p>
            <w:pPr>
              <w:pStyle w:val="TableParagraph"/>
              <w:spacing w:line="228" w:lineRule="exact" w:before="7"/>
              <w:ind w:left="76" w:right="585"/>
              <w:jc w:val="both"/>
              <w:rPr>
                <w:sz w:val="20"/>
              </w:rPr>
            </w:pPr>
            <w:r>
              <w:rPr>
                <w:sz w:val="20"/>
              </w:rPr>
              <w:t>but agreed that the Bank’s proposal to publish aggregate volumes and 10</w:t>
            </w:r>
            <w:r>
              <w:rPr>
                <w:sz w:val="20"/>
                <w:vertAlign w:val="superscript"/>
              </w:rPr>
              <w:t>th</w:t>
            </w:r>
            <w:r>
              <w:rPr>
                <w:sz w:val="20"/>
                <w:vertAlign w:val="baseline"/>
              </w:rPr>
              <w:t>, 25</w:t>
            </w:r>
            <w:r>
              <w:rPr>
                <w:sz w:val="20"/>
                <w:vertAlign w:val="superscript"/>
              </w:rPr>
              <w:t>th</w:t>
            </w:r>
            <w:r>
              <w:rPr>
                <w:sz w:val="20"/>
                <w:vertAlign w:val="baseline"/>
              </w:rPr>
              <w:t>, 75</w:t>
            </w:r>
            <w:r>
              <w:rPr>
                <w:sz w:val="20"/>
                <w:vertAlign w:val="superscript"/>
              </w:rPr>
              <w:t>th</w:t>
            </w:r>
            <w:r>
              <w:rPr>
                <w:sz w:val="20"/>
                <w:vertAlign w:val="baseline"/>
              </w:rPr>
              <w:t> and 90</w:t>
            </w:r>
            <w:r>
              <w:rPr>
                <w:sz w:val="20"/>
                <w:vertAlign w:val="superscript"/>
              </w:rPr>
              <w:t>th</w:t>
            </w:r>
            <w:r>
              <w:rPr>
                <w:sz w:val="20"/>
                <w:vertAlign w:val="baseline"/>
              </w:rPr>
              <w:t> percentile rates would not risk disclosing information that</w:t>
            </w:r>
          </w:p>
        </w:tc>
        <w:tc>
          <w:tcPr>
            <w:tcW w:w="807" w:type="dxa"/>
          </w:tcPr>
          <w:p>
            <w:pPr>
              <w:pStyle w:val="TableParagraph"/>
              <w:spacing w:before="118"/>
              <w:ind w:right="14"/>
              <w:jc w:val="right"/>
              <w:rPr>
                <w:sz w:val="20"/>
              </w:rPr>
            </w:pPr>
            <w:r>
              <w:rPr>
                <w:w w:val="95"/>
                <w:sz w:val="20"/>
              </w:rPr>
              <w:t>N/A</w:t>
            </w:r>
          </w:p>
        </w:tc>
      </w:tr>
    </w:tbl>
    <w:p>
      <w:pPr>
        <w:spacing w:after="0"/>
        <w:jc w:val="right"/>
        <w:rPr>
          <w:sz w:val="20"/>
        </w:rPr>
        <w:sectPr>
          <w:footerReference w:type="default" r:id="rId5"/>
          <w:type w:val="continuous"/>
          <w:pgSz w:w="11910" w:h="16840"/>
          <w:pgMar w:footer="494" w:top="860" w:bottom="680" w:left="1100" w:right="1140"/>
          <w:pgNumType w:start="1"/>
        </w:sect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7746"/>
        <w:gridCol w:w="882"/>
      </w:tblGrid>
      <w:tr>
        <w:trPr>
          <w:trHeight w:val="1435" w:hRule="atLeast"/>
        </w:trPr>
        <w:tc>
          <w:tcPr>
            <w:tcW w:w="799" w:type="dxa"/>
          </w:tcPr>
          <w:p>
            <w:pPr>
              <w:pStyle w:val="TableParagraph"/>
              <w:rPr>
                <w:rFonts w:ascii="Times New Roman"/>
                <w:sz w:val="18"/>
              </w:rPr>
            </w:pPr>
          </w:p>
        </w:tc>
        <w:tc>
          <w:tcPr>
            <w:tcW w:w="7746" w:type="dxa"/>
          </w:tcPr>
          <w:p>
            <w:pPr>
              <w:pStyle w:val="TableParagraph"/>
              <w:ind w:left="432" w:right="296"/>
              <w:rPr>
                <w:sz w:val="20"/>
              </w:rPr>
            </w:pPr>
            <w:r>
              <w:rPr>
                <w:sz w:val="20"/>
              </w:rPr>
              <w:t>could aid benchmark manipulation attempts, while maintaining some transparency around the benchmark inputs. In the discussion, it was noted that transparency would benefit infrequent or inexperienced market participants understanding of the distribution of interest rates. By contrast, some felt that it could lead to queries within market participants as to why they are trading at a specific point within the distribution of rates.</w:t>
            </w:r>
          </w:p>
        </w:tc>
        <w:tc>
          <w:tcPr>
            <w:tcW w:w="882" w:type="dxa"/>
          </w:tcPr>
          <w:p>
            <w:pPr>
              <w:pStyle w:val="TableParagraph"/>
              <w:rPr>
                <w:rFonts w:ascii="Times New Roman"/>
                <w:sz w:val="18"/>
              </w:rPr>
            </w:pPr>
          </w:p>
        </w:tc>
      </w:tr>
      <w:tr>
        <w:trPr>
          <w:trHeight w:val="2675" w:hRule="atLeast"/>
        </w:trPr>
        <w:tc>
          <w:tcPr>
            <w:tcW w:w="799" w:type="dxa"/>
          </w:tcPr>
          <w:p>
            <w:pPr>
              <w:pStyle w:val="TableParagraph"/>
              <w:spacing w:before="58"/>
              <w:ind w:left="200"/>
              <w:rPr>
                <w:sz w:val="20"/>
              </w:rPr>
            </w:pPr>
            <w:r>
              <w:rPr>
                <w:sz w:val="20"/>
              </w:rPr>
              <w:t>3.</w:t>
            </w:r>
          </w:p>
        </w:tc>
        <w:tc>
          <w:tcPr>
            <w:tcW w:w="7746" w:type="dxa"/>
          </w:tcPr>
          <w:p>
            <w:pPr>
              <w:pStyle w:val="TableParagraph"/>
              <w:spacing w:before="55"/>
              <w:ind w:left="432" w:right="467"/>
              <w:rPr>
                <w:b/>
                <w:sz w:val="20"/>
              </w:rPr>
            </w:pPr>
            <w:r>
              <w:rPr>
                <w:b/>
                <w:sz w:val="20"/>
              </w:rPr>
              <w:t>Operational Impact Assessment: incident escalation lines and procedures</w:t>
            </w:r>
          </w:p>
          <w:p>
            <w:pPr>
              <w:pStyle w:val="TableParagraph"/>
              <w:spacing w:before="1"/>
              <w:ind w:left="432" w:right="296"/>
              <w:rPr>
                <w:sz w:val="20"/>
              </w:rPr>
            </w:pPr>
            <w:r>
              <w:rPr>
                <w:sz w:val="20"/>
              </w:rPr>
              <w:t>WMBA summarised their new approach to categorising events and procedures for escalation. The purpose of this operational impact assessment was to determine the level of impact that an event had on the SONIA benchmark; to set out the mitigating controls in place to avoid the occurrence or repeat of an event; and outline the actions that would be taken by the WMBA, including when an incident report would be raised and identifying when and to who the escalation of events would be required.</w:t>
            </w:r>
          </w:p>
          <w:p>
            <w:pPr>
              <w:pStyle w:val="TableParagraph"/>
              <w:spacing w:before="1"/>
              <w:ind w:left="432" w:right="467"/>
              <w:rPr>
                <w:sz w:val="20"/>
              </w:rPr>
            </w:pPr>
            <w:r>
              <w:rPr>
                <w:sz w:val="20"/>
              </w:rPr>
              <w:t>The Committee noted the document was comprehensive and agreed with the proposed event categorisation and escalation processes.</w:t>
            </w:r>
          </w:p>
        </w:tc>
        <w:tc>
          <w:tcPr>
            <w:tcW w:w="882" w:type="dxa"/>
          </w:tcPr>
          <w:p>
            <w:pPr>
              <w:pStyle w:val="TableParagraph"/>
              <w:spacing w:before="58"/>
              <w:ind w:right="198"/>
              <w:jc w:val="right"/>
              <w:rPr>
                <w:sz w:val="20"/>
              </w:rPr>
            </w:pPr>
            <w:r>
              <w:rPr>
                <w:w w:val="95"/>
                <w:sz w:val="20"/>
              </w:rPr>
              <w:t>N/A</w:t>
            </w:r>
          </w:p>
        </w:tc>
      </w:tr>
      <w:tr>
        <w:trPr>
          <w:trHeight w:val="1933" w:hRule="atLeast"/>
        </w:trPr>
        <w:tc>
          <w:tcPr>
            <w:tcW w:w="799" w:type="dxa"/>
          </w:tcPr>
          <w:p>
            <w:pPr>
              <w:pStyle w:val="TableParagraph"/>
              <w:spacing w:before="83"/>
              <w:ind w:left="200"/>
              <w:rPr>
                <w:sz w:val="20"/>
              </w:rPr>
            </w:pPr>
            <w:r>
              <w:rPr>
                <w:sz w:val="20"/>
              </w:rPr>
              <w:t>4.</w:t>
            </w:r>
          </w:p>
        </w:tc>
        <w:tc>
          <w:tcPr>
            <w:tcW w:w="7746" w:type="dxa"/>
          </w:tcPr>
          <w:p>
            <w:pPr>
              <w:pStyle w:val="TableParagraph"/>
              <w:spacing w:before="81"/>
              <w:ind w:left="432"/>
              <w:rPr>
                <w:b/>
                <w:sz w:val="20"/>
              </w:rPr>
            </w:pPr>
            <w:r>
              <w:rPr>
                <w:b/>
                <w:sz w:val="20"/>
              </w:rPr>
              <w:t>Operational update</w:t>
            </w:r>
          </w:p>
          <w:p>
            <w:pPr>
              <w:pStyle w:val="TableParagraph"/>
              <w:spacing w:before="2"/>
              <w:ind w:left="432" w:right="467"/>
              <w:rPr>
                <w:sz w:val="20"/>
              </w:rPr>
            </w:pPr>
            <w:r>
              <w:rPr>
                <w:sz w:val="20"/>
              </w:rPr>
              <w:t>WMBA updated the Committee on the progress of the Business Continuity Testing which had reached its final stage and was due to be completed soon.</w:t>
            </w:r>
          </w:p>
          <w:p>
            <w:pPr>
              <w:pStyle w:val="TableParagraph"/>
              <w:spacing w:before="9"/>
              <w:rPr>
                <w:rFonts w:ascii="Times New Roman"/>
                <w:sz w:val="20"/>
              </w:rPr>
            </w:pPr>
          </w:p>
          <w:p>
            <w:pPr>
              <w:pStyle w:val="TableParagraph"/>
              <w:spacing w:line="230" w:lineRule="atLeast"/>
              <w:ind w:left="432" w:right="535"/>
              <w:rPr>
                <w:sz w:val="20"/>
              </w:rPr>
            </w:pPr>
            <w:r>
              <w:rPr>
                <w:sz w:val="20"/>
              </w:rPr>
              <w:t>WMBA informed the Committee that an external assurance review of SONIA was due to start in April. The broad scope of the review would cover the WMBA’s operations compared to the IOSCO Principles for Financial Benchmarks and the FCA’s Market Conduct sourcebook (MAR 8.3).</w:t>
            </w:r>
          </w:p>
        </w:tc>
        <w:tc>
          <w:tcPr>
            <w:tcW w:w="882" w:type="dxa"/>
          </w:tcPr>
          <w:p>
            <w:pPr>
              <w:pStyle w:val="TableParagraph"/>
              <w:spacing w:before="83"/>
              <w:ind w:right="198"/>
              <w:jc w:val="right"/>
              <w:rPr>
                <w:sz w:val="20"/>
              </w:rPr>
            </w:pPr>
            <w:r>
              <w:rPr>
                <w:w w:val="95"/>
                <w:sz w:val="20"/>
              </w:rPr>
              <w:t>N/A</w:t>
            </w:r>
          </w:p>
        </w:tc>
      </w:tr>
    </w:tbl>
    <w:sectPr>
      <w:pgSz w:w="11910" w:h="16840"/>
      <w:pgMar w:header="0" w:footer="494" w:top="1400" w:bottom="680" w:left="11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530.159973pt;margin-top:800.679443pt;width:11.55pt;height:14.7pt;mso-position-horizontal-relative:page;mso-position-vertical-relative:page;z-index:-251864064" type="#_x0000_t202" filled="false" stroked="false">
          <v:textbox inset="0,0,0,0">
            <w:txbxContent>
              <w:p>
                <w:pPr>
                  <w:pStyle w:val="BodyText"/>
                  <w:spacing w:before="4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Advisory Committee 16 March 2017</dc:title>
  <dcterms:created xsi:type="dcterms:W3CDTF">2020-06-01T02:20:24Z</dcterms:created>
  <dcterms:modified xsi:type="dcterms:W3CDTF">2020-06-01T02:20:24Z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LastSaved">
    <vt:filetime>2020-06-01T00:00:00Z</vt:filetime>
  </property>
</Properties>
</file>