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7044" w:val="left" w:leader="none"/>
        </w:tabs>
        <w:spacing w:line="240" w:lineRule="auto"/>
        <w:ind w:left="6088" w:right="0" w:firstLine="0"/>
        <w:rPr>
          <w:rFonts w:ascii="Times New Roman"/>
          <w:sz w:val="20"/>
        </w:rPr>
      </w:pPr>
      <w:r>
        <w:rPr>
          <w:rFonts w:ascii="Times New Roman"/>
          <w:sz w:val="20"/>
        </w:rPr>
        <w:drawing>
          <wp:inline distT="0" distB="0" distL="0" distR="0">
            <wp:extent cx="461090" cy="46672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61090" cy="466725"/>
                    </a:xfrm>
                    <a:prstGeom prst="rect">
                      <a:avLst/>
                    </a:prstGeom>
                  </pic:spPr>
                </pic:pic>
              </a:graphicData>
            </a:graphic>
          </wp:inline>
        </w:drawing>
      </w:r>
      <w:r>
        <w:rPr>
          <w:rFonts w:ascii="Times New Roman"/>
          <w:sz w:val="20"/>
        </w:rPr>
      </w:r>
      <w:r>
        <w:rPr>
          <w:rFonts w:ascii="Times New Roman"/>
          <w:sz w:val="20"/>
        </w:rPr>
        <w:tab/>
      </w:r>
      <w:r>
        <w:rPr>
          <w:rFonts w:ascii="Times New Roman"/>
          <w:position w:val="26"/>
          <w:sz w:val="20"/>
        </w:rPr>
        <w:pict>
          <v:group style="width:28.3pt;height:9.9pt;mso-position-horizontal-relative:char;mso-position-vertical-relative:line" coordorigin="0,0" coordsize="566,198">
            <v:shape style="position:absolute;left:0;top:0;width:126;height:197" type="#_x0000_t75" stroked="false">
              <v:imagedata r:id="rId7" o:title=""/>
            </v:shape>
            <v:shape style="position:absolute;left:167;top:0;width:175;height:198" type="#_x0000_t75" stroked="false">
              <v:imagedata r:id="rId8" o:title=""/>
            </v:shape>
            <v:shape style="position:absolute;left:394;top:0;width:171;height:197" type="#_x0000_t75" stroked="false">
              <v:imagedata r:id="rId9" o:title=""/>
            </v:shape>
          </v:group>
        </w:pict>
      </w:r>
      <w:r>
        <w:rPr>
          <w:rFonts w:ascii="Times New Roman"/>
          <w:position w:val="26"/>
          <w:sz w:val="20"/>
        </w:rPr>
      </w:r>
      <w:r>
        <w:rPr>
          <w:rFonts w:ascii="Times New Roman"/>
          <w:spacing w:val="15"/>
          <w:position w:val="26"/>
          <w:sz w:val="19"/>
        </w:rPr>
        <w:t> </w:t>
      </w:r>
      <w:r>
        <w:rPr>
          <w:rFonts w:ascii="Times New Roman"/>
          <w:spacing w:val="15"/>
          <w:position w:val="26"/>
          <w:sz w:val="20"/>
        </w:rPr>
        <w:drawing>
          <wp:inline distT="0" distB="0" distL="0" distR="0">
            <wp:extent cx="90507" cy="126015"/>
            <wp:effectExtent l="0" t="0" r="0" b="0"/>
            <wp:docPr id="3" name="image5.png"/>
            <wp:cNvGraphicFramePr>
              <a:graphicFrameLocks noChangeAspect="1"/>
            </wp:cNvGraphicFramePr>
            <a:graphic>
              <a:graphicData uri="http://schemas.openxmlformats.org/drawingml/2006/picture">
                <pic:pic>
                  <pic:nvPicPr>
                    <pic:cNvPr id="4" name="image5.png"/>
                    <pic:cNvPicPr/>
                  </pic:nvPicPr>
                  <pic:blipFill>
                    <a:blip r:embed="rId10" cstate="print"/>
                    <a:stretch>
                      <a:fillRect/>
                    </a:stretch>
                  </pic:blipFill>
                  <pic:spPr>
                    <a:xfrm>
                      <a:off x="0" y="0"/>
                      <a:ext cx="90507" cy="126015"/>
                    </a:xfrm>
                    <a:prstGeom prst="rect">
                      <a:avLst/>
                    </a:prstGeom>
                  </pic:spPr>
                </pic:pic>
              </a:graphicData>
            </a:graphic>
          </wp:inline>
        </w:drawing>
      </w:r>
      <w:r>
        <w:rPr>
          <w:rFonts w:ascii="Times New Roman"/>
          <w:spacing w:val="15"/>
          <w:position w:val="26"/>
          <w:sz w:val="20"/>
        </w:rPr>
      </w:r>
      <w:r>
        <w:rPr>
          <w:rFonts w:ascii="Times New Roman"/>
          <w:spacing w:val="63"/>
          <w:position w:val="26"/>
          <w:sz w:val="20"/>
        </w:rPr>
        <w:t> </w:t>
      </w:r>
      <w:r>
        <w:rPr>
          <w:rFonts w:ascii="Times New Roman"/>
          <w:spacing w:val="63"/>
          <w:position w:val="26"/>
          <w:sz w:val="20"/>
        </w:rPr>
        <w:pict>
          <v:group style="width:18.55pt;height:10.1pt;mso-position-horizontal-relative:char;mso-position-vertical-relative:line" coordorigin="0,0" coordsize="371,202">
            <v:shape style="position:absolute;left:0;top:0;width:194;height:202" type="#_x0000_t75" stroked="false">
              <v:imagedata r:id="rId11" o:title=""/>
            </v:shape>
            <v:shape style="position:absolute;left:258;top:1;width:113;height:197" type="#_x0000_t75" stroked="false">
              <v:imagedata r:id="rId12" o:title=""/>
            </v:shape>
          </v:group>
        </w:pict>
      </w:r>
      <w:r>
        <w:rPr>
          <w:rFonts w:ascii="Times New Roman"/>
          <w:spacing w:val="63"/>
          <w:position w:val="26"/>
          <w:sz w:val="20"/>
        </w:rPr>
      </w:r>
      <w:r>
        <w:rPr>
          <w:rFonts w:ascii="Times New Roman"/>
          <w:spacing w:val="80"/>
          <w:position w:val="26"/>
          <w:sz w:val="20"/>
        </w:rPr>
        <w:t> </w:t>
      </w:r>
      <w:r>
        <w:rPr>
          <w:rFonts w:ascii="Times New Roman"/>
          <w:spacing w:val="80"/>
          <w:position w:val="26"/>
          <w:sz w:val="20"/>
        </w:rPr>
        <w:pict>
          <v:group style="width:29.4pt;height:10.1pt;mso-position-horizontal-relative:char;mso-position-vertical-relative:line" coordorigin="0,0" coordsize="588,202">
            <v:shape style="position:absolute;left:0;top:1;width:119;height:197" type="#_x0000_t75" stroked="false">
              <v:imagedata r:id="rId13" o:title=""/>
            </v:shape>
            <v:shape style="position:absolute;left:184;top:1;width:171;height:197" type="#_x0000_t75" stroked="false">
              <v:imagedata r:id="rId14" o:title=""/>
            </v:shape>
            <v:shape style="position:absolute;left:418;top:0;width:169;height:202" type="#_x0000_t75" stroked="false">
              <v:imagedata r:id="rId15" o:title=""/>
            </v:shape>
          </v:group>
        </w:pict>
      </w:r>
      <w:r>
        <w:rPr>
          <w:rFonts w:ascii="Times New Roman"/>
          <w:spacing w:val="80"/>
          <w:position w:val="26"/>
          <w:sz w:val="20"/>
        </w:rPr>
      </w:r>
      <w:r>
        <w:rPr>
          <w:rFonts w:ascii="Times New Roman"/>
          <w:spacing w:val="13"/>
          <w:position w:val="26"/>
          <w:sz w:val="19"/>
        </w:rPr>
        <w:t> </w:t>
      </w:r>
      <w:r>
        <w:rPr>
          <w:rFonts w:ascii="Times New Roman"/>
          <w:spacing w:val="13"/>
          <w:position w:val="26"/>
          <w:sz w:val="20"/>
        </w:rPr>
        <w:pict>
          <v:group style="width:26.65pt;height:9.9pt;mso-position-horizontal-relative:char;mso-position-vertical-relative:line" coordorigin="0,0" coordsize="533,198">
            <v:shape style="position:absolute;left:134;top:0;width:175;height:198" type="#_x0000_t75" stroked="false">
              <v:imagedata r:id="rId16" o:title=""/>
            </v:shape>
            <v:shape style="position:absolute;left:0;top:0;width:101;height:197" type="#_x0000_t75" stroked="false">
              <v:imagedata r:id="rId17" o:title=""/>
            </v:shape>
            <v:shape style="position:absolute;left:361;top:0;width:171;height:197" type="#_x0000_t75" stroked="false">
              <v:imagedata r:id="rId18" o:title=""/>
            </v:shape>
          </v:group>
        </w:pict>
      </w:r>
      <w:r>
        <w:rPr>
          <w:rFonts w:ascii="Times New Roman"/>
          <w:spacing w:val="13"/>
          <w:position w:val="26"/>
          <w:sz w:val="20"/>
        </w:rPr>
      </w:r>
      <w:r>
        <w:rPr>
          <w:rFonts w:ascii="Times New Roman"/>
          <w:spacing w:val="15"/>
          <w:position w:val="26"/>
          <w:sz w:val="19"/>
        </w:rPr>
        <w:t> </w:t>
      </w:r>
      <w:r>
        <w:rPr>
          <w:rFonts w:ascii="Times New Roman"/>
          <w:spacing w:val="15"/>
          <w:position w:val="26"/>
          <w:sz w:val="20"/>
        </w:rPr>
        <w:drawing>
          <wp:inline distT="0" distB="0" distL="0" distR="0">
            <wp:extent cx="103161" cy="126015"/>
            <wp:effectExtent l="0" t="0" r="0" b="0"/>
            <wp:docPr id="5" name="image14.png"/>
            <wp:cNvGraphicFramePr>
              <a:graphicFrameLocks noChangeAspect="1"/>
            </wp:cNvGraphicFramePr>
            <a:graphic>
              <a:graphicData uri="http://schemas.openxmlformats.org/drawingml/2006/picture">
                <pic:pic>
                  <pic:nvPicPr>
                    <pic:cNvPr id="6" name="image14.png"/>
                    <pic:cNvPicPr/>
                  </pic:nvPicPr>
                  <pic:blipFill>
                    <a:blip r:embed="rId19" cstate="print"/>
                    <a:stretch>
                      <a:fillRect/>
                    </a:stretch>
                  </pic:blipFill>
                  <pic:spPr>
                    <a:xfrm>
                      <a:off x="0" y="0"/>
                      <a:ext cx="103161" cy="126015"/>
                    </a:xfrm>
                    <a:prstGeom prst="rect">
                      <a:avLst/>
                    </a:prstGeom>
                  </pic:spPr>
                </pic:pic>
              </a:graphicData>
            </a:graphic>
          </wp:inline>
        </w:drawing>
      </w:r>
      <w:r>
        <w:rPr>
          <w:rFonts w:ascii="Times New Roman"/>
          <w:spacing w:val="15"/>
          <w:position w:val="26"/>
          <w:sz w:val="20"/>
        </w:rPr>
      </w:r>
    </w:p>
    <w:p>
      <w:pPr>
        <w:pStyle w:val="BodyText"/>
        <w:spacing w:before="2" w:after="1"/>
        <w:rPr>
          <w:rFonts w:ascii="Times New Roman"/>
          <w:sz w:val="23"/>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0"/>
        <w:gridCol w:w="7624"/>
        <w:gridCol w:w="982"/>
      </w:tblGrid>
      <w:tr>
        <w:trPr>
          <w:trHeight w:val="665" w:hRule="atLeast"/>
        </w:trPr>
        <w:tc>
          <w:tcPr>
            <w:tcW w:w="9666" w:type="dxa"/>
            <w:gridSpan w:val="3"/>
          </w:tcPr>
          <w:p>
            <w:pPr>
              <w:pStyle w:val="TableParagraph"/>
              <w:spacing w:line="491" w:lineRule="exact"/>
              <w:rPr>
                <w:sz w:val="44"/>
              </w:rPr>
            </w:pPr>
            <w:r>
              <w:rPr>
                <w:sz w:val="44"/>
              </w:rPr>
              <w:t>Minutes</w:t>
            </w:r>
          </w:p>
        </w:tc>
      </w:tr>
      <w:tr>
        <w:trPr>
          <w:trHeight w:val="467" w:hRule="atLeast"/>
        </w:trPr>
        <w:tc>
          <w:tcPr>
            <w:tcW w:w="9666" w:type="dxa"/>
            <w:gridSpan w:val="3"/>
          </w:tcPr>
          <w:p>
            <w:pPr>
              <w:pStyle w:val="TableParagraph"/>
              <w:spacing w:before="167"/>
              <w:rPr>
                <w:b/>
                <w:sz w:val="24"/>
              </w:rPr>
            </w:pPr>
            <w:r>
              <w:rPr>
                <w:b/>
                <w:sz w:val="24"/>
              </w:rPr>
              <w:t>SONIA Advisory Committee</w:t>
            </w:r>
          </w:p>
        </w:tc>
      </w:tr>
      <w:tr>
        <w:trPr>
          <w:trHeight w:val="565" w:hRule="atLeast"/>
        </w:trPr>
        <w:tc>
          <w:tcPr>
            <w:tcW w:w="9666" w:type="dxa"/>
            <w:gridSpan w:val="3"/>
            <w:tcBorders>
              <w:bottom w:val="single" w:sz="4" w:space="0" w:color="000000"/>
            </w:tcBorders>
          </w:tcPr>
          <w:p>
            <w:pPr>
              <w:pStyle w:val="TableParagraph"/>
              <w:spacing w:before="16"/>
              <w:rPr>
                <w:sz w:val="24"/>
              </w:rPr>
            </w:pPr>
            <w:r>
              <w:rPr>
                <w:sz w:val="24"/>
              </w:rPr>
              <w:t>20 September 2016</w:t>
            </w:r>
          </w:p>
        </w:tc>
      </w:tr>
      <w:tr>
        <w:trPr>
          <w:trHeight w:val="582" w:hRule="atLeast"/>
        </w:trPr>
        <w:tc>
          <w:tcPr>
            <w:tcW w:w="1060" w:type="dxa"/>
            <w:tcBorders>
              <w:top w:val="single" w:sz="4" w:space="0" w:color="000000"/>
            </w:tcBorders>
          </w:tcPr>
          <w:p>
            <w:pPr>
              <w:pStyle w:val="TableParagraph"/>
              <w:spacing w:before="8"/>
              <w:rPr>
                <w:rFonts w:ascii="Times New Roman"/>
                <w:sz w:val="18"/>
              </w:rPr>
            </w:pPr>
          </w:p>
          <w:p>
            <w:pPr>
              <w:pStyle w:val="TableParagraph"/>
              <w:rPr>
                <w:b/>
                <w:sz w:val="20"/>
              </w:rPr>
            </w:pPr>
            <w:r>
              <w:rPr>
                <w:b/>
                <w:sz w:val="20"/>
              </w:rPr>
              <w:t>Location:</w:t>
            </w:r>
          </w:p>
        </w:tc>
        <w:tc>
          <w:tcPr>
            <w:tcW w:w="7624" w:type="dxa"/>
            <w:tcBorders>
              <w:top w:val="single" w:sz="4" w:space="0" w:color="000000"/>
            </w:tcBorders>
          </w:tcPr>
          <w:p>
            <w:pPr>
              <w:pStyle w:val="TableParagraph"/>
              <w:spacing w:before="10"/>
              <w:rPr>
                <w:rFonts w:ascii="Times New Roman"/>
                <w:sz w:val="18"/>
              </w:rPr>
            </w:pPr>
          </w:p>
          <w:p>
            <w:pPr>
              <w:pStyle w:val="TableParagraph"/>
              <w:spacing w:before="1"/>
              <w:ind w:left="30"/>
              <w:rPr>
                <w:sz w:val="20"/>
              </w:rPr>
            </w:pPr>
            <w:r>
              <w:rPr>
                <w:sz w:val="20"/>
              </w:rPr>
              <w:t>Bank of England</w:t>
            </w:r>
          </w:p>
        </w:tc>
        <w:tc>
          <w:tcPr>
            <w:tcW w:w="982" w:type="dxa"/>
            <w:tcBorders>
              <w:top w:val="single" w:sz="4" w:space="0" w:color="000000"/>
            </w:tcBorders>
          </w:tcPr>
          <w:p>
            <w:pPr>
              <w:pStyle w:val="TableParagraph"/>
              <w:rPr>
                <w:rFonts w:ascii="Times New Roman"/>
                <w:sz w:val="20"/>
              </w:rPr>
            </w:pPr>
          </w:p>
        </w:tc>
      </w:tr>
      <w:tr>
        <w:trPr>
          <w:trHeight w:val="2286" w:hRule="atLeast"/>
        </w:trPr>
        <w:tc>
          <w:tcPr>
            <w:tcW w:w="1060" w:type="dxa"/>
          </w:tcPr>
          <w:p>
            <w:pPr>
              <w:pStyle w:val="TableParagraph"/>
              <w:spacing w:before="127"/>
              <w:rPr>
                <w:b/>
                <w:sz w:val="20"/>
              </w:rPr>
            </w:pPr>
            <w:r>
              <w:rPr>
                <w:b/>
                <w:sz w:val="20"/>
              </w:rPr>
              <w:t>Members:</w:t>
            </w:r>
          </w:p>
        </w:tc>
        <w:tc>
          <w:tcPr>
            <w:tcW w:w="7624" w:type="dxa"/>
          </w:tcPr>
          <w:p>
            <w:pPr>
              <w:pStyle w:val="TableParagraph"/>
              <w:spacing w:before="127"/>
              <w:ind w:left="30" w:right="5884"/>
              <w:rPr>
                <w:sz w:val="20"/>
              </w:rPr>
            </w:pPr>
            <w:r>
              <w:rPr>
                <w:sz w:val="20"/>
              </w:rPr>
              <w:t>Sarah John (Chair) David Clark</w:t>
            </w:r>
          </w:p>
          <w:p>
            <w:pPr>
              <w:pStyle w:val="TableParagraph"/>
              <w:spacing w:before="1"/>
              <w:ind w:left="30" w:right="6235"/>
              <w:rPr>
                <w:sz w:val="20"/>
              </w:rPr>
            </w:pPr>
            <w:r>
              <w:rPr>
                <w:sz w:val="20"/>
              </w:rPr>
              <w:t>Philip Chilvers John Ewan Andrew </w:t>
            </w:r>
            <w:r>
              <w:rPr>
                <w:spacing w:val="-3"/>
                <w:sz w:val="20"/>
              </w:rPr>
              <w:t>Hadley </w:t>
            </w:r>
            <w:r>
              <w:rPr>
                <w:sz w:val="20"/>
              </w:rPr>
              <w:t>Brad Jeffery Will Parry Peter</w:t>
            </w:r>
            <w:r>
              <w:rPr>
                <w:spacing w:val="-3"/>
                <w:sz w:val="20"/>
              </w:rPr>
              <w:t> </w:t>
            </w:r>
            <w:r>
              <w:rPr>
                <w:sz w:val="20"/>
              </w:rPr>
              <w:t>Weston</w:t>
            </w:r>
          </w:p>
          <w:p>
            <w:pPr>
              <w:pStyle w:val="TableParagraph"/>
              <w:spacing w:before="3"/>
              <w:ind w:left="30"/>
              <w:rPr>
                <w:sz w:val="20"/>
              </w:rPr>
            </w:pPr>
            <w:r>
              <w:rPr>
                <w:sz w:val="20"/>
              </w:rPr>
              <w:t>Philip Whitehurst</w:t>
            </w:r>
          </w:p>
        </w:tc>
        <w:tc>
          <w:tcPr>
            <w:tcW w:w="982" w:type="dxa"/>
          </w:tcPr>
          <w:p>
            <w:pPr>
              <w:pStyle w:val="TableParagraph"/>
              <w:rPr>
                <w:rFonts w:ascii="Times New Roman"/>
                <w:sz w:val="20"/>
              </w:rPr>
            </w:pPr>
          </w:p>
        </w:tc>
      </w:tr>
      <w:tr>
        <w:trPr>
          <w:trHeight w:val="707" w:hRule="atLeast"/>
        </w:trPr>
        <w:tc>
          <w:tcPr>
            <w:tcW w:w="1060" w:type="dxa"/>
          </w:tcPr>
          <w:p>
            <w:pPr>
              <w:pStyle w:val="TableParagraph"/>
              <w:spacing w:before="78"/>
              <w:rPr>
                <w:b/>
                <w:sz w:val="20"/>
              </w:rPr>
            </w:pPr>
            <w:r>
              <w:rPr>
                <w:b/>
                <w:sz w:val="20"/>
              </w:rPr>
              <w:t>Attendees:</w:t>
            </w:r>
          </w:p>
        </w:tc>
        <w:tc>
          <w:tcPr>
            <w:tcW w:w="7624" w:type="dxa"/>
          </w:tcPr>
          <w:p>
            <w:pPr>
              <w:pStyle w:val="TableParagraph"/>
              <w:spacing w:line="276" w:lineRule="auto" w:before="80"/>
              <w:ind w:left="30" w:right="6429"/>
              <w:rPr>
                <w:sz w:val="20"/>
              </w:rPr>
            </w:pPr>
            <w:r>
              <w:rPr>
                <w:sz w:val="20"/>
              </w:rPr>
              <w:t>Rob Harris Steve Wright</w:t>
            </w:r>
          </w:p>
        </w:tc>
        <w:tc>
          <w:tcPr>
            <w:tcW w:w="982" w:type="dxa"/>
          </w:tcPr>
          <w:p>
            <w:pPr>
              <w:pStyle w:val="TableParagraph"/>
              <w:rPr>
                <w:rFonts w:ascii="Times New Roman"/>
                <w:sz w:val="20"/>
              </w:rPr>
            </w:pPr>
          </w:p>
        </w:tc>
      </w:tr>
      <w:tr>
        <w:trPr>
          <w:trHeight w:val="817" w:hRule="atLeast"/>
        </w:trPr>
        <w:tc>
          <w:tcPr>
            <w:tcW w:w="1060" w:type="dxa"/>
            <w:tcBorders>
              <w:bottom w:val="single" w:sz="2" w:space="0" w:color="000000"/>
            </w:tcBorders>
          </w:tcPr>
          <w:p>
            <w:pPr>
              <w:pStyle w:val="TableParagraph"/>
              <w:spacing w:before="126"/>
              <w:rPr>
                <w:b/>
                <w:sz w:val="20"/>
              </w:rPr>
            </w:pPr>
            <w:r>
              <w:rPr>
                <w:b/>
                <w:sz w:val="20"/>
              </w:rPr>
              <w:t>Apologies:</w:t>
            </w:r>
          </w:p>
        </w:tc>
        <w:tc>
          <w:tcPr>
            <w:tcW w:w="7624" w:type="dxa"/>
            <w:tcBorders>
              <w:bottom w:val="single" w:sz="2" w:space="0" w:color="000000"/>
            </w:tcBorders>
          </w:tcPr>
          <w:p>
            <w:pPr>
              <w:pStyle w:val="TableParagraph"/>
              <w:spacing w:before="128"/>
              <w:ind w:left="30"/>
              <w:rPr>
                <w:sz w:val="20"/>
              </w:rPr>
            </w:pPr>
            <w:r>
              <w:rPr>
                <w:sz w:val="20"/>
              </w:rPr>
              <w:t>Ian Mair</w:t>
            </w:r>
          </w:p>
          <w:p>
            <w:pPr>
              <w:pStyle w:val="TableParagraph"/>
              <w:spacing w:before="1"/>
              <w:ind w:left="30"/>
              <w:rPr>
                <w:sz w:val="20"/>
              </w:rPr>
            </w:pPr>
            <w:r>
              <w:rPr>
                <w:sz w:val="20"/>
              </w:rPr>
              <w:t>Alex McDonald</w:t>
            </w:r>
          </w:p>
        </w:tc>
        <w:tc>
          <w:tcPr>
            <w:tcW w:w="982" w:type="dxa"/>
            <w:tcBorders>
              <w:bottom w:val="single" w:sz="2" w:space="0" w:color="000000"/>
            </w:tcBorders>
          </w:tcPr>
          <w:p>
            <w:pPr>
              <w:pStyle w:val="TableParagraph"/>
              <w:rPr>
                <w:rFonts w:ascii="Times New Roman"/>
                <w:sz w:val="20"/>
              </w:rPr>
            </w:pPr>
          </w:p>
        </w:tc>
      </w:tr>
      <w:tr>
        <w:trPr>
          <w:trHeight w:val="697" w:hRule="atLeast"/>
        </w:trPr>
        <w:tc>
          <w:tcPr>
            <w:tcW w:w="1060" w:type="dxa"/>
            <w:tcBorders>
              <w:top w:val="single" w:sz="2" w:space="0" w:color="000000"/>
            </w:tcBorders>
          </w:tcPr>
          <w:p>
            <w:pPr>
              <w:pStyle w:val="TableParagraph"/>
              <w:spacing w:before="6"/>
              <w:rPr>
                <w:rFonts w:ascii="Times New Roman"/>
                <w:sz w:val="19"/>
              </w:rPr>
            </w:pPr>
          </w:p>
          <w:p>
            <w:pPr>
              <w:pStyle w:val="TableParagraph"/>
              <w:spacing w:line="230" w:lineRule="atLeast"/>
              <w:ind w:left="108" w:right="287"/>
              <w:rPr>
                <w:b/>
                <w:sz w:val="20"/>
              </w:rPr>
            </w:pPr>
            <w:r>
              <w:rPr>
                <w:b/>
                <w:sz w:val="20"/>
              </w:rPr>
              <w:t>Minute no.</w:t>
            </w:r>
          </w:p>
        </w:tc>
        <w:tc>
          <w:tcPr>
            <w:tcW w:w="7624" w:type="dxa"/>
            <w:tcBorders>
              <w:top w:val="single" w:sz="2" w:space="0" w:color="000000"/>
            </w:tcBorders>
          </w:tcPr>
          <w:p>
            <w:pPr>
              <w:pStyle w:val="TableParagraph"/>
              <w:spacing w:before="6"/>
              <w:rPr>
                <w:rFonts w:ascii="Times New Roman"/>
                <w:sz w:val="19"/>
              </w:rPr>
            </w:pPr>
          </w:p>
          <w:p>
            <w:pPr>
              <w:pStyle w:val="TableParagraph"/>
              <w:ind w:left="116"/>
              <w:rPr>
                <w:b/>
                <w:sz w:val="20"/>
              </w:rPr>
            </w:pPr>
            <w:r>
              <w:rPr>
                <w:b/>
                <w:sz w:val="20"/>
              </w:rPr>
              <w:t>Minute</w:t>
            </w:r>
          </w:p>
        </w:tc>
        <w:tc>
          <w:tcPr>
            <w:tcW w:w="982" w:type="dxa"/>
            <w:tcBorders>
              <w:top w:val="single" w:sz="2" w:space="0" w:color="000000"/>
            </w:tcBorders>
          </w:tcPr>
          <w:p>
            <w:pPr>
              <w:pStyle w:val="TableParagraph"/>
              <w:spacing w:before="6"/>
              <w:rPr>
                <w:rFonts w:ascii="Times New Roman"/>
                <w:sz w:val="19"/>
              </w:rPr>
            </w:pPr>
          </w:p>
          <w:p>
            <w:pPr>
              <w:pStyle w:val="TableParagraph"/>
              <w:ind w:right="106"/>
              <w:jc w:val="right"/>
              <w:rPr>
                <w:b/>
                <w:sz w:val="20"/>
              </w:rPr>
            </w:pPr>
            <w:r>
              <w:rPr>
                <w:b/>
                <w:sz w:val="20"/>
              </w:rPr>
              <w:t>Action</w:t>
            </w:r>
          </w:p>
        </w:tc>
      </w:tr>
      <w:tr>
        <w:trPr>
          <w:trHeight w:val="3139" w:hRule="atLeast"/>
        </w:trPr>
        <w:tc>
          <w:tcPr>
            <w:tcW w:w="1060" w:type="dxa"/>
          </w:tcPr>
          <w:p>
            <w:pPr>
              <w:pStyle w:val="TableParagraph"/>
              <w:spacing w:before="7"/>
              <w:ind w:left="108"/>
              <w:rPr>
                <w:b/>
                <w:sz w:val="20"/>
              </w:rPr>
            </w:pPr>
            <w:r>
              <w:rPr>
                <w:b/>
                <w:sz w:val="20"/>
              </w:rPr>
              <w:t>1.</w:t>
            </w:r>
          </w:p>
        </w:tc>
        <w:tc>
          <w:tcPr>
            <w:tcW w:w="7624" w:type="dxa"/>
          </w:tcPr>
          <w:p>
            <w:pPr>
              <w:pStyle w:val="TableParagraph"/>
              <w:spacing w:before="5"/>
              <w:ind w:left="116"/>
              <w:rPr>
                <w:b/>
                <w:sz w:val="20"/>
              </w:rPr>
            </w:pPr>
            <w:r>
              <w:rPr>
                <w:b/>
                <w:sz w:val="20"/>
              </w:rPr>
              <w:t>Updates on the Bank’s reform of SONIA</w:t>
            </w:r>
          </w:p>
          <w:p>
            <w:pPr>
              <w:pStyle w:val="TableParagraph"/>
              <w:spacing w:before="3"/>
              <w:ind w:left="116" w:right="157"/>
              <w:rPr>
                <w:sz w:val="20"/>
              </w:rPr>
            </w:pPr>
            <w:r>
              <w:rPr>
                <w:sz w:val="20"/>
              </w:rPr>
              <w:t>The Bank provided an update on the progress and timelines for the Bank’s reform of SONIA.</w:t>
            </w:r>
          </w:p>
          <w:p>
            <w:pPr>
              <w:pStyle w:val="TableParagraph"/>
              <w:spacing w:before="8"/>
              <w:rPr>
                <w:rFonts w:ascii="Times New Roman"/>
                <w:sz w:val="20"/>
              </w:rPr>
            </w:pPr>
          </w:p>
          <w:p>
            <w:pPr>
              <w:pStyle w:val="TableParagraph"/>
              <w:ind w:left="116" w:right="351"/>
              <w:rPr>
                <w:sz w:val="20"/>
              </w:rPr>
            </w:pPr>
            <w:r>
              <w:rPr>
                <w:sz w:val="20"/>
              </w:rPr>
              <w:t>The Bank’s SMMD data collection had formally begun on 1st July, with 34 unsecured and 22 secured reporters sending daily data from then. The overnight unsecured volumes were broadly consistent with the results of the SMMA survey in November, at around 3-4 times current daily SONIA volumes.</w:t>
            </w:r>
          </w:p>
          <w:p>
            <w:pPr>
              <w:pStyle w:val="TableParagraph"/>
              <w:rPr>
                <w:rFonts w:ascii="Times New Roman"/>
                <w:sz w:val="21"/>
              </w:rPr>
            </w:pPr>
          </w:p>
          <w:p>
            <w:pPr>
              <w:pStyle w:val="TableParagraph"/>
              <w:spacing w:before="1"/>
              <w:ind w:left="116" w:right="157"/>
              <w:rPr>
                <w:sz w:val="20"/>
              </w:rPr>
            </w:pPr>
            <w:r>
              <w:rPr>
                <w:sz w:val="20"/>
              </w:rPr>
              <w:t>The Bank anticipated that it would share its full proposals for reformed SONIA in a public consultation, expected in early October. The current expected timeline for transition to reformed SONIA was in Q4 2017. The existing procedures for producing SONIA would remain in place until transition was complete.</w:t>
            </w:r>
          </w:p>
        </w:tc>
        <w:tc>
          <w:tcPr>
            <w:tcW w:w="982" w:type="dxa"/>
          </w:tcPr>
          <w:p>
            <w:pPr>
              <w:pStyle w:val="TableParagraph"/>
              <w:spacing w:before="7"/>
              <w:ind w:right="106"/>
              <w:jc w:val="right"/>
              <w:rPr>
                <w:sz w:val="20"/>
              </w:rPr>
            </w:pPr>
            <w:r>
              <w:rPr>
                <w:w w:val="95"/>
                <w:sz w:val="20"/>
              </w:rPr>
              <w:t>N/A</w:t>
            </w:r>
          </w:p>
        </w:tc>
      </w:tr>
      <w:tr>
        <w:trPr>
          <w:trHeight w:val="3818" w:hRule="atLeast"/>
        </w:trPr>
        <w:tc>
          <w:tcPr>
            <w:tcW w:w="1060" w:type="dxa"/>
          </w:tcPr>
          <w:p>
            <w:pPr>
              <w:pStyle w:val="TableParagraph"/>
              <w:spacing w:before="118"/>
              <w:ind w:left="108"/>
              <w:rPr>
                <w:b/>
                <w:sz w:val="20"/>
              </w:rPr>
            </w:pPr>
            <w:r>
              <w:rPr>
                <w:b/>
                <w:sz w:val="20"/>
              </w:rPr>
              <w:t>2.</w:t>
            </w:r>
          </w:p>
        </w:tc>
        <w:tc>
          <w:tcPr>
            <w:tcW w:w="7624" w:type="dxa"/>
          </w:tcPr>
          <w:p>
            <w:pPr>
              <w:pStyle w:val="TableParagraph"/>
              <w:spacing w:before="115"/>
              <w:ind w:left="116"/>
              <w:rPr>
                <w:b/>
                <w:sz w:val="20"/>
              </w:rPr>
            </w:pPr>
            <w:r>
              <w:rPr>
                <w:b/>
                <w:sz w:val="20"/>
              </w:rPr>
              <w:t>Review of SONIA Dashboard</w:t>
            </w:r>
          </w:p>
          <w:p>
            <w:pPr>
              <w:pStyle w:val="TableParagraph"/>
              <w:spacing w:before="3"/>
              <w:ind w:left="116" w:right="437"/>
              <w:rPr>
                <w:sz w:val="20"/>
              </w:rPr>
            </w:pPr>
            <w:r>
              <w:rPr>
                <w:sz w:val="20"/>
              </w:rPr>
              <w:t>The Committee reviewed the SONIA Dashboard covering the period mid-May to end- August.</w:t>
            </w:r>
          </w:p>
          <w:p>
            <w:pPr>
              <w:pStyle w:val="TableParagraph"/>
              <w:spacing w:before="8"/>
              <w:rPr>
                <w:rFonts w:ascii="Times New Roman"/>
                <w:sz w:val="20"/>
              </w:rPr>
            </w:pPr>
          </w:p>
          <w:p>
            <w:pPr>
              <w:pStyle w:val="TableParagraph"/>
              <w:ind w:left="116" w:right="157"/>
              <w:rPr>
                <w:sz w:val="20"/>
              </w:rPr>
            </w:pPr>
            <w:r>
              <w:rPr>
                <w:sz w:val="20"/>
              </w:rPr>
              <w:t>Throughout the period, on average daily SONIA volumes were stable, around £8- 10bn, but there were a few notable days where volumes fell slightly: the last day June, and the day after the MPC cut Bank Rate to 0.25% on the 5 August. For the period up until the cut in Bank Rate, SONIA was also stable at around 0.46%; with a 1-2 basis point fall at the end of most months. On the day of the rate cut, SONIA fell to 0.246%, before settling around 0.215% for the rest of the month.</w:t>
            </w:r>
          </w:p>
          <w:p>
            <w:pPr>
              <w:pStyle w:val="TableParagraph"/>
              <w:spacing w:before="11"/>
              <w:rPr>
                <w:rFonts w:ascii="Times New Roman"/>
                <w:sz w:val="20"/>
              </w:rPr>
            </w:pPr>
          </w:p>
          <w:p>
            <w:pPr>
              <w:pStyle w:val="TableParagraph"/>
              <w:spacing w:line="230" w:lineRule="atLeast"/>
              <w:ind w:left="116" w:right="286"/>
              <w:rPr>
                <w:sz w:val="20"/>
              </w:rPr>
            </w:pPr>
            <w:r>
              <w:rPr>
                <w:sz w:val="20"/>
              </w:rPr>
              <w:t>There were five incidents involving data errors through the period, although none sufficiently material to trigger a republication under the agreed republication threshold; i.e. the impact on SONIA was less than one basis point. The Committee noted that the WMBA had completed incident reports with the</w:t>
            </w:r>
            <w:r>
              <w:rPr>
                <w:spacing w:val="-24"/>
                <w:sz w:val="20"/>
              </w:rPr>
              <w:t> </w:t>
            </w:r>
            <w:r>
              <w:rPr>
                <w:sz w:val="20"/>
              </w:rPr>
              <w:t>relevant contributing entities, with agreed remedial steps. The Bank noted that they</w:t>
            </w:r>
            <w:r>
              <w:rPr>
                <w:spacing w:val="-20"/>
                <w:sz w:val="20"/>
              </w:rPr>
              <w:t> </w:t>
            </w:r>
            <w:r>
              <w:rPr>
                <w:sz w:val="20"/>
              </w:rPr>
              <w:t>had</w:t>
            </w:r>
          </w:p>
        </w:tc>
        <w:tc>
          <w:tcPr>
            <w:tcW w:w="982" w:type="dxa"/>
          </w:tcPr>
          <w:p>
            <w:pPr>
              <w:pStyle w:val="TableParagraph"/>
              <w:spacing w:before="118"/>
              <w:ind w:right="106"/>
              <w:jc w:val="right"/>
              <w:rPr>
                <w:sz w:val="20"/>
              </w:rPr>
            </w:pPr>
            <w:r>
              <w:rPr>
                <w:w w:val="95"/>
                <w:sz w:val="20"/>
              </w:rPr>
              <w:t>N/A</w:t>
            </w:r>
          </w:p>
        </w:tc>
      </w:tr>
    </w:tbl>
    <w:p>
      <w:pPr>
        <w:spacing w:after="0"/>
        <w:jc w:val="right"/>
        <w:rPr>
          <w:sz w:val="20"/>
        </w:rPr>
        <w:sectPr>
          <w:footerReference w:type="default" r:id="rId5"/>
          <w:type w:val="continuous"/>
          <w:pgSz w:w="11910" w:h="16840"/>
          <w:pgMar w:footer="520" w:top="660" w:bottom="720" w:left="820" w:right="820"/>
          <w:pgNumType w:start="1"/>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8141"/>
        <w:gridCol w:w="1087"/>
      </w:tblGrid>
      <w:tr>
        <w:trPr>
          <w:trHeight w:val="400" w:hRule="atLeast"/>
        </w:trPr>
        <w:tc>
          <w:tcPr>
            <w:tcW w:w="817" w:type="dxa"/>
          </w:tcPr>
          <w:p>
            <w:pPr>
              <w:pStyle w:val="TableParagraph"/>
              <w:rPr>
                <w:rFonts w:ascii="Times New Roman"/>
                <w:sz w:val="18"/>
              </w:rPr>
            </w:pPr>
          </w:p>
        </w:tc>
        <w:tc>
          <w:tcPr>
            <w:tcW w:w="8141" w:type="dxa"/>
          </w:tcPr>
          <w:p>
            <w:pPr>
              <w:pStyle w:val="TableParagraph"/>
              <w:spacing w:line="223" w:lineRule="exact"/>
              <w:ind w:left="450"/>
              <w:rPr>
                <w:sz w:val="20"/>
              </w:rPr>
            </w:pPr>
            <w:r>
              <w:rPr>
                <w:sz w:val="20"/>
              </w:rPr>
              <w:t>also written to the relevant entities to affirm the necessity for swift remediation.</w:t>
            </w:r>
          </w:p>
        </w:tc>
        <w:tc>
          <w:tcPr>
            <w:tcW w:w="1087" w:type="dxa"/>
          </w:tcPr>
          <w:p>
            <w:pPr>
              <w:pStyle w:val="TableParagraph"/>
              <w:rPr>
                <w:rFonts w:ascii="Times New Roman"/>
                <w:sz w:val="18"/>
              </w:rPr>
            </w:pPr>
          </w:p>
        </w:tc>
      </w:tr>
      <w:tr>
        <w:trPr>
          <w:trHeight w:val="4925" w:hRule="atLeast"/>
        </w:trPr>
        <w:tc>
          <w:tcPr>
            <w:tcW w:w="817" w:type="dxa"/>
          </w:tcPr>
          <w:p>
            <w:pPr>
              <w:pStyle w:val="TableParagraph"/>
              <w:spacing w:before="173"/>
              <w:ind w:left="200"/>
              <w:rPr>
                <w:b/>
                <w:sz w:val="20"/>
              </w:rPr>
            </w:pPr>
            <w:r>
              <w:rPr>
                <w:b/>
                <w:sz w:val="20"/>
              </w:rPr>
              <w:t>3.</w:t>
            </w:r>
          </w:p>
        </w:tc>
        <w:tc>
          <w:tcPr>
            <w:tcW w:w="8141" w:type="dxa"/>
          </w:tcPr>
          <w:p>
            <w:pPr>
              <w:pStyle w:val="TableParagraph"/>
              <w:spacing w:before="171"/>
              <w:ind w:left="450"/>
              <w:rPr>
                <w:b/>
                <w:sz w:val="20"/>
              </w:rPr>
            </w:pPr>
            <w:r>
              <w:rPr>
                <w:b/>
                <w:sz w:val="20"/>
              </w:rPr>
              <w:t>Periodic review of the Data Quality Code</w:t>
            </w:r>
          </w:p>
          <w:p>
            <w:pPr>
              <w:pStyle w:val="TableParagraph"/>
              <w:spacing w:before="2"/>
              <w:ind w:left="450" w:right="596"/>
              <w:rPr>
                <w:sz w:val="20"/>
              </w:rPr>
            </w:pPr>
            <w:r>
              <w:rPr>
                <w:sz w:val="20"/>
              </w:rPr>
              <w:t>The Committee undertook its periodic review of the Data Quality Code. As part of this there was a discussion on the potential inclusion of an attestation by contributing entities to the WMBA’s Data Quality Code.</w:t>
            </w:r>
          </w:p>
          <w:p>
            <w:pPr>
              <w:pStyle w:val="TableParagraph"/>
              <w:spacing w:before="9"/>
              <w:rPr>
                <w:rFonts w:ascii="Times New Roman"/>
                <w:sz w:val="20"/>
              </w:rPr>
            </w:pPr>
          </w:p>
          <w:p>
            <w:pPr>
              <w:pStyle w:val="TableParagraph"/>
              <w:ind w:left="450" w:right="711"/>
              <w:rPr>
                <w:sz w:val="20"/>
              </w:rPr>
            </w:pPr>
            <w:r>
              <w:rPr>
                <w:sz w:val="20"/>
              </w:rPr>
              <w:t>All Committee members agreed that in general attestations had a valuable role to play in ensuring appropriate systems and controls. But it was noted that an existing incident management process was already in place to deal with issues arising in the production of SONIA since the contributed information was collected from publically available sources.</w:t>
            </w:r>
          </w:p>
          <w:p>
            <w:pPr>
              <w:pStyle w:val="TableParagraph"/>
              <w:spacing w:before="10"/>
              <w:rPr>
                <w:rFonts w:ascii="Times New Roman"/>
                <w:sz w:val="20"/>
              </w:rPr>
            </w:pPr>
          </w:p>
          <w:p>
            <w:pPr>
              <w:pStyle w:val="TableParagraph"/>
              <w:ind w:left="450" w:right="596"/>
              <w:rPr>
                <w:sz w:val="20"/>
              </w:rPr>
            </w:pPr>
            <w:r>
              <w:rPr>
                <w:sz w:val="20"/>
              </w:rPr>
              <w:t>Moreover, the additional benefit needed to be balanced against the costs of imposing such a requirement, and whether these were proportional to the risks the attestation would seek to mitigate. As such, the Committee felt that an attestation may have more value if applied on an ad hoc basis, where a clear trend of poor controls was identified; this was not currently the case.</w:t>
            </w:r>
          </w:p>
          <w:p>
            <w:pPr>
              <w:pStyle w:val="TableParagraph"/>
              <w:spacing w:before="10"/>
              <w:rPr>
                <w:rFonts w:ascii="Times New Roman"/>
                <w:sz w:val="20"/>
              </w:rPr>
            </w:pPr>
          </w:p>
          <w:p>
            <w:pPr>
              <w:pStyle w:val="TableParagraph"/>
              <w:ind w:left="450" w:right="533"/>
              <w:rPr>
                <w:sz w:val="20"/>
              </w:rPr>
            </w:pPr>
            <w:r>
              <w:rPr>
                <w:sz w:val="20"/>
              </w:rPr>
              <w:t>The Committee agreed to keep the concept of an attestation under review, whilst also considering the interim nature of the current SONIA production arrangements.</w:t>
            </w:r>
          </w:p>
        </w:tc>
        <w:tc>
          <w:tcPr>
            <w:tcW w:w="1087" w:type="dxa"/>
          </w:tcPr>
          <w:p>
            <w:pPr>
              <w:pStyle w:val="TableParagraph"/>
              <w:spacing w:before="173"/>
              <w:ind w:right="199"/>
              <w:jc w:val="right"/>
              <w:rPr>
                <w:sz w:val="20"/>
              </w:rPr>
            </w:pPr>
            <w:r>
              <w:rPr>
                <w:w w:val="95"/>
                <w:sz w:val="20"/>
              </w:rPr>
              <w:t>N/A</w:t>
            </w:r>
          </w:p>
        </w:tc>
      </w:tr>
      <w:tr>
        <w:trPr>
          <w:trHeight w:val="5329" w:hRule="atLeast"/>
        </w:trPr>
        <w:tc>
          <w:tcPr>
            <w:tcW w:w="817" w:type="dxa"/>
          </w:tcPr>
          <w:p>
            <w:pPr>
              <w:pStyle w:val="TableParagraph"/>
              <w:spacing w:before="118"/>
              <w:ind w:left="200"/>
              <w:rPr>
                <w:b/>
                <w:sz w:val="20"/>
              </w:rPr>
            </w:pPr>
            <w:r>
              <w:rPr>
                <w:b/>
                <w:sz w:val="20"/>
              </w:rPr>
              <w:t>4.</w:t>
            </w:r>
          </w:p>
        </w:tc>
        <w:tc>
          <w:tcPr>
            <w:tcW w:w="8141" w:type="dxa"/>
          </w:tcPr>
          <w:p>
            <w:pPr>
              <w:pStyle w:val="TableParagraph"/>
              <w:spacing w:before="115"/>
              <w:ind w:left="450"/>
              <w:rPr>
                <w:b/>
                <w:sz w:val="20"/>
              </w:rPr>
            </w:pPr>
            <w:r>
              <w:rPr>
                <w:b/>
                <w:sz w:val="20"/>
              </w:rPr>
              <w:t>Discussion on the appropriate degree of rounding for SONIA</w:t>
            </w:r>
          </w:p>
          <w:p>
            <w:pPr>
              <w:pStyle w:val="TableParagraph"/>
              <w:spacing w:before="3"/>
              <w:ind w:left="450" w:right="589"/>
              <w:rPr>
                <w:sz w:val="20"/>
              </w:rPr>
            </w:pPr>
            <w:r>
              <w:rPr>
                <w:sz w:val="20"/>
              </w:rPr>
              <w:t>The Committee discussed whether the current degree of rounding for SONIA – to four decimal places – remained appropriate. Some members of the Committee felt that this gave too precise an indication of the level of trading in the underlying market given transactions were usually only entered into in whole basis points.</w:t>
            </w:r>
          </w:p>
          <w:p>
            <w:pPr>
              <w:pStyle w:val="TableParagraph"/>
              <w:spacing w:before="10"/>
              <w:rPr>
                <w:rFonts w:ascii="Times New Roman"/>
                <w:sz w:val="20"/>
              </w:rPr>
            </w:pPr>
          </w:p>
          <w:p>
            <w:pPr>
              <w:pStyle w:val="TableParagraph"/>
              <w:ind w:left="450" w:right="822"/>
              <w:rPr>
                <w:sz w:val="20"/>
              </w:rPr>
            </w:pPr>
            <w:r>
              <w:rPr>
                <w:sz w:val="20"/>
              </w:rPr>
              <w:t>Other members felt that the current degree of rounding might give additional information to market participants for the purpose of pricing and modelling of interest rate derivatives. Some felt that the degree of precision needed for the derivatives market shouldn’t necessarily drive the degree of rounding of the reference spot rate.</w:t>
            </w:r>
          </w:p>
          <w:p>
            <w:pPr>
              <w:pStyle w:val="TableParagraph"/>
              <w:spacing w:before="10"/>
              <w:rPr>
                <w:rFonts w:ascii="Times New Roman"/>
                <w:sz w:val="20"/>
              </w:rPr>
            </w:pPr>
          </w:p>
          <w:p>
            <w:pPr>
              <w:pStyle w:val="TableParagraph"/>
              <w:ind w:left="450" w:right="544"/>
              <w:rPr>
                <w:sz w:val="20"/>
              </w:rPr>
            </w:pPr>
            <w:r>
              <w:rPr>
                <w:sz w:val="20"/>
              </w:rPr>
              <w:t>The Bank presented some brief analysis which compared current SONIA rounded to two and four decimal places. Using three month compounded SONIA rates to estimate a £100 million 3-month Overnight Indexed Swap position, on average over the past 15 years, the difference in profit and loss where SONIA was rounded to two decimal places instead of four, was negligible.</w:t>
            </w:r>
          </w:p>
          <w:p>
            <w:pPr>
              <w:pStyle w:val="TableParagraph"/>
              <w:spacing w:before="9"/>
              <w:rPr>
                <w:rFonts w:ascii="Times New Roman"/>
                <w:sz w:val="20"/>
              </w:rPr>
            </w:pPr>
          </w:p>
          <w:p>
            <w:pPr>
              <w:pStyle w:val="TableParagraph"/>
              <w:spacing w:before="1"/>
              <w:ind w:left="450" w:right="596"/>
              <w:rPr>
                <w:sz w:val="20"/>
              </w:rPr>
            </w:pPr>
            <w:r>
              <w:rPr>
                <w:sz w:val="20"/>
              </w:rPr>
              <w:t>It was agreed there was no pressing need to change the calculation methodology, particularly in the light of the forthcoming reform of SONIA being undertaken by the Bank.</w:t>
            </w:r>
          </w:p>
        </w:tc>
        <w:tc>
          <w:tcPr>
            <w:tcW w:w="1087" w:type="dxa"/>
          </w:tcPr>
          <w:p>
            <w:pPr>
              <w:pStyle w:val="TableParagraph"/>
              <w:spacing w:before="118"/>
              <w:ind w:right="199"/>
              <w:jc w:val="right"/>
              <w:rPr>
                <w:sz w:val="20"/>
              </w:rPr>
            </w:pPr>
            <w:r>
              <w:rPr>
                <w:w w:val="95"/>
                <w:sz w:val="20"/>
              </w:rPr>
              <w:t>N/A</w:t>
            </w:r>
          </w:p>
        </w:tc>
      </w:tr>
      <w:tr>
        <w:trPr>
          <w:trHeight w:val="1957" w:hRule="atLeast"/>
        </w:trPr>
        <w:tc>
          <w:tcPr>
            <w:tcW w:w="817" w:type="dxa"/>
          </w:tcPr>
          <w:p>
            <w:pPr>
              <w:pStyle w:val="TableParagraph"/>
              <w:spacing w:before="116"/>
              <w:ind w:left="200"/>
              <w:rPr>
                <w:b/>
                <w:sz w:val="20"/>
              </w:rPr>
            </w:pPr>
            <w:r>
              <w:rPr>
                <w:b/>
                <w:sz w:val="20"/>
              </w:rPr>
              <w:t>5.</w:t>
            </w:r>
          </w:p>
        </w:tc>
        <w:tc>
          <w:tcPr>
            <w:tcW w:w="8141" w:type="dxa"/>
          </w:tcPr>
          <w:p>
            <w:pPr>
              <w:pStyle w:val="TableParagraph"/>
              <w:spacing w:before="114"/>
              <w:ind w:left="450" w:right="1614"/>
              <w:jc w:val="both"/>
              <w:rPr>
                <w:b/>
                <w:sz w:val="20"/>
              </w:rPr>
            </w:pPr>
            <w:r>
              <w:rPr>
                <w:b/>
                <w:sz w:val="20"/>
              </w:rPr>
              <w:t>Lessons learnt from the RT hours extension, relevant to</w:t>
            </w:r>
            <w:r>
              <w:rPr>
                <w:b/>
                <w:spacing w:val="-21"/>
                <w:sz w:val="20"/>
              </w:rPr>
              <w:t> </w:t>
            </w:r>
            <w:r>
              <w:rPr>
                <w:b/>
                <w:sz w:val="20"/>
              </w:rPr>
              <w:t>moving publication to</w:t>
            </w:r>
            <w:r>
              <w:rPr>
                <w:b/>
                <w:spacing w:val="-1"/>
                <w:sz w:val="20"/>
              </w:rPr>
              <w:t> </w:t>
            </w:r>
            <w:r>
              <w:rPr>
                <w:b/>
                <w:sz w:val="20"/>
              </w:rPr>
              <w:t>T+1</w:t>
            </w:r>
          </w:p>
          <w:p>
            <w:pPr>
              <w:pStyle w:val="TableParagraph"/>
              <w:spacing w:before="3"/>
              <w:ind w:left="450" w:right="524"/>
              <w:jc w:val="both"/>
              <w:rPr>
                <w:sz w:val="20"/>
              </w:rPr>
            </w:pPr>
            <w:r>
              <w:rPr>
                <w:sz w:val="20"/>
              </w:rPr>
              <w:t>The Chair asked for members’ views as to any lessons learnt from the change in publication time of SONIA to after 18:00, which may be relevant for the Bank’s plans to change the publication time of reformed SONIA to the following morning at 09:00.</w:t>
            </w:r>
          </w:p>
          <w:p>
            <w:pPr>
              <w:pStyle w:val="TableParagraph"/>
              <w:spacing w:line="230" w:lineRule="exact" w:before="4"/>
              <w:ind w:left="450" w:right="528"/>
              <w:jc w:val="both"/>
              <w:rPr>
                <w:sz w:val="20"/>
              </w:rPr>
            </w:pPr>
            <w:r>
              <w:rPr>
                <w:sz w:val="20"/>
              </w:rPr>
              <w:t>Members noted that they had not experienced any noticeable operational difficulties with the change and that the lengthy notice period had helped.</w:t>
            </w:r>
          </w:p>
        </w:tc>
        <w:tc>
          <w:tcPr>
            <w:tcW w:w="1087" w:type="dxa"/>
          </w:tcPr>
          <w:p>
            <w:pPr>
              <w:pStyle w:val="TableParagraph"/>
              <w:rPr>
                <w:rFonts w:ascii="Times New Roman"/>
                <w:sz w:val="18"/>
              </w:rPr>
            </w:pPr>
          </w:p>
        </w:tc>
      </w:tr>
    </w:tbl>
    <w:sectPr>
      <w:pgSz w:w="11910" w:h="16840"/>
      <w:pgMar w:header="0" w:footer="520" w:top="1120" w:bottom="72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type id="_x0000_t202" o:spt="202" coordsize="21600,21600" path="m,l,21600r21600,l21600,xe">
          <v:stroke joinstyle="miter"/>
          <v:path gradientshapeok="t" o:connecttype="rect"/>
        </v:shapetype>
        <v:shape style="position:absolute;margin-left:530.159973pt;margin-top:799.359436pt;width:11.55pt;height:14.7pt;mso-position-horizontal-relative:page;mso-position-vertical-relative:page;z-index:-251885568" type="#_x0000_t202" filled="false" stroked="false">
          <v:textbox inset="0,0,0,0">
            <w:txbxContent>
              <w:p>
                <w:pPr>
                  <w:pStyle w:val="BodyText"/>
                  <w:spacing w:before="44"/>
                  <w:ind w:left="60"/>
                </w:pPr>
                <w:r>
                  <w:rPr/>
                  <w:fldChar w:fldCharType="begin"/>
                </w:r>
                <w:r>
                  <w:rPr>
                    <w:w w:val="99"/>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SONIA Advisory Committee Minutes - 20 Sep 2016</dc:title>
  <dcterms:created xsi:type="dcterms:W3CDTF">2020-06-01T02:20:30Z</dcterms:created>
  <dcterms:modified xsi:type="dcterms:W3CDTF">2020-06-01T02:20:30Z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2016-10-31T00:00:00Z</vt:filetime>
  </property>
  <property fmtid="{D5CDD505-2E9C-101B-9397-08002B2CF9AE}" pid="3" name="LastSaved">
    <vt:filetime>2020-06-01T00:00:00Z</vt:filetime>
  </property>
</Properties>
</file>