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1131" w:val="left" w:leader="none"/>
        </w:tabs>
        <w:ind w:left="170"/>
        <w:rPr>
          <w:rFonts w:ascii="Times New Roman"/>
        </w:rPr>
      </w:pPr>
      <w:r>
        <w:rPr>
          <w:rFonts w:ascii="Times New Roman"/>
        </w:rPr>
        <w:drawing>
          <wp:inline distT="0" distB="0" distL="0" distR="0">
            <wp:extent cx="466528" cy="48101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6528" cy="481012"/>
                    </a:xfrm>
                    <a:prstGeom prst="rect">
                      <a:avLst/>
                    </a:prstGeom>
                  </pic:spPr>
                </pic:pic>
              </a:graphicData>
            </a:graphic>
          </wp:inline>
        </w:drawing>
      </w:r>
      <w:r>
        <w:rPr>
          <w:rFonts w:ascii="Times New Roman"/>
        </w:rPr>
      </w:r>
      <w:r>
        <w:rPr>
          <w:rFonts w:ascii="Times New Roman"/>
        </w:rPr>
        <w:tab/>
      </w:r>
      <w:r>
        <w:rPr>
          <w:rFonts w:ascii="Times New Roman"/>
          <w:position w:val="27"/>
        </w:rPr>
        <w:pict>
          <v:group style="width:28.4pt;height:10.15pt;mso-position-horizontal-relative:char;mso-position-vertical-relative:line" coordorigin="0,0" coordsize="568,203">
            <v:shape style="position:absolute;left:0;top:1;width:128;height:202" type="#_x0000_t75" stroked="false">
              <v:imagedata r:id="rId7" o:title=""/>
            </v:shape>
            <v:shape style="position:absolute;left:169;top:0;width:176;height:203" type="#_x0000_t75" stroked="false">
              <v:imagedata r:id="rId8" o:title=""/>
            </v:shape>
            <v:shape style="position:absolute;left:397;top:1;width:171;height:202" type="#_x0000_t75" stroked="false">
              <v:imagedata r:id="rId9" o:title=""/>
            </v:shape>
          </v:group>
        </w:pict>
      </w:r>
      <w:r>
        <w:rPr>
          <w:rFonts w:ascii="Times New Roman"/>
          <w:position w:val="27"/>
        </w:rPr>
      </w:r>
      <w:r>
        <w:rPr>
          <w:rFonts w:ascii="Times New Roman"/>
          <w:spacing w:val="14"/>
          <w:position w:val="27"/>
        </w:rPr>
        <w:t> </w:t>
      </w:r>
      <w:r>
        <w:rPr>
          <w:rFonts w:ascii="Times New Roman"/>
          <w:spacing w:val="14"/>
          <w:position w:val="27"/>
        </w:rPr>
        <w:drawing>
          <wp:inline distT="0" distB="0" distL="0" distR="0">
            <wp:extent cx="90317" cy="128587"/>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90317" cy="128587"/>
                    </a:xfrm>
                    <a:prstGeom prst="rect">
                      <a:avLst/>
                    </a:prstGeom>
                  </pic:spPr>
                </pic:pic>
              </a:graphicData>
            </a:graphic>
          </wp:inline>
        </w:drawing>
      </w:r>
      <w:r>
        <w:rPr>
          <w:rFonts w:ascii="Times New Roman"/>
          <w:spacing w:val="14"/>
          <w:position w:val="27"/>
        </w:rPr>
      </w:r>
      <w:r>
        <w:rPr>
          <w:rFonts w:ascii="Times New Roman"/>
          <w:spacing w:val="64"/>
          <w:position w:val="27"/>
        </w:rPr>
        <w:t> </w:t>
      </w:r>
      <w:r>
        <w:rPr>
          <w:rFonts w:ascii="Times New Roman"/>
          <w:spacing w:val="64"/>
          <w:position w:val="27"/>
        </w:rPr>
        <w:pict>
          <v:group style="width:18.7pt;height:10.35pt;mso-position-horizontal-relative:char;mso-position-vertical-relative:line" coordorigin="0,0" coordsize="374,207">
            <v:shape style="position:absolute;left:0;top:0;width:196;height:207" type="#_x0000_t75" stroked="false">
              <v:imagedata r:id="rId11" o:title=""/>
            </v:shape>
            <v:shape style="position:absolute;left:260;top:2;width:113;height:202" type="#_x0000_t75" stroked="false">
              <v:imagedata r:id="rId12" o:title=""/>
            </v:shape>
          </v:group>
        </w:pict>
      </w:r>
      <w:r>
        <w:rPr>
          <w:rFonts w:ascii="Times New Roman"/>
          <w:spacing w:val="64"/>
          <w:position w:val="27"/>
        </w:rPr>
      </w:r>
      <w:r>
        <w:rPr>
          <w:rFonts w:ascii="Times New Roman"/>
          <w:spacing w:val="81"/>
          <w:position w:val="27"/>
        </w:rPr>
        <w:t> </w:t>
      </w:r>
      <w:r>
        <w:rPr>
          <w:rFonts w:ascii="Times New Roman"/>
          <w:spacing w:val="81"/>
          <w:position w:val="27"/>
        </w:rPr>
        <w:pict>
          <v:group style="width:29.5pt;height:10.35pt;mso-position-horizontal-relative:char;mso-position-vertical-relative:line" coordorigin="0,0" coordsize="590,207">
            <v:shape style="position:absolute;left:0;top:2;width:119;height:202" type="#_x0000_t75" stroked="false">
              <v:imagedata r:id="rId13" o:title=""/>
            </v:shape>
            <v:shape style="position:absolute;left:184;top:2;width:172;height:202" type="#_x0000_t75" stroked="false">
              <v:imagedata r:id="rId14" o:title=""/>
            </v:shape>
            <v:shape style="position:absolute;left:421;top:0;width:168;height:207" type="#_x0000_t75" stroked="false">
              <v:imagedata r:id="rId15" o:title=""/>
            </v:shape>
          </v:group>
        </w:pict>
      </w:r>
      <w:r>
        <w:rPr>
          <w:rFonts w:ascii="Times New Roman"/>
          <w:spacing w:val="81"/>
          <w:position w:val="27"/>
        </w:rPr>
      </w:r>
      <w:r>
        <w:rPr>
          <w:rFonts w:ascii="Times New Roman"/>
          <w:spacing w:val="11"/>
          <w:position w:val="27"/>
        </w:rPr>
        <w:t> </w:t>
      </w:r>
      <w:r>
        <w:rPr>
          <w:rFonts w:ascii="Times New Roman"/>
          <w:spacing w:val="11"/>
          <w:position w:val="27"/>
        </w:rPr>
        <w:pict>
          <v:group style="width:26.8pt;height:10.2pt;mso-position-horizontal-relative:char;mso-position-vertical-relative:line" coordorigin="0,0" coordsize="536,204">
            <v:rect style="position:absolute;left:0;top:177;width:101;height:26" filled="true" fillcolor="#231f20" stroked="false">
              <v:fill type="solid"/>
            </v:rect>
            <v:line style="position:absolute" from="16,1" to="16,177" stroked="true" strokeweight="1.56pt" strokecolor="#231f20">
              <v:stroke dashstyle="solid"/>
            </v:line>
            <v:shape style="position:absolute;left:135;top:0;width:176;height:203" type="#_x0000_t75" stroked="false">
              <v:imagedata r:id="rId16" o:title=""/>
            </v:shape>
            <v:shape style="position:absolute;left:363;top:1;width:172;height:202" type="#_x0000_t75" stroked="false">
              <v:imagedata r:id="rId14" o:title=""/>
            </v:shape>
          </v:group>
        </w:pict>
      </w:r>
      <w:r>
        <w:rPr>
          <w:rFonts w:ascii="Times New Roman"/>
          <w:spacing w:val="11"/>
          <w:position w:val="27"/>
        </w:rPr>
      </w:r>
      <w:r>
        <w:rPr>
          <w:rFonts w:ascii="Times New Roman"/>
          <w:spacing w:val="30"/>
          <w:position w:val="27"/>
        </w:rPr>
        <w:t> </w:t>
      </w:r>
      <w:r>
        <w:rPr>
          <w:rFonts w:ascii="Times New Roman"/>
          <w:spacing w:val="30"/>
          <w:position w:val="27"/>
        </w:rPr>
        <w:drawing>
          <wp:inline distT="0" distB="0" distL="0" distR="0">
            <wp:extent cx="103329" cy="128587"/>
            <wp:effectExtent l="0" t="0" r="0" b="0"/>
            <wp:docPr id="5" name="image12.png"/>
            <wp:cNvGraphicFramePr>
              <a:graphicFrameLocks noChangeAspect="1"/>
            </wp:cNvGraphicFramePr>
            <a:graphic>
              <a:graphicData uri="http://schemas.openxmlformats.org/drawingml/2006/picture">
                <pic:pic>
                  <pic:nvPicPr>
                    <pic:cNvPr id="6" name="image12.png"/>
                    <pic:cNvPicPr/>
                  </pic:nvPicPr>
                  <pic:blipFill>
                    <a:blip r:embed="rId17" cstate="print"/>
                    <a:stretch>
                      <a:fillRect/>
                    </a:stretch>
                  </pic:blipFill>
                  <pic:spPr>
                    <a:xfrm>
                      <a:off x="0" y="0"/>
                      <a:ext cx="103329" cy="128587"/>
                    </a:xfrm>
                    <a:prstGeom prst="rect">
                      <a:avLst/>
                    </a:prstGeom>
                  </pic:spPr>
                </pic:pic>
              </a:graphicData>
            </a:graphic>
          </wp:inline>
        </w:drawing>
      </w:r>
      <w:r>
        <w:rPr>
          <w:rFonts w:ascii="Times New Roman"/>
          <w:spacing w:val="30"/>
          <w:position w:val="27"/>
        </w:rPr>
      </w:r>
    </w:p>
    <w:p>
      <w:pPr>
        <w:pStyle w:val="BodyText"/>
        <w:spacing w:before="6"/>
        <w:rPr>
          <w:rFonts w:ascii="Times New Roman"/>
          <w:sz w:val="12"/>
        </w:rPr>
      </w:pPr>
    </w:p>
    <w:p>
      <w:pPr>
        <w:spacing w:before="89"/>
        <w:ind w:left="212" w:right="0" w:firstLine="0"/>
        <w:jc w:val="left"/>
        <w:rPr>
          <w:sz w:val="36"/>
        </w:rPr>
      </w:pPr>
      <w:r>
        <w:rPr>
          <w:sz w:val="36"/>
        </w:rPr>
        <w:t>Minutes</w:t>
      </w:r>
    </w:p>
    <w:p>
      <w:pPr>
        <w:spacing w:before="205"/>
        <w:ind w:left="212" w:right="0" w:firstLine="0"/>
        <w:jc w:val="left"/>
        <w:rPr>
          <w:b/>
          <w:sz w:val="32"/>
        </w:rPr>
      </w:pPr>
      <w:r>
        <w:rPr>
          <w:b/>
          <w:sz w:val="32"/>
        </w:rPr>
        <w:t>SONIA Stakeholder Advisory Group</w:t>
      </w:r>
    </w:p>
    <w:p>
      <w:pPr>
        <w:pStyle w:val="BodyText"/>
        <w:spacing w:before="80"/>
        <w:ind w:left="212"/>
      </w:pPr>
      <w:r>
        <w:rPr/>
        <w:t>21 February 2019</w:t>
      </w:r>
    </w:p>
    <w:p>
      <w:pPr>
        <w:pStyle w:val="BodyText"/>
        <w:spacing w:before="10"/>
        <w:rPr>
          <w:sz w:val="25"/>
        </w:rPr>
      </w:pPr>
      <w:r>
        <w:rPr/>
        <w:pict>
          <v:shape style="position:absolute;margin-left:61.68pt;margin-top:17.084892pt;width:458.6pt;height:.1pt;mso-position-horizontal-relative:page;mso-position-vertical-relative:paragraph;z-index:-251654144;mso-wrap-distance-left:0;mso-wrap-distance-right:0" coordorigin="1234,342" coordsize="9172,0" path="m1234,342l10405,342e" filled="false" stroked="true" strokeweight=".47998pt" strokecolor="#000000">
            <v:path arrowok="t"/>
            <v:stroke dashstyle="solid"/>
            <w10:wrap type="topAndBottom"/>
          </v:shape>
        </w:pict>
      </w:r>
    </w:p>
    <w:p>
      <w:pPr>
        <w:pStyle w:val="BodyText"/>
        <w:spacing w:before="7"/>
        <w:rPr>
          <w:sz w:val="8"/>
        </w:rPr>
      </w:pPr>
    </w:p>
    <w:p>
      <w:pPr>
        <w:tabs>
          <w:tab w:pos="2210" w:val="left" w:leader="none"/>
        </w:tabs>
        <w:spacing w:before="96"/>
        <w:ind w:left="212" w:right="0" w:firstLine="0"/>
        <w:jc w:val="left"/>
        <w:rPr>
          <w:sz w:val="20"/>
        </w:rPr>
      </w:pPr>
      <w:r>
        <w:rPr>
          <w:b/>
          <w:sz w:val="20"/>
        </w:rPr>
        <w:t>Location:</w:t>
        <w:tab/>
      </w:r>
      <w:r>
        <w:rPr>
          <w:sz w:val="20"/>
        </w:rPr>
        <w:t>Bank of</w:t>
      </w:r>
      <w:r>
        <w:rPr>
          <w:spacing w:val="-3"/>
          <w:sz w:val="20"/>
        </w:rPr>
        <w:t> </w:t>
      </w:r>
      <w:r>
        <w:rPr>
          <w:sz w:val="20"/>
        </w:rPr>
        <w:t>England</w:t>
      </w:r>
    </w:p>
    <w:p>
      <w:pPr>
        <w:pStyle w:val="BodyText"/>
        <w:spacing w:before="8"/>
        <w:rPr>
          <w:sz w:val="15"/>
        </w:rPr>
      </w:pPr>
      <w:r>
        <w:rPr/>
        <w:pict>
          <v:shape style="position:absolute;margin-left:61.68pt;margin-top:11.131362pt;width:458.6pt;height:.1pt;mso-position-horizontal-relative:page;mso-position-vertical-relative:paragraph;z-index:-251653120;mso-wrap-distance-left:0;mso-wrap-distance-right:0" coordorigin="1234,223" coordsize="9172,0" path="m1234,223l10405,223e" filled="false" stroked="true" strokeweight=".23999pt" strokecolor="#000000">
            <v:path arrowok="t"/>
            <v:stroke dashstyle="solid"/>
            <w10:wrap type="topAndBottom"/>
          </v:shape>
        </w:pict>
      </w:r>
    </w:p>
    <w:p>
      <w:pPr>
        <w:pStyle w:val="BodyText"/>
        <w:spacing w:before="6"/>
        <w:rPr>
          <w:sz w:val="9"/>
        </w:rPr>
      </w:pPr>
    </w:p>
    <w:p>
      <w:pPr>
        <w:spacing w:after="0"/>
        <w:rPr>
          <w:sz w:val="9"/>
        </w:rPr>
        <w:sectPr>
          <w:footerReference w:type="default" r:id="rId5"/>
          <w:type w:val="continuous"/>
          <w:pgSz w:w="11900" w:h="16840"/>
          <w:pgMar w:footer="445" w:top="720" w:bottom="640" w:left="1020" w:right="1120"/>
          <w:pgNumType w:start="1"/>
        </w:sectPr>
      </w:pPr>
    </w:p>
    <w:p>
      <w:pPr>
        <w:pStyle w:val="Heading2"/>
        <w:ind w:left="212" w:right="-18" w:firstLine="0"/>
      </w:pPr>
      <w:r>
        <w:rPr/>
        <w:t>Minute no.</w:t>
      </w:r>
    </w:p>
    <w:p>
      <w:pPr>
        <w:spacing w:before="94"/>
        <w:ind w:left="178" w:right="0" w:firstLine="0"/>
        <w:jc w:val="left"/>
        <w:rPr>
          <w:b/>
          <w:sz w:val="20"/>
        </w:rPr>
      </w:pPr>
      <w:r>
        <w:rPr/>
        <w:br w:type="column"/>
      </w:r>
      <w:r>
        <w:rPr>
          <w:b/>
          <w:sz w:val="20"/>
        </w:rPr>
        <w:t>Minute</w:t>
      </w:r>
    </w:p>
    <w:p>
      <w:pPr>
        <w:spacing w:after="0"/>
        <w:jc w:val="left"/>
        <w:rPr>
          <w:sz w:val="20"/>
        </w:rPr>
        <w:sectPr>
          <w:type w:val="continuous"/>
          <w:pgSz w:w="11900" w:h="16840"/>
          <w:pgMar w:top="720" w:bottom="640" w:left="1020" w:right="1120"/>
          <w:cols w:num="2" w:equalWidth="0">
            <w:col w:w="859" w:space="40"/>
            <w:col w:w="8861"/>
          </w:cols>
        </w:sectPr>
      </w:pPr>
    </w:p>
    <w:p>
      <w:pPr>
        <w:pStyle w:val="ListParagraph"/>
        <w:numPr>
          <w:ilvl w:val="0"/>
          <w:numId w:val="1"/>
        </w:numPr>
        <w:tabs>
          <w:tab w:pos="1076" w:val="left" w:leader="none"/>
          <w:tab w:pos="1077" w:val="left" w:leader="none"/>
        </w:tabs>
        <w:spacing w:line="240" w:lineRule="auto" w:before="56" w:after="0"/>
        <w:ind w:left="1076" w:right="0" w:hanging="865"/>
        <w:jc w:val="left"/>
        <w:rPr>
          <w:b/>
          <w:sz w:val="20"/>
        </w:rPr>
      </w:pPr>
      <w:r>
        <w:rPr>
          <w:b/>
          <w:sz w:val="20"/>
        </w:rPr>
        <w:t>Review of market</w:t>
      </w:r>
      <w:r>
        <w:rPr>
          <w:b/>
          <w:spacing w:val="1"/>
          <w:sz w:val="20"/>
        </w:rPr>
        <w:t> </w:t>
      </w:r>
      <w:r>
        <w:rPr>
          <w:b/>
          <w:sz w:val="20"/>
        </w:rPr>
        <w:t>conditions</w:t>
      </w:r>
    </w:p>
    <w:p>
      <w:pPr>
        <w:pStyle w:val="BodyText"/>
        <w:spacing w:before="6"/>
        <w:rPr>
          <w:b/>
          <w:sz w:val="19"/>
        </w:rPr>
      </w:pPr>
    </w:p>
    <w:p>
      <w:pPr>
        <w:pStyle w:val="BodyText"/>
        <w:spacing w:line="288" w:lineRule="auto" w:before="1"/>
        <w:ind w:left="1076"/>
      </w:pPr>
      <w:r>
        <w:rPr/>
        <w:t>The Bank presented a pack of publically available statistics on the SONIA rate and volumes and SONIA adoption since the reforms were implemented.</w:t>
      </w:r>
      <w:r>
        <w:rPr>
          <w:vertAlign w:val="superscript"/>
        </w:rPr>
        <w:t>1</w:t>
      </w:r>
    </w:p>
    <w:p>
      <w:pPr>
        <w:pStyle w:val="BodyText"/>
        <w:spacing w:line="288" w:lineRule="auto" w:before="180"/>
        <w:ind w:left="1076" w:right="111"/>
      </w:pPr>
      <w:r>
        <w:rPr/>
        <w:t>The SONIA rate continued to be stable, with the basis to Bank Rate consistently between 4 to 5 basis points. As anticipated at the Group’s October meeting, the market functioned smoothly over year-end, with the SONIA rate barely moving. The Group discussed that this reflected planning for year-end which has got progressively earlier each year. This meant that if issues arose, they could be resolved in more liquid markets. Although there was some variability in volumes since the previous meeting, the Group were not concerned and felt the benchmark reflected the underlying market well. The Bank noted that the concentration of participants in the underlying market was broadly unchanged since the Bank had taken on publication in April</w:t>
      </w:r>
      <w:r>
        <w:rPr>
          <w:spacing w:val="-23"/>
        </w:rPr>
        <w:t> </w:t>
      </w:r>
      <w:r>
        <w:rPr/>
        <w:t>2018.</w:t>
      </w:r>
    </w:p>
    <w:p>
      <w:pPr>
        <w:pStyle w:val="BodyText"/>
        <w:spacing w:line="288" w:lineRule="auto" w:before="180"/>
        <w:ind w:left="1076" w:right="160"/>
      </w:pPr>
      <w:r>
        <w:rPr/>
        <w:t>Looking forward, the Group highlighted the market’s uncertainty around terms of the UK’s withdrawal from the EU. There was a discussion of the potential impact on the SONIA rate and underlying volumes. One tail risk scenario discussed was where the UK left the EU without a deal, and the European Commission did not grant equivalence to the PRA and FCA. In the unlikely event this were to occur, EU regulated Money Market Funds (MMFs) could be limited as to where they could place sterling deposits; this could impact transaction volumes that ultimately fed into SONIA.</w:t>
      </w:r>
    </w:p>
    <w:p>
      <w:pPr>
        <w:pStyle w:val="BodyText"/>
        <w:spacing w:line="288" w:lineRule="auto" w:before="180"/>
        <w:ind w:left="1076" w:right="325"/>
      </w:pPr>
      <w:r>
        <w:rPr/>
        <w:t>In line with its published policies, the Bank noted it was conducting a periodic review of the current methodology to ensure that it continues to adequately measure the underlying interest. From the Group’s perspective, it continued to do so.</w:t>
      </w:r>
    </w:p>
    <w:p>
      <w:pPr>
        <w:pStyle w:val="Heading2"/>
        <w:numPr>
          <w:ilvl w:val="0"/>
          <w:numId w:val="1"/>
        </w:numPr>
        <w:tabs>
          <w:tab w:pos="1042" w:val="left" w:leader="none"/>
          <w:tab w:pos="1043" w:val="left" w:leader="none"/>
        </w:tabs>
        <w:spacing w:line="240" w:lineRule="auto" w:before="181" w:after="0"/>
        <w:ind w:left="1042" w:right="0" w:hanging="723"/>
        <w:jc w:val="left"/>
      </w:pPr>
      <w:r>
        <w:rPr/>
        <w:t>EU MMF</w:t>
      </w:r>
      <w:r>
        <w:rPr>
          <w:spacing w:val="-3"/>
        </w:rPr>
        <w:t> </w:t>
      </w:r>
      <w:r>
        <w:rPr/>
        <w:t>reforms</w:t>
      </w:r>
    </w:p>
    <w:p>
      <w:pPr>
        <w:pStyle w:val="BodyText"/>
        <w:spacing w:before="6"/>
        <w:rPr>
          <w:b/>
          <w:sz w:val="19"/>
        </w:rPr>
      </w:pPr>
    </w:p>
    <w:p>
      <w:pPr>
        <w:pStyle w:val="BodyText"/>
        <w:spacing w:line="285" w:lineRule="auto"/>
        <w:ind w:left="1042" w:right="271"/>
      </w:pPr>
      <w:r>
        <w:rPr/>
        <w:t>An overview of the EU MMF Regulation reform was presented to the Group which was followed by a discussion of the likely implications for SONIA.</w:t>
      </w:r>
    </w:p>
    <w:p>
      <w:pPr>
        <w:pStyle w:val="BodyText"/>
        <w:spacing w:line="288" w:lineRule="auto" w:before="184"/>
        <w:ind w:left="1042" w:right="222"/>
      </w:pPr>
      <w:r>
        <w:rPr/>
        <w:t>The reform introduced a framework of requirements for liquidity, diversification, valuation and reporting for MMFs that are established, managed or marketed in the European Union. The regulation would be fully implemented on 21 March 2019. The regulation requires the majority of MMFs to back at least 10% of their liabilities with assets maturing within one day and 30% with assets maturing within a week in order to meet sudden redemption requests and/or manage through adverse market conditions. In practical terms, the majority of MMFs were choosing to meet these requirements with overnight transactions; depending on a fund’s access to markets, this would likely be through placing deposits in the SONIA market or through repo, depending on</w:t>
      </w:r>
      <w:r>
        <w:rPr>
          <w:spacing w:val="-2"/>
        </w:rPr>
        <w:t> </w:t>
      </w:r>
      <w:r>
        <w:rPr/>
        <w:t>pricing.</w:t>
      </w:r>
    </w:p>
    <w:p>
      <w:pPr>
        <w:pStyle w:val="BodyText"/>
      </w:pPr>
    </w:p>
    <w:p>
      <w:pPr>
        <w:pStyle w:val="BodyText"/>
        <w:spacing w:before="3"/>
      </w:pPr>
      <w:r>
        <w:rPr/>
        <w:pict>
          <v:shape style="position:absolute;margin-left:56.700001pt;margin-top:13.868476pt;width:144pt;height:.1pt;mso-position-horizontal-relative:page;mso-position-vertical-relative:paragraph;z-index:-251652096;mso-wrap-distance-left:0;mso-wrap-distance-right:0" coordorigin="1134,277" coordsize="2880,0" path="m1134,277l4014,277e" filled="false" stroked="true" strokeweight=".48001pt" strokecolor="#000000">
            <v:path arrowok="t"/>
            <v:stroke dashstyle="solid"/>
            <w10:wrap type="topAndBottom"/>
          </v:shape>
        </w:pict>
      </w:r>
    </w:p>
    <w:p>
      <w:pPr>
        <w:spacing w:before="22"/>
        <w:ind w:left="114" w:right="0" w:firstLine="0"/>
        <w:jc w:val="left"/>
        <w:rPr>
          <w:sz w:val="18"/>
        </w:rPr>
      </w:pPr>
      <w:r>
        <w:rPr>
          <w:position w:val="9"/>
          <w:sz w:val="12"/>
        </w:rPr>
        <w:t>1 </w:t>
      </w:r>
      <w:r>
        <w:rPr>
          <w:sz w:val="18"/>
        </w:rPr>
        <w:t>The pack is appended to these minutes.</w:t>
      </w:r>
    </w:p>
    <w:p>
      <w:pPr>
        <w:spacing w:after="0"/>
        <w:jc w:val="left"/>
        <w:rPr>
          <w:sz w:val="18"/>
        </w:rPr>
        <w:sectPr>
          <w:type w:val="continuous"/>
          <w:pgSz w:w="11900" w:h="16840"/>
          <w:pgMar w:top="720" w:bottom="640" w:left="1020" w:right="1120"/>
        </w:sectPr>
      </w:pPr>
    </w:p>
    <w:p>
      <w:pPr>
        <w:pStyle w:val="BodyText"/>
        <w:spacing w:line="288" w:lineRule="auto" w:before="75"/>
        <w:ind w:left="1042" w:right="415"/>
      </w:pPr>
      <w:r>
        <w:rPr/>
        <w:t>The Group noted this was likely positive for the benchmark, although there was no consensus as to whether there would be an increase in deposits in SONIA as the MMF regulation came into force, or whether most participants had already implemented changes to their activity.</w:t>
      </w:r>
    </w:p>
    <w:p>
      <w:pPr>
        <w:pStyle w:val="Heading2"/>
        <w:numPr>
          <w:ilvl w:val="0"/>
          <w:numId w:val="1"/>
        </w:numPr>
        <w:tabs>
          <w:tab w:pos="1042" w:val="left" w:leader="none"/>
          <w:tab w:pos="1043" w:val="left" w:leader="none"/>
        </w:tabs>
        <w:spacing w:line="240" w:lineRule="auto" w:before="182" w:after="0"/>
        <w:ind w:left="1042" w:right="0" w:hanging="723"/>
        <w:jc w:val="left"/>
      </w:pPr>
      <w:r>
        <w:rPr/>
        <w:t>Evolving uses of</w:t>
      </w:r>
      <w:r>
        <w:rPr>
          <w:spacing w:val="-4"/>
        </w:rPr>
        <w:t> </w:t>
      </w:r>
      <w:r>
        <w:rPr/>
        <w:t>SONIA</w:t>
      </w:r>
    </w:p>
    <w:p>
      <w:pPr>
        <w:pStyle w:val="BodyText"/>
        <w:spacing w:before="6"/>
        <w:rPr>
          <w:b/>
          <w:sz w:val="19"/>
        </w:rPr>
      </w:pPr>
    </w:p>
    <w:p>
      <w:pPr>
        <w:pStyle w:val="BodyText"/>
        <w:spacing w:line="288" w:lineRule="auto"/>
        <w:ind w:left="1042" w:right="325"/>
      </w:pPr>
      <w:r>
        <w:rPr/>
        <w:t>The Group noted the steady increase in SONIA use in derivatives, both OTC and exchange traded futures. A development since the last meeting was the very significant increase in the issuance of Floating Rate Notes (FRNs) linked to SONIA. It was also noted that those FRNs have begun to trade in the secondary market.</w:t>
      </w:r>
    </w:p>
    <w:p>
      <w:pPr>
        <w:pStyle w:val="BodyText"/>
        <w:spacing w:line="288" w:lineRule="auto" w:before="180"/>
        <w:ind w:left="1042" w:right="415"/>
      </w:pPr>
      <w:r>
        <w:rPr/>
        <w:t>Regarding further uses of SONIA in the market, these remained focused on the use of SONIA as a compounded rate; members were not aware of proposals to use SONIA as a single observation.</w:t>
      </w:r>
    </w:p>
    <w:p>
      <w:pPr>
        <w:pStyle w:val="Heading2"/>
        <w:numPr>
          <w:ilvl w:val="0"/>
          <w:numId w:val="1"/>
        </w:numPr>
        <w:tabs>
          <w:tab w:pos="1042" w:val="left" w:leader="none"/>
          <w:tab w:pos="1043" w:val="left" w:leader="none"/>
        </w:tabs>
        <w:spacing w:line="240" w:lineRule="auto" w:before="180" w:after="0"/>
        <w:ind w:left="1042" w:right="0" w:hanging="723"/>
        <w:jc w:val="left"/>
      </w:pPr>
      <w:r>
        <w:rPr/>
        <w:t>Published</w:t>
      </w:r>
      <w:r>
        <w:rPr>
          <w:spacing w:val="-2"/>
        </w:rPr>
        <w:t> </w:t>
      </w:r>
      <w:r>
        <w:rPr/>
        <w:t>documentation</w:t>
      </w:r>
    </w:p>
    <w:p>
      <w:pPr>
        <w:pStyle w:val="BodyText"/>
        <w:spacing w:before="6"/>
        <w:rPr>
          <w:b/>
          <w:sz w:val="19"/>
        </w:rPr>
      </w:pPr>
    </w:p>
    <w:p>
      <w:pPr>
        <w:pStyle w:val="BodyText"/>
        <w:spacing w:line="288" w:lineRule="auto"/>
        <w:ind w:left="1042" w:right="404"/>
      </w:pPr>
      <w:r>
        <w:rPr/>
        <w:t>The Bank sought the members’ views on the publicly available documentation on SONIA. The feedback was positive.</w:t>
      </w:r>
    </w:p>
    <w:p>
      <w:pPr>
        <w:pStyle w:val="Heading2"/>
        <w:numPr>
          <w:ilvl w:val="0"/>
          <w:numId w:val="1"/>
        </w:numPr>
        <w:tabs>
          <w:tab w:pos="1042" w:val="left" w:leader="none"/>
          <w:tab w:pos="1043" w:val="left" w:leader="none"/>
        </w:tabs>
        <w:spacing w:line="240" w:lineRule="auto" w:before="182" w:after="0"/>
        <w:ind w:left="1042" w:right="0" w:hanging="723"/>
        <w:jc w:val="left"/>
      </w:pPr>
      <w:r>
        <w:rPr/>
        <w:t>Future discussion</w:t>
      </w:r>
      <w:r>
        <w:rPr>
          <w:spacing w:val="-3"/>
        </w:rPr>
        <w:t> </w:t>
      </w:r>
      <w:r>
        <w:rPr/>
        <w:t>topics</w:t>
      </w:r>
    </w:p>
    <w:p>
      <w:pPr>
        <w:pStyle w:val="BodyText"/>
        <w:spacing w:before="6"/>
        <w:rPr>
          <w:b/>
          <w:sz w:val="19"/>
        </w:rPr>
      </w:pPr>
    </w:p>
    <w:p>
      <w:pPr>
        <w:pStyle w:val="BodyText"/>
        <w:spacing w:line="288" w:lineRule="auto"/>
        <w:ind w:left="1042" w:right="504"/>
      </w:pPr>
      <w:r>
        <w:rPr/>
        <w:t>In the light of the ongoing uncertainty on terms of the UK’s withdrawal from the EU, the Chair noted it may be appropriate for the Group meet before the next meeting in the autumn.</w:t>
      </w:r>
    </w:p>
    <w:p>
      <w:pPr>
        <w:pStyle w:val="BodyText"/>
        <w:spacing w:before="180"/>
        <w:ind w:left="1042"/>
      </w:pPr>
      <w:r>
        <w:rPr/>
        <w:t>He also encouraged Members to propose topics for future discussions.</w:t>
      </w:r>
    </w:p>
    <w:p>
      <w:pPr>
        <w:spacing w:after="0"/>
        <w:sectPr>
          <w:pgSz w:w="11900" w:h="16840"/>
          <w:pgMar w:header="0" w:footer="445" w:top="1340" w:bottom="640" w:left="1020" w:right="1120"/>
        </w:sectPr>
      </w:pPr>
    </w:p>
    <w:p>
      <w:pPr>
        <w:pStyle w:val="Heading2"/>
        <w:spacing w:before="76"/>
        <w:ind w:left="114" w:firstLine="0"/>
      </w:pPr>
      <w:r>
        <w:rPr/>
        <w:t>Attendees:</w:t>
      </w:r>
    </w:p>
    <w:p>
      <w:pPr>
        <w:pStyle w:val="BodyText"/>
        <w:spacing w:before="4"/>
        <w:rPr>
          <w:b/>
        </w:rPr>
      </w:pPr>
    </w:p>
    <w:p>
      <w:pPr>
        <w:pStyle w:val="BodyText"/>
        <w:tabs>
          <w:tab w:pos="2380" w:val="left" w:leader="none"/>
        </w:tabs>
        <w:ind w:left="114"/>
      </w:pPr>
      <w:r>
        <w:rPr/>
        <w:t>Chair</w:t>
        <w:tab/>
        <w:t>Richard Moore (Independent member of SONIA Oversight</w:t>
      </w:r>
      <w:r>
        <w:rPr>
          <w:spacing w:val="-15"/>
        </w:rPr>
        <w:t> </w:t>
      </w:r>
      <w:r>
        <w:rPr/>
        <w:t>Committee)</w:t>
      </w:r>
    </w:p>
    <w:p>
      <w:pPr>
        <w:pStyle w:val="BodyText"/>
        <w:tabs>
          <w:tab w:pos="2381" w:val="left" w:leader="none"/>
        </w:tabs>
        <w:spacing w:before="114"/>
        <w:ind w:left="114"/>
      </w:pPr>
      <w:r>
        <w:rPr/>
        <w:t>CurveGlobal</w:t>
        <w:tab/>
        <w:t>Ian</w:t>
      </w:r>
      <w:r>
        <w:rPr>
          <w:spacing w:val="-1"/>
        </w:rPr>
        <w:t> </w:t>
      </w:r>
      <w:r>
        <w:rPr/>
        <w:t>Murphy</w:t>
      </w:r>
    </w:p>
    <w:p>
      <w:pPr>
        <w:pStyle w:val="BodyText"/>
        <w:tabs>
          <w:tab w:pos="2381" w:val="left" w:leader="none"/>
        </w:tabs>
        <w:spacing w:before="116"/>
        <w:ind w:left="114"/>
      </w:pPr>
      <w:r>
        <w:rPr/>
        <w:t>Goldman</w:t>
      </w:r>
      <w:r>
        <w:rPr>
          <w:spacing w:val="-4"/>
        </w:rPr>
        <w:t> </w:t>
      </w:r>
      <w:r>
        <w:rPr/>
        <w:t>Sachs</w:t>
        <w:tab/>
        <w:t>Chirag</w:t>
      </w:r>
      <w:r>
        <w:rPr>
          <w:spacing w:val="-1"/>
        </w:rPr>
        <w:t> </w:t>
      </w:r>
      <w:r>
        <w:rPr/>
        <w:t>Dave</w:t>
      </w:r>
    </w:p>
    <w:p>
      <w:pPr>
        <w:pStyle w:val="BodyText"/>
        <w:tabs>
          <w:tab w:pos="2381" w:val="left" w:leader="none"/>
        </w:tabs>
        <w:spacing w:line="360" w:lineRule="auto" w:before="114"/>
        <w:ind w:left="114" w:right="5942"/>
      </w:pPr>
      <w:r>
        <w:rPr/>
        <w:t>HSBC</w:t>
        <w:tab/>
        <w:t>James Murphy Insight</w:t>
      </w:r>
      <w:r>
        <w:rPr>
          <w:spacing w:val="-6"/>
        </w:rPr>
        <w:t> </w:t>
      </w:r>
      <w:r>
        <w:rPr/>
        <w:t>Investment</w:t>
        <w:tab/>
        <w:t>Robert Gall ISDA</w:t>
        <w:tab/>
        <w:t>Jonathan</w:t>
      </w:r>
      <w:r>
        <w:rPr>
          <w:spacing w:val="-11"/>
        </w:rPr>
        <w:t> </w:t>
      </w:r>
      <w:r>
        <w:rPr/>
        <w:t>Martin</w:t>
      </w:r>
    </w:p>
    <w:p>
      <w:pPr>
        <w:pStyle w:val="BodyText"/>
        <w:tabs>
          <w:tab w:pos="2381" w:val="left" w:leader="none"/>
        </w:tabs>
        <w:spacing w:before="1"/>
        <w:ind w:left="114"/>
      </w:pPr>
      <w:r>
        <w:rPr/>
        <w:t>JP</w:t>
      </w:r>
      <w:r>
        <w:rPr>
          <w:spacing w:val="-3"/>
        </w:rPr>
        <w:t> </w:t>
      </w:r>
      <w:r>
        <w:rPr/>
        <w:t>Morgan</w:t>
      </w:r>
      <w:r>
        <w:rPr>
          <w:spacing w:val="-2"/>
        </w:rPr>
        <w:t> </w:t>
      </w:r>
      <w:r>
        <w:rPr/>
        <w:t>AM</w:t>
        <w:tab/>
        <w:t>Olivia</w:t>
      </w:r>
      <w:r>
        <w:rPr>
          <w:spacing w:val="-1"/>
        </w:rPr>
        <w:t> </w:t>
      </w:r>
      <w:r>
        <w:rPr/>
        <w:t>Maguire</w:t>
      </w:r>
    </w:p>
    <w:p>
      <w:pPr>
        <w:pStyle w:val="BodyText"/>
        <w:tabs>
          <w:tab w:pos="2382" w:val="left" w:leader="none"/>
        </w:tabs>
        <w:spacing w:before="114"/>
        <w:ind w:left="114"/>
      </w:pPr>
      <w:r>
        <w:rPr/>
        <w:t>LCH</w:t>
        <w:tab/>
        <w:t>Philip</w:t>
      </w:r>
      <w:r>
        <w:rPr>
          <w:spacing w:val="-2"/>
        </w:rPr>
        <w:t> </w:t>
      </w:r>
      <w:r>
        <w:rPr/>
        <w:t>Whitehurst</w:t>
      </w:r>
    </w:p>
    <w:p>
      <w:pPr>
        <w:pStyle w:val="BodyText"/>
        <w:tabs>
          <w:tab w:pos="2382" w:val="left" w:leader="none"/>
        </w:tabs>
        <w:spacing w:before="116"/>
        <w:ind w:left="114"/>
      </w:pPr>
      <w:r>
        <w:rPr/>
        <w:t>LGIM</w:t>
        <w:tab/>
        <w:t>John</w:t>
      </w:r>
      <w:r>
        <w:rPr>
          <w:spacing w:val="-2"/>
        </w:rPr>
        <w:t> </w:t>
      </w:r>
      <w:r>
        <w:rPr/>
        <w:t>Wherton</w:t>
      </w:r>
    </w:p>
    <w:p>
      <w:pPr>
        <w:pStyle w:val="BodyText"/>
        <w:tabs>
          <w:tab w:pos="2380" w:val="left" w:leader="none"/>
        </w:tabs>
        <w:spacing w:before="114"/>
        <w:ind w:left="114"/>
      </w:pPr>
      <w:r>
        <w:rPr/>
        <w:t>Lloyds</w:t>
      </w:r>
      <w:r>
        <w:rPr>
          <w:spacing w:val="-4"/>
        </w:rPr>
        <w:t> </w:t>
      </w:r>
      <w:r>
        <w:rPr/>
        <w:t>Bank</w:t>
        <w:tab/>
        <w:t>Graham</w:t>
      </w:r>
      <w:r>
        <w:rPr>
          <w:spacing w:val="-1"/>
        </w:rPr>
        <w:t> </w:t>
      </w:r>
      <w:r>
        <w:rPr/>
        <w:t>Whitehair</w:t>
      </w:r>
    </w:p>
    <w:p>
      <w:pPr>
        <w:pStyle w:val="BodyText"/>
        <w:tabs>
          <w:tab w:pos="2381" w:val="left" w:leader="none"/>
        </w:tabs>
        <w:spacing w:line="360" w:lineRule="auto" w:before="115"/>
        <w:ind w:left="114" w:right="5976"/>
      </w:pPr>
      <w:r>
        <w:rPr/>
        <w:t>Mizuho</w:t>
        <w:tab/>
        <w:t>Rob Thurlow RBC</w:t>
      </w:r>
      <w:r>
        <w:rPr>
          <w:spacing w:val="-4"/>
        </w:rPr>
        <w:t> </w:t>
      </w:r>
      <w:r>
        <w:rPr/>
        <w:t>Capital</w:t>
      </w:r>
      <w:r>
        <w:rPr>
          <w:spacing w:val="-5"/>
        </w:rPr>
        <w:t> </w:t>
      </w:r>
      <w:r>
        <w:rPr/>
        <w:t>Markets</w:t>
        <w:tab/>
        <w:t>Anthony Tobin Société</w:t>
      </w:r>
      <w:r>
        <w:rPr>
          <w:spacing w:val="-2"/>
        </w:rPr>
        <w:t> </w:t>
      </w:r>
      <w:r>
        <w:rPr/>
        <w:t>Generalé</w:t>
        <w:tab/>
        <w:t>Romain </w:t>
      </w:r>
      <w:r>
        <w:rPr>
          <w:spacing w:val="-3"/>
        </w:rPr>
        <w:t>Sinclair </w:t>
      </w:r>
      <w:r>
        <w:rPr/>
        <w:t>TP</w:t>
      </w:r>
      <w:r>
        <w:rPr>
          <w:spacing w:val="-2"/>
        </w:rPr>
        <w:t> </w:t>
      </w:r>
      <w:r>
        <w:rPr/>
        <w:t>ICAP</w:t>
        <w:tab/>
        <w:t>Philip</w:t>
      </w:r>
      <w:r>
        <w:rPr>
          <w:spacing w:val="-4"/>
        </w:rPr>
        <w:t> </w:t>
      </w:r>
      <w:r>
        <w:rPr/>
        <w:t>Chilvers</w:t>
      </w:r>
    </w:p>
    <w:p>
      <w:pPr>
        <w:pStyle w:val="BodyText"/>
        <w:tabs>
          <w:tab w:pos="2382" w:val="left" w:leader="none"/>
        </w:tabs>
        <w:ind w:left="114"/>
      </w:pPr>
      <w:r>
        <w:rPr/>
        <w:t>Bank</w:t>
      </w:r>
      <w:r>
        <w:rPr>
          <w:spacing w:val="-4"/>
        </w:rPr>
        <w:t> </w:t>
      </w:r>
      <w:r>
        <w:rPr/>
        <w:t>of</w:t>
      </w:r>
      <w:r>
        <w:rPr>
          <w:spacing w:val="-3"/>
        </w:rPr>
        <w:t> </w:t>
      </w:r>
      <w:r>
        <w:rPr/>
        <w:t>England</w:t>
        <w:tab/>
        <w:t>Will</w:t>
      </w:r>
      <w:r>
        <w:rPr>
          <w:spacing w:val="-1"/>
        </w:rPr>
        <w:t> </w:t>
      </w:r>
      <w:r>
        <w:rPr/>
        <w:t>Parry</w:t>
      </w:r>
    </w:p>
    <w:p>
      <w:pPr>
        <w:pStyle w:val="BodyText"/>
        <w:spacing w:before="116"/>
        <w:ind w:left="2382"/>
      </w:pPr>
      <w:r>
        <w:rPr/>
        <w:t>Joanna McLafferty</w:t>
      </w:r>
    </w:p>
    <w:p>
      <w:pPr>
        <w:pStyle w:val="Heading2"/>
        <w:spacing w:before="115"/>
        <w:ind w:left="114" w:firstLine="0"/>
      </w:pPr>
      <w:r>
        <w:rPr/>
        <w:t>Apologies:</w:t>
      </w:r>
    </w:p>
    <w:p>
      <w:pPr>
        <w:pStyle w:val="BodyText"/>
        <w:tabs>
          <w:tab w:pos="2380" w:val="left" w:leader="none"/>
        </w:tabs>
        <w:spacing w:line="360" w:lineRule="auto" w:before="115"/>
        <w:ind w:left="114" w:right="2511"/>
      </w:pPr>
      <w:r>
        <w:rPr/>
        <w:t>Julia</w:t>
      </w:r>
      <w:r>
        <w:rPr>
          <w:spacing w:val="-4"/>
        </w:rPr>
        <w:t> </w:t>
      </w:r>
      <w:r>
        <w:rPr/>
        <w:t>Black</w:t>
        <w:tab/>
        <w:t>(Independent member of SONIA Oversight</w:t>
      </w:r>
      <w:r>
        <w:rPr>
          <w:spacing w:val="-37"/>
        </w:rPr>
        <w:t> </w:t>
      </w:r>
      <w:r>
        <w:rPr/>
        <w:t>Committee) Rhys</w:t>
      </w:r>
      <w:r>
        <w:rPr>
          <w:spacing w:val="-4"/>
        </w:rPr>
        <w:t> </w:t>
      </w:r>
      <w:r>
        <w:rPr/>
        <w:t>Phillips</w:t>
        <w:tab/>
        <w:t>Bank of</w:t>
      </w:r>
      <w:r>
        <w:rPr>
          <w:spacing w:val="-2"/>
        </w:rPr>
        <w:t> </w:t>
      </w:r>
      <w:r>
        <w:rPr/>
        <w:t>England</w:t>
      </w:r>
    </w:p>
    <w:p>
      <w:pPr>
        <w:spacing w:after="0" w:line="360" w:lineRule="auto"/>
        <w:sectPr>
          <w:pgSz w:w="11900" w:h="16840"/>
          <w:pgMar w:header="0" w:footer="445" w:top="1340" w:bottom="640" w:left="1020" w:right="1120"/>
        </w:sectPr>
      </w:pPr>
    </w:p>
    <w:p>
      <w:pPr>
        <w:pStyle w:val="BodyText"/>
        <w:spacing w:before="4"/>
        <w:rPr>
          <w:sz w:val="24"/>
        </w:rPr>
      </w:pPr>
      <w:r>
        <w:rPr/>
        <w:pict>
          <v:group style="position:absolute;margin-left:27.48pt;margin-top:181.619995pt;width:540pt;height:259.6500pt;mso-position-horizontal-relative:page;mso-position-vertical-relative:page;z-index:-251894784" coordorigin="550,3632" coordsize="10800,5193">
            <v:shape style="position:absolute;left:549;top:3632;width:10800;height:5193" type="#_x0000_t75" stroked="false">
              <v:imagedata r:id="rId19" o:title=""/>
            </v:shape>
            <v:shape style="position:absolute;left:1216;top:3780;width:2729;height:280" type="#_x0000_t202" filled="false" stroked="false">
              <v:textbox inset="0,0,0,0">
                <w:txbxContent>
                  <w:p>
                    <w:pPr>
                      <w:spacing w:line="280" w:lineRule="exact" w:before="0"/>
                      <w:ind w:left="0" w:right="0" w:firstLine="0"/>
                      <w:jc w:val="left"/>
                      <w:rPr>
                        <w:rFonts w:ascii="Calibri"/>
                        <w:sz w:val="28"/>
                      </w:rPr>
                    </w:pPr>
                    <w:r>
                      <w:rPr>
                        <w:rFonts w:ascii="Calibri"/>
                        <w:sz w:val="28"/>
                      </w:rPr>
                      <w:t>Chart 1: SONIA volumes</w:t>
                    </w:r>
                  </w:p>
                </w:txbxContent>
              </v:textbox>
              <w10:wrap type="none"/>
            </v:shape>
            <v:shape style="position:absolute;left:976;top:8592;width:1975;height:201" type="#_x0000_t202" filled="false" stroked="false">
              <v:textbox inset="0,0,0,0">
                <w:txbxContent>
                  <w:p>
                    <w:pPr>
                      <w:spacing w:line="200" w:lineRule="exact" w:before="0"/>
                      <w:ind w:left="0" w:right="0" w:firstLine="0"/>
                      <w:jc w:val="left"/>
                      <w:rPr>
                        <w:rFonts w:ascii="Calibri"/>
                        <w:i/>
                        <w:sz w:val="20"/>
                      </w:rPr>
                    </w:pPr>
                    <w:r>
                      <w:rPr>
                        <w:rFonts w:ascii="Calibri"/>
                        <w:i/>
                        <w:sz w:val="20"/>
                      </w:rPr>
                      <w:t>Source: Bank of England</w:t>
                    </w:r>
                  </w:p>
                </w:txbxContent>
              </v:textbox>
              <w10:wrap type="none"/>
            </v:shape>
            <w10:wrap type="none"/>
          </v:group>
        </w:pict>
      </w:r>
      <w:r>
        <w:rPr/>
        <w:pict>
          <v:group style="position:absolute;margin-left:35.939999pt;margin-top:484.019989pt;width:527.950pt;height:247.2pt;mso-position-horizontal-relative:page;mso-position-vertical-relative:page;z-index:-251892736" coordorigin="719,9680" coordsize="10559,4944">
            <v:shape style="position:absolute;left:718;top:9680;width:10559;height:4871" type="#_x0000_t75" stroked="false">
              <v:imagedata r:id="rId20" o:title=""/>
            </v:shape>
            <v:shape style="position:absolute;left:961;top:14423;width:1975;height:201" type="#_x0000_t202" filled="false" stroked="false">
              <v:textbox inset="0,0,0,0">
                <w:txbxContent>
                  <w:p>
                    <w:pPr>
                      <w:spacing w:line="200" w:lineRule="exact" w:before="0"/>
                      <w:ind w:left="0" w:right="0" w:firstLine="0"/>
                      <w:jc w:val="left"/>
                      <w:rPr>
                        <w:rFonts w:ascii="Calibri"/>
                        <w:i/>
                        <w:sz w:val="20"/>
                      </w:rPr>
                    </w:pPr>
                    <w:r>
                      <w:rPr>
                        <w:rFonts w:ascii="Calibri"/>
                        <w:i/>
                        <w:sz w:val="20"/>
                      </w:rPr>
                      <w:t>Source: Bank of England</w:t>
                    </w:r>
                  </w:p>
                </w:txbxContent>
              </v:textbox>
              <w10:wrap type="none"/>
            </v:shape>
            <w10:wrap type="none"/>
          </v:group>
        </w:pict>
      </w:r>
    </w:p>
    <w:p>
      <w:pPr>
        <w:spacing w:before="19"/>
        <w:ind w:left="2278" w:right="1670" w:firstLine="0"/>
        <w:jc w:val="center"/>
        <w:rPr>
          <w:rFonts w:ascii="Calibri"/>
          <w:b/>
          <w:sz w:val="40"/>
        </w:rPr>
      </w:pPr>
      <w:r>
        <w:rPr>
          <w:rFonts w:ascii="Calibri"/>
          <w:b/>
          <w:sz w:val="40"/>
        </w:rPr>
        <w:t>SONIA Stakeholder Advisory Group</w:t>
      </w:r>
    </w:p>
    <w:p>
      <w:pPr>
        <w:spacing w:before="61"/>
        <w:ind w:left="2278" w:right="1665" w:firstLine="0"/>
        <w:jc w:val="center"/>
        <w:rPr>
          <w:rFonts w:ascii="Calibri"/>
          <w:sz w:val="32"/>
        </w:rPr>
      </w:pPr>
      <w:r>
        <w:rPr>
          <w:rFonts w:ascii="Calibri"/>
          <w:sz w:val="32"/>
        </w:rPr>
        <w:t>February 2019</w:t>
      </w:r>
    </w:p>
    <w:p>
      <w:pPr>
        <w:pStyle w:val="BodyText"/>
        <w:spacing w:before="9"/>
        <w:rPr>
          <w:rFonts w:ascii="Calibri"/>
          <w:sz w:val="11"/>
        </w:rPr>
      </w:pPr>
    </w:p>
    <w:p>
      <w:pPr>
        <w:pStyle w:val="Heading1"/>
        <w:spacing w:before="31"/>
        <w:ind w:left="245"/>
      </w:pPr>
      <w:r>
        <w:rPr/>
        <w:t>Published SONIA statistics</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spacing w:before="204"/>
        <w:ind w:left="468" w:right="0" w:firstLine="0"/>
        <w:jc w:val="left"/>
        <w:rPr>
          <w:rFonts w:ascii="Calibri"/>
          <w:sz w:val="28"/>
        </w:rPr>
      </w:pPr>
      <w:r>
        <w:rPr>
          <w:rFonts w:ascii="Calibri"/>
          <w:sz w:val="28"/>
        </w:rPr>
        <w:t>Chart 2: SONIA rates and percentiles</w:t>
      </w: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spacing w:before="12"/>
        <w:rPr>
          <w:rFonts w:ascii="Calibri"/>
          <w:sz w:val="36"/>
        </w:rPr>
      </w:pPr>
    </w:p>
    <w:p>
      <w:pPr>
        <w:spacing w:line="235" w:lineRule="auto" w:before="0"/>
        <w:ind w:left="131" w:right="0" w:firstLine="0"/>
        <w:jc w:val="left"/>
        <w:rPr>
          <w:rFonts w:ascii="Calibri" w:hAnsi="Calibri"/>
          <w:i/>
          <w:sz w:val="18"/>
        </w:rPr>
      </w:pPr>
      <w:r>
        <w:rPr>
          <w:rFonts w:ascii="Calibri" w:hAnsi="Calibri"/>
          <w:i/>
          <w:sz w:val="18"/>
        </w:rPr>
        <w:t>Volumes, rates and percentiles before 23 April 2018 are calculated using SMMD data. This can be found on the Banks website as the </w:t>
      </w:r>
      <w:r>
        <w:rPr>
          <w:rFonts w:ascii="Calibri" w:hAnsi="Calibri"/>
          <w:i/>
          <w:sz w:val="18"/>
        </w:rPr>
        <w:t>data presented in the ‘SONIA key features and policies document’ under the reformed methodology.</w:t>
      </w:r>
    </w:p>
    <w:p>
      <w:pPr>
        <w:spacing w:after="0" w:line="235" w:lineRule="auto"/>
        <w:jc w:val="left"/>
        <w:rPr>
          <w:rFonts w:ascii="Calibri" w:hAnsi="Calibri"/>
          <w:sz w:val="18"/>
        </w:rPr>
        <w:sectPr>
          <w:footerReference w:type="default" r:id="rId18"/>
          <w:pgSz w:w="11910" w:h="16840"/>
          <w:pgMar w:footer="0" w:header="0" w:top="1600" w:bottom="280" w:left="860" w:right="1220"/>
        </w:sectPr>
      </w:pPr>
    </w:p>
    <w:p>
      <w:pPr>
        <w:pStyle w:val="BodyText"/>
        <w:spacing w:before="7"/>
        <w:rPr>
          <w:rFonts w:ascii="Calibri"/>
          <w:i/>
          <w:sz w:val="5"/>
        </w:rPr>
      </w:pPr>
      <w:r>
        <w:rPr/>
        <w:pict>
          <v:shape style="position:absolute;margin-left:51.599998pt;margin-top:84.644699pt;width:199.1pt;height:224.05pt;mso-position-horizontal-relative:page;mso-position-vertical-relative:page;z-index:-251888640" type="#_x0000_t202" filled="false" stroked="false">
            <v:textbox inset="0,0,0,0">
              <w:txbxContent>
                <w:p>
                  <w:pPr>
                    <w:spacing w:line="346" w:lineRule="exact" w:before="0"/>
                    <w:ind w:left="202" w:right="0" w:firstLine="0"/>
                    <w:jc w:val="left"/>
                    <w:rPr>
                      <w:rFonts w:ascii="Calibri"/>
                      <w:sz w:val="34"/>
                    </w:rPr>
                  </w:pPr>
                  <w:r>
                    <w:rPr>
                      <w:rFonts w:ascii="Calibri"/>
                      <w:sz w:val="34"/>
                    </w:rPr>
                    <w:t>Usage of SONIA</w:t>
                  </w: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47"/>
                    </w:rPr>
                  </w:pPr>
                </w:p>
                <w:p>
                  <w:pPr>
                    <w:spacing w:line="241" w:lineRule="exact" w:before="0"/>
                    <w:ind w:left="0" w:right="0" w:firstLine="0"/>
                    <w:jc w:val="left"/>
                    <w:rPr>
                      <w:rFonts w:ascii="Calibri"/>
                      <w:i/>
                      <w:sz w:val="20"/>
                    </w:rPr>
                  </w:pPr>
                  <w:r>
                    <w:rPr>
                      <w:rFonts w:ascii="Calibri"/>
                      <w:i/>
                      <w:sz w:val="20"/>
                    </w:rPr>
                    <w:t>Source: ICE Futures, Curve Global and CME</w:t>
                  </w:r>
                  <w:r>
                    <w:rPr>
                      <w:rFonts w:ascii="Calibri"/>
                      <w:i/>
                      <w:spacing w:val="-30"/>
                      <w:sz w:val="20"/>
                    </w:rPr>
                    <w:t> </w:t>
                  </w:r>
                  <w:r>
                    <w:rPr>
                      <w:rFonts w:ascii="Calibri"/>
                      <w:i/>
                      <w:sz w:val="20"/>
                    </w:rPr>
                    <w:t>Group</w:t>
                  </w:r>
                </w:p>
              </w:txbxContent>
            </v:textbox>
            <w10:wrap type="none"/>
          </v:shape>
        </w:pict>
      </w:r>
      <w:r>
        <w:rPr/>
        <w:pict>
          <v:shape style="position:absolute;margin-left:51.601002pt;margin-top:310.664642pt;width:172.8pt;height:10.050pt;mso-position-horizontal-relative:page;mso-position-vertical-relative:page;z-index:-251887616" type="#_x0000_t202" filled="false" stroked="false">
            <v:textbox inset="0,0,0,0">
              <w:txbxContent>
                <w:p>
                  <w:pPr>
                    <w:spacing w:line="200" w:lineRule="exact" w:before="0"/>
                    <w:ind w:left="0" w:right="0" w:firstLine="0"/>
                    <w:jc w:val="left"/>
                    <w:rPr>
                      <w:rFonts w:ascii="Calibri"/>
                      <w:i/>
                      <w:sz w:val="20"/>
                    </w:rPr>
                  </w:pPr>
                  <w:r>
                    <w:rPr>
                      <w:rFonts w:ascii="Calibri"/>
                      <w:i/>
                      <w:sz w:val="20"/>
                    </w:rPr>
                    <w:t>* Lots traded multiplied by nominal lot</w:t>
                  </w:r>
                  <w:r>
                    <w:rPr>
                      <w:rFonts w:ascii="Calibri"/>
                      <w:i/>
                      <w:spacing w:val="-27"/>
                      <w:sz w:val="20"/>
                    </w:rPr>
                    <w:t> </w:t>
                  </w:r>
                  <w:r>
                    <w:rPr>
                      <w:rFonts w:ascii="Calibri"/>
                      <w:i/>
                      <w:sz w:val="20"/>
                    </w:rPr>
                    <w:t>size</w:t>
                  </w:r>
                </w:p>
              </w:txbxContent>
            </v:textbox>
            <w10:wrap type="none"/>
          </v:shape>
        </w:pict>
      </w:r>
    </w:p>
    <w:p>
      <w:pPr>
        <w:pStyle w:val="BodyText"/>
        <w:ind w:left="115"/>
        <w:rPr>
          <w:rFonts w:ascii="Calibri"/>
        </w:rPr>
      </w:pPr>
      <w:r>
        <w:rPr>
          <w:rFonts w:ascii="Calibri"/>
        </w:rPr>
        <w:pict>
          <v:group style="width:477.25pt;height:401.65pt;mso-position-horizontal-relative:char;mso-position-vertical-relative:line" coordorigin="0,0" coordsize="9545,8033">
            <v:shape style="position:absolute;left:0;top:0;width:9531;height:4407" type="#_x0000_t75" stroked="false">
              <v:imagedata r:id="rId22" o:title=""/>
            </v:shape>
            <v:shape style="position:absolute;left:58;top:4418;width:9486;height:3614" type="#_x0000_t75" stroked="false">
              <v:imagedata r:id="rId23" o:title=""/>
            </v:shape>
          </v:group>
        </w:pict>
      </w:r>
      <w:r>
        <w:rPr>
          <w:rFonts w:ascii="Calibri"/>
        </w:rPr>
      </w:r>
    </w:p>
    <w:p>
      <w:pPr>
        <w:pStyle w:val="BodyText"/>
        <w:spacing w:before="10"/>
        <w:rPr>
          <w:rFonts w:ascii="Calibri"/>
          <w:i/>
          <w:sz w:val="18"/>
        </w:rPr>
      </w:pPr>
    </w:p>
    <w:p>
      <w:pPr>
        <w:spacing w:line="242" w:lineRule="exact" w:before="60"/>
        <w:ind w:left="610" w:right="0" w:firstLine="0"/>
        <w:jc w:val="left"/>
        <w:rPr>
          <w:rFonts w:ascii="Calibri"/>
          <w:i/>
          <w:sz w:val="20"/>
        </w:rPr>
      </w:pPr>
      <w:r>
        <w:rPr>
          <w:rFonts w:ascii="Calibri"/>
          <w:i/>
          <w:sz w:val="20"/>
        </w:rPr>
        <w:t>Source: ICE Futures, Curve Global and CME Group</w:t>
      </w:r>
    </w:p>
    <w:p>
      <w:pPr>
        <w:spacing w:line="242" w:lineRule="exact" w:before="0"/>
        <w:ind w:left="610" w:right="0" w:firstLine="0"/>
        <w:jc w:val="left"/>
        <w:rPr>
          <w:rFonts w:ascii="Calibri"/>
          <w:i/>
          <w:sz w:val="20"/>
        </w:rPr>
      </w:pPr>
      <w:r>
        <w:rPr/>
        <w:pict>
          <v:group style="position:absolute;margin-left:61.139999pt;margin-top:15.418303pt;width:454.05pt;height:243.25pt;mso-position-horizontal-relative:page;mso-position-vertical-relative:paragraph;z-index:-251643904;mso-wrap-distance-left:0;mso-wrap-distance-right:0" coordorigin="1223,308" coordsize="9081,4865">
            <v:shape style="position:absolute;left:1222;top:308;width:9081;height:4754" type="#_x0000_t75" stroked="false">
              <v:imagedata r:id="rId24" o:title=""/>
            </v:shape>
            <v:shape style="position:absolute;left:1422;top:4972;width:4613;height:201" type="#_x0000_t202" filled="false" stroked="false">
              <v:textbox inset="0,0,0,0">
                <w:txbxContent>
                  <w:p>
                    <w:pPr>
                      <w:spacing w:line="200" w:lineRule="exact" w:before="0"/>
                      <w:ind w:left="0" w:right="0" w:firstLine="0"/>
                      <w:jc w:val="left"/>
                      <w:rPr>
                        <w:rFonts w:ascii="Calibri"/>
                        <w:i/>
                        <w:sz w:val="20"/>
                      </w:rPr>
                    </w:pPr>
                    <w:r>
                      <w:rPr>
                        <w:rFonts w:ascii="Calibri"/>
                        <w:i/>
                        <w:sz w:val="20"/>
                      </w:rPr>
                      <w:t>Source: Bloomberg L.P. and Bank of England Calculations</w:t>
                    </w:r>
                  </w:p>
                </w:txbxContent>
              </v:textbox>
              <w10:wrap type="none"/>
            </v:shape>
            <w10:wrap type="topAndBottom"/>
          </v:group>
        </w:pict>
      </w:r>
      <w:r>
        <w:rPr>
          <w:rFonts w:ascii="Calibri"/>
          <w:i/>
          <w:sz w:val="20"/>
        </w:rPr>
        <w:t>* Lots open multiplied by nominal lot size</w:t>
      </w:r>
    </w:p>
    <w:sectPr>
      <w:footerReference w:type="default" r:id="rId21"/>
      <w:pgSz w:w="11910" w:h="16840"/>
      <w:pgMar w:footer="0" w:header="0" w:top="1600" w:bottom="280" w:left="86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530.039978pt;margin-top:807.00885pt;width:11.6pt;height:14.95pt;mso-position-horizontal-relative:page;mso-position-vertical-relative:page;z-index:-251904000" type="#_x0000_t202" filled="false" stroked="false">
          <v:textbox inset="0,0,0,0">
            <w:txbxContent>
              <w:p>
                <w:pPr>
                  <w:pStyle w:val="BodyText"/>
                  <w:spacing w:before="48"/>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76" w:hanging="864"/>
        <w:jc w:val="right"/>
      </w:pPr>
      <w:rPr>
        <w:rFonts w:hint="default" w:ascii="Arial" w:hAnsi="Arial" w:eastAsia="Arial" w:cs="Arial"/>
        <w:spacing w:val="-1"/>
        <w:w w:val="100"/>
        <w:sz w:val="20"/>
        <w:szCs w:val="20"/>
      </w:rPr>
    </w:lvl>
    <w:lvl w:ilvl="1">
      <w:start w:val="0"/>
      <w:numFmt w:val="bullet"/>
      <w:lvlText w:val="•"/>
      <w:lvlJc w:val="left"/>
      <w:pPr>
        <w:ind w:left="1948" w:hanging="864"/>
      </w:pPr>
      <w:rPr>
        <w:rFonts w:hint="default"/>
      </w:rPr>
    </w:lvl>
    <w:lvl w:ilvl="2">
      <w:start w:val="0"/>
      <w:numFmt w:val="bullet"/>
      <w:lvlText w:val="•"/>
      <w:lvlJc w:val="left"/>
      <w:pPr>
        <w:ind w:left="2816" w:hanging="864"/>
      </w:pPr>
      <w:rPr>
        <w:rFonts w:hint="default"/>
      </w:rPr>
    </w:lvl>
    <w:lvl w:ilvl="3">
      <w:start w:val="0"/>
      <w:numFmt w:val="bullet"/>
      <w:lvlText w:val="•"/>
      <w:lvlJc w:val="left"/>
      <w:pPr>
        <w:ind w:left="3684" w:hanging="864"/>
      </w:pPr>
      <w:rPr>
        <w:rFonts w:hint="default"/>
      </w:rPr>
    </w:lvl>
    <w:lvl w:ilvl="4">
      <w:start w:val="0"/>
      <w:numFmt w:val="bullet"/>
      <w:lvlText w:val="•"/>
      <w:lvlJc w:val="left"/>
      <w:pPr>
        <w:ind w:left="4552" w:hanging="864"/>
      </w:pPr>
      <w:rPr>
        <w:rFonts w:hint="default"/>
      </w:rPr>
    </w:lvl>
    <w:lvl w:ilvl="5">
      <w:start w:val="0"/>
      <w:numFmt w:val="bullet"/>
      <w:lvlText w:val="•"/>
      <w:lvlJc w:val="left"/>
      <w:pPr>
        <w:ind w:left="5420" w:hanging="864"/>
      </w:pPr>
      <w:rPr>
        <w:rFonts w:hint="default"/>
      </w:rPr>
    </w:lvl>
    <w:lvl w:ilvl="6">
      <w:start w:val="0"/>
      <w:numFmt w:val="bullet"/>
      <w:lvlText w:val="•"/>
      <w:lvlJc w:val="left"/>
      <w:pPr>
        <w:ind w:left="6288" w:hanging="864"/>
      </w:pPr>
      <w:rPr>
        <w:rFonts w:hint="default"/>
      </w:rPr>
    </w:lvl>
    <w:lvl w:ilvl="7">
      <w:start w:val="0"/>
      <w:numFmt w:val="bullet"/>
      <w:lvlText w:val="•"/>
      <w:lvlJc w:val="left"/>
      <w:pPr>
        <w:ind w:left="7156" w:hanging="864"/>
      </w:pPr>
      <w:rPr>
        <w:rFonts w:hint="default"/>
      </w:rPr>
    </w:lvl>
    <w:lvl w:ilvl="8">
      <w:start w:val="0"/>
      <w:numFmt w:val="bullet"/>
      <w:lvlText w:val="•"/>
      <w:lvlJc w:val="left"/>
      <w:pPr>
        <w:ind w:left="8024" w:hanging="8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02"/>
      <w:outlineLvl w:val="1"/>
    </w:pPr>
    <w:rPr>
      <w:rFonts w:ascii="Calibri" w:hAnsi="Calibri" w:eastAsia="Calibri" w:cs="Calibri"/>
      <w:sz w:val="34"/>
      <w:szCs w:val="34"/>
    </w:rPr>
  </w:style>
  <w:style w:styleId="Heading2" w:type="paragraph">
    <w:name w:val="Heading 2"/>
    <w:basedOn w:val="Normal"/>
    <w:uiPriority w:val="1"/>
    <w:qFormat/>
    <w:pPr>
      <w:spacing w:before="94"/>
      <w:ind w:left="1042" w:hanging="723"/>
      <w:outlineLvl w:val="2"/>
    </w:pPr>
    <w:rPr>
      <w:rFonts w:ascii="Arial" w:hAnsi="Arial" w:eastAsia="Arial" w:cs="Arial"/>
      <w:b/>
      <w:bCs/>
      <w:sz w:val="20"/>
      <w:szCs w:val="20"/>
    </w:rPr>
  </w:style>
  <w:style w:styleId="ListParagraph" w:type="paragraph">
    <w:name w:val="List Paragraph"/>
    <w:basedOn w:val="Normal"/>
    <w:uiPriority w:val="1"/>
    <w:qFormat/>
    <w:pPr>
      <w:spacing w:before="182"/>
      <w:ind w:left="1042" w:hanging="72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oter" Target="footer2.xml"/><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footer" Target="footer3.xml"/><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SONIA Stakeholder Advisory Group</dc:subject>
  <dc:title>SONIA Stakeholder Advisory Group - 21 February 2019</dc:title>
  <dcterms:created xsi:type="dcterms:W3CDTF">2020-06-01T02:20:45Z</dcterms:created>
  <dcterms:modified xsi:type="dcterms:W3CDTF">2020-06-01T02:20:45Z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2020-06-01T00:00:00Z</vt:filetime>
  </property>
</Properties>
</file>