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285" w:val="left" w:leader="none"/>
        </w:tabs>
        <w:spacing w:line="240" w:lineRule="auto"/>
        <w:ind w:left="329" w:right="0" w:firstLine="0"/>
        <w:rPr>
          <w:rFonts w:ascii="Times New Roman"/>
          <w:sz w:val="20"/>
        </w:rPr>
      </w:pPr>
      <w:r>
        <w:rPr>
          <w:rFonts w:ascii="Times New Roman"/>
          <w:sz w:val="20"/>
        </w:rPr>
        <w:drawing>
          <wp:inline distT="0" distB="0" distL="0" distR="0">
            <wp:extent cx="461090" cy="4667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1090" cy="466725"/>
                    </a:xfrm>
                    <a:prstGeom prst="rect">
                      <a:avLst/>
                    </a:prstGeom>
                  </pic:spPr>
                </pic:pic>
              </a:graphicData>
            </a:graphic>
          </wp:inline>
        </w:drawing>
      </w:r>
      <w:r>
        <w:rPr>
          <w:rFonts w:ascii="Times New Roman"/>
          <w:sz w:val="20"/>
        </w:rPr>
      </w:r>
      <w:r>
        <w:rPr>
          <w:rFonts w:ascii="Times New Roman"/>
          <w:sz w:val="20"/>
        </w:rPr>
        <w:tab/>
      </w:r>
      <w:r>
        <w:rPr>
          <w:rFonts w:ascii="Times New Roman"/>
          <w:position w:val="26"/>
          <w:sz w:val="20"/>
        </w:rPr>
        <w:pict>
          <v:group style="width:28.3pt;height:9.9pt;mso-position-horizontal-relative:char;mso-position-vertical-relative:line" coordorigin="0,0" coordsize="566,198">
            <v:shape style="position:absolute;left:0;top:0;width:126;height:197" type="#_x0000_t75" stroked="false">
              <v:imagedata r:id="rId6" o:title=""/>
            </v:shape>
            <v:shape style="position:absolute;left:167;top:0;width:175;height:198" type="#_x0000_t75" stroked="false">
              <v:imagedata r:id="rId7" o:title=""/>
            </v:shape>
            <v:shape style="position:absolute;left:394;top:0;width:171;height:197" type="#_x0000_t75" stroked="false">
              <v:imagedata r:id="rId8" o:title=""/>
            </v:shape>
          </v:group>
        </w:pict>
      </w:r>
      <w:r>
        <w:rPr>
          <w:rFonts w:ascii="Times New Roman"/>
          <w:position w:val="26"/>
          <w:sz w:val="20"/>
        </w:rPr>
      </w:r>
      <w:r>
        <w:rPr>
          <w:rFonts w:ascii="Times New Roman"/>
          <w:spacing w:val="15"/>
          <w:position w:val="26"/>
          <w:sz w:val="19"/>
        </w:rPr>
        <w:t> </w:t>
      </w:r>
      <w:r>
        <w:rPr>
          <w:rFonts w:ascii="Times New Roman"/>
          <w:spacing w:val="15"/>
          <w:position w:val="26"/>
          <w:sz w:val="20"/>
        </w:rPr>
        <w:drawing>
          <wp:inline distT="0" distB="0" distL="0" distR="0">
            <wp:extent cx="88933"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88933" cy="123825"/>
                    </a:xfrm>
                    <a:prstGeom prst="rect">
                      <a:avLst/>
                    </a:prstGeom>
                  </pic:spPr>
                </pic:pic>
              </a:graphicData>
            </a:graphic>
          </wp:inline>
        </w:drawing>
      </w:r>
      <w:r>
        <w:rPr>
          <w:rFonts w:ascii="Times New Roman"/>
          <w:spacing w:val="15"/>
          <w:position w:val="26"/>
          <w:sz w:val="20"/>
        </w:rPr>
      </w:r>
      <w:r>
        <w:rPr>
          <w:rFonts w:ascii="Times New Roman"/>
          <w:spacing w:val="66"/>
          <w:position w:val="26"/>
          <w:sz w:val="20"/>
        </w:rPr>
        <w:t> </w:t>
      </w:r>
      <w:r>
        <w:rPr>
          <w:rFonts w:ascii="Times New Roman"/>
          <w:spacing w:val="66"/>
          <w:position w:val="26"/>
          <w:sz w:val="20"/>
        </w:rPr>
        <w:pict>
          <v:group style="width:18.55pt;height:10.1pt;mso-position-horizontal-relative:char;mso-position-vertical-relative:line" coordorigin="0,0" coordsize="371,202">
            <v:shape style="position:absolute;left:0;top:0;width:194;height:202" type="#_x0000_t75" stroked="false">
              <v:imagedata r:id="rId10" o:title=""/>
            </v:shape>
            <v:shape style="position:absolute;left:258;top:1;width:113;height:197" type="#_x0000_t75" stroked="false">
              <v:imagedata r:id="rId11" o:title=""/>
            </v:shape>
          </v:group>
        </w:pict>
      </w:r>
      <w:r>
        <w:rPr>
          <w:rFonts w:ascii="Times New Roman"/>
          <w:spacing w:val="66"/>
          <w:position w:val="26"/>
          <w:sz w:val="20"/>
        </w:rPr>
      </w:r>
      <w:r>
        <w:rPr>
          <w:rFonts w:ascii="Times New Roman"/>
          <w:spacing w:val="80"/>
          <w:position w:val="26"/>
          <w:sz w:val="20"/>
        </w:rPr>
        <w:t> </w:t>
      </w:r>
      <w:r>
        <w:rPr>
          <w:rFonts w:ascii="Times New Roman"/>
          <w:spacing w:val="80"/>
          <w:position w:val="26"/>
          <w:sz w:val="20"/>
        </w:rPr>
        <w:pict>
          <v:group style="width:29.4pt;height:10.1pt;mso-position-horizontal-relative:char;mso-position-vertical-relative:line" coordorigin="0,0" coordsize="588,202">
            <v:shape style="position:absolute;left:184;top:1;width:171;height:197" type="#_x0000_t75" stroked="false">
              <v:imagedata r:id="rId12" o:title=""/>
            </v:shape>
            <v:shape style="position:absolute;left:0;top:1;width:119;height:197" type="#_x0000_t75" stroked="false">
              <v:imagedata r:id="rId13" o:title=""/>
            </v:shape>
            <v:shape style="position:absolute;left:418;top:0;width:169;height:202" type="#_x0000_t75" stroked="false">
              <v:imagedata r:id="rId14" o:title=""/>
            </v:shape>
          </v:group>
        </w:pict>
      </w:r>
      <w:r>
        <w:rPr>
          <w:rFonts w:ascii="Times New Roman"/>
          <w:spacing w:val="80"/>
          <w:position w:val="26"/>
          <w:sz w:val="20"/>
        </w:rPr>
      </w:r>
      <w:r>
        <w:rPr>
          <w:rFonts w:ascii="Times New Roman"/>
          <w:spacing w:val="13"/>
          <w:position w:val="26"/>
          <w:sz w:val="19"/>
        </w:rPr>
        <w:t> </w:t>
      </w:r>
      <w:r>
        <w:rPr>
          <w:rFonts w:ascii="Times New Roman"/>
          <w:spacing w:val="13"/>
          <w:position w:val="26"/>
          <w:sz w:val="20"/>
        </w:rPr>
        <w:pict>
          <v:group style="width:26.65pt;height:9.9pt;mso-position-horizontal-relative:char;mso-position-vertical-relative:line" coordorigin="0,0" coordsize="533,198">
            <v:shape style="position:absolute;left:0;top:0;width:101;height:197" type="#_x0000_t75" stroked="false">
              <v:imagedata r:id="rId15" o:title=""/>
            </v:shape>
            <v:shape style="position:absolute;left:134;top:0;width:175;height:198" type="#_x0000_t75" stroked="false">
              <v:imagedata r:id="rId16" o:title=""/>
            </v:shape>
            <v:shape style="position:absolute;left:361;top:0;width:171;height:197" type="#_x0000_t75" stroked="false">
              <v:imagedata r:id="rId17" o:title=""/>
            </v:shape>
          </v:group>
        </w:pict>
      </w:r>
      <w:r>
        <w:rPr>
          <w:rFonts w:ascii="Times New Roman"/>
          <w:spacing w:val="13"/>
          <w:position w:val="26"/>
          <w:sz w:val="20"/>
        </w:rPr>
      </w:r>
      <w:r>
        <w:rPr>
          <w:rFonts w:ascii="Times New Roman"/>
          <w:spacing w:val="15"/>
          <w:position w:val="26"/>
          <w:sz w:val="19"/>
        </w:rPr>
        <w:t> </w:t>
      </w:r>
      <w:r>
        <w:rPr>
          <w:rFonts w:ascii="Times New Roman"/>
          <w:spacing w:val="15"/>
          <w:position w:val="27"/>
          <w:sz w:val="20"/>
        </w:rPr>
        <w:drawing>
          <wp:inline distT="0" distB="0" distL="0" distR="0">
            <wp:extent cx="101368" cy="12382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8" cstate="print"/>
                    <a:stretch>
                      <a:fillRect/>
                    </a:stretch>
                  </pic:blipFill>
                  <pic:spPr>
                    <a:xfrm>
                      <a:off x="0" y="0"/>
                      <a:ext cx="101368" cy="123825"/>
                    </a:xfrm>
                    <a:prstGeom prst="rect">
                      <a:avLst/>
                    </a:prstGeom>
                  </pic:spPr>
                </pic:pic>
              </a:graphicData>
            </a:graphic>
          </wp:inline>
        </w:drawing>
      </w:r>
      <w:r>
        <w:rPr>
          <w:rFonts w:ascii="Times New Roman"/>
          <w:spacing w:val="15"/>
          <w:position w:val="27"/>
          <w:sz w:val="20"/>
        </w:rPr>
      </w:r>
    </w:p>
    <w:p>
      <w:pPr>
        <w:pStyle w:val="BodyText"/>
        <w:rPr>
          <w:rFonts w:ascii="Times New Roman"/>
          <w:sz w:val="20"/>
        </w:rPr>
      </w:pPr>
    </w:p>
    <w:p>
      <w:pPr>
        <w:spacing w:before="223"/>
        <w:ind w:left="313" w:right="0" w:firstLine="0"/>
        <w:jc w:val="left"/>
        <w:rPr>
          <w:sz w:val="44"/>
        </w:rPr>
      </w:pPr>
      <w:r>
        <w:rPr>
          <w:sz w:val="44"/>
        </w:rPr>
        <w:t>Minutes</w:t>
      </w:r>
    </w:p>
    <w:p>
      <w:pPr>
        <w:spacing w:before="339"/>
        <w:ind w:left="313" w:right="0" w:firstLine="0"/>
        <w:jc w:val="left"/>
        <w:rPr>
          <w:b/>
          <w:sz w:val="24"/>
        </w:rPr>
      </w:pPr>
      <w:r>
        <w:rPr>
          <w:b/>
          <w:sz w:val="24"/>
        </w:rPr>
        <w:t>SECURITIES LENDING COMMITTEE</w:t>
      </w:r>
    </w:p>
    <w:p>
      <w:pPr>
        <w:spacing w:before="43"/>
        <w:ind w:left="313" w:right="0" w:firstLine="0"/>
        <w:jc w:val="left"/>
        <w:rPr>
          <w:sz w:val="24"/>
        </w:rPr>
      </w:pPr>
      <w:r>
        <w:rPr>
          <w:sz w:val="24"/>
        </w:rPr>
        <w:t>6 July 2017</w:t>
      </w:r>
    </w:p>
    <w:p>
      <w:pPr>
        <w:pStyle w:val="BodyText"/>
        <w:spacing w:before="4"/>
        <w:rPr>
          <w:sz w:val="20"/>
        </w:rPr>
      </w:pPr>
      <w:r>
        <w:rPr/>
        <w:pict>
          <v:shape style="position:absolute;margin-left:56.543999pt;margin-top:13.925468pt;width:482.15pt;height:.1pt;mso-position-horizontal-relative:page;mso-position-vertical-relative:paragraph;z-index:-251654144;mso-wrap-distance-left:0;mso-wrap-distance-right:0" coordorigin="1131,279" coordsize="9643,0" path="m1131,279l10774,279e" filled="false" stroked="true" strokeweight=".48pt" strokecolor="#000000">
            <v:path arrowok="t"/>
            <v:stroke dashstyle="solid"/>
            <w10:wrap type="topAndBottom"/>
          </v:shape>
        </w:pict>
      </w:r>
    </w:p>
    <w:p>
      <w:pPr>
        <w:pStyle w:val="BodyText"/>
        <w:spacing w:before="1"/>
        <w:rPr>
          <w:sz w:val="18"/>
        </w:rPr>
      </w:pPr>
    </w:p>
    <w:p>
      <w:pPr>
        <w:pStyle w:val="BodyText"/>
        <w:tabs>
          <w:tab w:pos="1448" w:val="left" w:leader="none"/>
        </w:tabs>
        <w:spacing w:before="94"/>
        <w:ind w:left="313"/>
      </w:pPr>
      <w:r>
        <w:rPr/>
        <w:t>Location:</w:t>
        <w:tab/>
        <w:t>Threadneedle Street, Bank of</w:t>
      </w:r>
      <w:r>
        <w:rPr>
          <w:spacing w:val="3"/>
        </w:rPr>
        <w:t> </w:t>
      </w:r>
      <w:r>
        <w:rPr/>
        <w:t>England</w:t>
      </w:r>
    </w:p>
    <w:p>
      <w:pPr>
        <w:pStyle w:val="BodyText"/>
        <w:spacing w:before="2"/>
        <w:rPr>
          <w:sz w:val="17"/>
        </w:rPr>
      </w:pPr>
    </w:p>
    <w:p>
      <w:pPr>
        <w:pStyle w:val="BodyText"/>
        <w:spacing w:before="94"/>
        <w:ind w:left="313"/>
      </w:pPr>
      <w:r>
        <w:rPr/>
        <w:t>Attendees:</w:t>
      </w:r>
    </w:p>
    <w:p>
      <w:pPr>
        <w:pStyle w:val="Heading1"/>
        <w:spacing w:before="35"/>
        <w:rPr>
          <w:u w:val="none"/>
        </w:rPr>
      </w:pPr>
      <w:r>
        <w:rPr>
          <w:u w:val="thick"/>
        </w:rPr>
        <w:t>Members</w:t>
      </w:r>
    </w:p>
    <w:p>
      <w:pPr>
        <w:pStyle w:val="BodyText"/>
        <w:rPr>
          <w:b/>
          <w:sz w:val="26"/>
        </w:rPr>
      </w:pPr>
    </w:p>
    <w:tbl>
      <w:tblPr>
        <w:tblW w:w="0" w:type="auto"/>
        <w:jc w:val="left"/>
        <w:tblInd w:w="1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4"/>
        <w:gridCol w:w="2358"/>
      </w:tblGrid>
      <w:tr>
        <w:trPr>
          <w:trHeight w:val="250" w:hRule="atLeast"/>
        </w:trPr>
        <w:tc>
          <w:tcPr>
            <w:tcW w:w="3484" w:type="dxa"/>
          </w:tcPr>
          <w:p>
            <w:pPr>
              <w:pStyle w:val="TableParagraph"/>
              <w:spacing w:line="231" w:lineRule="exact"/>
              <w:rPr>
                <w:b/>
                <w:sz w:val="22"/>
              </w:rPr>
            </w:pPr>
            <w:r>
              <w:rPr>
                <w:b/>
                <w:sz w:val="22"/>
              </w:rPr>
              <w:t>Aberdeen Asset Management</w:t>
            </w:r>
          </w:p>
        </w:tc>
        <w:tc>
          <w:tcPr>
            <w:tcW w:w="2358" w:type="dxa"/>
          </w:tcPr>
          <w:p>
            <w:pPr>
              <w:pStyle w:val="TableParagraph"/>
              <w:spacing w:line="231" w:lineRule="exact"/>
              <w:ind w:left="201"/>
              <w:rPr>
                <w:sz w:val="22"/>
              </w:rPr>
            </w:pPr>
            <w:r>
              <w:rPr>
                <w:sz w:val="22"/>
              </w:rPr>
              <w:t>Matthew Chessum</w:t>
            </w:r>
          </w:p>
        </w:tc>
      </w:tr>
      <w:tr>
        <w:trPr>
          <w:trHeight w:val="253" w:hRule="atLeast"/>
        </w:trPr>
        <w:tc>
          <w:tcPr>
            <w:tcW w:w="3484" w:type="dxa"/>
          </w:tcPr>
          <w:p>
            <w:pPr>
              <w:pStyle w:val="TableParagraph"/>
              <w:spacing w:line="233" w:lineRule="exact"/>
              <w:rPr>
                <w:b/>
                <w:sz w:val="22"/>
              </w:rPr>
            </w:pPr>
            <w:r>
              <w:rPr>
                <w:b/>
                <w:sz w:val="22"/>
              </w:rPr>
              <w:t>Aviva Investors</w:t>
            </w:r>
          </w:p>
        </w:tc>
        <w:tc>
          <w:tcPr>
            <w:tcW w:w="2358" w:type="dxa"/>
          </w:tcPr>
          <w:p>
            <w:pPr>
              <w:pStyle w:val="TableParagraph"/>
              <w:spacing w:line="233" w:lineRule="exact"/>
              <w:ind w:left="201"/>
              <w:rPr>
                <w:sz w:val="22"/>
              </w:rPr>
            </w:pPr>
            <w:r>
              <w:rPr>
                <w:sz w:val="22"/>
              </w:rPr>
              <w:t>Mick Chadwick</w:t>
            </w:r>
          </w:p>
        </w:tc>
      </w:tr>
      <w:tr>
        <w:trPr>
          <w:trHeight w:val="253" w:hRule="atLeast"/>
        </w:trPr>
        <w:tc>
          <w:tcPr>
            <w:tcW w:w="3484" w:type="dxa"/>
          </w:tcPr>
          <w:p>
            <w:pPr>
              <w:pStyle w:val="TableParagraph"/>
              <w:spacing w:line="233" w:lineRule="exact"/>
              <w:rPr>
                <w:b/>
                <w:sz w:val="22"/>
              </w:rPr>
            </w:pPr>
            <w:r>
              <w:rPr>
                <w:b/>
                <w:sz w:val="22"/>
              </w:rPr>
              <w:t>BoNY Mellon</w:t>
            </w:r>
          </w:p>
        </w:tc>
        <w:tc>
          <w:tcPr>
            <w:tcW w:w="2358" w:type="dxa"/>
          </w:tcPr>
          <w:p>
            <w:pPr>
              <w:pStyle w:val="TableParagraph"/>
              <w:spacing w:line="233" w:lineRule="exact"/>
              <w:ind w:left="201"/>
              <w:rPr>
                <w:sz w:val="22"/>
              </w:rPr>
            </w:pPr>
            <w:r>
              <w:rPr>
                <w:sz w:val="22"/>
              </w:rPr>
              <w:t>Staffan Ahlner</w:t>
            </w:r>
          </w:p>
        </w:tc>
      </w:tr>
      <w:tr>
        <w:trPr>
          <w:trHeight w:val="251" w:hRule="atLeast"/>
        </w:trPr>
        <w:tc>
          <w:tcPr>
            <w:tcW w:w="3484" w:type="dxa"/>
          </w:tcPr>
          <w:p>
            <w:pPr>
              <w:pStyle w:val="TableParagraph"/>
              <w:spacing w:line="232" w:lineRule="exact"/>
              <w:rPr>
                <w:b/>
                <w:sz w:val="22"/>
              </w:rPr>
            </w:pPr>
            <w:r>
              <w:rPr>
                <w:b/>
                <w:sz w:val="22"/>
              </w:rPr>
              <w:t>Clifford Chance</w:t>
            </w:r>
          </w:p>
        </w:tc>
        <w:tc>
          <w:tcPr>
            <w:tcW w:w="2358" w:type="dxa"/>
          </w:tcPr>
          <w:p>
            <w:pPr>
              <w:pStyle w:val="TableParagraph"/>
              <w:spacing w:line="232" w:lineRule="exact"/>
              <w:ind w:left="201"/>
              <w:rPr>
                <w:sz w:val="22"/>
              </w:rPr>
            </w:pPr>
            <w:r>
              <w:rPr>
                <w:sz w:val="22"/>
              </w:rPr>
              <w:t>Habib Motani</w:t>
            </w:r>
          </w:p>
        </w:tc>
      </w:tr>
      <w:tr>
        <w:trPr>
          <w:trHeight w:val="253" w:hRule="atLeast"/>
        </w:trPr>
        <w:tc>
          <w:tcPr>
            <w:tcW w:w="3484" w:type="dxa"/>
          </w:tcPr>
          <w:p>
            <w:pPr>
              <w:pStyle w:val="TableParagraph"/>
              <w:spacing w:line="233" w:lineRule="exact"/>
              <w:rPr>
                <w:b/>
                <w:sz w:val="22"/>
              </w:rPr>
            </w:pPr>
            <w:r>
              <w:rPr>
                <w:b/>
                <w:sz w:val="22"/>
              </w:rPr>
              <w:t>DMO (Observer)</w:t>
            </w:r>
          </w:p>
        </w:tc>
        <w:tc>
          <w:tcPr>
            <w:tcW w:w="2358" w:type="dxa"/>
          </w:tcPr>
          <w:p>
            <w:pPr>
              <w:pStyle w:val="TableParagraph"/>
              <w:spacing w:line="233" w:lineRule="exact"/>
              <w:ind w:left="201"/>
              <w:rPr>
                <w:sz w:val="22"/>
              </w:rPr>
            </w:pPr>
            <w:r>
              <w:rPr>
                <w:sz w:val="22"/>
              </w:rPr>
              <w:t>John Goldsmith</w:t>
            </w:r>
          </w:p>
        </w:tc>
      </w:tr>
      <w:tr>
        <w:trPr>
          <w:trHeight w:val="253" w:hRule="atLeast"/>
        </w:trPr>
        <w:tc>
          <w:tcPr>
            <w:tcW w:w="3484" w:type="dxa"/>
          </w:tcPr>
          <w:p>
            <w:pPr>
              <w:pStyle w:val="TableParagraph"/>
              <w:spacing w:line="233" w:lineRule="exact"/>
              <w:rPr>
                <w:b/>
                <w:sz w:val="22"/>
              </w:rPr>
            </w:pPr>
            <w:r>
              <w:rPr>
                <w:b/>
                <w:sz w:val="22"/>
              </w:rPr>
              <w:t>FCA (Observer)</w:t>
            </w:r>
          </w:p>
        </w:tc>
        <w:tc>
          <w:tcPr>
            <w:tcW w:w="2358" w:type="dxa"/>
          </w:tcPr>
          <w:p>
            <w:pPr>
              <w:pStyle w:val="TableParagraph"/>
              <w:spacing w:line="233" w:lineRule="exact"/>
              <w:ind w:left="201"/>
              <w:rPr>
                <w:sz w:val="22"/>
              </w:rPr>
            </w:pPr>
            <w:r>
              <w:rPr>
                <w:sz w:val="22"/>
              </w:rPr>
              <w:t>Wladimir Kraus</w:t>
            </w:r>
          </w:p>
        </w:tc>
      </w:tr>
      <w:tr>
        <w:trPr>
          <w:trHeight w:val="253" w:hRule="atLeast"/>
        </w:trPr>
        <w:tc>
          <w:tcPr>
            <w:tcW w:w="3484" w:type="dxa"/>
          </w:tcPr>
          <w:p>
            <w:pPr>
              <w:pStyle w:val="TableParagraph"/>
              <w:spacing w:line="233" w:lineRule="exact"/>
              <w:rPr>
                <w:b/>
                <w:sz w:val="22"/>
              </w:rPr>
            </w:pPr>
            <w:r>
              <w:rPr>
                <w:b/>
                <w:sz w:val="22"/>
              </w:rPr>
              <w:t>ICMA / ERCC</w:t>
            </w:r>
          </w:p>
        </w:tc>
        <w:tc>
          <w:tcPr>
            <w:tcW w:w="2358" w:type="dxa"/>
          </w:tcPr>
          <w:p>
            <w:pPr>
              <w:pStyle w:val="TableParagraph"/>
              <w:spacing w:line="233" w:lineRule="exact"/>
              <w:ind w:left="201"/>
              <w:rPr>
                <w:sz w:val="22"/>
              </w:rPr>
            </w:pPr>
            <w:r>
              <w:rPr>
                <w:sz w:val="22"/>
              </w:rPr>
              <w:t>Godfried De Vidts</w:t>
            </w:r>
          </w:p>
        </w:tc>
      </w:tr>
      <w:tr>
        <w:trPr>
          <w:trHeight w:val="253" w:hRule="atLeast"/>
        </w:trPr>
        <w:tc>
          <w:tcPr>
            <w:tcW w:w="3484" w:type="dxa"/>
          </w:tcPr>
          <w:p>
            <w:pPr>
              <w:pStyle w:val="TableParagraph"/>
              <w:spacing w:line="233" w:lineRule="exact"/>
              <w:rPr>
                <w:b/>
                <w:sz w:val="22"/>
              </w:rPr>
            </w:pPr>
            <w:r>
              <w:rPr>
                <w:b/>
                <w:sz w:val="22"/>
              </w:rPr>
              <w:t>ISLA</w:t>
            </w:r>
          </w:p>
        </w:tc>
        <w:tc>
          <w:tcPr>
            <w:tcW w:w="2358" w:type="dxa"/>
          </w:tcPr>
          <w:p>
            <w:pPr>
              <w:pStyle w:val="TableParagraph"/>
              <w:spacing w:line="233" w:lineRule="exact"/>
              <w:ind w:left="201"/>
              <w:rPr>
                <w:sz w:val="22"/>
              </w:rPr>
            </w:pPr>
            <w:r>
              <w:rPr>
                <w:sz w:val="22"/>
              </w:rPr>
              <w:t>Andrew Dyson</w:t>
            </w:r>
          </w:p>
        </w:tc>
      </w:tr>
      <w:tr>
        <w:trPr>
          <w:trHeight w:val="253" w:hRule="atLeast"/>
        </w:trPr>
        <w:tc>
          <w:tcPr>
            <w:tcW w:w="3484" w:type="dxa"/>
          </w:tcPr>
          <w:p>
            <w:pPr>
              <w:pStyle w:val="TableParagraph"/>
              <w:spacing w:line="233" w:lineRule="exact"/>
              <w:rPr>
                <w:b/>
                <w:sz w:val="22"/>
              </w:rPr>
            </w:pPr>
            <w:r>
              <w:rPr>
                <w:b/>
                <w:sz w:val="22"/>
              </w:rPr>
              <w:t>Lloyds</w:t>
            </w:r>
          </w:p>
        </w:tc>
        <w:tc>
          <w:tcPr>
            <w:tcW w:w="2358" w:type="dxa"/>
          </w:tcPr>
          <w:p>
            <w:pPr>
              <w:pStyle w:val="TableParagraph"/>
              <w:spacing w:line="233" w:lineRule="exact"/>
              <w:ind w:left="201"/>
              <w:rPr>
                <w:sz w:val="22"/>
              </w:rPr>
            </w:pPr>
            <w:r>
              <w:rPr>
                <w:sz w:val="22"/>
              </w:rPr>
              <w:t>Jamie Smith</w:t>
            </w:r>
          </w:p>
        </w:tc>
      </w:tr>
      <w:tr>
        <w:trPr>
          <w:trHeight w:val="253" w:hRule="atLeast"/>
        </w:trPr>
        <w:tc>
          <w:tcPr>
            <w:tcW w:w="3484" w:type="dxa"/>
          </w:tcPr>
          <w:p>
            <w:pPr>
              <w:pStyle w:val="TableParagraph"/>
              <w:spacing w:line="233" w:lineRule="exact"/>
              <w:rPr>
                <w:b/>
                <w:sz w:val="22"/>
              </w:rPr>
            </w:pPr>
            <w:r>
              <w:rPr>
                <w:b/>
                <w:sz w:val="22"/>
              </w:rPr>
              <w:t>Morgan Stanley</w:t>
            </w:r>
          </w:p>
        </w:tc>
        <w:tc>
          <w:tcPr>
            <w:tcW w:w="2358" w:type="dxa"/>
          </w:tcPr>
          <w:p>
            <w:pPr>
              <w:pStyle w:val="TableParagraph"/>
              <w:spacing w:line="233" w:lineRule="exact"/>
              <w:ind w:left="201"/>
              <w:rPr>
                <w:sz w:val="22"/>
              </w:rPr>
            </w:pPr>
            <w:r>
              <w:rPr>
                <w:sz w:val="22"/>
              </w:rPr>
              <w:t>Matt Collins</w:t>
            </w:r>
          </w:p>
        </w:tc>
      </w:tr>
      <w:tr>
        <w:trPr>
          <w:trHeight w:val="504" w:hRule="atLeast"/>
        </w:trPr>
        <w:tc>
          <w:tcPr>
            <w:tcW w:w="3484" w:type="dxa"/>
          </w:tcPr>
          <w:p>
            <w:pPr>
              <w:pStyle w:val="TableParagraph"/>
              <w:spacing w:line="247" w:lineRule="exact"/>
              <w:rPr>
                <w:b/>
                <w:sz w:val="22"/>
              </w:rPr>
            </w:pPr>
            <w:r>
              <w:rPr>
                <w:b/>
                <w:sz w:val="22"/>
              </w:rPr>
              <w:t>Norges Bank Investment</w:t>
            </w:r>
          </w:p>
          <w:p>
            <w:pPr>
              <w:pStyle w:val="TableParagraph"/>
              <w:spacing w:line="237" w:lineRule="exact"/>
              <w:rPr>
                <w:b/>
                <w:sz w:val="22"/>
              </w:rPr>
            </w:pPr>
            <w:r>
              <w:rPr>
                <w:b/>
                <w:sz w:val="22"/>
              </w:rPr>
              <w:t>Management</w:t>
            </w:r>
          </w:p>
        </w:tc>
        <w:tc>
          <w:tcPr>
            <w:tcW w:w="2358" w:type="dxa"/>
          </w:tcPr>
          <w:p>
            <w:pPr>
              <w:pStyle w:val="TableParagraph"/>
              <w:spacing w:line="250" w:lineRule="exact"/>
              <w:ind w:left="201"/>
              <w:rPr>
                <w:sz w:val="22"/>
              </w:rPr>
            </w:pPr>
            <w:r>
              <w:rPr>
                <w:sz w:val="22"/>
              </w:rPr>
              <w:t>Matt Brunett</w:t>
            </w:r>
          </w:p>
        </w:tc>
      </w:tr>
      <w:tr>
        <w:trPr>
          <w:trHeight w:val="254" w:hRule="atLeast"/>
        </w:trPr>
        <w:tc>
          <w:tcPr>
            <w:tcW w:w="3484" w:type="dxa"/>
          </w:tcPr>
          <w:p>
            <w:pPr>
              <w:pStyle w:val="TableParagraph"/>
              <w:spacing w:line="234" w:lineRule="exact"/>
              <w:rPr>
                <w:b/>
                <w:sz w:val="22"/>
              </w:rPr>
            </w:pPr>
            <w:r>
              <w:rPr>
                <w:b/>
                <w:sz w:val="22"/>
              </w:rPr>
              <w:t>Prudential</w:t>
            </w:r>
          </w:p>
        </w:tc>
        <w:tc>
          <w:tcPr>
            <w:tcW w:w="2358" w:type="dxa"/>
          </w:tcPr>
          <w:p>
            <w:pPr>
              <w:pStyle w:val="TableParagraph"/>
              <w:spacing w:line="234" w:lineRule="exact"/>
              <w:ind w:left="201"/>
              <w:rPr>
                <w:sz w:val="22"/>
              </w:rPr>
            </w:pPr>
            <w:r>
              <w:rPr>
                <w:sz w:val="22"/>
              </w:rPr>
              <w:t>Nina Moylett (Chair)</w:t>
            </w:r>
          </w:p>
        </w:tc>
      </w:tr>
      <w:tr>
        <w:trPr>
          <w:trHeight w:val="253" w:hRule="atLeast"/>
        </w:trPr>
        <w:tc>
          <w:tcPr>
            <w:tcW w:w="3484" w:type="dxa"/>
          </w:tcPr>
          <w:p>
            <w:pPr>
              <w:pStyle w:val="TableParagraph"/>
              <w:spacing w:line="233" w:lineRule="exact"/>
              <w:rPr>
                <w:b/>
                <w:sz w:val="22"/>
              </w:rPr>
            </w:pPr>
            <w:r>
              <w:rPr>
                <w:b/>
                <w:sz w:val="22"/>
              </w:rPr>
              <w:t>Prudential</w:t>
            </w:r>
          </w:p>
        </w:tc>
        <w:tc>
          <w:tcPr>
            <w:tcW w:w="2358" w:type="dxa"/>
          </w:tcPr>
          <w:p>
            <w:pPr>
              <w:pStyle w:val="TableParagraph"/>
              <w:spacing w:line="233" w:lineRule="exact"/>
              <w:ind w:left="201"/>
              <w:rPr>
                <w:sz w:val="22"/>
              </w:rPr>
            </w:pPr>
            <w:r>
              <w:rPr>
                <w:sz w:val="22"/>
              </w:rPr>
              <w:t>Simon Dunderdale</w:t>
            </w:r>
          </w:p>
        </w:tc>
      </w:tr>
      <w:tr>
        <w:trPr>
          <w:trHeight w:val="251" w:hRule="atLeast"/>
        </w:trPr>
        <w:tc>
          <w:tcPr>
            <w:tcW w:w="3484" w:type="dxa"/>
          </w:tcPr>
          <w:p>
            <w:pPr>
              <w:pStyle w:val="TableParagraph"/>
              <w:spacing w:line="232" w:lineRule="exact"/>
              <w:rPr>
                <w:b/>
                <w:sz w:val="22"/>
              </w:rPr>
            </w:pPr>
            <w:r>
              <w:rPr>
                <w:b/>
                <w:sz w:val="22"/>
              </w:rPr>
              <w:t>State Street</w:t>
            </w:r>
          </w:p>
        </w:tc>
        <w:tc>
          <w:tcPr>
            <w:tcW w:w="2358" w:type="dxa"/>
          </w:tcPr>
          <w:p>
            <w:pPr>
              <w:pStyle w:val="TableParagraph"/>
              <w:spacing w:line="232" w:lineRule="exact"/>
              <w:ind w:left="201"/>
              <w:rPr>
                <w:sz w:val="22"/>
              </w:rPr>
            </w:pPr>
            <w:r>
              <w:rPr>
                <w:sz w:val="22"/>
              </w:rPr>
              <w:t>Alex Lawton</w:t>
            </w:r>
          </w:p>
        </w:tc>
      </w:tr>
    </w:tbl>
    <w:p>
      <w:pPr>
        <w:pStyle w:val="BodyText"/>
        <w:spacing w:before="9"/>
        <w:rPr>
          <w:b/>
          <w:sz w:val="16"/>
        </w:rPr>
      </w:pPr>
    </w:p>
    <w:p>
      <w:pPr>
        <w:spacing w:before="94"/>
        <w:ind w:left="1448" w:right="0" w:firstLine="0"/>
        <w:jc w:val="left"/>
        <w:rPr>
          <w:b/>
          <w:sz w:val="22"/>
        </w:rPr>
      </w:pPr>
      <w:r>
        <w:rPr>
          <w:b/>
          <w:sz w:val="22"/>
          <w:u w:val="thick"/>
        </w:rPr>
        <w:t>External Presenters</w:t>
      </w:r>
    </w:p>
    <w:p>
      <w:pPr>
        <w:pStyle w:val="BodyText"/>
        <w:spacing w:before="3"/>
        <w:rPr>
          <w:b/>
          <w:sz w:val="29"/>
        </w:rPr>
      </w:pPr>
    </w:p>
    <w:tbl>
      <w:tblPr>
        <w:tblW w:w="0" w:type="auto"/>
        <w:jc w:val="left"/>
        <w:tblInd w:w="1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8"/>
        <w:gridCol w:w="3615"/>
      </w:tblGrid>
      <w:tr>
        <w:trPr>
          <w:trHeight w:val="269" w:hRule="atLeast"/>
        </w:trPr>
        <w:tc>
          <w:tcPr>
            <w:tcW w:w="2408" w:type="dxa"/>
          </w:tcPr>
          <w:p>
            <w:pPr>
              <w:pStyle w:val="TableParagraph"/>
              <w:spacing w:line="247" w:lineRule="exact"/>
              <w:rPr>
                <w:b/>
                <w:sz w:val="22"/>
              </w:rPr>
            </w:pPr>
            <w:r>
              <w:rPr>
                <w:b/>
                <w:sz w:val="22"/>
              </w:rPr>
              <w:t>Equilend</w:t>
            </w:r>
          </w:p>
        </w:tc>
        <w:tc>
          <w:tcPr>
            <w:tcW w:w="3615" w:type="dxa"/>
          </w:tcPr>
          <w:p>
            <w:pPr>
              <w:pStyle w:val="TableParagraph"/>
              <w:spacing w:line="249" w:lineRule="exact"/>
              <w:ind w:left="1277"/>
              <w:rPr>
                <w:sz w:val="22"/>
              </w:rPr>
            </w:pPr>
            <w:r>
              <w:rPr>
                <w:sz w:val="22"/>
              </w:rPr>
              <w:t>Jonathan Hodder</w:t>
            </w:r>
          </w:p>
        </w:tc>
      </w:tr>
      <w:tr>
        <w:trPr>
          <w:trHeight w:val="290" w:hRule="atLeast"/>
        </w:trPr>
        <w:tc>
          <w:tcPr>
            <w:tcW w:w="2408" w:type="dxa"/>
          </w:tcPr>
          <w:p>
            <w:pPr>
              <w:pStyle w:val="TableParagraph"/>
              <w:spacing w:before="14"/>
              <w:rPr>
                <w:b/>
                <w:sz w:val="22"/>
              </w:rPr>
            </w:pPr>
            <w:r>
              <w:rPr>
                <w:b/>
                <w:sz w:val="22"/>
              </w:rPr>
              <w:t>Equilend</w:t>
            </w:r>
          </w:p>
        </w:tc>
        <w:tc>
          <w:tcPr>
            <w:tcW w:w="3615" w:type="dxa"/>
          </w:tcPr>
          <w:p>
            <w:pPr>
              <w:pStyle w:val="TableParagraph"/>
              <w:spacing w:before="16"/>
              <w:ind w:left="1277"/>
              <w:rPr>
                <w:sz w:val="22"/>
              </w:rPr>
            </w:pPr>
            <w:r>
              <w:rPr>
                <w:sz w:val="22"/>
              </w:rPr>
              <w:t>Iain Mackay</w:t>
            </w:r>
          </w:p>
        </w:tc>
      </w:tr>
      <w:tr>
        <w:trPr>
          <w:trHeight w:val="290" w:hRule="atLeast"/>
        </w:trPr>
        <w:tc>
          <w:tcPr>
            <w:tcW w:w="2408" w:type="dxa"/>
          </w:tcPr>
          <w:p>
            <w:pPr>
              <w:pStyle w:val="TableParagraph"/>
              <w:spacing w:before="14"/>
              <w:rPr>
                <w:b/>
                <w:sz w:val="22"/>
              </w:rPr>
            </w:pPr>
            <w:r>
              <w:rPr>
                <w:b/>
                <w:sz w:val="22"/>
              </w:rPr>
              <w:t>GSAV</w:t>
            </w:r>
          </w:p>
        </w:tc>
        <w:tc>
          <w:tcPr>
            <w:tcW w:w="3615" w:type="dxa"/>
          </w:tcPr>
          <w:p>
            <w:pPr>
              <w:pStyle w:val="TableParagraph"/>
              <w:spacing w:before="16"/>
              <w:ind w:left="1277"/>
              <w:rPr>
                <w:sz w:val="22"/>
              </w:rPr>
            </w:pPr>
            <w:r>
              <w:rPr>
                <w:sz w:val="22"/>
              </w:rPr>
              <w:t>Lawrence McLaughlin</w:t>
            </w:r>
          </w:p>
        </w:tc>
      </w:tr>
      <w:tr>
        <w:trPr>
          <w:trHeight w:val="291" w:hRule="atLeast"/>
        </w:trPr>
        <w:tc>
          <w:tcPr>
            <w:tcW w:w="2408" w:type="dxa"/>
          </w:tcPr>
          <w:p>
            <w:pPr>
              <w:pStyle w:val="TableParagraph"/>
              <w:spacing w:before="14"/>
              <w:rPr>
                <w:b/>
                <w:sz w:val="22"/>
              </w:rPr>
            </w:pPr>
            <w:r>
              <w:rPr>
                <w:b/>
                <w:sz w:val="22"/>
              </w:rPr>
              <w:t>GSAV</w:t>
            </w:r>
          </w:p>
        </w:tc>
        <w:tc>
          <w:tcPr>
            <w:tcW w:w="3615" w:type="dxa"/>
          </w:tcPr>
          <w:p>
            <w:pPr>
              <w:pStyle w:val="TableParagraph"/>
              <w:spacing w:before="16"/>
              <w:ind w:left="1277"/>
              <w:rPr>
                <w:sz w:val="22"/>
              </w:rPr>
            </w:pPr>
            <w:r>
              <w:rPr>
                <w:sz w:val="22"/>
              </w:rPr>
              <w:t>David Hopton</w:t>
            </w:r>
          </w:p>
        </w:tc>
      </w:tr>
      <w:tr>
        <w:trPr>
          <w:trHeight w:val="291" w:hRule="atLeast"/>
        </w:trPr>
        <w:tc>
          <w:tcPr>
            <w:tcW w:w="2408" w:type="dxa"/>
          </w:tcPr>
          <w:p>
            <w:pPr>
              <w:pStyle w:val="TableParagraph"/>
              <w:spacing w:before="15"/>
              <w:rPr>
                <w:b/>
                <w:sz w:val="22"/>
              </w:rPr>
            </w:pPr>
            <w:r>
              <w:rPr>
                <w:b/>
                <w:sz w:val="22"/>
              </w:rPr>
              <w:t>Pirum</w:t>
            </w:r>
          </w:p>
        </w:tc>
        <w:tc>
          <w:tcPr>
            <w:tcW w:w="3615" w:type="dxa"/>
          </w:tcPr>
          <w:p>
            <w:pPr>
              <w:pStyle w:val="TableParagraph"/>
              <w:spacing w:before="17"/>
              <w:ind w:left="1277"/>
              <w:rPr>
                <w:sz w:val="22"/>
              </w:rPr>
            </w:pPr>
            <w:r>
              <w:rPr>
                <w:sz w:val="22"/>
              </w:rPr>
              <w:t>Ben Challice</w:t>
            </w:r>
          </w:p>
        </w:tc>
      </w:tr>
      <w:tr>
        <w:trPr>
          <w:trHeight w:val="269" w:hRule="atLeast"/>
        </w:trPr>
        <w:tc>
          <w:tcPr>
            <w:tcW w:w="2408" w:type="dxa"/>
          </w:tcPr>
          <w:p>
            <w:pPr>
              <w:pStyle w:val="TableParagraph"/>
              <w:spacing w:line="236" w:lineRule="exact" w:before="14"/>
              <w:rPr>
                <w:b/>
                <w:sz w:val="22"/>
              </w:rPr>
            </w:pPr>
            <w:r>
              <w:rPr>
                <w:b/>
                <w:sz w:val="22"/>
              </w:rPr>
              <w:t>Pirum</w:t>
            </w:r>
          </w:p>
        </w:tc>
        <w:tc>
          <w:tcPr>
            <w:tcW w:w="3615" w:type="dxa"/>
          </w:tcPr>
          <w:p>
            <w:pPr>
              <w:pStyle w:val="TableParagraph"/>
              <w:spacing w:line="233" w:lineRule="exact" w:before="16"/>
              <w:ind w:left="1277"/>
              <w:rPr>
                <w:sz w:val="22"/>
              </w:rPr>
            </w:pPr>
            <w:r>
              <w:rPr>
                <w:sz w:val="22"/>
              </w:rPr>
              <w:t>Rajen Sheth</w:t>
            </w:r>
          </w:p>
        </w:tc>
      </w:tr>
    </w:tbl>
    <w:p>
      <w:pPr>
        <w:pStyle w:val="BodyText"/>
        <w:rPr>
          <w:b/>
          <w:sz w:val="20"/>
        </w:rPr>
      </w:pPr>
    </w:p>
    <w:p>
      <w:pPr>
        <w:pStyle w:val="BodyText"/>
        <w:rPr>
          <w:b/>
          <w:sz w:val="20"/>
        </w:rPr>
      </w:pPr>
    </w:p>
    <w:p>
      <w:pPr>
        <w:pStyle w:val="BodyText"/>
        <w:spacing w:before="1"/>
        <w:rPr>
          <w:b/>
          <w:sz w:val="14"/>
        </w:rPr>
      </w:pPr>
    </w:p>
    <w:tbl>
      <w:tblPr>
        <w:tblW w:w="0" w:type="auto"/>
        <w:jc w:val="left"/>
        <w:tblInd w:w="1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2"/>
        <w:gridCol w:w="3849"/>
      </w:tblGrid>
      <w:tr>
        <w:trPr>
          <w:trHeight w:val="252" w:hRule="atLeast"/>
        </w:trPr>
        <w:tc>
          <w:tcPr>
            <w:tcW w:w="2812" w:type="dxa"/>
          </w:tcPr>
          <w:p>
            <w:pPr>
              <w:pStyle w:val="TableParagraph"/>
              <w:spacing w:line="233" w:lineRule="exact"/>
              <w:rPr>
                <w:b/>
                <w:sz w:val="22"/>
              </w:rPr>
            </w:pPr>
            <w:r>
              <w:rPr>
                <w:b/>
                <w:sz w:val="22"/>
                <w:u w:val="thick"/>
              </w:rPr>
              <w:t>Bank of England</w:t>
            </w:r>
          </w:p>
        </w:tc>
        <w:tc>
          <w:tcPr>
            <w:tcW w:w="3849" w:type="dxa"/>
          </w:tcPr>
          <w:p>
            <w:pPr>
              <w:pStyle w:val="TableParagraph"/>
              <w:spacing w:line="233" w:lineRule="exact"/>
              <w:ind w:left="873"/>
              <w:rPr>
                <w:sz w:val="22"/>
              </w:rPr>
            </w:pPr>
            <w:r>
              <w:rPr>
                <w:sz w:val="22"/>
              </w:rPr>
              <w:t>Sarah John</w:t>
            </w:r>
          </w:p>
        </w:tc>
      </w:tr>
      <w:tr>
        <w:trPr>
          <w:trHeight w:val="253" w:hRule="atLeast"/>
        </w:trPr>
        <w:tc>
          <w:tcPr>
            <w:tcW w:w="2812" w:type="dxa"/>
          </w:tcPr>
          <w:p>
            <w:pPr>
              <w:pStyle w:val="TableParagraph"/>
              <w:ind w:left="0"/>
              <w:rPr>
                <w:rFonts w:ascii="Times New Roman"/>
                <w:sz w:val="18"/>
              </w:rPr>
            </w:pPr>
          </w:p>
        </w:tc>
        <w:tc>
          <w:tcPr>
            <w:tcW w:w="3849" w:type="dxa"/>
          </w:tcPr>
          <w:p>
            <w:pPr>
              <w:pStyle w:val="TableParagraph"/>
              <w:spacing w:line="234" w:lineRule="exact"/>
              <w:ind w:left="873"/>
              <w:rPr>
                <w:sz w:val="22"/>
              </w:rPr>
            </w:pPr>
            <w:r>
              <w:rPr>
                <w:sz w:val="22"/>
              </w:rPr>
              <w:t>Aakash Mankodi (Secretary)</w:t>
            </w:r>
          </w:p>
        </w:tc>
      </w:tr>
      <w:tr>
        <w:trPr>
          <w:trHeight w:val="249" w:hRule="atLeast"/>
        </w:trPr>
        <w:tc>
          <w:tcPr>
            <w:tcW w:w="2812" w:type="dxa"/>
          </w:tcPr>
          <w:p>
            <w:pPr>
              <w:pStyle w:val="TableParagraph"/>
              <w:ind w:left="0"/>
              <w:rPr>
                <w:rFonts w:ascii="Times New Roman"/>
                <w:sz w:val="18"/>
              </w:rPr>
            </w:pPr>
          </w:p>
        </w:tc>
        <w:tc>
          <w:tcPr>
            <w:tcW w:w="3849" w:type="dxa"/>
          </w:tcPr>
          <w:p>
            <w:pPr>
              <w:pStyle w:val="TableParagraph"/>
              <w:spacing w:line="230" w:lineRule="exact"/>
              <w:ind w:left="873"/>
              <w:rPr>
                <w:sz w:val="22"/>
              </w:rPr>
            </w:pPr>
            <w:r>
              <w:rPr>
                <w:sz w:val="22"/>
              </w:rPr>
              <w:t>Jonathan Pyzer</w:t>
            </w:r>
          </w:p>
        </w:tc>
      </w:tr>
    </w:tbl>
    <w:p>
      <w:pPr>
        <w:pStyle w:val="BodyText"/>
        <w:spacing w:before="9"/>
        <w:rPr>
          <w:b/>
          <w:sz w:val="21"/>
        </w:rPr>
      </w:pPr>
    </w:p>
    <w:p>
      <w:pPr>
        <w:spacing w:line="252" w:lineRule="exact" w:before="0"/>
        <w:ind w:left="313" w:right="0" w:firstLine="0"/>
        <w:jc w:val="left"/>
        <w:rPr>
          <w:b/>
          <w:sz w:val="22"/>
        </w:rPr>
      </w:pPr>
      <w:r>
        <w:rPr>
          <w:b/>
          <w:sz w:val="22"/>
        </w:rPr>
        <w:t>Apologies:</w:t>
      </w:r>
    </w:p>
    <w:p>
      <w:pPr>
        <w:spacing w:before="0"/>
        <w:ind w:left="1448" w:right="366" w:firstLine="0"/>
        <w:jc w:val="left"/>
        <w:rPr>
          <w:sz w:val="22"/>
        </w:rPr>
      </w:pPr>
      <w:r>
        <w:rPr>
          <w:sz w:val="22"/>
        </w:rPr>
        <w:t>Paul Wilson (</w:t>
      </w:r>
      <w:r>
        <w:rPr>
          <w:b/>
          <w:sz w:val="22"/>
        </w:rPr>
        <w:t>JP Morgan</w:t>
      </w:r>
      <w:r>
        <w:rPr>
          <w:sz w:val="22"/>
        </w:rPr>
        <w:t>), Mark Short (GS), Andy Krangel (</w:t>
      </w:r>
      <w:r>
        <w:rPr>
          <w:b/>
          <w:sz w:val="22"/>
        </w:rPr>
        <w:t>Citi</w:t>
      </w:r>
      <w:r>
        <w:rPr>
          <w:sz w:val="22"/>
        </w:rPr>
        <w:t>), and Mark Stancombe (</w:t>
      </w:r>
      <w:r>
        <w:rPr>
          <w:b/>
          <w:sz w:val="22"/>
        </w:rPr>
        <w:t>Insight Investment Management</w:t>
      </w:r>
      <w:r>
        <w:rPr>
          <w:sz w:val="22"/>
        </w:rPr>
        <w:t>)</w:t>
      </w:r>
    </w:p>
    <w:p>
      <w:pPr>
        <w:pStyle w:val="BodyText"/>
        <w:spacing w:before="9"/>
        <w:rPr>
          <w:sz w:val="16"/>
        </w:rPr>
      </w:pPr>
      <w:r>
        <w:rPr/>
        <w:pict>
          <v:shape style="position:absolute;margin-left:55.799999pt;margin-top:11.774181pt;width:482.9pt;height:.1pt;mso-position-horizontal-relative:page;mso-position-vertical-relative:paragraph;z-index:-251653120;mso-wrap-distance-left:0;mso-wrap-distance-right:0" coordorigin="1116,235" coordsize="9658,0" path="m1116,235l10774,235e" filled="false" stroked="true" strokeweight=".23999pt" strokecolor="#000000">
            <v:path arrowok="t"/>
            <v:stroke dashstyle="solid"/>
            <w10:wrap type="topAndBottom"/>
          </v:shape>
        </w:pict>
      </w:r>
    </w:p>
    <w:p>
      <w:pPr>
        <w:spacing w:after="0"/>
        <w:rPr>
          <w:sz w:val="16"/>
        </w:rPr>
        <w:sectPr>
          <w:type w:val="continuous"/>
          <w:pgSz w:w="11910" w:h="16840"/>
          <w:pgMar w:top="980" w:bottom="280" w:left="820" w:right="820"/>
        </w:sectPr>
      </w:pPr>
    </w:p>
    <w:p>
      <w:pPr>
        <w:pStyle w:val="BodyText"/>
        <w:rPr>
          <w:sz w:val="20"/>
        </w:rPr>
      </w:pPr>
    </w:p>
    <w:p>
      <w:pPr>
        <w:pStyle w:val="BodyText"/>
        <w:rPr>
          <w:sz w:val="20"/>
        </w:rPr>
      </w:pPr>
    </w:p>
    <w:p>
      <w:pPr>
        <w:pStyle w:val="BodyText"/>
        <w:spacing w:before="6"/>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9300"/>
      </w:tblGrid>
      <w:tr>
        <w:trPr>
          <w:trHeight w:val="249" w:hRule="atLeast"/>
        </w:trPr>
        <w:tc>
          <w:tcPr>
            <w:tcW w:w="741" w:type="dxa"/>
          </w:tcPr>
          <w:p>
            <w:pPr>
              <w:pStyle w:val="TableParagraph"/>
              <w:spacing w:line="229" w:lineRule="exact"/>
              <w:rPr>
                <w:b/>
                <w:sz w:val="22"/>
              </w:rPr>
            </w:pPr>
            <w:r>
              <w:rPr>
                <w:b/>
                <w:sz w:val="22"/>
              </w:rPr>
              <w:t>Item</w:t>
            </w:r>
          </w:p>
        </w:tc>
        <w:tc>
          <w:tcPr>
            <w:tcW w:w="9300" w:type="dxa"/>
          </w:tcPr>
          <w:p>
            <w:pPr>
              <w:pStyle w:val="TableParagraph"/>
              <w:ind w:left="0"/>
              <w:rPr>
                <w:rFonts w:ascii="Times New Roman"/>
                <w:sz w:val="18"/>
              </w:rPr>
            </w:pPr>
          </w:p>
        </w:tc>
      </w:tr>
      <w:tr>
        <w:trPr>
          <w:trHeight w:val="6616" w:hRule="atLeast"/>
        </w:trPr>
        <w:tc>
          <w:tcPr>
            <w:tcW w:w="741" w:type="dxa"/>
          </w:tcPr>
          <w:p>
            <w:pPr>
              <w:pStyle w:val="TableParagraph"/>
              <w:spacing w:line="249" w:lineRule="exact"/>
              <w:rPr>
                <w:b/>
                <w:sz w:val="22"/>
              </w:rPr>
            </w:pPr>
            <w:r>
              <w:rPr>
                <w:b/>
                <w:w w:val="100"/>
                <w:sz w:val="22"/>
              </w:rPr>
              <w:t>1</w:t>
            </w:r>
          </w:p>
        </w:tc>
        <w:tc>
          <w:tcPr>
            <w:tcW w:w="9300" w:type="dxa"/>
          </w:tcPr>
          <w:p>
            <w:pPr>
              <w:pStyle w:val="TableParagraph"/>
              <w:spacing w:line="249" w:lineRule="exact"/>
              <w:ind w:left="418"/>
              <w:rPr>
                <w:b/>
                <w:sz w:val="22"/>
              </w:rPr>
            </w:pPr>
            <w:r>
              <w:rPr>
                <w:b/>
                <w:sz w:val="22"/>
              </w:rPr>
              <w:t>Introductions</w:t>
            </w:r>
          </w:p>
          <w:p>
            <w:pPr>
              <w:pStyle w:val="TableParagraph"/>
              <w:spacing w:before="2"/>
              <w:ind w:left="0"/>
              <w:rPr>
                <w:sz w:val="22"/>
              </w:rPr>
            </w:pPr>
          </w:p>
          <w:p>
            <w:pPr>
              <w:pStyle w:val="TableParagraph"/>
              <w:numPr>
                <w:ilvl w:val="0"/>
                <w:numId w:val="1"/>
              </w:numPr>
              <w:tabs>
                <w:tab w:pos="779" w:val="left" w:leader="none"/>
              </w:tabs>
              <w:spacing w:line="360" w:lineRule="auto" w:before="1" w:after="0"/>
              <w:ind w:left="778" w:right="204" w:hanging="360"/>
              <w:jc w:val="both"/>
              <w:rPr>
                <w:sz w:val="22"/>
              </w:rPr>
            </w:pPr>
            <w:r>
              <w:rPr>
                <w:sz w:val="22"/>
              </w:rPr>
              <w:t>The minutes of the May 2017 Securities Lending Committee (SLC) were agreed by members, and will be published on the Bank’s</w:t>
            </w:r>
            <w:r>
              <w:rPr>
                <w:spacing w:val="-8"/>
                <w:sz w:val="22"/>
              </w:rPr>
              <w:t> </w:t>
            </w:r>
            <w:r>
              <w:rPr>
                <w:sz w:val="22"/>
              </w:rPr>
              <w:t>website.</w:t>
            </w:r>
          </w:p>
          <w:p>
            <w:pPr>
              <w:pStyle w:val="TableParagraph"/>
              <w:spacing w:before="10"/>
              <w:ind w:left="0"/>
              <w:rPr>
                <w:sz w:val="32"/>
              </w:rPr>
            </w:pPr>
          </w:p>
          <w:p>
            <w:pPr>
              <w:pStyle w:val="TableParagraph"/>
              <w:numPr>
                <w:ilvl w:val="0"/>
                <w:numId w:val="1"/>
              </w:numPr>
              <w:tabs>
                <w:tab w:pos="779" w:val="left" w:leader="none"/>
              </w:tabs>
              <w:spacing w:line="360" w:lineRule="auto" w:before="0" w:after="0"/>
              <w:ind w:left="778" w:right="197" w:hanging="360"/>
              <w:jc w:val="both"/>
              <w:rPr>
                <w:sz w:val="22"/>
              </w:rPr>
            </w:pPr>
            <w:r>
              <w:rPr>
                <w:sz w:val="22"/>
              </w:rPr>
              <w:t>The Chair provided a brief introduction of the purpose of the meeting. It was noted at the May meeting that developments in market infrastructure are a topic of interest, and the committee welcomed the idea of inviting specialist external participants to present their views on these issues. The Bank had reached out to three securities lending market participants in this regard – Gross Short Arbitrage Value (GSAV Ltd.), Equilend and Pirum. They would each be presenting their views to the Committee with opportunities for Q&amp;A, which would be followed by a discussion. Each presenter would also be reminded by the Chair that there will be a non-attributable record of the meeting published on the Bank’s website as per the Terms of Reference for the Committee.</w:t>
            </w:r>
          </w:p>
          <w:p>
            <w:pPr>
              <w:pStyle w:val="TableParagraph"/>
              <w:spacing w:before="3"/>
              <w:ind w:left="0"/>
              <w:rPr>
                <w:sz w:val="33"/>
              </w:rPr>
            </w:pPr>
          </w:p>
          <w:p>
            <w:pPr>
              <w:pStyle w:val="TableParagraph"/>
              <w:numPr>
                <w:ilvl w:val="0"/>
                <w:numId w:val="1"/>
              </w:numPr>
              <w:tabs>
                <w:tab w:pos="779" w:val="left" w:leader="none"/>
              </w:tabs>
              <w:spacing w:line="360" w:lineRule="auto" w:before="0" w:after="0"/>
              <w:ind w:left="778" w:right="201" w:hanging="360"/>
              <w:jc w:val="both"/>
              <w:rPr>
                <w:sz w:val="22"/>
              </w:rPr>
            </w:pPr>
            <w:r>
              <w:rPr>
                <w:sz w:val="22"/>
              </w:rPr>
              <w:t>Finally, the Chair welcomed new Committee member, Matt Brunett from Norges Bank Investment Management to the</w:t>
            </w:r>
            <w:r>
              <w:rPr>
                <w:spacing w:val="-4"/>
                <w:sz w:val="22"/>
              </w:rPr>
              <w:t> </w:t>
            </w:r>
            <w:r>
              <w:rPr>
                <w:sz w:val="22"/>
              </w:rPr>
              <w:t>Committee.</w:t>
            </w:r>
          </w:p>
        </w:tc>
      </w:tr>
      <w:tr>
        <w:trPr>
          <w:trHeight w:val="6993" w:hRule="atLeast"/>
        </w:trPr>
        <w:tc>
          <w:tcPr>
            <w:tcW w:w="741" w:type="dxa"/>
          </w:tcPr>
          <w:p>
            <w:pPr>
              <w:pStyle w:val="TableParagraph"/>
              <w:spacing w:before="158"/>
              <w:rPr>
                <w:b/>
                <w:sz w:val="22"/>
              </w:rPr>
            </w:pPr>
            <w:r>
              <w:rPr>
                <w:b/>
                <w:w w:val="100"/>
                <w:sz w:val="22"/>
              </w:rPr>
              <w:t>2</w:t>
            </w:r>
          </w:p>
        </w:tc>
        <w:tc>
          <w:tcPr>
            <w:tcW w:w="9300" w:type="dxa"/>
          </w:tcPr>
          <w:p>
            <w:pPr>
              <w:pStyle w:val="TableParagraph"/>
              <w:spacing w:before="158"/>
              <w:ind w:left="418"/>
              <w:rPr>
                <w:b/>
                <w:sz w:val="22"/>
              </w:rPr>
            </w:pPr>
            <w:r>
              <w:rPr>
                <w:b/>
                <w:sz w:val="22"/>
              </w:rPr>
              <w:t>Presentation 1 – GSAV</w:t>
            </w:r>
          </w:p>
          <w:p>
            <w:pPr>
              <w:pStyle w:val="TableParagraph"/>
              <w:spacing w:before="3"/>
              <w:ind w:left="0"/>
              <w:rPr>
                <w:sz w:val="22"/>
              </w:rPr>
            </w:pPr>
          </w:p>
          <w:p>
            <w:pPr>
              <w:pStyle w:val="TableParagraph"/>
              <w:numPr>
                <w:ilvl w:val="0"/>
                <w:numId w:val="2"/>
              </w:numPr>
              <w:tabs>
                <w:tab w:pos="779" w:val="left" w:leader="none"/>
              </w:tabs>
              <w:spacing w:line="360" w:lineRule="auto" w:before="0" w:after="0"/>
              <w:ind w:left="778" w:right="202" w:hanging="360"/>
              <w:jc w:val="both"/>
              <w:rPr>
                <w:sz w:val="22"/>
              </w:rPr>
            </w:pPr>
            <w:r>
              <w:rPr>
                <w:sz w:val="22"/>
              </w:rPr>
              <w:t>GSAV presented their views on the issue of price transparency in the securities lending market. They were of the view that the current infrastructures for trading, margining and settlement through financial intermediaries made pricing opaque. This may also be leading to difficulties in assessing the performance, risk and use of collateral in the market. It was also acknowledged that there were a number of regulatory and market best practice initiatives underway which were encouraging greater transparency across markets - for example, via MifiD 2 and the UK Money Markets</w:t>
            </w:r>
            <w:r>
              <w:rPr>
                <w:spacing w:val="-1"/>
                <w:sz w:val="22"/>
              </w:rPr>
              <w:t> </w:t>
            </w:r>
            <w:r>
              <w:rPr>
                <w:sz w:val="22"/>
              </w:rPr>
              <w:t>Code.</w:t>
            </w:r>
          </w:p>
          <w:p>
            <w:pPr>
              <w:pStyle w:val="TableParagraph"/>
              <w:ind w:left="0"/>
              <w:rPr>
                <w:sz w:val="33"/>
              </w:rPr>
            </w:pPr>
          </w:p>
          <w:p>
            <w:pPr>
              <w:pStyle w:val="TableParagraph"/>
              <w:numPr>
                <w:ilvl w:val="0"/>
                <w:numId w:val="2"/>
              </w:numPr>
              <w:tabs>
                <w:tab w:pos="779" w:val="left" w:leader="none"/>
              </w:tabs>
              <w:spacing w:line="360" w:lineRule="auto" w:before="0" w:after="0"/>
              <w:ind w:left="778" w:right="199" w:hanging="360"/>
              <w:jc w:val="both"/>
              <w:rPr>
                <w:sz w:val="22"/>
              </w:rPr>
            </w:pPr>
            <w:r>
              <w:rPr>
                <w:sz w:val="22"/>
              </w:rPr>
              <w:t>It was noted that regulation was demanding greater transparency through electronic trading and clearing conventions, but these were not yet gaining traction amongst market participants. Therefore, alternative solutions to improve the current infrastructures in the market should in GSAV’s view be considered. Current market conventions were thought to be complex and may prove an impediment to incorporating cost-effective trade reporting. GSAV’s technology solution to deliver more transparent pricing was designed to address some of these challenges in</w:t>
            </w:r>
            <w:r>
              <w:rPr>
                <w:spacing w:val="13"/>
                <w:sz w:val="22"/>
              </w:rPr>
              <w:t> </w:t>
            </w:r>
            <w:r>
              <w:rPr>
                <w:sz w:val="22"/>
              </w:rPr>
              <w:t>the</w:t>
            </w:r>
          </w:p>
          <w:p>
            <w:pPr>
              <w:pStyle w:val="TableParagraph"/>
              <w:spacing w:line="233" w:lineRule="exact" w:before="1"/>
              <w:ind w:left="778"/>
              <w:rPr>
                <w:sz w:val="22"/>
              </w:rPr>
            </w:pPr>
            <w:r>
              <w:rPr>
                <w:sz w:val="22"/>
              </w:rPr>
              <w:t>market.</w:t>
            </w:r>
          </w:p>
        </w:tc>
      </w:tr>
    </w:tbl>
    <w:p>
      <w:pPr>
        <w:spacing w:after="0" w:line="233" w:lineRule="exact"/>
        <w:rPr>
          <w:sz w:val="22"/>
        </w:rPr>
        <w:sectPr>
          <w:headerReference w:type="default" r:id="rId19"/>
          <w:pgSz w:w="11910" w:h="16840"/>
          <w:pgMar w:header="571" w:footer="0" w:top="980" w:bottom="280" w:left="820" w:right="820"/>
          <w:pgNumType w:start="2"/>
        </w:sectPr>
      </w:pPr>
    </w:p>
    <w:p>
      <w:pPr>
        <w:pStyle w:val="BodyText"/>
        <w:rPr>
          <w:sz w:val="20"/>
        </w:rPr>
      </w:pPr>
    </w:p>
    <w:p>
      <w:pPr>
        <w:pStyle w:val="BodyText"/>
        <w:spacing w:before="2"/>
        <w:rPr>
          <w:sz w:val="25"/>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9300"/>
      </w:tblGrid>
      <w:tr>
        <w:trPr>
          <w:trHeight w:val="5533" w:hRule="atLeast"/>
        </w:trPr>
        <w:tc>
          <w:tcPr>
            <w:tcW w:w="741" w:type="dxa"/>
          </w:tcPr>
          <w:p>
            <w:pPr>
              <w:pStyle w:val="TableParagraph"/>
              <w:ind w:left="0"/>
              <w:rPr>
                <w:rFonts w:ascii="Times New Roman"/>
                <w:sz w:val="22"/>
              </w:rPr>
            </w:pPr>
          </w:p>
        </w:tc>
        <w:tc>
          <w:tcPr>
            <w:tcW w:w="9300" w:type="dxa"/>
          </w:tcPr>
          <w:p>
            <w:pPr>
              <w:pStyle w:val="TableParagraph"/>
              <w:spacing w:line="360" w:lineRule="auto"/>
              <w:ind w:left="778" w:right="200" w:hanging="360"/>
              <w:jc w:val="both"/>
              <w:rPr>
                <w:sz w:val="22"/>
              </w:rPr>
            </w:pPr>
            <w:r>
              <w:rPr>
                <w:sz w:val="22"/>
              </w:rPr>
              <w:t>6. The floor was opened for Q&amp;A. Questions covered issues such as consistent measures for re-hypothecation, the frameworks for counterparty netting and whether it was possible to determine a “fair price” for securities lending transactions which are ultimately bilaterally</w:t>
            </w:r>
            <w:r>
              <w:rPr>
                <w:spacing w:val="-5"/>
                <w:sz w:val="22"/>
              </w:rPr>
              <w:t> </w:t>
            </w:r>
            <w:r>
              <w:rPr>
                <w:sz w:val="22"/>
              </w:rPr>
              <w:t>negotiated.</w:t>
            </w:r>
          </w:p>
          <w:p>
            <w:pPr>
              <w:pStyle w:val="TableParagraph"/>
              <w:spacing w:before="4"/>
              <w:ind w:left="0"/>
              <w:rPr>
                <w:sz w:val="32"/>
              </w:rPr>
            </w:pPr>
          </w:p>
          <w:p>
            <w:pPr>
              <w:pStyle w:val="TableParagraph"/>
              <w:spacing w:line="360" w:lineRule="auto"/>
              <w:ind w:left="778" w:right="201"/>
              <w:jc w:val="both"/>
              <w:rPr>
                <w:sz w:val="22"/>
              </w:rPr>
            </w:pPr>
            <w:r>
              <w:rPr>
                <w:sz w:val="22"/>
              </w:rPr>
              <w:t>Members also noted that the central clearing infrastructure for securities lending had been around for a number of years but market participants continued to be reluctant to adopt this avenue. It was noted that participants continued to debate on: i) the appropriate cost of clearing, ii) benefits from a credit, collateral and term perspective,</w:t>
            </w:r>
          </w:p>
          <w:p>
            <w:pPr>
              <w:pStyle w:val="TableParagraph"/>
              <w:spacing w:line="360" w:lineRule="auto" w:before="1"/>
              <w:ind w:left="778" w:right="202"/>
              <w:jc w:val="both"/>
              <w:rPr>
                <w:b/>
                <w:sz w:val="22"/>
              </w:rPr>
            </w:pPr>
            <w:r>
              <w:rPr>
                <w:sz w:val="22"/>
              </w:rPr>
              <w:t>iii) its impact on underlying market liquidity and market fragmentation and iv) the implications of CCP failure. It was acknowledged that the committee could further consider the benefits of CCP clearing from a market transparency and price discovery perspective. </w:t>
            </w:r>
            <w:r>
              <w:rPr>
                <w:b/>
                <w:sz w:val="22"/>
              </w:rPr>
              <w:t>[ACT: CCP clearing to be considered for agenda at next meeting]</w:t>
            </w:r>
          </w:p>
        </w:tc>
      </w:tr>
      <w:tr>
        <w:trPr>
          <w:trHeight w:val="8322" w:hRule="atLeast"/>
        </w:trPr>
        <w:tc>
          <w:tcPr>
            <w:tcW w:w="741" w:type="dxa"/>
          </w:tcPr>
          <w:p>
            <w:pPr>
              <w:pStyle w:val="TableParagraph"/>
              <w:spacing w:before="5"/>
              <w:ind w:left="0"/>
              <w:rPr>
                <w:sz w:val="30"/>
              </w:rPr>
            </w:pPr>
          </w:p>
          <w:p>
            <w:pPr>
              <w:pStyle w:val="TableParagraph"/>
              <w:rPr>
                <w:b/>
                <w:sz w:val="22"/>
              </w:rPr>
            </w:pPr>
            <w:r>
              <w:rPr>
                <w:b/>
                <w:w w:val="100"/>
                <w:sz w:val="22"/>
              </w:rPr>
              <w:t>3</w:t>
            </w:r>
          </w:p>
        </w:tc>
        <w:tc>
          <w:tcPr>
            <w:tcW w:w="9300" w:type="dxa"/>
          </w:tcPr>
          <w:p>
            <w:pPr>
              <w:pStyle w:val="TableParagraph"/>
              <w:spacing w:before="5"/>
              <w:ind w:left="0"/>
              <w:rPr>
                <w:sz w:val="30"/>
              </w:rPr>
            </w:pPr>
          </w:p>
          <w:p>
            <w:pPr>
              <w:pStyle w:val="TableParagraph"/>
              <w:ind w:left="418"/>
              <w:rPr>
                <w:b/>
                <w:sz w:val="22"/>
              </w:rPr>
            </w:pPr>
            <w:r>
              <w:rPr>
                <w:b/>
                <w:sz w:val="22"/>
              </w:rPr>
              <w:t>Presentation 2 – Equilend</w:t>
            </w:r>
          </w:p>
          <w:p>
            <w:pPr>
              <w:pStyle w:val="TableParagraph"/>
              <w:ind w:left="0"/>
              <w:rPr>
                <w:sz w:val="22"/>
              </w:rPr>
            </w:pPr>
          </w:p>
          <w:p>
            <w:pPr>
              <w:pStyle w:val="TableParagraph"/>
              <w:numPr>
                <w:ilvl w:val="0"/>
                <w:numId w:val="3"/>
              </w:numPr>
              <w:tabs>
                <w:tab w:pos="779" w:val="left" w:leader="none"/>
              </w:tabs>
              <w:spacing w:line="360" w:lineRule="auto" w:before="0" w:after="0"/>
              <w:ind w:left="778" w:right="197" w:hanging="360"/>
              <w:jc w:val="both"/>
              <w:rPr>
                <w:sz w:val="22"/>
              </w:rPr>
            </w:pPr>
            <w:r>
              <w:rPr>
                <w:sz w:val="22"/>
              </w:rPr>
              <w:t>Equilend presented their views on regulatory initiatives such as the Securities Financing Transactions Regulation (SFTR) and MifiD 2, and their impact on securities financing markets. They noted that more industry dialogue was required to ensure the effective implementation of these initiatives. In particular, there may be inconsistencies between their respective trade reporting requirements that needed to be better understood and</w:t>
            </w:r>
            <w:r>
              <w:rPr>
                <w:spacing w:val="-2"/>
                <w:sz w:val="22"/>
              </w:rPr>
              <w:t> </w:t>
            </w:r>
            <w:r>
              <w:rPr>
                <w:sz w:val="22"/>
              </w:rPr>
              <w:t>addressed.</w:t>
            </w:r>
          </w:p>
          <w:p>
            <w:pPr>
              <w:pStyle w:val="TableParagraph"/>
              <w:spacing w:before="1"/>
              <w:ind w:left="0"/>
              <w:rPr>
                <w:sz w:val="33"/>
              </w:rPr>
            </w:pPr>
          </w:p>
          <w:p>
            <w:pPr>
              <w:pStyle w:val="TableParagraph"/>
              <w:numPr>
                <w:ilvl w:val="0"/>
                <w:numId w:val="3"/>
              </w:numPr>
              <w:tabs>
                <w:tab w:pos="779" w:val="left" w:leader="none"/>
              </w:tabs>
              <w:spacing w:line="360" w:lineRule="auto" w:before="0" w:after="0"/>
              <w:ind w:left="778" w:right="201" w:hanging="360"/>
              <w:jc w:val="both"/>
              <w:rPr>
                <w:sz w:val="22"/>
              </w:rPr>
            </w:pPr>
            <w:r>
              <w:rPr>
                <w:sz w:val="22"/>
              </w:rPr>
              <w:t>They were seeing demand from different types of market participants for services which offer more pre and post trade transparency. It was thought that participants were prepared to pay for such trading services in order to benefit from access to a wider swathe of the market, automate existing manual processes and generate more price transparency. It was also noted that the market continued to consider clearing, although acknowledged that there were challenges around its</w:t>
            </w:r>
            <w:r>
              <w:rPr>
                <w:spacing w:val="-11"/>
                <w:sz w:val="22"/>
              </w:rPr>
              <w:t> </w:t>
            </w:r>
            <w:r>
              <w:rPr>
                <w:sz w:val="22"/>
              </w:rPr>
              <w:t>adoption.</w:t>
            </w:r>
          </w:p>
          <w:p>
            <w:pPr>
              <w:pStyle w:val="TableParagraph"/>
              <w:spacing w:before="1"/>
              <w:ind w:left="0"/>
              <w:rPr>
                <w:sz w:val="33"/>
              </w:rPr>
            </w:pPr>
          </w:p>
          <w:p>
            <w:pPr>
              <w:pStyle w:val="TableParagraph"/>
              <w:numPr>
                <w:ilvl w:val="0"/>
                <w:numId w:val="3"/>
              </w:numPr>
              <w:tabs>
                <w:tab w:pos="779" w:val="left" w:leader="none"/>
              </w:tabs>
              <w:spacing w:line="360" w:lineRule="auto" w:before="0" w:after="0"/>
              <w:ind w:left="778" w:right="198" w:hanging="360"/>
              <w:jc w:val="both"/>
              <w:rPr>
                <w:sz w:val="22"/>
              </w:rPr>
            </w:pPr>
            <w:r>
              <w:rPr>
                <w:sz w:val="22"/>
              </w:rPr>
              <w:t>Committee members questioned whether the increasing numbers of platforms being introduced can co-exist in a new market structure. Members noted that the liquidity implications of such a development were not clear. Co-existence of platforms needed to be considered alongside the commercial benefits. It was thought that the current trends</w:t>
            </w:r>
            <w:r>
              <w:rPr>
                <w:spacing w:val="6"/>
                <w:sz w:val="22"/>
              </w:rPr>
              <w:t> </w:t>
            </w:r>
            <w:r>
              <w:rPr>
                <w:sz w:val="22"/>
              </w:rPr>
              <w:t>were</w:t>
            </w:r>
            <w:r>
              <w:rPr>
                <w:spacing w:val="7"/>
                <w:sz w:val="22"/>
              </w:rPr>
              <w:t> </w:t>
            </w:r>
            <w:r>
              <w:rPr>
                <w:sz w:val="22"/>
              </w:rPr>
              <w:t>likely</w:t>
            </w:r>
            <w:r>
              <w:rPr>
                <w:spacing w:val="4"/>
                <w:sz w:val="22"/>
              </w:rPr>
              <w:t> </w:t>
            </w:r>
            <w:r>
              <w:rPr>
                <w:sz w:val="22"/>
              </w:rPr>
              <w:t>to</w:t>
            </w:r>
            <w:r>
              <w:rPr>
                <w:spacing w:val="6"/>
                <w:sz w:val="22"/>
              </w:rPr>
              <w:t> </w:t>
            </w:r>
            <w:r>
              <w:rPr>
                <w:sz w:val="22"/>
              </w:rPr>
              <w:t>lead</w:t>
            </w:r>
            <w:r>
              <w:rPr>
                <w:spacing w:val="4"/>
                <w:sz w:val="22"/>
              </w:rPr>
              <w:t> </w:t>
            </w:r>
            <w:r>
              <w:rPr>
                <w:sz w:val="22"/>
              </w:rPr>
              <w:t>to</w:t>
            </w:r>
            <w:r>
              <w:rPr>
                <w:spacing w:val="6"/>
                <w:sz w:val="22"/>
              </w:rPr>
              <w:t> </w:t>
            </w:r>
            <w:r>
              <w:rPr>
                <w:sz w:val="22"/>
              </w:rPr>
              <w:t>a</w:t>
            </w:r>
            <w:r>
              <w:rPr>
                <w:spacing w:val="6"/>
                <w:sz w:val="22"/>
              </w:rPr>
              <w:t> </w:t>
            </w:r>
            <w:r>
              <w:rPr>
                <w:sz w:val="22"/>
              </w:rPr>
              <w:t>period</w:t>
            </w:r>
            <w:r>
              <w:rPr>
                <w:spacing w:val="6"/>
                <w:sz w:val="22"/>
              </w:rPr>
              <w:t> </w:t>
            </w:r>
            <w:r>
              <w:rPr>
                <w:sz w:val="22"/>
              </w:rPr>
              <w:t>of</w:t>
            </w:r>
            <w:r>
              <w:rPr>
                <w:spacing w:val="7"/>
                <w:sz w:val="22"/>
              </w:rPr>
              <w:t> </w:t>
            </w:r>
            <w:r>
              <w:rPr>
                <w:sz w:val="22"/>
              </w:rPr>
              <w:t>fragmentation,</w:t>
            </w:r>
            <w:r>
              <w:rPr>
                <w:spacing w:val="8"/>
                <w:sz w:val="22"/>
              </w:rPr>
              <w:t> </w:t>
            </w:r>
            <w:r>
              <w:rPr>
                <w:sz w:val="22"/>
              </w:rPr>
              <w:t>as</w:t>
            </w:r>
            <w:r>
              <w:rPr>
                <w:spacing w:val="4"/>
                <w:sz w:val="22"/>
              </w:rPr>
              <w:t> </w:t>
            </w:r>
            <w:r>
              <w:rPr>
                <w:sz w:val="22"/>
              </w:rPr>
              <w:t>there</w:t>
            </w:r>
            <w:r>
              <w:rPr>
                <w:spacing w:val="6"/>
                <w:sz w:val="22"/>
              </w:rPr>
              <w:t> </w:t>
            </w:r>
            <w:r>
              <w:rPr>
                <w:sz w:val="22"/>
              </w:rPr>
              <w:t>are</w:t>
            </w:r>
            <w:r>
              <w:rPr>
                <w:spacing w:val="6"/>
                <w:sz w:val="22"/>
              </w:rPr>
              <w:t> </w:t>
            </w:r>
            <w:r>
              <w:rPr>
                <w:sz w:val="22"/>
              </w:rPr>
              <w:t>several</w:t>
            </w:r>
            <w:r>
              <w:rPr>
                <w:spacing w:val="3"/>
                <w:sz w:val="22"/>
              </w:rPr>
              <w:t> </w:t>
            </w:r>
            <w:r>
              <w:rPr>
                <w:sz w:val="22"/>
              </w:rPr>
              <w:t>platforms</w:t>
            </w:r>
          </w:p>
          <w:p>
            <w:pPr>
              <w:pStyle w:val="TableParagraph"/>
              <w:spacing w:line="233" w:lineRule="exact" w:before="1"/>
              <w:ind w:left="778"/>
              <w:jc w:val="both"/>
              <w:rPr>
                <w:sz w:val="22"/>
              </w:rPr>
            </w:pPr>
            <w:r>
              <w:rPr>
                <w:sz w:val="22"/>
              </w:rPr>
              <w:t>attempting to create their own niche. It was highlighted that these challenges were</w:t>
            </w:r>
          </w:p>
        </w:tc>
      </w:tr>
    </w:tbl>
    <w:p>
      <w:pPr>
        <w:spacing w:after="0" w:line="233" w:lineRule="exact"/>
        <w:jc w:val="both"/>
        <w:rPr>
          <w:sz w:val="22"/>
        </w:rPr>
        <w:sectPr>
          <w:pgSz w:w="11910" w:h="16840"/>
          <w:pgMar w:header="571" w:footer="0" w:top="980" w:bottom="280" w:left="820" w:right="820"/>
        </w:sectPr>
      </w:pPr>
    </w:p>
    <w:p>
      <w:pPr>
        <w:pStyle w:val="BodyText"/>
        <w:rPr>
          <w:sz w:val="12"/>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9302"/>
      </w:tblGrid>
      <w:tr>
        <w:trPr>
          <w:trHeight w:val="6611" w:hRule="atLeast"/>
        </w:trPr>
        <w:tc>
          <w:tcPr>
            <w:tcW w:w="741" w:type="dxa"/>
          </w:tcPr>
          <w:p>
            <w:pPr>
              <w:pStyle w:val="TableParagraph"/>
              <w:ind w:left="0"/>
              <w:rPr>
                <w:rFonts w:ascii="Times New Roman"/>
                <w:sz w:val="22"/>
              </w:rPr>
            </w:pPr>
          </w:p>
        </w:tc>
        <w:tc>
          <w:tcPr>
            <w:tcW w:w="9302" w:type="dxa"/>
          </w:tcPr>
          <w:p>
            <w:pPr>
              <w:pStyle w:val="TableParagraph"/>
              <w:spacing w:line="362" w:lineRule="auto"/>
              <w:ind w:left="778" w:right="118"/>
              <w:rPr>
                <w:sz w:val="22"/>
              </w:rPr>
            </w:pPr>
            <w:r>
              <w:rPr>
                <w:sz w:val="22"/>
              </w:rPr>
              <w:t>not unique, as these transitions have already occurred at varying degrees of success in other markets.</w:t>
            </w:r>
          </w:p>
          <w:p>
            <w:pPr>
              <w:pStyle w:val="TableParagraph"/>
              <w:spacing w:before="1"/>
              <w:ind w:left="0"/>
              <w:rPr>
                <w:sz w:val="32"/>
              </w:rPr>
            </w:pPr>
          </w:p>
          <w:p>
            <w:pPr>
              <w:pStyle w:val="TableParagraph"/>
              <w:numPr>
                <w:ilvl w:val="0"/>
                <w:numId w:val="4"/>
              </w:numPr>
              <w:tabs>
                <w:tab w:pos="779" w:val="left" w:leader="none"/>
              </w:tabs>
              <w:spacing w:line="360" w:lineRule="auto" w:before="1" w:after="0"/>
              <w:ind w:left="778" w:right="200" w:hanging="360"/>
              <w:jc w:val="both"/>
              <w:rPr>
                <w:sz w:val="22"/>
              </w:rPr>
            </w:pPr>
            <w:r>
              <w:rPr>
                <w:sz w:val="22"/>
              </w:rPr>
              <w:t>It was noted that the trade reporting under SFTR could lead to the risk of confidential data being passed around the market. It was suggested that using electronic trading platforms instead of bilateral over-the-counter transaction reporting could help address such risks. Beneficial owners were beginning to understand the implications of SFTR on their business models, and considering whether to incorporate direct trading platforms in their securities lending</w:t>
            </w:r>
            <w:r>
              <w:rPr>
                <w:spacing w:val="-2"/>
                <w:sz w:val="22"/>
              </w:rPr>
              <w:t> </w:t>
            </w:r>
            <w:r>
              <w:rPr>
                <w:sz w:val="22"/>
              </w:rPr>
              <w:t>activities.</w:t>
            </w:r>
          </w:p>
          <w:p>
            <w:pPr>
              <w:pStyle w:val="TableParagraph"/>
              <w:ind w:left="0"/>
              <w:rPr>
                <w:sz w:val="33"/>
              </w:rPr>
            </w:pPr>
          </w:p>
          <w:p>
            <w:pPr>
              <w:pStyle w:val="TableParagraph"/>
              <w:numPr>
                <w:ilvl w:val="0"/>
                <w:numId w:val="4"/>
              </w:numPr>
              <w:tabs>
                <w:tab w:pos="779" w:val="left" w:leader="none"/>
              </w:tabs>
              <w:spacing w:line="360" w:lineRule="auto" w:before="0" w:after="0"/>
              <w:ind w:left="778" w:right="199" w:hanging="360"/>
              <w:jc w:val="both"/>
              <w:rPr>
                <w:sz w:val="22"/>
              </w:rPr>
            </w:pPr>
            <w:r>
              <w:rPr>
                <w:sz w:val="22"/>
              </w:rPr>
              <w:t>When asked about the top three changes in securities lending markets over the next few years, Equilend noted: i) They expected that 2-3 platform providers would likely emerge as market leaders, ii) business models on the borrower and lending sides were likely going to transform, and iii) the industry would have to agree on how the costs of such changes will be borne by those active in the market. It was noted that securities lending trading costs may need to be passed down to hedge funds and other end users for it to remain a commercially viable</w:t>
            </w:r>
            <w:r>
              <w:rPr>
                <w:spacing w:val="-12"/>
                <w:sz w:val="22"/>
              </w:rPr>
              <w:t> </w:t>
            </w:r>
            <w:r>
              <w:rPr>
                <w:sz w:val="22"/>
              </w:rPr>
              <w:t>business.</w:t>
            </w:r>
          </w:p>
        </w:tc>
      </w:tr>
      <w:tr>
        <w:trPr>
          <w:trHeight w:val="7499" w:hRule="atLeast"/>
        </w:trPr>
        <w:tc>
          <w:tcPr>
            <w:tcW w:w="741" w:type="dxa"/>
          </w:tcPr>
          <w:p>
            <w:pPr>
              <w:pStyle w:val="TableParagraph"/>
              <w:spacing w:before="9"/>
              <w:ind w:left="0"/>
              <w:rPr>
                <w:sz w:val="24"/>
              </w:rPr>
            </w:pPr>
          </w:p>
          <w:p>
            <w:pPr>
              <w:pStyle w:val="TableParagraph"/>
              <w:rPr>
                <w:b/>
                <w:sz w:val="22"/>
              </w:rPr>
            </w:pPr>
            <w:r>
              <w:rPr>
                <w:b/>
                <w:w w:val="100"/>
                <w:sz w:val="22"/>
              </w:rPr>
              <w:t>3</w:t>
            </w:r>
          </w:p>
        </w:tc>
        <w:tc>
          <w:tcPr>
            <w:tcW w:w="9302" w:type="dxa"/>
          </w:tcPr>
          <w:p>
            <w:pPr>
              <w:pStyle w:val="TableParagraph"/>
              <w:spacing w:before="9"/>
              <w:ind w:left="0"/>
              <w:rPr>
                <w:sz w:val="24"/>
              </w:rPr>
            </w:pPr>
          </w:p>
          <w:p>
            <w:pPr>
              <w:pStyle w:val="TableParagraph"/>
              <w:ind w:left="418"/>
              <w:rPr>
                <w:b/>
                <w:sz w:val="22"/>
              </w:rPr>
            </w:pPr>
            <w:r>
              <w:rPr>
                <w:b/>
                <w:sz w:val="22"/>
              </w:rPr>
              <w:t>Presentation 3 - Pirum</w:t>
            </w:r>
          </w:p>
          <w:p>
            <w:pPr>
              <w:pStyle w:val="TableParagraph"/>
              <w:spacing w:before="3"/>
              <w:ind w:left="0"/>
              <w:rPr>
                <w:sz w:val="22"/>
              </w:rPr>
            </w:pPr>
          </w:p>
          <w:p>
            <w:pPr>
              <w:pStyle w:val="TableParagraph"/>
              <w:numPr>
                <w:ilvl w:val="0"/>
                <w:numId w:val="5"/>
              </w:numPr>
              <w:tabs>
                <w:tab w:pos="779" w:val="left" w:leader="none"/>
              </w:tabs>
              <w:spacing w:line="360" w:lineRule="auto" w:before="0" w:after="0"/>
              <w:ind w:left="778" w:right="197" w:hanging="360"/>
              <w:jc w:val="both"/>
              <w:rPr>
                <w:sz w:val="22"/>
              </w:rPr>
            </w:pPr>
            <w:r>
              <w:rPr>
                <w:sz w:val="22"/>
              </w:rPr>
              <w:t>Pirum explained that their trading platform helped automate connectivity between market participants and infrastructure providers. Due to their broad-based engagement with the market, they presented views on a wide range of topics including: counterparty risk management, corporate actions, disparate data/interconnectivity, SFTR, collateral visibility and exposure</w:t>
            </w:r>
            <w:r>
              <w:rPr>
                <w:spacing w:val="-12"/>
                <w:sz w:val="22"/>
              </w:rPr>
              <w:t> </w:t>
            </w:r>
            <w:r>
              <w:rPr>
                <w:sz w:val="22"/>
              </w:rPr>
              <w:t>management.</w:t>
            </w:r>
          </w:p>
          <w:p>
            <w:pPr>
              <w:pStyle w:val="TableParagraph"/>
              <w:spacing w:before="1"/>
              <w:ind w:left="0"/>
              <w:rPr>
                <w:sz w:val="33"/>
              </w:rPr>
            </w:pPr>
          </w:p>
          <w:p>
            <w:pPr>
              <w:pStyle w:val="TableParagraph"/>
              <w:numPr>
                <w:ilvl w:val="0"/>
                <w:numId w:val="5"/>
              </w:numPr>
              <w:tabs>
                <w:tab w:pos="779" w:val="left" w:leader="none"/>
              </w:tabs>
              <w:spacing w:line="360" w:lineRule="auto" w:before="0" w:after="0"/>
              <w:ind w:left="778" w:right="199" w:hanging="360"/>
              <w:jc w:val="both"/>
              <w:rPr>
                <w:sz w:val="22"/>
              </w:rPr>
            </w:pPr>
            <w:r>
              <w:rPr>
                <w:sz w:val="22"/>
              </w:rPr>
              <w:t>Counterparty risk management was discussed. It was noted that the current model involved manually intensive processes for borrowers to maintain accounts for all principals, manual settlement instruction management and little transparency within the undisclosed agent lending model. Failed trades in particular were highlighted as a problem against the CSDR backdrop. Ineffective booking disciplines combined with inadequate penalties for failed trades were contributing to failed trades in gilt markets. A few solutions such as greater automation for trade booking, centrally cleared products and different types of collateralisation options e.g. pledge were noted.</w:t>
            </w:r>
          </w:p>
          <w:p>
            <w:pPr>
              <w:pStyle w:val="TableParagraph"/>
              <w:ind w:left="0"/>
              <w:rPr>
                <w:sz w:val="22"/>
              </w:rPr>
            </w:pPr>
          </w:p>
          <w:p>
            <w:pPr>
              <w:pStyle w:val="TableParagraph"/>
              <w:numPr>
                <w:ilvl w:val="0"/>
                <w:numId w:val="5"/>
              </w:numPr>
              <w:tabs>
                <w:tab w:pos="779" w:val="left" w:leader="none"/>
              </w:tabs>
              <w:spacing w:line="380" w:lineRule="atLeast" w:before="0" w:after="0"/>
              <w:ind w:left="778" w:right="203" w:hanging="360"/>
              <w:jc w:val="both"/>
              <w:rPr>
                <w:sz w:val="22"/>
              </w:rPr>
            </w:pPr>
            <w:r>
              <w:rPr>
                <w:sz w:val="22"/>
              </w:rPr>
              <w:t>Increasing failure to correctly deal with corporate actions were discussed as a significant</w:t>
            </w:r>
            <w:r>
              <w:rPr>
                <w:spacing w:val="32"/>
                <w:sz w:val="22"/>
              </w:rPr>
              <w:t> </w:t>
            </w:r>
            <w:r>
              <w:rPr>
                <w:sz w:val="22"/>
              </w:rPr>
              <w:t>issue.</w:t>
            </w:r>
            <w:r>
              <w:rPr>
                <w:spacing w:val="33"/>
                <w:sz w:val="22"/>
              </w:rPr>
              <w:t> </w:t>
            </w:r>
            <w:r>
              <w:rPr>
                <w:sz w:val="22"/>
              </w:rPr>
              <w:t>Lack</w:t>
            </w:r>
            <w:r>
              <w:rPr>
                <w:spacing w:val="34"/>
                <w:sz w:val="22"/>
              </w:rPr>
              <w:t> </w:t>
            </w:r>
            <w:r>
              <w:rPr>
                <w:sz w:val="22"/>
              </w:rPr>
              <w:t>of</w:t>
            </w:r>
            <w:r>
              <w:rPr>
                <w:spacing w:val="35"/>
                <w:sz w:val="22"/>
              </w:rPr>
              <w:t> </w:t>
            </w:r>
            <w:r>
              <w:rPr>
                <w:sz w:val="22"/>
              </w:rPr>
              <w:t>automation</w:t>
            </w:r>
            <w:r>
              <w:rPr>
                <w:spacing w:val="33"/>
                <w:sz w:val="22"/>
              </w:rPr>
              <w:t> </w:t>
            </w:r>
            <w:r>
              <w:rPr>
                <w:sz w:val="22"/>
              </w:rPr>
              <w:t>and</w:t>
            </w:r>
            <w:r>
              <w:rPr>
                <w:spacing w:val="32"/>
                <w:sz w:val="22"/>
              </w:rPr>
              <w:t> </w:t>
            </w:r>
            <w:r>
              <w:rPr>
                <w:sz w:val="22"/>
              </w:rPr>
              <w:t>settlement</w:t>
            </w:r>
            <w:r>
              <w:rPr>
                <w:spacing w:val="32"/>
                <w:sz w:val="22"/>
              </w:rPr>
              <w:t> </w:t>
            </w:r>
            <w:r>
              <w:rPr>
                <w:sz w:val="22"/>
              </w:rPr>
              <w:t>discipline</w:t>
            </w:r>
            <w:r>
              <w:rPr>
                <w:spacing w:val="34"/>
                <w:sz w:val="22"/>
              </w:rPr>
              <w:t> </w:t>
            </w:r>
            <w:r>
              <w:rPr>
                <w:sz w:val="22"/>
              </w:rPr>
              <w:t>were</w:t>
            </w:r>
            <w:r>
              <w:rPr>
                <w:spacing w:val="34"/>
                <w:sz w:val="22"/>
              </w:rPr>
              <w:t> </w:t>
            </w:r>
            <w:r>
              <w:rPr>
                <w:sz w:val="22"/>
              </w:rPr>
              <w:t>highlighted</w:t>
            </w:r>
            <w:r>
              <w:rPr>
                <w:spacing w:val="32"/>
                <w:sz w:val="22"/>
              </w:rPr>
              <w:t> </w:t>
            </w:r>
            <w:r>
              <w:rPr>
                <w:sz w:val="22"/>
              </w:rPr>
              <w:t>as</w:t>
            </w:r>
          </w:p>
        </w:tc>
      </w:tr>
    </w:tbl>
    <w:p>
      <w:pPr>
        <w:spacing w:after="0" w:line="380" w:lineRule="atLeast"/>
        <w:jc w:val="both"/>
        <w:rPr>
          <w:sz w:val="22"/>
        </w:rPr>
        <w:sectPr>
          <w:pgSz w:w="11910" w:h="16840"/>
          <w:pgMar w:header="571" w:footer="0" w:top="980" w:bottom="280" w:left="820" w:right="820"/>
        </w:sectPr>
      </w:pPr>
    </w:p>
    <w:p>
      <w:pPr>
        <w:pStyle w:val="BodyText"/>
        <w:rPr>
          <w:sz w:val="12"/>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9299"/>
      </w:tblGrid>
      <w:tr>
        <w:trPr>
          <w:trHeight w:val="5727" w:hRule="atLeast"/>
        </w:trPr>
        <w:tc>
          <w:tcPr>
            <w:tcW w:w="741" w:type="dxa"/>
          </w:tcPr>
          <w:p>
            <w:pPr>
              <w:pStyle w:val="TableParagraph"/>
              <w:ind w:left="0"/>
              <w:rPr>
                <w:rFonts w:ascii="Times New Roman"/>
                <w:sz w:val="22"/>
              </w:rPr>
            </w:pPr>
          </w:p>
        </w:tc>
        <w:tc>
          <w:tcPr>
            <w:tcW w:w="9299" w:type="dxa"/>
          </w:tcPr>
          <w:p>
            <w:pPr>
              <w:pStyle w:val="TableParagraph"/>
              <w:spacing w:line="360" w:lineRule="auto"/>
              <w:ind w:left="778" w:right="197"/>
              <w:jc w:val="both"/>
              <w:rPr>
                <w:sz w:val="22"/>
              </w:rPr>
            </w:pPr>
            <w:r>
              <w:rPr>
                <w:sz w:val="22"/>
              </w:rPr>
              <w:t>contributory factors. It was also noted that for voluntary events, </w:t>
            </w:r>
            <w:r>
              <w:rPr>
                <w:spacing w:val="2"/>
                <w:sz w:val="22"/>
              </w:rPr>
              <w:t>the </w:t>
            </w:r>
            <w:r>
              <w:rPr>
                <w:sz w:val="22"/>
              </w:rPr>
              <w:t>market risk could have significant RWA implications and capital charges that might not have been anticipated. There was also a growing problem with participants facing more unsecured credit risk. So there was a growing business case for investing in the infrastructure for automating features like dividend compare, notification, election management and compensation. Members agreed that more could be done within the market to mitigate this</w:t>
            </w:r>
            <w:r>
              <w:rPr>
                <w:spacing w:val="-7"/>
                <w:sz w:val="22"/>
              </w:rPr>
              <w:t> </w:t>
            </w:r>
            <w:r>
              <w:rPr>
                <w:sz w:val="22"/>
              </w:rPr>
              <w:t>issue.</w:t>
            </w:r>
          </w:p>
          <w:p>
            <w:pPr>
              <w:pStyle w:val="TableParagraph"/>
              <w:spacing w:before="5"/>
              <w:ind w:left="0"/>
              <w:rPr>
                <w:sz w:val="32"/>
              </w:rPr>
            </w:pPr>
          </w:p>
          <w:p>
            <w:pPr>
              <w:pStyle w:val="TableParagraph"/>
              <w:spacing w:line="360" w:lineRule="auto"/>
              <w:ind w:left="778" w:right="197" w:hanging="360"/>
              <w:jc w:val="both"/>
              <w:rPr>
                <w:sz w:val="22"/>
              </w:rPr>
            </w:pPr>
            <w:r>
              <w:rPr>
                <w:sz w:val="22"/>
              </w:rPr>
              <w:t>15. Other areas of discussion included: Blockchain - and how the market consideration of this new technology needed to be an evolution rather than ‘big bang’, data aggregation using financial technology, enterprise collateral management and digitisation of the collateral schedule process. On the latter, it was highlighted that Brexit and Structural Reform (ring-fencing) would have significant implications for collateral mobility and inter-company flows and was an issue that needed consideration over the next year.</w:t>
            </w:r>
          </w:p>
        </w:tc>
      </w:tr>
      <w:tr>
        <w:trPr>
          <w:trHeight w:val="2058" w:hRule="atLeast"/>
        </w:trPr>
        <w:tc>
          <w:tcPr>
            <w:tcW w:w="741" w:type="dxa"/>
          </w:tcPr>
          <w:p>
            <w:pPr>
              <w:pStyle w:val="TableParagraph"/>
              <w:spacing w:before="159"/>
              <w:rPr>
                <w:b/>
                <w:sz w:val="22"/>
              </w:rPr>
            </w:pPr>
            <w:r>
              <w:rPr>
                <w:b/>
                <w:w w:val="100"/>
                <w:sz w:val="22"/>
              </w:rPr>
              <w:t>4</w:t>
            </w:r>
          </w:p>
        </w:tc>
        <w:tc>
          <w:tcPr>
            <w:tcW w:w="9299" w:type="dxa"/>
          </w:tcPr>
          <w:p>
            <w:pPr>
              <w:pStyle w:val="TableParagraph"/>
              <w:spacing w:before="159"/>
              <w:ind w:left="418"/>
              <w:rPr>
                <w:b/>
                <w:sz w:val="22"/>
              </w:rPr>
            </w:pPr>
            <w:r>
              <w:rPr>
                <w:b/>
                <w:sz w:val="22"/>
              </w:rPr>
              <w:t>Committee Discussion</w:t>
            </w:r>
          </w:p>
          <w:p>
            <w:pPr>
              <w:pStyle w:val="TableParagraph"/>
              <w:ind w:left="0"/>
              <w:rPr>
                <w:sz w:val="22"/>
              </w:rPr>
            </w:pPr>
          </w:p>
          <w:p>
            <w:pPr>
              <w:pStyle w:val="TableParagraph"/>
              <w:spacing w:line="360" w:lineRule="auto" w:before="1"/>
              <w:ind w:left="778" w:right="199" w:hanging="360"/>
              <w:jc w:val="both"/>
              <w:rPr>
                <w:sz w:val="22"/>
              </w:rPr>
            </w:pPr>
            <w:r>
              <w:rPr>
                <w:sz w:val="22"/>
              </w:rPr>
              <w:t>16. Members identified transparency and CCP clearing as areas that needed further consideration and discussion. The Committee also welcomed this type of meeting format which involved specialist market participants, and encouraged the Bank to</w:t>
            </w:r>
          </w:p>
          <w:p>
            <w:pPr>
              <w:pStyle w:val="TableParagraph"/>
              <w:spacing w:line="233" w:lineRule="exact" w:before="1"/>
              <w:ind w:left="778"/>
              <w:jc w:val="both"/>
              <w:rPr>
                <w:sz w:val="22"/>
              </w:rPr>
            </w:pPr>
            <w:r>
              <w:rPr>
                <w:sz w:val="22"/>
              </w:rPr>
              <w:t>consider arranging more sessions in the future.</w:t>
            </w:r>
          </w:p>
        </w:tc>
      </w:tr>
    </w:tbl>
    <w:sectPr>
      <w:pgSz w:w="11910" w:h="16840"/>
      <w:pgMar w:header="571" w:footer="0" w:top="980" w:bottom="2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8.880005pt;margin-top:27.543459pt;width:11.55pt;height:13.15pt;mso-position-horizontal-relative:page;mso-position-vertical-relative:page;z-index:-252018688" type="#_x0000_t202" filled="false" stroked="false">
          <v:textbox inset="0,0,0,0">
            <w:txbxContent>
              <w:p>
                <w:pPr>
                  <w:spacing w:before="12"/>
                  <w:ind w:left="60" w:right="0" w:firstLine="0"/>
                  <w:jc w:val="left"/>
                  <w:rPr>
                    <w:sz w:val="20"/>
                  </w:rPr>
                </w:pPr>
                <w:r>
                  <w:rPr/>
                  <w:fldChar w:fldCharType="begin"/>
                </w:r>
                <w:r>
                  <w:rPr>
                    <w:w w:val="99"/>
                    <w:sz w:val="2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2"/>
      <w:numFmt w:val="decimal"/>
      <w:lvlText w:val="%1."/>
      <w:lvlJc w:val="left"/>
      <w:pPr>
        <w:ind w:left="778" w:hanging="360"/>
        <w:jc w:val="left"/>
      </w:pPr>
      <w:rPr>
        <w:rFonts w:hint="default" w:ascii="Arial" w:hAnsi="Arial" w:eastAsia="Arial" w:cs="Arial"/>
        <w:spacing w:val="-1"/>
        <w:w w:val="100"/>
        <w:sz w:val="22"/>
        <w:szCs w:val="22"/>
        <w:lang w:val="en-gb" w:eastAsia="en-gb" w:bidi="en-gb"/>
      </w:rPr>
    </w:lvl>
    <w:lvl w:ilvl="1">
      <w:start w:val="0"/>
      <w:numFmt w:val="bullet"/>
      <w:lvlText w:val="•"/>
      <w:lvlJc w:val="left"/>
      <w:pPr>
        <w:ind w:left="1632" w:hanging="360"/>
      </w:pPr>
      <w:rPr>
        <w:rFonts w:hint="default"/>
        <w:lang w:val="en-gb" w:eastAsia="en-gb" w:bidi="en-gb"/>
      </w:rPr>
    </w:lvl>
    <w:lvl w:ilvl="2">
      <w:start w:val="0"/>
      <w:numFmt w:val="bullet"/>
      <w:lvlText w:val="•"/>
      <w:lvlJc w:val="left"/>
      <w:pPr>
        <w:ind w:left="2484" w:hanging="360"/>
      </w:pPr>
      <w:rPr>
        <w:rFonts w:hint="default"/>
        <w:lang w:val="en-gb" w:eastAsia="en-gb" w:bidi="en-gb"/>
      </w:rPr>
    </w:lvl>
    <w:lvl w:ilvl="3">
      <w:start w:val="0"/>
      <w:numFmt w:val="bullet"/>
      <w:lvlText w:val="•"/>
      <w:lvlJc w:val="left"/>
      <w:pPr>
        <w:ind w:left="3336" w:hanging="360"/>
      </w:pPr>
      <w:rPr>
        <w:rFonts w:hint="default"/>
        <w:lang w:val="en-gb" w:eastAsia="en-gb" w:bidi="en-gb"/>
      </w:rPr>
    </w:lvl>
    <w:lvl w:ilvl="4">
      <w:start w:val="0"/>
      <w:numFmt w:val="bullet"/>
      <w:lvlText w:val="•"/>
      <w:lvlJc w:val="left"/>
      <w:pPr>
        <w:ind w:left="4188" w:hanging="360"/>
      </w:pPr>
      <w:rPr>
        <w:rFonts w:hint="default"/>
        <w:lang w:val="en-gb" w:eastAsia="en-gb" w:bidi="en-gb"/>
      </w:rPr>
    </w:lvl>
    <w:lvl w:ilvl="5">
      <w:start w:val="0"/>
      <w:numFmt w:val="bullet"/>
      <w:lvlText w:val="•"/>
      <w:lvlJc w:val="left"/>
      <w:pPr>
        <w:ind w:left="5041" w:hanging="360"/>
      </w:pPr>
      <w:rPr>
        <w:rFonts w:hint="default"/>
        <w:lang w:val="en-gb" w:eastAsia="en-gb" w:bidi="en-gb"/>
      </w:rPr>
    </w:lvl>
    <w:lvl w:ilvl="6">
      <w:start w:val="0"/>
      <w:numFmt w:val="bullet"/>
      <w:lvlText w:val="•"/>
      <w:lvlJc w:val="left"/>
      <w:pPr>
        <w:ind w:left="5893" w:hanging="360"/>
      </w:pPr>
      <w:rPr>
        <w:rFonts w:hint="default"/>
        <w:lang w:val="en-gb" w:eastAsia="en-gb" w:bidi="en-gb"/>
      </w:rPr>
    </w:lvl>
    <w:lvl w:ilvl="7">
      <w:start w:val="0"/>
      <w:numFmt w:val="bullet"/>
      <w:lvlText w:val="•"/>
      <w:lvlJc w:val="left"/>
      <w:pPr>
        <w:ind w:left="6745" w:hanging="360"/>
      </w:pPr>
      <w:rPr>
        <w:rFonts w:hint="default"/>
        <w:lang w:val="en-gb" w:eastAsia="en-gb" w:bidi="en-gb"/>
      </w:rPr>
    </w:lvl>
    <w:lvl w:ilvl="8">
      <w:start w:val="0"/>
      <w:numFmt w:val="bullet"/>
      <w:lvlText w:val="•"/>
      <w:lvlJc w:val="left"/>
      <w:pPr>
        <w:ind w:left="7597" w:hanging="360"/>
      </w:pPr>
      <w:rPr>
        <w:rFonts w:hint="default"/>
        <w:lang w:val="en-gb" w:eastAsia="en-gb" w:bidi="en-gb"/>
      </w:rPr>
    </w:lvl>
  </w:abstractNum>
  <w:abstractNum w:abstractNumId="3">
    <w:multiLevelType w:val="hybridMultilevel"/>
    <w:lvl w:ilvl="0">
      <w:start w:val="10"/>
      <w:numFmt w:val="decimal"/>
      <w:lvlText w:val="%1."/>
      <w:lvlJc w:val="left"/>
      <w:pPr>
        <w:ind w:left="778" w:hanging="360"/>
        <w:jc w:val="left"/>
      </w:pPr>
      <w:rPr>
        <w:rFonts w:hint="default" w:ascii="Arial" w:hAnsi="Arial" w:eastAsia="Arial" w:cs="Arial"/>
        <w:spacing w:val="-1"/>
        <w:w w:val="100"/>
        <w:sz w:val="22"/>
        <w:szCs w:val="22"/>
        <w:lang w:val="en-gb" w:eastAsia="en-gb" w:bidi="en-gb"/>
      </w:rPr>
    </w:lvl>
    <w:lvl w:ilvl="1">
      <w:start w:val="0"/>
      <w:numFmt w:val="bullet"/>
      <w:lvlText w:val="•"/>
      <w:lvlJc w:val="left"/>
      <w:pPr>
        <w:ind w:left="1632" w:hanging="360"/>
      </w:pPr>
      <w:rPr>
        <w:rFonts w:hint="default"/>
        <w:lang w:val="en-gb" w:eastAsia="en-gb" w:bidi="en-gb"/>
      </w:rPr>
    </w:lvl>
    <w:lvl w:ilvl="2">
      <w:start w:val="0"/>
      <w:numFmt w:val="bullet"/>
      <w:lvlText w:val="•"/>
      <w:lvlJc w:val="left"/>
      <w:pPr>
        <w:ind w:left="2484" w:hanging="360"/>
      </w:pPr>
      <w:rPr>
        <w:rFonts w:hint="default"/>
        <w:lang w:val="en-gb" w:eastAsia="en-gb" w:bidi="en-gb"/>
      </w:rPr>
    </w:lvl>
    <w:lvl w:ilvl="3">
      <w:start w:val="0"/>
      <w:numFmt w:val="bullet"/>
      <w:lvlText w:val="•"/>
      <w:lvlJc w:val="left"/>
      <w:pPr>
        <w:ind w:left="3336" w:hanging="360"/>
      </w:pPr>
      <w:rPr>
        <w:rFonts w:hint="default"/>
        <w:lang w:val="en-gb" w:eastAsia="en-gb" w:bidi="en-gb"/>
      </w:rPr>
    </w:lvl>
    <w:lvl w:ilvl="4">
      <w:start w:val="0"/>
      <w:numFmt w:val="bullet"/>
      <w:lvlText w:val="•"/>
      <w:lvlJc w:val="left"/>
      <w:pPr>
        <w:ind w:left="4188" w:hanging="360"/>
      </w:pPr>
      <w:rPr>
        <w:rFonts w:hint="default"/>
        <w:lang w:val="en-gb" w:eastAsia="en-gb" w:bidi="en-gb"/>
      </w:rPr>
    </w:lvl>
    <w:lvl w:ilvl="5">
      <w:start w:val="0"/>
      <w:numFmt w:val="bullet"/>
      <w:lvlText w:val="•"/>
      <w:lvlJc w:val="left"/>
      <w:pPr>
        <w:ind w:left="5041" w:hanging="360"/>
      </w:pPr>
      <w:rPr>
        <w:rFonts w:hint="default"/>
        <w:lang w:val="en-gb" w:eastAsia="en-gb" w:bidi="en-gb"/>
      </w:rPr>
    </w:lvl>
    <w:lvl w:ilvl="6">
      <w:start w:val="0"/>
      <w:numFmt w:val="bullet"/>
      <w:lvlText w:val="•"/>
      <w:lvlJc w:val="left"/>
      <w:pPr>
        <w:ind w:left="5893" w:hanging="360"/>
      </w:pPr>
      <w:rPr>
        <w:rFonts w:hint="default"/>
        <w:lang w:val="en-gb" w:eastAsia="en-gb" w:bidi="en-gb"/>
      </w:rPr>
    </w:lvl>
    <w:lvl w:ilvl="7">
      <w:start w:val="0"/>
      <w:numFmt w:val="bullet"/>
      <w:lvlText w:val="•"/>
      <w:lvlJc w:val="left"/>
      <w:pPr>
        <w:ind w:left="6745" w:hanging="360"/>
      </w:pPr>
      <w:rPr>
        <w:rFonts w:hint="default"/>
        <w:lang w:val="en-gb" w:eastAsia="en-gb" w:bidi="en-gb"/>
      </w:rPr>
    </w:lvl>
    <w:lvl w:ilvl="8">
      <w:start w:val="0"/>
      <w:numFmt w:val="bullet"/>
      <w:lvlText w:val="•"/>
      <w:lvlJc w:val="left"/>
      <w:pPr>
        <w:ind w:left="7597" w:hanging="360"/>
      </w:pPr>
      <w:rPr>
        <w:rFonts w:hint="default"/>
        <w:lang w:val="en-gb" w:eastAsia="en-gb" w:bidi="en-gb"/>
      </w:rPr>
    </w:lvl>
  </w:abstractNum>
  <w:abstractNum w:abstractNumId="2">
    <w:multiLevelType w:val="hybridMultilevel"/>
    <w:lvl w:ilvl="0">
      <w:start w:val="7"/>
      <w:numFmt w:val="decimal"/>
      <w:lvlText w:val="%1."/>
      <w:lvlJc w:val="left"/>
      <w:pPr>
        <w:ind w:left="778" w:hanging="360"/>
        <w:jc w:val="left"/>
      </w:pPr>
      <w:rPr>
        <w:rFonts w:hint="default" w:ascii="Arial" w:hAnsi="Arial" w:eastAsia="Arial" w:cs="Arial"/>
        <w:spacing w:val="-1"/>
        <w:w w:val="100"/>
        <w:sz w:val="22"/>
        <w:szCs w:val="22"/>
        <w:lang w:val="en-gb" w:eastAsia="en-gb" w:bidi="en-gb"/>
      </w:rPr>
    </w:lvl>
    <w:lvl w:ilvl="1">
      <w:start w:val="0"/>
      <w:numFmt w:val="bullet"/>
      <w:lvlText w:val="•"/>
      <w:lvlJc w:val="left"/>
      <w:pPr>
        <w:ind w:left="1632" w:hanging="360"/>
      </w:pPr>
      <w:rPr>
        <w:rFonts w:hint="default"/>
        <w:lang w:val="en-gb" w:eastAsia="en-gb" w:bidi="en-gb"/>
      </w:rPr>
    </w:lvl>
    <w:lvl w:ilvl="2">
      <w:start w:val="0"/>
      <w:numFmt w:val="bullet"/>
      <w:lvlText w:val="•"/>
      <w:lvlJc w:val="left"/>
      <w:pPr>
        <w:ind w:left="2484" w:hanging="360"/>
      </w:pPr>
      <w:rPr>
        <w:rFonts w:hint="default"/>
        <w:lang w:val="en-gb" w:eastAsia="en-gb" w:bidi="en-gb"/>
      </w:rPr>
    </w:lvl>
    <w:lvl w:ilvl="3">
      <w:start w:val="0"/>
      <w:numFmt w:val="bullet"/>
      <w:lvlText w:val="•"/>
      <w:lvlJc w:val="left"/>
      <w:pPr>
        <w:ind w:left="3336" w:hanging="360"/>
      </w:pPr>
      <w:rPr>
        <w:rFonts w:hint="default"/>
        <w:lang w:val="en-gb" w:eastAsia="en-gb" w:bidi="en-gb"/>
      </w:rPr>
    </w:lvl>
    <w:lvl w:ilvl="4">
      <w:start w:val="0"/>
      <w:numFmt w:val="bullet"/>
      <w:lvlText w:val="•"/>
      <w:lvlJc w:val="left"/>
      <w:pPr>
        <w:ind w:left="4188" w:hanging="360"/>
      </w:pPr>
      <w:rPr>
        <w:rFonts w:hint="default"/>
        <w:lang w:val="en-gb" w:eastAsia="en-gb" w:bidi="en-gb"/>
      </w:rPr>
    </w:lvl>
    <w:lvl w:ilvl="5">
      <w:start w:val="0"/>
      <w:numFmt w:val="bullet"/>
      <w:lvlText w:val="•"/>
      <w:lvlJc w:val="left"/>
      <w:pPr>
        <w:ind w:left="5040" w:hanging="360"/>
      </w:pPr>
      <w:rPr>
        <w:rFonts w:hint="default"/>
        <w:lang w:val="en-gb" w:eastAsia="en-gb" w:bidi="en-gb"/>
      </w:rPr>
    </w:lvl>
    <w:lvl w:ilvl="6">
      <w:start w:val="0"/>
      <w:numFmt w:val="bullet"/>
      <w:lvlText w:val="•"/>
      <w:lvlJc w:val="left"/>
      <w:pPr>
        <w:ind w:left="5892" w:hanging="360"/>
      </w:pPr>
      <w:rPr>
        <w:rFonts w:hint="default"/>
        <w:lang w:val="en-gb" w:eastAsia="en-gb" w:bidi="en-gb"/>
      </w:rPr>
    </w:lvl>
    <w:lvl w:ilvl="7">
      <w:start w:val="0"/>
      <w:numFmt w:val="bullet"/>
      <w:lvlText w:val="•"/>
      <w:lvlJc w:val="left"/>
      <w:pPr>
        <w:ind w:left="6744" w:hanging="360"/>
      </w:pPr>
      <w:rPr>
        <w:rFonts w:hint="default"/>
        <w:lang w:val="en-gb" w:eastAsia="en-gb" w:bidi="en-gb"/>
      </w:rPr>
    </w:lvl>
    <w:lvl w:ilvl="8">
      <w:start w:val="0"/>
      <w:numFmt w:val="bullet"/>
      <w:lvlText w:val="•"/>
      <w:lvlJc w:val="left"/>
      <w:pPr>
        <w:ind w:left="7596" w:hanging="360"/>
      </w:pPr>
      <w:rPr>
        <w:rFonts w:hint="default"/>
        <w:lang w:val="en-gb" w:eastAsia="en-gb" w:bidi="en-gb"/>
      </w:rPr>
    </w:lvl>
  </w:abstractNum>
  <w:abstractNum w:abstractNumId="1">
    <w:multiLevelType w:val="hybridMultilevel"/>
    <w:lvl w:ilvl="0">
      <w:start w:val="4"/>
      <w:numFmt w:val="decimal"/>
      <w:lvlText w:val="%1."/>
      <w:lvlJc w:val="left"/>
      <w:pPr>
        <w:ind w:left="778" w:hanging="360"/>
        <w:jc w:val="left"/>
      </w:pPr>
      <w:rPr>
        <w:rFonts w:hint="default" w:ascii="Arial" w:hAnsi="Arial" w:eastAsia="Arial" w:cs="Arial"/>
        <w:spacing w:val="-1"/>
        <w:w w:val="100"/>
        <w:sz w:val="22"/>
        <w:szCs w:val="22"/>
        <w:lang w:val="en-gb" w:eastAsia="en-gb" w:bidi="en-gb"/>
      </w:rPr>
    </w:lvl>
    <w:lvl w:ilvl="1">
      <w:start w:val="0"/>
      <w:numFmt w:val="bullet"/>
      <w:lvlText w:val="•"/>
      <w:lvlJc w:val="left"/>
      <w:pPr>
        <w:ind w:left="1632" w:hanging="360"/>
      </w:pPr>
      <w:rPr>
        <w:rFonts w:hint="default"/>
        <w:lang w:val="en-gb" w:eastAsia="en-gb" w:bidi="en-gb"/>
      </w:rPr>
    </w:lvl>
    <w:lvl w:ilvl="2">
      <w:start w:val="0"/>
      <w:numFmt w:val="bullet"/>
      <w:lvlText w:val="•"/>
      <w:lvlJc w:val="left"/>
      <w:pPr>
        <w:ind w:left="2484" w:hanging="360"/>
      </w:pPr>
      <w:rPr>
        <w:rFonts w:hint="default"/>
        <w:lang w:val="en-gb" w:eastAsia="en-gb" w:bidi="en-gb"/>
      </w:rPr>
    </w:lvl>
    <w:lvl w:ilvl="3">
      <w:start w:val="0"/>
      <w:numFmt w:val="bullet"/>
      <w:lvlText w:val="•"/>
      <w:lvlJc w:val="left"/>
      <w:pPr>
        <w:ind w:left="3336" w:hanging="360"/>
      </w:pPr>
      <w:rPr>
        <w:rFonts w:hint="default"/>
        <w:lang w:val="en-gb" w:eastAsia="en-gb" w:bidi="en-gb"/>
      </w:rPr>
    </w:lvl>
    <w:lvl w:ilvl="4">
      <w:start w:val="0"/>
      <w:numFmt w:val="bullet"/>
      <w:lvlText w:val="•"/>
      <w:lvlJc w:val="left"/>
      <w:pPr>
        <w:ind w:left="4188" w:hanging="360"/>
      </w:pPr>
      <w:rPr>
        <w:rFonts w:hint="default"/>
        <w:lang w:val="en-gb" w:eastAsia="en-gb" w:bidi="en-gb"/>
      </w:rPr>
    </w:lvl>
    <w:lvl w:ilvl="5">
      <w:start w:val="0"/>
      <w:numFmt w:val="bullet"/>
      <w:lvlText w:val="•"/>
      <w:lvlJc w:val="left"/>
      <w:pPr>
        <w:ind w:left="5040" w:hanging="360"/>
      </w:pPr>
      <w:rPr>
        <w:rFonts w:hint="default"/>
        <w:lang w:val="en-gb" w:eastAsia="en-gb" w:bidi="en-gb"/>
      </w:rPr>
    </w:lvl>
    <w:lvl w:ilvl="6">
      <w:start w:val="0"/>
      <w:numFmt w:val="bullet"/>
      <w:lvlText w:val="•"/>
      <w:lvlJc w:val="left"/>
      <w:pPr>
        <w:ind w:left="5892" w:hanging="360"/>
      </w:pPr>
      <w:rPr>
        <w:rFonts w:hint="default"/>
        <w:lang w:val="en-gb" w:eastAsia="en-gb" w:bidi="en-gb"/>
      </w:rPr>
    </w:lvl>
    <w:lvl w:ilvl="7">
      <w:start w:val="0"/>
      <w:numFmt w:val="bullet"/>
      <w:lvlText w:val="•"/>
      <w:lvlJc w:val="left"/>
      <w:pPr>
        <w:ind w:left="6744" w:hanging="360"/>
      </w:pPr>
      <w:rPr>
        <w:rFonts w:hint="default"/>
        <w:lang w:val="en-gb" w:eastAsia="en-gb" w:bidi="en-gb"/>
      </w:rPr>
    </w:lvl>
    <w:lvl w:ilvl="8">
      <w:start w:val="0"/>
      <w:numFmt w:val="bullet"/>
      <w:lvlText w:val="•"/>
      <w:lvlJc w:val="left"/>
      <w:pPr>
        <w:ind w:left="7596" w:hanging="360"/>
      </w:pPr>
      <w:rPr>
        <w:rFonts w:hint="default"/>
        <w:lang w:val="en-gb" w:eastAsia="en-gb" w:bidi="en-gb"/>
      </w:rPr>
    </w:lvl>
  </w:abstractNum>
  <w:abstractNum w:abstractNumId="0">
    <w:multiLevelType w:val="hybridMultilevel"/>
    <w:lvl w:ilvl="0">
      <w:start w:val="1"/>
      <w:numFmt w:val="decimal"/>
      <w:lvlText w:val="%1."/>
      <w:lvlJc w:val="left"/>
      <w:pPr>
        <w:ind w:left="778" w:hanging="360"/>
        <w:jc w:val="left"/>
      </w:pPr>
      <w:rPr>
        <w:rFonts w:hint="default" w:ascii="Arial" w:hAnsi="Arial" w:eastAsia="Arial" w:cs="Arial"/>
        <w:spacing w:val="-1"/>
        <w:w w:val="100"/>
        <w:sz w:val="22"/>
        <w:szCs w:val="22"/>
        <w:lang w:val="en-gb" w:eastAsia="en-gb" w:bidi="en-gb"/>
      </w:rPr>
    </w:lvl>
    <w:lvl w:ilvl="1">
      <w:start w:val="0"/>
      <w:numFmt w:val="bullet"/>
      <w:lvlText w:val="•"/>
      <w:lvlJc w:val="left"/>
      <w:pPr>
        <w:ind w:left="1632" w:hanging="360"/>
      </w:pPr>
      <w:rPr>
        <w:rFonts w:hint="default"/>
        <w:lang w:val="en-gb" w:eastAsia="en-gb" w:bidi="en-gb"/>
      </w:rPr>
    </w:lvl>
    <w:lvl w:ilvl="2">
      <w:start w:val="0"/>
      <w:numFmt w:val="bullet"/>
      <w:lvlText w:val="•"/>
      <w:lvlJc w:val="left"/>
      <w:pPr>
        <w:ind w:left="2484" w:hanging="360"/>
      </w:pPr>
      <w:rPr>
        <w:rFonts w:hint="default"/>
        <w:lang w:val="en-gb" w:eastAsia="en-gb" w:bidi="en-gb"/>
      </w:rPr>
    </w:lvl>
    <w:lvl w:ilvl="3">
      <w:start w:val="0"/>
      <w:numFmt w:val="bullet"/>
      <w:lvlText w:val="•"/>
      <w:lvlJc w:val="left"/>
      <w:pPr>
        <w:ind w:left="3336" w:hanging="360"/>
      </w:pPr>
      <w:rPr>
        <w:rFonts w:hint="default"/>
        <w:lang w:val="en-gb" w:eastAsia="en-gb" w:bidi="en-gb"/>
      </w:rPr>
    </w:lvl>
    <w:lvl w:ilvl="4">
      <w:start w:val="0"/>
      <w:numFmt w:val="bullet"/>
      <w:lvlText w:val="•"/>
      <w:lvlJc w:val="left"/>
      <w:pPr>
        <w:ind w:left="4188" w:hanging="360"/>
      </w:pPr>
      <w:rPr>
        <w:rFonts w:hint="default"/>
        <w:lang w:val="en-gb" w:eastAsia="en-gb" w:bidi="en-gb"/>
      </w:rPr>
    </w:lvl>
    <w:lvl w:ilvl="5">
      <w:start w:val="0"/>
      <w:numFmt w:val="bullet"/>
      <w:lvlText w:val="•"/>
      <w:lvlJc w:val="left"/>
      <w:pPr>
        <w:ind w:left="5040" w:hanging="360"/>
      </w:pPr>
      <w:rPr>
        <w:rFonts w:hint="default"/>
        <w:lang w:val="en-gb" w:eastAsia="en-gb" w:bidi="en-gb"/>
      </w:rPr>
    </w:lvl>
    <w:lvl w:ilvl="6">
      <w:start w:val="0"/>
      <w:numFmt w:val="bullet"/>
      <w:lvlText w:val="•"/>
      <w:lvlJc w:val="left"/>
      <w:pPr>
        <w:ind w:left="5892" w:hanging="360"/>
      </w:pPr>
      <w:rPr>
        <w:rFonts w:hint="default"/>
        <w:lang w:val="en-gb" w:eastAsia="en-gb" w:bidi="en-gb"/>
      </w:rPr>
    </w:lvl>
    <w:lvl w:ilvl="7">
      <w:start w:val="0"/>
      <w:numFmt w:val="bullet"/>
      <w:lvlText w:val="•"/>
      <w:lvlJc w:val="left"/>
      <w:pPr>
        <w:ind w:left="6744" w:hanging="360"/>
      </w:pPr>
      <w:rPr>
        <w:rFonts w:hint="default"/>
        <w:lang w:val="en-gb" w:eastAsia="en-gb" w:bidi="en-gb"/>
      </w:rPr>
    </w:lvl>
    <w:lvl w:ilvl="8">
      <w:start w:val="0"/>
      <w:numFmt w:val="bullet"/>
      <w:lvlText w:val="•"/>
      <w:lvlJc w:val="left"/>
      <w:pPr>
        <w:ind w:left="7596" w:hanging="360"/>
      </w:pPr>
      <w:rPr>
        <w:rFonts w:hint="default"/>
        <w:lang w:val="en-gb" w:eastAsia="en-gb" w:bidi="en-gb"/>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2"/>
      <w:szCs w:val="22"/>
      <w:lang w:val="en-gb" w:eastAsia="en-gb" w:bidi="en-gb"/>
    </w:rPr>
  </w:style>
  <w:style w:styleId="Heading1" w:type="paragraph">
    <w:name w:val="Heading 1"/>
    <w:basedOn w:val="Normal"/>
    <w:uiPriority w:val="1"/>
    <w:qFormat/>
    <w:pPr>
      <w:ind w:left="1448"/>
      <w:outlineLvl w:val="1"/>
    </w:pPr>
    <w:rPr>
      <w:rFonts w:ascii="Arial" w:hAnsi="Arial" w:eastAsia="Arial" w:cs="Arial"/>
      <w:b/>
      <w:bCs/>
      <w:sz w:val="22"/>
      <w:szCs w:val="22"/>
      <w:u w:val="single" w:color="00000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header" Target="header1.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SLC Minutes</dc:subject>
  <dc:title>SLC Minutes</dc:title>
  <dcterms:created xsi:type="dcterms:W3CDTF">2020-06-01T02:19:55Z</dcterms:created>
  <dcterms:modified xsi:type="dcterms:W3CDTF">2020-06-01T02:19:55Z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2017-12-14T00:00:00Z</vt:filetime>
  </property>
  <property fmtid="{D5CDD505-2E9C-101B-9397-08002B2CF9AE}" pid="3" name="LastSaved">
    <vt:filetime>2020-06-01T00:00:00Z</vt:filetime>
  </property>
</Properties>
</file>