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1804408" cy="35594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804408" cy="355949"/>
                    </a:xfrm>
                    <a:prstGeom prst="rect">
                      <a:avLst/>
                    </a:prstGeom>
                  </pic:spPr>
                </pic:pic>
              </a:graphicData>
            </a:graphic>
          </wp:inline>
        </w:drawing>
      </w:r>
      <w:r>
        <w:rPr>
          <w:rFonts w:ascii="Times New Roman"/>
          <w:sz w:val="20"/>
        </w:rPr>
      </w:r>
    </w:p>
    <w:p>
      <w:pPr>
        <w:pStyle w:val="BodyText"/>
        <w:spacing w:before="6"/>
        <w:ind w:left="0"/>
        <w:rPr>
          <w:rFonts w:ascii="Times New Roman"/>
          <w:sz w:val="9"/>
        </w:rPr>
      </w:pPr>
    </w:p>
    <w:p>
      <w:pPr>
        <w:pStyle w:val="Heading1"/>
        <w:spacing w:before="94"/>
        <w:ind w:left="200"/>
      </w:pPr>
      <w:r>
        <w:rPr/>
        <w:t>Minutes</w:t>
      </w:r>
    </w:p>
    <w:p>
      <w:pPr>
        <w:spacing w:before="200"/>
        <w:ind w:left="200" w:right="0" w:firstLine="0"/>
        <w:jc w:val="left"/>
        <w:rPr>
          <w:b/>
          <w:sz w:val="22"/>
        </w:rPr>
      </w:pPr>
      <w:r>
        <w:rPr>
          <w:b/>
          <w:sz w:val="22"/>
        </w:rPr>
        <w:t>Securities Lending Committee</w:t>
      </w:r>
    </w:p>
    <w:p>
      <w:pPr>
        <w:pStyle w:val="BodyText"/>
        <w:spacing w:before="203"/>
        <w:ind w:left="200"/>
      </w:pPr>
      <w:r>
        <w:rPr/>
        <w:t>27 September 2019</w:t>
      </w:r>
    </w:p>
    <w:p>
      <w:pPr>
        <w:pStyle w:val="BodyText"/>
        <w:spacing w:before="201"/>
        <w:ind w:left="200"/>
      </w:pPr>
      <w:r>
        <w:rPr/>
        <w:t>Location: 20 Moorgate, EC2R 6DA</w:t>
      </w:r>
    </w:p>
    <w:p>
      <w:pPr>
        <w:pStyle w:val="BodyText"/>
        <w:ind w:left="0"/>
        <w:rPr>
          <w:sz w:val="24"/>
        </w:rPr>
      </w:pPr>
    </w:p>
    <w:p>
      <w:pPr>
        <w:pStyle w:val="BodyText"/>
        <w:spacing w:before="5"/>
        <w:ind w:left="0"/>
        <w:rPr>
          <w:sz w:val="32"/>
        </w:rPr>
      </w:pPr>
    </w:p>
    <w:p>
      <w:pPr>
        <w:pStyle w:val="Heading1"/>
        <w:ind w:left="200"/>
      </w:pPr>
      <w:r>
        <w:rPr/>
        <w:t>Attendees:</w:t>
      </w:r>
    </w:p>
    <w:p>
      <w:pPr>
        <w:pStyle w:val="BodyText"/>
        <w:spacing w:after="1"/>
        <w:ind w:left="0"/>
        <w:rPr>
          <w:b/>
          <w:sz w:val="1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3914"/>
      </w:tblGrid>
      <w:tr>
        <w:trPr>
          <w:trHeight w:val="369" w:hRule="atLeast"/>
        </w:trPr>
        <w:tc>
          <w:tcPr>
            <w:tcW w:w="2609" w:type="dxa"/>
          </w:tcPr>
          <w:p>
            <w:pPr>
              <w:pStyle w:val="TableParagraph"/>
              <w:spacing w:line="247" w:lineRule="exact" w:before="0"/>
              <w:rPr>
                <w:b/>
                <w:sz w:val="22"/>
              </w:rPr>
            </w:pPr>
            <w:r>
              <w:rPr>
                <w:b/>
                <w:sz w:val="22"/>
              </w:rPr>
              <w:t>State Street</w:t>
            </w:r>
          </w:p>
        </w:tc>
        <w:tc>
          <w:tcPr>
            <w:tcW w:w="3914" w:type="dxa"/>
          </w:tcPr>
          <w:p>
            <w:pPr>
              <w:pStyle w:val="TableParagraph"/>
              <w:spacing w:line="249" w:lineRule="exact" w:before="0"/>
              <w:ind w:left="670"/>
              <w:rPr>
                <w:sz w:val="22"/>
              </w:rPr>
            </w:pPr>
            <w:r>
              <w:rPr>
                <w:sz w:val="22"/>
              </w:rPr>
              <w:t>Alex Lawton</w:t>
            </w:r>
          </w:p>
        </w:tc>
      </w:tr>
      <w:tr>
        <w:trPr>
          <w:trHeight w:val="491" w:hRule="atLeast"/>
        </w:trPr>
        <w:tc>
          <w:tcPr>
            <w:tcW w:w="2609" w:type="dxa"/>
          </w:tcPr>
          <w:p>
            <w:pPr>
              <w:pStyle w:val="TableParagraph"/>
              <w:spacing w:before="114"/>
              <w:rPr>
                <w:b/>
                <w:sz w:val="22"/>
              </w:rPr>
            </w:pPr>
            <w:r>
              <w:rPr>
                <w:b/>
                <w:sz w:val="22"/>
              </w:rPr>
              <w:t>Citi</w:t>
            </w:r>
          </w:p>
        </w:tc>
        <w:tc>
          <w:tcPr>
            <w:tcW w:w="3914" w:type="dxa"/>
          </w:tcPr>
          <w:p>
            <w:pPr>
              <w:pStyle w:val="TableParagraph"/>
              <w:spacing w:before="116"/>
              <w:ind w:left="670"/>
              <w:rPr>
                <w:sz w:val="22"/>
              </w:rPr>
            </w:pPr>
            <w:r>
              <w:rPr>
                <w:sz w:val="22"/>
              </w:rPr>
              <w:t>Andy Krangel</w:t>
            </w:r>
          </w:p>
        </w:tc>
      </w:tr>
      <w:tr>
        <w:trPr>
          <w:trHeight w:val="492" w:hRule="atLeast"/>
        </w:trPr>
        <w:tc>
          <w:tcPr>
            <w:tcW w:w="2609" w:type="dxa"/>
          </w:tcPr>
          <w:p>
            <w:pPr>
              <w:pStyle w:val="TableParagraph"/>
              <w:rPr>
                <w:b/>
                <w:sz w:val="22"/>
              </w:rPr>
            </w:pPr>
            <w:r>
              <w:rPr>
                <w:b/>
                <w:sz w:val="22"/>
              </w:rPr>
              <w:t>ERCC / ICMA</w:t>
            </w:r>
          </w:p>
        </w:tc>
        <w:tc>
          <w:tcPr>
            <w:tcW w:w="3914" w:type="dxa"/>
          </w:tcPr>
          <w:p>
            <w:pPr>
              <w:pStyle w:val="TableParagraph"/>
              <w:spacing w:before="117"/>
              <w:ind w:left="670"/>
              <w:rPr>
                <w:sz w:val="22"/>
              </w:rPr>
            </w:pPr>
            <w:r>
              <w:rPr>
                <w:sz w:val="22"/>
              </w:rPr>
              <w:t>Godfried De Vidts</w:t>
            </w:r>
          </w:p>
        </w:tc>
      </w:tr>
      <w:tr>
        <w:trPr>
          <w:trHeight w:val="490" w:hRule="atLeast"/>
        </w:trPr>
        <w:tc>
          <w:tcPr>
            <w:tcW w:w="2609" w:type="dxa"/>
          </w:tcPr>
          <w:p>
            <w:pPr>
              <w:pStyle w:val="TableParagraph"/>
              <w:rPr>
                <w:b/>
                <w:sz w:val="22"/>
              </w:rPr>
            </w:pPr>
            <w:r>
              <w:rPr>
                <w:b/>
                <w:sz w:val="22"/>
              </w:rPr>
              <w:t>Clifford Chance</w:t>
            </w:r>
          </w:p>
        </w:tc>
        <w:tc>
          <w:tcPr>
            <w:tcW w:w="3914" w:type="dxa"/>
          </w:tcPr>
          <w:p>
            <w:pPr>
              <w:pStyle w:val="TableParagraph"/>
              <w:spacing w:before="117"/>
              <w:ind w:left="670"/>
              <w:rPr>
                <w:sz w:val="22"/>
              </w:rPr>
            </w:pPr>
            <w:r>
              <w:rPr>
                <w:sz w:val="22"/>
              </w:rPr>
              <w:t>Habib Motani</w:t>
            </w:r>
          </w:p>
        </w:tc>
      </w:tr>
      <w:tr>
        <w:trPr>
          <w:trHeight w:val="490" w:hRule="atLeast"/>
        </w:trPr>
        <w:tc>
          <w:tcPr>
            <w:tcW w:w="2609" w:type="dxa"/>
          </w:tcPr>
          <w:p>
            <w:pPr>
              <w:pStyle w:val="TableParagraph"/>
              <w:spacing w:before="113"/>
              <w:rPr>
                <w:b/>
                <w:sz w:val="22"/>
              </w:rPr>
            </w:pPr>
            <w:r>
              <w:rPr>
                <w:b/>
                <w:sz w:val="22"/>
              </w:rPr>
              <w:t>Lloyds</w:t>
            </w:r>
          </w:p>
        </w:tc>
        <w:tc>
          <w:tcPr>
            <w:tcW w:w="3914" w:type="dxa"/>
          </w:tcPr>
          <w:p>
            <w:pPr>
              <w:pStyle w:val="TableParagraph"/>
              <w:spacing w:before="116"/>
              <w:ind w:left="670"/>
              <w:rPr>
                <w:sz w:val="22"/>
              </w:rPr>
            </w:pPr>
            <w:r>
              <w:rPr>
                <w:sz w:val="22"/>
              </w:rPr>
              <w:t>Jamie Smith</w:t>
            </w:r>
          </w:p>
        </w:tc>
      </w:tr>
      <w:tr>
        <w:trPr>
          <w:trHeight w:val="490" w:hRule="atLeast"/>
        </w:trPr>
        <w:tc>
          <w:tcPr>
            <w:tcW w:w="2609" w:type="dxa"/>
          </w:tcPr>
          <w:p>
            <w:pPr>
              <w:pStyle w:val="TableParagraph"/>
              <w:rPr>
                <w:b/>
                <w:sz w:val="22"/>
              </w:rPr>
            </w:pPr>
            <w:r>
              <w:rPr>
                <w:b/>
                <w:sz w:val="22"/>
              </w:rPr>
              <w:t>Goldman Sachs</w:t>
            </w:r>
          </w:p>
        </w:tc>
        <w:tc>
          <w:tcPr>
            <w:tcW w:w="3914" w:type="dxa"/>
          </w:tcPr>
          <w:p>
            <w:pPr>
              <w:pStyle w:val="TableParagraph"/>
              <w:spacing w:before="117"/>
              <w:ind w:left="670"/>
              <w:rPr>
                <w:sz w:val="22"/>
              </w:rPr>
            </w:pPr>
            <w:r>
              <w:rPr>
                <w:sz w:val="22"/>
              </w:rPr>
              <w:t>Mark Short</w:t>
            </w:r>
          </w:p>
        </w:tc>
      </w:tr>
      <w:tr>
        <w:trPr>
          <w:trHeight w:val="490" w:hRule="atLeast"/>
        </w:trPr>
        <w:tc>
          <w:tcPr>
            <w:tcW w:w="2609" w:type="dxa"/>
          </w:tcPr>
          <w:p>
            <w:pPr>
              <w:pStyle w:val="TableParagraph"/>
              <w:spacing w:before="113"/>
              <w:rPr>
                <w:b/>
                <w:sz w:val="22"/>
              </w:rPr>
            </w:pPr>
            <w:r>
              <w:rPr>
                <w:b/>
                <w:sz w:val="22"/>
              </w:rPr>
              <w:t>Goldman Sachs</w:t>
            </w:r>
          </w:p>
        </w:tc>
        <w:tc>
          <w:tcPr>
            <w:tcW w:w="3914" w:type="dxa"/>
          </w:tcPr>
          <w:p>
            <w:pPr>
              <w:pStyle w:val="TableParagraph"/>
              <w:spacing w:before="116"/>
              <w:ind w:left="670"/>
              <w:rPr>
                <w:sz w:val="22"/>
              </w:rPr>
            </w:pPr>
            <w:r>
              <w:rPr>
                <w:sz w:val="22"/>
              </w:rPr>
              <w:t>Johanne Armita</w:t>
            </w:r>
          </w:p>
        </w:tc>
      </w:tr>
      <w:tr>
        <w:trPr>
          <w:trHeight w:val="490" w:hRule="atLeast"/>
        </w:trPr>
        <w:tc>
          <w:tcPr>
            <w:tcW w:w="2609" w:type="dxa"/>
          </w:tcPr>
          <w:p>
            <w:pPr>
              <w:pStyle w:val="TableParagraph"/>
              <w:rPr>
                <w:b/>
                <w:sz w:val="22"/>
              </w:rPr>
            </w:pPr>
            <w:r>
              <w:rPr>
                <w:b/>
                <w:sz w:val="22"/>
              </w:rPr>
              <w:t>M&amp;G Prudential</w:t>
            </w:r>
          </w:p>
        </w:tc>
        <w:tc>
          <w:tcPr>
            <w:tcW w:w="3914" w:type="dxa"/>
          </w:tcPr>
          <w:p>
            <w:pPr>
              <w:pStyle w:val="TableParagraph"/>
              <w:spacing w:before="117"/>
              <w:ind w:left="670"/>
              <w:rPr>
                <w:sz w:val="22"/>
              </w:rPr>
            </w:pPr>
            <w:r>
              <w:rPr>
                <w:sz w:val="22"/>
              </w:rPr>
              <w:t>Nina Moylett</w:t>
            </w:r>
          </w:p>
        </w:tc>
      </w:tr>
      <w:tr>
        <w:trPr>
          <w:trHeight w:val="491" w:hRule="atLeast"/>
        </w:trPr>
        <w:tc>
          <w:tcPr>
            <w:tcW w:w="2609" w:type="dxa"/>
          </w:tcPr>
          <w:p>
            <w:pPr>
              <w:pStyle w:val="TableParagraph"/>
              <w:spacing w:before="113"/>
              <w:rPr>
                <w:b/>
                <w:sz w:val="22"/>
              </w:rPr>
            </w:pPr>
            <w:r>
              <w:rPr>
                <w:b/>
                <w:sz w:val="22"/>
              </w:rPr>
              <w:t>M&amp;G Prudential</w:t>
            </w:r>
          </w:p>
        </w:tc>
        <w:tc>
          <w:tcPr>
            <w:tcW w:w="3914" w:type="dxa"/>
          </w:tcPr>
          <w:p>
            <w:pPr>
              <w:pStyle w:val="TableParagraph"/>
              <w:spacing w:before="116"/>
              <w:ind w:left="670"/>
              <w:rPr>
                <w:sz w:val="22"/>
              </w:rPr>
            </w:pPr>
            <w:r>
              <w:rPr>
                <w:sz w:val="22"/>
              </w:rPr>
              <w:t>Simon Dunderdale</w:t>
            </w:r>
          </w:p>
        </w:tc>
      </w:tr>
      <w:tr>
        <w:trPr>
          <w:trHeight w:val="490" w:hRule="atLeast"/>
        </w:trPr>
        <w:tc>
          <w:tcPr>
            <w:tcW w:w="2609" w:type="dxa"/>
          </w:tcPr>
          <w:p>
            <w:pPr>
              <w:pStyle w:val="TableParagraph"/>
              <w:rPr>
                <w:b/>
                <w:sz w:val="22"/>
              </w:rPr>
            </w:pPr>
            <w:r>
              <w:rPr>
                <w:b/>
                <w:sz w:val="22"/>
              </w:rPr>
              <w:t>BNY Mellon</w:t>
            </w:r>
          </w:p>
        </w:tc>
        <w:tc>
          <w:tcPr>
            <w:tcW w:w="3914" w:type="dxa"/>
          </w:tcPr>
          <w:p>
            <w:pPr>
              <w:pStyle w:val="TableParagraph"/>
              <w:spacing w:before="117"/>
              <w:ind w:left="670"/>
              <w:rPr>
                <w:sz w:val="22"/>
              </w:rPr>
            </w:pPr>
            <w:r>
              <w:rPr>
                <w:sz w:val="22"/>
              </w:rPr>
              <w:t>Staffan Ahlner</w:t>
            </w:r>
          </w:p>
        </w:tc>
      </w:tr>
      <w:tr>
        <w:trPr>
          <w:trHeight w:val="490" w:hRule="atLeast"/>
        </w:trPr>
        <w:tc>
          <w:tcPr>
            <w:tcW w:w="2609" w:type="dxa"/>
          </w:tcPr>
          <w:p>
            <w:pPr>
              <w:pStyle w:val="TableParagraph"/>
              <w:spacing w:before="113"/>
              <w:rPr>
                <w:b/>
                <w:sz w:val="22"/>
              </w:rPr>
            </w:pPr>
            <w:r>
              <w:rPr>
                <w:b/>
                <w:sz w:val="22"/>
              </w:rPr>
              <w:t>BlackRock</w:t>
            </w:r>
          </w:p>
        </w:tc>
        <w:tc>
          <w:tcPr>
            <w:tcW w:w="3914" w:type="dxa"/>
          </w:tcPr>
          <w:p>
            <w:pPr>
              <w:pStyle w:val="TableParagraph"/>
              <w:spacing w:before="116"/>
              <w:ind w:left="670"/>
              <w:rPr>
                <w:sz w:val="22"/>
              </w:rPr>
            </w:pPr>
            <w:r>
              <w:rPr>
                <w:sz w:val="22"/>
              </w:rPr>
              <w:t>Tim Mcleod</w:t>
            </w:r>
          </w:p>
        </w:tc>
      </w:tr>
      <w:tr>
        <w:trPr>
          <w:trHeight w:val="492" w:hRule="atLeast"/>
        </w:trPr>
        <w:tc>
          <w:tcPr>
            <w:tcW w:w="2609" w:type="dxa"/>
          </w:tcPr>
          <w:p>
            <w:pPr>
              <w:pStyle w:val="TableParagraph"/>
              <w:rPr>
                <w:b/>
                <w:sz w:val="22"/>
              </w:rPr>
            </w:pPr>
            <w:r>
              <w:rPr>
                <w:b/>
                <w:sz w:val="22"/>
              </w:rPr>
              <w:t>DMO (Observer)</w:t>
            </w:r>
          </w:p>
        </w:tc>
        <w:tc>
          <w:tcPr>
            <w:tcW w:w="3914" w:type="dxa"/>
          </w:tcPr>
          <w:p>
            <w:pPr>
              <w:pStyle w:val="TableParagraph"/>
              <w:spacing w:before="117"/>
              <w:ind w:left="670"/>
              <w:rPr>
                <w:sz w:val="22"/>
              </w:rPr>
            </w:pPr>
            <w:r>
              <w:rPr>
                <w:sz w:val="22"/>
              </w:rPr>
              <w:t>Jessica Pulay</w:t>
            </w:r>
          </w:p>
        </w:tc>
      </w:tr>
      <w:tr>
        <w:trPr>
          <w:trHeight w:val="698" w:hRule="atLeast"/>
        </w:trPr>
        <w:tc>
          <w:tcPr>
            <w:tcW w:w="2609" w:type="dxa"/>
          </w:tcPr>
          <w:p>
            <w:pPr>
              <w:pStyle w:val="TableParagraph"/>
              <w:rPr>
                <w:b/>
                <w:sz w:val="22"/>
              </w:rPr>
            </w:pPr>
            <w:r>
              <w:rPr>
                <w:b/>
                <w:sz w:val="22"/>
              </w:rPr>
              <w:t>FCA (Observer)</w:t>
            </w:r>
          </w:p>
        </w:tc>
        <w:tc>
          <w:tcPr>
            <w:tcW w:w="3914" w:type="dxa"/>
          </w:tcPr>
          <w:p>
            <w:pPr>
              <w:pStyle w:val="TableParagraph"/>
              <w:spacing w:before="117"/>
              <w:ind w:left="670"/>
              <w:rPr>
                <w:sz w:val="22"/>
              </w:rPr>
            </w:pPr>
            <w:r>
              <w:rPr>
                <w:sz w:val="22"/>
              </w:rPr>
              <w:t>Alessandro Puce</w:t>
            </w:r>
          </w:p>
        </w:tc>
      </w:tr>
      <w:tr>
        <w:trPr>
          <w:trHeight w:val="698" w:hRule="atLeast"/>
        </w:trPr>
        <w:tc>
          <w:tcPr>
            <w:tcW w:w="2609" w:type="dxa"/>
          </w:tcPr>
          <w:p>
            <w:pPr>
              <w:pStyle w:val="TableParagraph"/>
              <w:spacing w:before="10"/>
              <w:ind w:left="0"/>
              <w:rPr>
                <w:b/>
                <w:sz w:val="27"/>
              </w:rPr>
            </w:pPr>
          </w:p>
          <w:p>
            <w:pPr>
              <w:pStyle w:val="TableParagraph"/>
              <w:spacing w:before="1"/>
              <w:rPr>
                <w:b/>
                <w:sz w:val="22"/>
              </w:rPr>
            </w:pPr>
            <w:r>
              <w:rPr>
                <w:b/>
                <w:sz w:val="22"/>
              </w:rPr>
              <w:t>Bank of England</w:t>
            </w:r>
          </w:p>
        </w:tc>
        <w:tc>
          <w:tcPr>
            <w:tcW w:w="3914" w:type="dxa"/>
          </w:tcPr>
          <w:p>
            <w:pPr>
              <w:pStyle w:val="TableParagraph"/>
              <w:spacing w:before="1"/>
              <w:ind w:left="0"/>
              <w:rPr>
                <w:b/>
                <w:sz w:val="28"/>
              </w:rPr>
            </w:pPr>
          </w:p>
          <w:p>
            <w:pPr>
              <w:pStyle w:val="TableParagraph"/>
              <w:spacing w:before="1"/>
              <w:ind w:left="670"/>
              <w:rPr>
                <w:sz w:val="22"/>
              </w:rPr>
            </w:pPr>
            <w:r>
              <w:rPr>
                <w:sz w:val="22"/>
              </w:rPr>
              <w:t>Jon Pyzer</w:t>
            </w:r>
          </w:p>
        </w:tc>
      </w:tr>
      <w:tr>
        <w:trPr>
          <w:trHeight w:val="490" w:hRule="atLeast"/>
        </w:trPr>
        <w:tc>
          <w:tcPr>
            <w:tcW w:w="2609" w:type="dxa"/>
          </w:tcPr>
          <w:p>
            <w:pPr>
              <w:pStyle w:val="TableParagraph"/>
              <w:rPr>
                <w:b/>
                <w:sz w:val="22"/>
              </w:rPr>
            </w:pPr>
            <w:r>
              <w:rPr>
                <w:b/>
                <w:sz w:val="22"/>
              </w:rPr>
              <w:t>Bank of England</w:t>
            </w:r>
          </w:p>
        </w:tc>
        <w:tc>
          <w:tcPr>
            <w:tcW w:w="3914" w:type="dxa"/>
          </w:tcPr>
          <w:p>
            <w:pPr>
              <w:pStyle w:val="TableParagraph"/>
              <w:spacing w:before="117"/>
              <w:ind w:left="670"/>
              <w:rPr>
                <w:sz w:val="22"/>
              </w:rPr>
            </w:pPr>
            <w:r>
              <w:rPr>
                <w:sz w:val="22"/>
              </w:rPr>
              <w:t>Sumita Ghosh</w:t>
            </w:r>
          </w:p>
        </w:tc>
      </w:tr>
      <w:tr>
        <w:trPr>
          <w:trHeight w:val="491" w:hRule="atLeast"/>
        </w:trPr>
        <w:tc>
          <w:tcPr>
            <w:tcW w:w="2609" w:type="dxa"/>
          </w:tcPr>
          <w:p>
            <w:pPr>
              <w:pStyle w:val="TableParagraph"/>
              <w:spacing w:before="113"/>
              <w:rPr>
                <w:b/>
                <w:sz w:val="22"/>
              </w:rPr>
            </w:pPr>
            <w:r>
              <w:rPr>
                <w:b/>
                <w:sz w:val="22"/>
              </w:rPr>
              <w:t>Bank of England</w:t>
            </w:r>
          </w:p>
        </w:tc>
        <w:tc>
          <w:tcPr>
            <w:tcW w:w="3914" w:type="dxa"/>
          </w:tcPr>
          <w:p>
            <w:pPr>
              <w:pStyle w:val="TableParagraph"/>
              <w:spacing w:before="116"/>
              <w:ind w:left="670"/>
              <w:rPr>
                <w:sz w:val="22"/>
              </w:rPr>
            </w:pPr>
            <w:r>
              <w:rPr>
                <w:sz w:val="22"/>
              </w:rPr>
              <w:t>Michelle Kearns</w:t>
            </w:r>
          </w:p>
        </w:tc>
      </w:tr>
      <w:tr>
        <w:trPr>
          <w:trHeight w:val="491" w:hRule="atLeast"/>
        </w:trPr>
        <w:tc>
          <w:tcPr>
            <w:tcW w:w="2609" w:type="dxa"/>
          </w:tcPr>
          <w:p>
            <w:pPr>
              <w:pStyle w:val="TableParagraph"/>
              <w:rPr>
                <w:b/>
                <w:sz w:val="22"/>
              </w:rPr>
            </w:pPr>
            <w:r>
              <w:rPr>
                <w:b/>
                <w:sz w:val="22"/>
              </w:rPr>
              <w:t>Bank of England</w:t>
            </w:r>
          </w:p>
        </w:tc>
        <w:tc>
          <w:tcPr>
            <w:tcW w:w="3914" w:type="dxa"/>
          </w:tcPr>
          <w:p>
            <w:pPr>
              <w:pStyle w:val="TableParagraph"/>
              <w:spacing w:before="117"/>
              <w:ind w:left="670"/>
              <w:rPr>
                <w:sz w:val="22"/>
              </w:rPr>
            </w:pPr>
            <w:r>
              <w:rPr>
                <w:sz w:val="22"/>
              </w:rPr>
              <w:t>Paul Alexander (secretary)</w:t>
            </w:r>
          </w:p>
        </w:tc>
      </w:tr>
      <w:tr>
        <w:trPr>
          <w:trHeight w:val="369" w:hRule="atLeast"/>
        </w:trPr>
        <w:tc>
          <w:tcPr>
            <w:tcW w:w="2609" w:type="dxa"/>
          </w:tcPr>
          <w:p>
            <w:pPr>
              <w:pStyle w:val="TableParagraph"/>
              <w:spacing w:line="236" w:lineRule="exact" w:before="113"/>
              <w:rPr>
                <w:b/>
                <w:sz w:val="22"/>
              </w:rPr>
            </w:pPr>
            <w:r>
              <w:rPr>
                <w:b/>
                <w:sz w:val="22"/>
              </w:rPr>
              <w:t>Bank of England</w:t>
            </w:r>
          </w:p>
        </w:tc>
        <w:tc>
          <w:tcPr>
            <w:tcW w:w="3914" w:type="dxa"/>
          </w:tcPr>
          <w:p>
            <w:pPr>
              <w:pStyle w:val="TableParagraph"/>
              <w:spacing w:line="233" w:lineRule="exact" w:before="116"/>
              <w:ind w:left="670"/>
              <w:rPr>
                <w:sz w:val="22"/>
              </w:rPr>
            </w:pPr>
            <w:r>
              <w:rPr>
                <w:sz w:val="22"/>
              </w:rPr>
              <w:t>Bianca Ginelli Nardi (secretary)</w:t>
            </w:r>
          </w:p>
        </w:tc>
      </w:tr>
    </w:tbl>
    <w:p>
      <w:pPr>
        <w:pStyle w:val="BodyText"/>
        <w:ind w:left="0"/>
        <w:rPr>
          <w:b/>
          <w:sz w:val="24"/>
        </w:rPr>
      </w:pPr>
    </w:p>
    <w:p>
      <w:pPr>
        <w:pStyle w:val="BodyText"/>
        <w:ind w:left="0"/>
        <w:rPr>
          <w:b/>
          <w:sz w:val="24"/>
        </w:rPr>
      </w:pPr>
    </w:p>
    <w:p>
      <w:pPr>
        <w:spacing w:before="138"/>
        <w:ind w:left="200" w:right="0" w:firstLine="0"/>
        <w:jc w:val="left"/>
        <w:rPr>
          <w:b/>
          <w:sz w:val="22"/>
        </w:rPr>
      </w:pPr>
      <w:r>
        <w:rPr>
          <w:b/>
          <w:sz w:val="22"/>
        </w:rPr>
        <w:t>Apologies:</w:t>
      </w:r>
    </w:p>
    <w:p>
      <w:pPr>
        <w:spacing w:after="0"/>
        <w:jc w:val="left"/>
        <w:rPr>
          <w:sz w:val="22"/>
        </w:rPr>
        <w:sectPr>
          <w:type w:val="continuous"/>
          <w:pgSz w:w="11910" w:h="16840"/>
          <w:pgMar w:top="1560" w:bottom="280" w:left="1240" w:right="1320"/>
        </w:sectPr>
      </w:pPr>
    </w:p>
    <w:p>
      <w:pPr>
        <w:pStyle w:val="BodyText"/>
        <w:ind w:left="0"/>
        <w:rPr>
          <w:b/>
          <w:sz w:val="2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3171"/>
      </w:tblGrid>
      <w:tr>
        <w:trPr>
          <w:trHeight w:val="369" w:hRule="atLeast"/>
        </w:trPr>
        <w:tc>
          <w:tcPr>
            <w:tcW w:w="2755" w:type="dxa"/>
          </w:tcPr>
          <w:p>
            <w:pPr>
              <w:pStyle w:val="TableParagraph"/>
              <w:spacing w:line="247" w:lineRule="exact" w:before="0"/>
              <w:rPr>
                <w:b/>
                <w:sz w:val="22"/>
              </w:rPr>
            </w:pPr>
            <w:r>
              <w:rPr>
                <w:b/>
                <w:sz w:val="22"/>
              </w:rPr>
              <w:t>HSBC</w:t>
            </w:r>
          </w:p>
        </w:tc>
        <w:tc>
          <w:tcPr>
            <w:tcW w:w="3171" w:type="dxa"/>
          </w:tcPr>
          <w:p>
            <w:pPr>
              <w:pStyle w:val="TableParagraph"/>
              <w:spacing w:line="249" w:lineRule="exact" w:before="0"/>
              <w:ind w:left="524"/>
              <w:rPr>
                <w:sz w:val="22"/>
              </w:rPr>
            </w:pPr>
            <w:r>
              <w:rPr>
                <w:sz w:val="22"/>
              </w:rPr>
              <w:t>Jamie Anderson</w:t>
            </w:r>
          </w:p>
        </w:tc>
      </w:tr>
      <w:tr>
        <w:trPr>
          <w:trHeight w:val="490" w:hRule="atLeast"/>
        </w:trPr>
        <w:tc>
          <w:tcPr>
            <w:tcW w:w="2755" w:type="dxa"/>
          </w:tcPr>
          <w:p>
            <w:pPr>
              <w:pStyle w:val="TableParagraph"/>
              <w:spacing w:before="113"/>
              <w:rPr>
                <w:b/>
                <w:sz w:val="22"/>
              </w:rPr>
            </w:pPr>
            <w:r>
              <w:rPr>
                <w:b/>
                <w:sz w:val="22"/>
              </w:rPr>
              <w:t>Norges Bank</w:t>
            </w:r>
          </w:p>
        </w:tc>
        <w:tc>
          <w:tcPr>
            <w:tcW w:w="3171" w:type="dxa"/>
          </w:tcPr>
          <w:p>
            <w:pPr>
              <w:pStyle w:val="TableParagraph"/>
              <w:spacing w:before="116"/>
              <w:ind w:left="524"/>
              <w:rPr>
                <w:sz w:val="22"/>
              </w:rPr>
            </w:pPr>
            <w:r>
              <w:rPr>
                <w:sz w:val="22"/>
              </w:rPr>
              <w:t>Matthew Brunette</w:t>
            </w:r>
          </w:p>
        </w:tc>
      </w:tr>
      <w:tr>
        <w:trPr>
          <w:trHeight w:val="490" w:hRule="atLeast"/>
        </w:trPr>
        <w:tc>
          <w:tcPr>
            <w:tcW w:w="2755" w:type="dxa"/>
          </w:tcPr>
          <w:p>
            <w:pPr>
              <w:pStyle w:val="TableParagraph"/>
              <w:rPr>
                <w:b/>
                <w:sz w:val="22"/>
              </w:rPr>
            </w:pPr>
            <w:r>
              <w:rPr>
                <w:b/>
                <w:sz w:val="22"/>
              </w:rPr>
              <w:t>Aviva Investors</w:t>
            </w:r>
          </w:p>
        </w:tc>
        <w:tc>
          <w:tcPr>
            <w:tcW w:w="3171" w:type="dxa"/>
          </w:tcPr>
          <w:p>
            <w:pPr>
              <w:pStyle w:val="TableParagraph"/>
              <w:spacing w:before="117"/>
              <w:ind w:left="524"/>
              <w:rPr>
                <w:sz w:val="22"/>
              </w:rPr>
            </w:pPr>
            <w:r>
              <w:rPr>
                <w:sz w:val="22"/>
              </w:rPr>
              <w:t>Mick Chadwick</w:t>
            </w:r>
          </w:p>
        </w:tc>
      </w:tr>
      <w:tr>
        <w:trPr>
          <w:trHeight w:val="490" w:hRule="atLeast"/>
        </w:trPr>
        <w:tc>
          <w:tcPr>
            <w:tcW w:w="2755" w:type="dxa"/>
          </w:tcPr>
          <w:p>
            <w:pPr>
              <w:pStyle w:val="TableParagraph"/>
              <w:spacing w:before="113"/>
              <w:rPr>
                <w:b/>
                <w:sz w:val="22"/>
              </w:rPr>
            </w:pPr>
            <w:r>
              <w:rPr>
                <w:b/>
                <w:sz w:val="22"/>
              </w:rPr>
              <w:t>Morgan Stanley</w:t>
            </w:r>
          </w:p>
        </w:tc>
        <w:tc>
          <w:tcPr>
            <w:tcW w:w="3171" w:type="dxa"/>
          </w:tcPr>
          <w:p>
            <w:pPr>
              <w:pStyle w:val="TableParagraph"/>
              <w:spacing w:before="116"/>
              <w:ind w:left="524"/>
              <w:rPr>
                <w:sz w:val="22"/>
              </w:rPr>
            </w:pPr>
            <w:r>
              <w:rPr>
                <w:sz w:val="22"/>
              </w:rPr>
              <w:t>Krishan Chada</w:t>
            </w:r>
          </w:p>
        </w:tc>
      </w:tr>
      <w:tr>
        <w:trPr>
          <w:trHeight w:val="490" w:hRule="atLeast"/>
        </w:trPr>
        <w:tc>
          <w:tcPr>
            <w:tcW w:w="2755" w:type="dxa"/>
          </w:tcPr>
          <w:p>
            <w:pPr>
              <w:pStyle w:val="TableParagraph"/>
              <w:rPr>
                <w:b/>
                <w:sz w:val="22"/>
              </w:rPr>
            </w:pPr>
            <w:r>
              <w:rPr>
                <w:b/>
                <w:sz w:val="22"/>
              </w:rPr>
              <w:t>Citadel</w:t>
            </w:r>
          </w:p>
        </w:tc>
        <w:tc>
          <w:tcPr>
            <w:tcW w:w="3171" w:type="dxa"/>
          </w:tcPr>
          <w:p>
            <w:pPr>
              <w:pStyle w:val="TableParagraph"/>
              <w:spacing w:before="117"/>
              <w:ind w:left="524"/>
              <w:rPr>
                <w:sz w:val="22"/>
              </w:rPr>
            </w:pPr>
            <w:r>
              <w:rPr>
                <w:sz w:val="22"/>
              </w:rPr>
              <w:t>Timothy Tomalin-Reeves</w:t>
            </w:r>
          </w:p>
        </w:tc>
      </w:tr>
      <w:tr>
        <w:trPr>
          <w:trHeight w:val="659" w:hRule="atLeast"/>
        </w:trPr>
        <w:tc>
          <w:tcPr>
            <w:tcW w:w="2755" w:type="dxa"/>
          </w:tcPr>
          <w:p>
            <w:pPr>
              <w:pStyle w:val="TableParagraph"/>
              <w:spacing w:line="290" w:lineRule="atLeast" w:before="76"/>
              <w:ind w:right="505"/>
              <w:rPr>
                <w:b/>
                <w:sz w:val="22"/>
              </w:rPr>
            </w:pPr>
            <w:r>
              <w:rPr>
                <w:b/>
                <w:sz w:val="22"/>
              </w:rPr>
              <w:t>Aberdeen Standard Investments</w:t>
            </w:r>
          </w:p>
        </w:tc>
        <w:tc>
          <w:tcPr>
            <w:tcW w:w="3171" w:type="dxa"/>
          </w:tcPr>
          <w:p>
            <w:pPr>
              <w:pStyle w:val="TableParagraph"/>
              <w:spacing w:before="118"/>
              <w:ind w:left="524"/>
              <w:rPr>
                <w:sz w:val="22"/>
              </w:rPr>
            </w:pPr>
            <w:r>
              <w:rPr>
                <w:sz w:val="22"/>
              </w:rPr>
              <w:t>Matthew Chessum</w:t>
            </w:r>
          </w:p>
        </w:tc>
      </w:tr>
    </w:tbl>
    <w:p>
      <w:pPr>
        <w:pStyle w:val="BodyText"/>
        <w:ind w:left="0"/>
        <w:rPr>
          <w:b/>
          <w:sz w:val="20"/>
        </w:rPr>
      </w:pPr>
    </w:p>
    <w:p>
      <w:pPr>
        <w:pStyle w:val="BodyText"/>
        <w:ind w:left="0"/>
        <w:rPr>
          <w:b/>
          <w:sz w:val="20"/>
        </w:rPr>
      </w:pPr>
    </w:p>
    <w:p>
      <w:pPr>
        <w:pStyle w:val="BodyText"/>
        <w:ind w:left="0"/>
        <w:rPr>
          <w:b/>
          <w:sz w:val="20"/>
        </w:rPr>
      </w:pPr>
    </w:p>
    <w:p>
      <w:pPr>
        <w:pStyle w:val="BodyText"/>
        <w:spacing w:before="8"/>
        <w:ind w:left="0"/>
        <w:rPr>
          <w:b/>
          <w:sz w:val="21"/>
        </w:rPr>
      </w:pPr>
    </w:p>
    <w:p>
      <w:pPr>
        <w:pStyle w:val="ListParagraph"/>
        <w:numPr>
          <w:ilvl w:val="0"/>
          <w:numId w:val="1"/>
        </w:numPr>
        <w:tabs>
          <w:tab w:pos="921" w:val="left" w:leader="none"/>
        </w:tabs>
        <w:spacing w:line="240" w:lineRule="auto" w:before="1" w:after="0"/>
        <w:ind w:left="920" w:right="0" w:hanging="361"/>
        <w:jc w:val="left"/>
        <w:rPr>
          <w:b/>
          <w:sz w:val="22"/>
        </w:rPr>
      </w:pPr>
      <w:r>
        <w:rPr>
          <w:b/>
          <w:sz w:val="22"/>
        </w:rPr>
        <w:t>Introductory</w:t>
      </w:r>
      <w:r>
        <w:rPr>
          <w:b/>
          <w:spacing w:val="-4"/>
          <w:sz w:val="22"/>
        </w:rPr>
        <w:t> </w:t>
      </w:r>
      <w:r>
        <w:rPr>
          <w:b/>
          <w:sz w:val="22"/>
        </w:rPr>
        <w:t>remarks</w:t>
      </w:r>
    </w:p>
    <w:p>
      <w:pPr>
        <w:pStyle w:val="BodyText"/>
        <w:spacing w:before="2"/>
        <w:ind w:left="0"/>
        <w:rPr>
          <w:b/>
        </w:rPr>
      </w:pPr>
    </w:p>
    <w:p>
      <w:pPr>
        <w:pStyle w:val="BodyText"/>
        <w:ind w:right="338"/>
      </w:pPr>
      <w:r>
        <w:rPr/>
        <w:t>The Chair confirmed that the May 2019 SLC minutes were published on the Bank’s website.</w:t>
      </w:r>
    </w:p>
    <w:p>
      <w:pPr>
        <w:pStyle w:val="BodyText"/>
        <w:ind w:left="0"/>
      </w:pPr>
    </w:p>
    <w:p>
      <w:pPr>
        <w:pStyle w:val="BodyText"/>
      </w:pPr>
      <w:r>
        <w:rPr/>
        <w:t>The Chair welcomed Johanne Armita (Goldman Sachs) to the Committee.</w:t>
      </w:r>
    </w:p>
    <w:p>
      <w:pPr>
        <w:pStyle w:val="BodyText"/>
        <w:spacing w:before="9"/>
        <w:ind w:left="0"/>
        <w:rPr>
          <w:sz w:val="21"/>
        </w:rPr>
      </w:pPr>
    </w:p>
    <w:p>
      <w:pPr>
        <w:pStyle w:val="Heading1"/>
        <w:numPr>
          <w:ilvl w:val="0"/>
          <w:numId w:val="1"/>
        </w:numPr>
        <w:tabs>
          <w:tab w:pos="921" w:val="left" w:leader="none"/>
        </w:tabs>
        <w:spacing w:line="240" w:lineRule="auto" w:before="0" w:after="0"/>
        <w:ind w:left="920" w:right="0" w:hanging="361"/>
        <w:jc w:val="left"/>
      </w:pPr>
      <w:r>
        <w:rPr/>
        <w:t>Update on recent market</w:t>
      </w:r>
      <w:r>
        <w:rPr>
          <w:spacing w:val="-3"/>
        </w:rPr>
        <w:t> </w:t>
      </w:r>
      <w:r>
        <w:rPr/>
        <w:t>trends</w:t>
      </w:r>
    </w:p>
    <w:p>
      <w:pPr>
        <w:pStyle w:val="BodyText"/>
        <w:spacing w:before="3"/>
        <w:ind w:left="0"/>
        <w:rPr>
          <w:b/>
        </w:rPr>
      </w:pPr>
    </w:p>
    <w:p>
      <w:pPr>
        <w:pStyle w:val="BodyText"/>
        <w:ind w:right="301"/>
      </w:pPr>
      <w:r>
        <w:rPr/>
        <w:t>The Chair noted that the </w:t>
      </w:r>
      <w:hyperlink r:id="rId6">
        <w:r>
          <w:rPr>
            <w:color w:val="0000FF"/>
            <w:u w:val="single" w:color="0000FF"/>
          </w:rPr>
          <w:t>September 2019 ISLA report on the Securities Lending</w:t>
        </w:r>
      </w:hyperlink>
      <w:r>
        <w:rPr>
          <w:color w:val="0000FF"/>
        </w:rPr>
        <w:t> </w:t>
      </w:r>
      <w:hyperlink r:id="rId6">
        <w:r>
          <w:rPr>
            <w:color w:val="0000FF"/>
            <w:u w:val="single" w:color="0000FF"/>
          </w:rPr>
          <w:t>Market</w:t>
        </w:r>
        <w:r>
          <w:rPr>
            <w:color w:val="0000FF"/>
          </w:rPr>
          <w:t> </w:t>
        </w:r>
      </w:hyperlink>
      <w:r>
        <w:rPr/>
        <w:t>quoted a fall in revenues from securities lending by 15% in the first six months of the year compared to the same period in 2018. The Chair also pointed to an increase in government bonds being available for lending by 13% for this period according to the ISLA report.</w:t>
      </w:r>
    </w:p>
    <w:p>
      <w:pPr>
        <w:pStyle w:val="BodyText"/>
        <w:spacing w:before="2"/>
        <w:ind w:left="0"/>
      </w:pPr>
    </w:p>
    <w:p>
      <w:pPr>
        <w:pStyle w:val="BodyText"/>
        <w:ind w:right="203"/>
      </w:pPr>
      <w:r>
        <w:rPr/>
        <w:t>On the back of the trends outlined in the ISLA report, Committee members noted some demand constraints on securities lending on the equity side, as balances have decreased due to a lack of hedge fund activity. Spreads have been compressed on the fixed income side due to lack of activity. Members noted an increased demand for US cash and HQLA.</w:t>
      </w:r>
    </w:p>
    <w:p>
      <w:pPr>
        <w:pStyle w:val="BodyText"/>
        <w:spacing w:before="10"/>
        <w:ind w:left="0"/>
        <w:rPr>
          <w:sz w:val="21"/>
        </w:rPr>
      </w:pPr>
    </w:p>
    <w:p>
      <w:pPr>
        <w:pStyle w:val="BodyText"/>
        <w:ind w:right="132"/>
      </w:pPr>
      <w:r>
        <w:rPr/>
        <w:t>There were mixed views by members on demand for pledge structures. One member noted that a firm bound by standardised risk weighted assets will be incentivised to pledge, but that ultimately whether this happens will depend on economic viability.</w:t>
      </w:r>
    </w:p>
    <w:p>
      <w:pPr>
        <w:pStyle w:val="BodyText"/>
        <w:spacing w:line="252" w:lineRule="exact"/>
      </w:pPr>
      <w:r>
        <w:rPr/>
        <w:t>Another member noted demand for pledge structures by CCPs.</w:t>
      </w:r>
    </w:p>
    <w:p>
      <w:pPr>
        <w:pStyle w:val="BodyText"/>
        <w:spacing w:before="1"/>
        <w:ind w:left="0"/>
      </w:pPr>
    </w:p>
    <w:p>
      <w:pPr>
        <w:pStyle w:val="BodyText"/>
        <w:ind w:right="229"/>
      </w:pPr>
      <w:r>
        <w:rPr/>
        <w:t>On post trade, there continues to be a focus on regulatory changes including SFTR and CSDR. On CSDR some members noted a continued lack of clarity on how it will impact the securities lending industry. On SFTR, members are still awaiting further clarification from ESMA as a number of protocols are still being finalised.</w:t>
      </w:r>
    </w:p>
    <w:p>
      <w:pPr>
        <w:pStyle w:val="BodyText"/>
        <w:ind w:left="0"/>
      </w:pPr>
    </w:p>
    <w:p>
      <w:pPr>
        <w:pStyle w:val="Heading1"/>
        <w:numPr>
          <w:ilvl w:val="0"/>
          <w:numId w:val="1"/>
        </w:numPr>
        <w:tabs>
          <w:tab w:pos="921" w:val="left" w:leader="none"/>
        </w:tabs>
        <w:spacing w:line="240" w:lineRule="auto" w:before="0" w:after="0"/>
        <w:ind w:left="920" w:right="0" w:hanging="361"/>
        <w:jc w:val="left"/>
      </w:pPr>
      <w:r>
        <w:rPr/>
        <w:t>Diversity and Inclusion in Securities Lending</w:t>
      </w:r>
      <w:r>
        <w:rPr>
          <w:spacing w:val="-14"/>
        </w:rPr>
        <w:t> </w:t>
      </w:r>
      <w:r>
        <w:rPr/>
        <w:t>markets</w:t>
      </w:r>
    </w:p>
    <w:p>
      <w:pPr>
        <w:pStyle w:val="BodyText"/>
        <w:spacing w:before="201"/>
        <w:ind w:right="962"/>
      </w:pPr>
      <w:r>
        <w:rPr/>
        <w:t>The discussion focused particularly on gender diversity in Securities Lending markets.</w:t>
      </w:r>
    </w:p>
    <w:p>
      <w:pPr>
        <w:pStyle w:val="BodyText"/>
        <w:spacing w:before="200"/>
        <w:ind w:right="277"/>
      </w:pPr>
      <w:r>
        <w:rPr/>
        <w:t>The Bank of England (BoE) presented on their diversity and inclusion strategy. The presenters noted that diversity is essential to the fundamental delivery of the Bank’s</w:t>
      </w:r>
    </w:p>
    <w:p>
      <w:pPr>
        <w:spacing w:after="0"/>
        <w:sectPr>
          <w:pgSz w:w="11910" w:h="16840"/>
          <w:pgMar w:top="1580" w:bottom="280" w:left="1240" w:right="1320"/>
        </w:sectPr>
      </w:pPr>
    </w:p>
    <w:p>
      <w:pPr>
        <w:pStyle w:val="BodyText"/>
        <w:spacing w:before="79"/>
        <w:ind w:right="888"/>
      </w:pPr>
      <w:r>
        <w:rPr/>
        <w:t>public mission of “promoting the good of the people of the United Kingdom by maintaining monetary and financial stability”.</w:t>
      </w:r>
    </w:p>
    <w:p>
      <w:pPr>
        <w:pStyle w:val="BodyText"/>
        <w:spacing w:line="244" w:lineRule="auto" w:before="200"/>
        <w:ind w:right="975"/>
      </w:pPr>
      <w:r>
        <w:rPr/>
        <w:t>The presenters covered internal steps taken to improve diversity, and invited Committee members to share initiatives taken in their firms.</w:t>
      </w:r>
    </w:p>
    <w:p>
      <w:pPr>
        <w:pStyle w:val="BodyText"/>
        <w:spacing w:before="190"/>
        <w:ind w:right="253"/>
      </w:pPr>
      <w:r>
        <w:rPr/>
        <w:t>Members noted the importance of encouraging gender diversity in industry panels, and discussed how best to encourage more women to participate in these. Some members noted that there is often an issue in making opportunities visible and that there should be a focus on communicating them effectively. This is also the case for promotion opportunities.</w:t>
      </w:r>
    </w:p>
    <w:p>
      <w:pPr>
        <w:pStyle w:val="BodyText"/>
        <w:spacing w:before="201"/>
        <w:ind w:right="497"/>
      </w:pPr>
      <w:r>
        <w:rPr/>
        <w:t>Some members also pointed to the importance of holding seniors accountable for raising diversity, as executive buy-in is crucial for an initiative to be successful.</w:t>
      </w:r>
    </w:p>
    <w:p>
      <w:pPr>
        <w:pStyle w:val="BodyText"/>
        <w:spacing w:before="200"/>
        <w:ind w:right="118"/>
      </w:pPr>
      <w:r>
        <w:rPr/>
        <w:t>Members also noted that diversity and inclusion initiatives should be carried out at initial recruiting stages as well as senior levels, and that they should have broad remits covering development and retention also. On retention, successful initiatives have included emergency home care, paternity leave, and other initiatives to promote employees’ mental health.</w:t>
      </w:r>
    </w:p>
    <w:p>
      <w:pPr>
        <w:pStyle w:val="Heading1"/>
        <w:spacing w:before="197"/>
        <w:ind w:right="330"/>
      </w:pPr>
      <w:r>
        <w:rPr/>
        <w:t>Members agreed that gender diversity in securities lending markets should continue to be addressed by the Committee and agreed to return to this topic regularly. Members also agreed to consider how the committee can promote practical changes in this area.</w:t>
      </w:r>
    </w:p>
    <w:p>
      <w:pPr>
        <w:pStyle w:val="BodyText"/>
        <w:ind w:left="0"/>
        <w:rPr>
          <w:b/>
          <w:sz w:val="24"/>
        </w:rPr>
      </w:pPr>
    </w:p>
    <w:p>
      <w:pPr>
        <w:pStyle w:val="ListParagraph"/>
        <w:numPr>
          <w:ilvl w:val="0"/>
          <w:numId w:val="1"/>
        </w:numPr>
        <w:tabs>
          <w:tab w:pos="921" w:val="left" w:leader="none"/>
        </w:tabs>
        <w:spacing w:line="240" w:lineRule="auto" w:before="178" w:after="0"/>
        <w:ind w:left="920" w:right="1189" w:hanging="360"/>
        <w:jc w:val="left"/>
        <w:rPr>
          <w:b/>
          <w:sz w:val="22"/>
        </w:rPr>
      </w:pPr>
      <w:r>
        <w:rPr>
          <w:b/>
          <w:sz w:val="22"/>
        </w:rPr>
        <w:t>Impact of Environmental, Social and Corporate Governance (ESG) on Securities Lending</w:t>
      </w:r>
      <w:r>
        <w:rPr>
          <w:b/>
          <w:spacing w:val="-4"/>
          <w:sz w:val="22"/>
        </w:rPr>
        <w:t> </w:t>
      </w:r>
      <w:r>
        <w:rPr>
          <w:b/>
          <w:sz w:val="22"/>
        </w:rPr>
        <w:t>Markets</w:t>
      </w:r>
    </w:p>
    <w:p>
      <w:pPr>
        <w:pStyle w:val="BodyText"/>
        <w:spacing w:before="203"/>
        <w:ind w:right="999"/>
      </w:pPr>
      <w:r>
        <w:rPr/>
        <w:t>The chair noted that are different ways that firms approach ESG, and invited committee members to discuss.</w:t>
      </w:r>
    </w:p>
    <w:p>
      <w:pPr>
        <w:pStyle w:val="BodyText"/>
        <w:spacing w:before="200"/>
        <w:ind w:right="314"/>
      </w:pPr>
      <w:r>
        <w:rPr/>
        <w:t>Members discussed trends in sustainable investment, which seeks not only to have an economic return but also to have an impact on society and the environment.</w:t>
      </w:r>
    </w:p>
    <w:p>
      <w:pPr>
        <w:pStyle w:val="BodyText"/>
        <w:ind w:right="412"/>
      </w:pPr>
      <w:r>
        <w:rPr/>
        <w:t>Investors will look at the ESG criteria of a business and their operations in order to inform their investment decisions.</w:t>
      </w:r>
    </w:p>
    <w:p>
      <w:pPr>
        <w:pStyle w:val="BodyText"/>
        <w:spacing w:line="242" w:lineRule="auto" w:before="200"/>
        <w:ind w:right="351"/>
        <w:jc w:val="both"/>
      </w:pPr>
      <w:r>
        <w:rPr/>
        <w:t>One member noted the Sustainable Investment Alliance which has £31tn of assets under management as sustainable assets, and that Europe and the UK are leading the way in ESG investing.</w:t>
      </w:r>
    </w:p>
    <w:p>
      <w:pPr>
        <w:pStyle w:val="BodyText"/>
        <w:spacing w:before="191"/>
        <w:ind w:right="265"/>
      </w:pPr>
      <w:r>
        <w:rPr/>
        <w:t>One member noted that ESG investing is expected to increase as millennials are expressing new expectations regarding what they buy and where they invest. In this regard asset managers will need to embrace sustainability.</w:t>
      </w:r>
    </w:p>
    <w:p>
      <w:pPr>
        <w:pStyle w:val="BodyText"/>
        <w:spacing w:line="242" w:lineRule="auto" w:before="201"/>
        <w:ind w:right="203"/>
      </w:pPr>
      <w:r>
        <w:rPr/>
        <w:t>Members also discussed the importance of accountability and how legislation and regulation have evolved to acknowledge this, noting that the PRA has regulated how banks and insurance companies manage climate related risks.</w:t>
      </w:r>
    </w:p>
    <w:p>
      <w:pPr>
        <w:pStyle w:val="BodyText"/>
        <w:spacing w:before="191"/>
        <w:ind w:right="534"/>
      </w:pPr>
      <w:r>
        <w:rPr/>
        <w:t>Members discussed how ESG factors are integrated among asset managers and asset owners, and included into financial analysis, corporate shareholder action, regular reporting and disclosures.</w:t>
      </w:r>
    </w:p>
    <w:p>
      <w:pPr>
        <w:pStyle w:val="BodyText"/>
        <w:spacing w:before="202"/>
        <w:ind w:right="106"/>
      </w:pPr>
      <w:r>
        <w:rPr/>
        <w:t>One member noted the difficulties in determining the share of ESG investing as these securities are not classified in a binary way (ESG/non-ESG) but in a sliding scale.</w:t>
      </w:r>
    </w:p>
    <w:p>
      <w:pPr>
        <w:spacing w:after="0"/>
        <w:sectPr>
          <w:pgSz w:w="11910" w:h="16840"/>
          <w:pgMar w:top="1340" w:bottom="280" w:left="1240" w:right="1320"/>
        </w:sectPr>
      </w:pPr>
    </w:p>
    <w:p>
      <w:pPr>
        <w:pStyle w:val="BodyText"/>
        <w:spacing w:before="79"/>
        <w:ind w:right="706"/>
      </w:pPr>
      <w:r>
        <w:rPr/>
        <w:t>Members noted that collateral received for ESG fund needs to meet investment guidelines and values, in order to be aligned from a reputational point of view.</w:t>
      </w:r>
    </w:p>
    <w:p>
      <w:pPr>
        <w:pStyle w:val="Heading1"/>
        <w:numPr>
          <w:ilvl w:val="0"/>
          <w:numId w:val="1"/>
        </w:numPr>
        <w:tabs>
          <w:tab w:pos="921" w:val="left" w:leader="none"/>
        </w:tabs>
        <w:spacing w:line="240" w:lineRule="auto" w:before="198" w:after="0"/>
        <w:ind w:left="920" w:right="0" w:hanging="361"/>
        <w:jc w:val="left"/>
      </w:pPr>
      <w:r>
        <w:rPr/>
        <w:t>AOB</w:t>
      </w:r>
    </w:p>
    <w:p>
      <w:pPr>
        <w:pStyle w:val="BodyText"/>
        <w:spacing w:before="3"/>
        <w:ind w:right="1072"/>
      </w:pPr>
      <w:r>
        <w:rPr/>
        <w:t>The Chair invited members to suggest forward looking agenda items for the November SLC meeting.</w:t>
      </w:r>
    </w:p>
    <w:sectPr>
      <w:pgSz w:w="11910" w:h="16840"/>
      <w:pgMar w:top="1340" w:bottom="280" w:left="12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20" w:hanging="360"/>
        <w:jc w:val="left"/>
      </w:pPr>
      <w:rPr>
        <w:rFonts w:hint="default" w:ascii="Arial" w:hAnsi="Arial" w:eastAsia="Arial" w:cs="Arial"/>
        <w:b/>
        <w:bCs/>
        <w:spacing w:val="-1"/>
        <w:w w:val="100"/>
        <w:sz w:val="22"/>
        <w:szCs w:val="22"/>
        <w:lang w:val="en-gb" w:eastAsia="en-gb" w:bidi="en-gb"/>
      </w:rPr>
    </w:lvl>
    <w:lvl w:ilvl="1">
      <w:start w:val="0"/>
      <w:numFmt w:val="bullet"/>
      <w:lvlText w:val="•"/>
      <w:lvlJc w:val="left"/>
      <w:pPr>
        <w:ind w:left="1762" w:hanging="360"/>
      </w:pPr>
      <w:rPr>
        <w:rFonts w:hint="default"/>
        <w:lang w:val="en-gb" w:eastAsia="en-gb" w:bidi="en-gb"/>
      </w:rPr>
    </w:lvl>
    <w:lvl w:ilvl="2">
      <w:start w:val="0"/>
      <w:numFmt w:val="bullet"/>
      <w:lvlText w:val="•"/>
      <w:lvlJc w:val="left"/>
      <w:pPr>
        <w:ind w:left="2605" w:hanging="360"/>
      </w:pPr>
      <w:rPr>
        <w:rFonts w:hint="default"/>
        <w:lang w:val="en-gb" w:eastAsia="en-gb" w:bidi="en-gb"/>
      </w:rPr>
    </w:lvl>
    <w:lvl w:ilvl="3">
      <w:start w:val="0"/>
      <w:numFmt w:val="bullet"/>
      <w:lvlText w:val="•"/>
      <w:lvlJc w:val="left"/>
      <w:pPr>
        <w:ind w:left="3447" w:hanging="360"/>
      </w:pPr>
      <w:rPr>
        <w:rFonts w:hint="default"/>
        <w:lang w:val="en-gb" w:eastAsia="en-gb" w:bidi="en-gb"/>
      </w:rPr>
    </w:lvl>
    <w:lvl w:ilvl="4">
      <w:start w:val="0"/>
      <w:numFmt w:val="bullet"/>
      <w:lvlText w:val="•"/>
      <w:lvlJc w:val="left"/>
      <w:pPr>
        <w:ind w:left="4290" w:hanging="360"/>
      </w:pPr>
      <w:rPr>
        <w:rFonts w:hint="default"/>
        <w:lang w:val="en-gb" w:eastAsia="en-gb" w:bidi="en-gb"/>
      </w:rPr>
    </w:lvl>
    <w:lvl w:ilvl="5">
      <w:start w:val="0"/>
      <w:numFmt w:val="bullet"/>
      <w:lvlText w:val="•"/>
      <w:lvlJc w:val="left"/>
      <w:pPr>
        <w:ind w:left="5133" w:hanging="360"/>
      </w:pPr>
      <w:rPr>
        <w:rFonts w:hint="default"/>
        <w:lang w:val="en-gb" w:eastAsia="en-gb" w:bidi="en-gb"/>
      </w:rPr>
    </w:lvl>
    <w:lvl w:ilvl="6">
      <w:start w:val="0"/>
      <w:numFmt w:val="bullet"/>
      <w:lvlText w:val="•"/>
      <w:lvlJc w:val="left"/>
      <w:pPr>
        <w:ind w:left="5975" w:hanging="360"/>
      </w:pPr>
      <w:rPr>
        <w:rFonts w:hint="default"/>
        <w:lang w:val="en-gb" w:eastAsia="en-gb" w:bidi="en-gb"/>
      </w:rPr>
    </w:lvl>
    <w:lvl w:ilvl="7">
      <w:start w:val="0"/>
      <w:numFmt w:val="bullet"/>
      <w:lvlText w:val="•"/>
      <w:lvlJc w:val="left"/>
      <w:pPr>
        <w:ind w:left="6818" w:hanging="360"/>
      </w:pPr>
      <w:rPr>
        <w:rFonts w:hint="default"/>
        <w:lang w:val="en-gb" w:eastAsia="en-gb" w:bidi="en-gb"/>
      </w:rPr>
    </w:lvl>
    <w:lvl w:ilvl="8">
      <w:start w:val="0"/>
      <w:numFmt w:val="bullet"/>
      <w:lvlText w:val="•"/>
      <w:lvlJc w:val="left"/>
      <w:pPr>
        <w:ind w:left="7661"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920"/>
    </w:pPr>
    <w:rPr>
      <w:rFonts w:ascii="Arial" w:hAnsi="Arial" w:eastAsia="Arial" w:cs="Arial"/>
      <w:sz w:val="22"/>
      <w:szCs w:val="22"/>
      <w:lang w:val="en-gb" w:eastAsia="en-gb" w:bidi="en-gb"/>
    </w:rPr>
  </w:style>
  <w:style w:styleId="Heading1" w:type="paragraph">
    <w:name w:val="Heading 1"/>
    <w:basedOn w:val="Normal"/>
    <w:uiPriority w:val="1"/>
    <w:qFormat/>
    <w:pPr>
      <w:ind w:left="920"/>
      <w:outlineLvl w:val="1"/>
    </w:pPr>
    <w:rPr>
      <w:rFonts w:ascii="Arial" w:hAnsi="Arial" w:eastAsia="Arial" w:cs="Arial"/>
      <w:b/>
      <w:bCs/>
      <w:sz w:val="22"/>
      <w:szCs w:val="22"/>
      <w:lang w:val="en-gb" w:eastAsia="en-gb" w:bidi="en-gb"/>
    </w:rPr>
  </w:style>
  <w:style w:styleId="ListParagraph" w:type="paragraph">
    <w:name w:val="List Paragraph"/>
    <w:basedOn w:val="Normal"/>
    <w:uiPriority w:val="1"/>
    <w:qFormat/>
    <w:pPr>
      <w:ind w:left="920" w:hanging="361"/>
    </w:pPr>
    <w:rPr>
      <w:rFonts w:ascii="Arial" w:hAnsi="Arial" w:eastAsia="Arial" w:cs="Arial"/>
      <w:lang w:val="en-gb" w:eastAsia="en-gb" w:bidi="en-gb"/>
    </w:rPr>
  </w:style>
  <w:style w:styleId="TableParagraph" w:type="paragraph">
    <w:name w:val="Table Paragraph"/>
    <w:basedOn w:val="Normal"/>
    <w:uiPriority w:val="1"/>
    <w:qFormat/>
    <w:pPr>
      <w:spacing w:before="115"/>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isla.co.uk/assets/smart-pdfs/isla-securities-lending-market-report/files/downloads/ISLA_SLReport_Sep2019.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Securities lending Committee meeting - September 2019</dc:subject>
  <dc:title>Minutes of the Securities lending Committee meeting - September 2019</dc:title>
  <dcterms:created xsi:type="dcterms:W3CDTF">2020-06-01T02:20:15Z</dcterms:created>
  <dcterms:modified xsi:type="dcterms:W3CDTF">2020-06-01T02:20:15Z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2019-10-28T00:00:00Z</vt:filetime>
  </property>
  <property fmtid="{D5CDD505-2E9C-101B-9397-08002B2CF9AE}" pid="3" name="LastSaved">
    <vt:filetime>2020-06-01T00:00:00Z</vt:filetime>
  </property>
</Properties>
</file>