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3"/>
        </w:rPr>
      </w:pPr>
      <w:r>
        <w:rPr/>
        <w:pict>
          <v:line style="position:absolute;mso-position-horizontal-relative:page;mso-position-vertical-relative:page;z-index:251659264" from="55.919998pt,182.419983pt" to="538.679998pt,182.419983pt" stroked="true" strokeweight=".48pt" strokecolor="#000000">
            <v:stroke dashstyle="solid"/>
            <w10:wrap type="none"/>
          </v:line>
        </w:pict>
      </w: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2"/>
      </w:tblGrid>
      <w:tr>
        <w:trPr>
          <w:trHeight w:val="719" w:hRule="atLeast"/>
        </w:trPr>
        <w:tc>
          <w:tcPr>
            <w:tcW w:w="8312" w:type="dxa"/>
          </w:tcPr>
          <w:p>
            <w:pPr>
              <w:pStyle w:val="TableParagraph"/>
              <w:spacing w:line="492" w:lineRule="exact"/>
              <w:ind w:left="14"/>
              <w:rPr>
                <w:sz w:val="44"/>
              </w:rPr>
            </w:pPr>
            <w:r>
              <w:rPr>
                <w:sz w:val="44"/>
              </w:rPr>
              <w:t>UK Money Markets Code Sub-Committee</w:t>
            </w:r>
          </w:p>
        </w:tc>
      </w:tr>
      <w:tr>
        <w:trPr>
          <w:trHeight w:val="1098" w:hRule="atLeast"/>
        </w:trPr>
        <w:tc>
          <w:tcPr>
            <w:tcW w:w="8312" w:type="dxa"/>
          </w:tcPr>
          <w:p>
            <w:pPr>
              <w:pStyle w:val="TableParagraph"/>
              <w:spacing w:line="367" w:lineRule="exact" w:before="218"/>
              <w:ind w:left="37"/>
              <w:rPr>
                <w:b/>
                <w:sz w:val="32"/>
              </w:rPr>
            </w:pPr>
            <w:r>
              <w:rPr>
                <w:b/>
                <w:sz w:val="32"/>
              </w:rPr>
              <w:t>Minutes</w:t>
            </w:r>
          </w:p>
          <w:p>
            <w:pPr>
              <w:pStyle w:val="TableParagraph"/>
              <w:spacing w:line="275" w:lineRule="exact"/>
              <w:ind w:left="14"/>
              <w:rPr>
                <w:sz w:val="24"/>
              </w:rPr>
            </w:pPr>
            <w:r>
              <w:rPr>
                <w:sz w:val="24"/>
              </w:rPr>
              <w:t>4 February 2019</w:t>
            </w:r>
          </w:p>
        </w:tc>
      </w:tr>
    </w:tbl>
    <w:p>
      <w:pPr>
        <w:pStyle w:val="BodyText"/>
        <w:spacing w:before="6"/>
        <w:rPr>
          <w:rFonts w:ascii="Times New Roman"/>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6"/>
        <w:gridCol w:w="8748"/>
      </w:tblGrid>
      <w:tr>
        <w:trPr>
          <w:trHeight w:val="376" w:hRule="atLeast"/>
        </w:trPr>
        <w:tc>
          <w:tcPr>
            <w:tcW w:w="1246" w:type="dxa"/>
          </w:tcPr>
          <w:p>
            <w:pPr>
              <w:pStyle w:val="TableParagraph"/>
              <w:spacing w:line="224" w:lineRule="exact"/>
              <w:ind w:left="200"/>
              <w:rPr>
                <w:sz w:val="20"/>
              </w:rPr>
            </w:pPr>
            <w:r>
              <w:rPr>
                <w:sz w:val="20"/>
              </w:rPr>
              <w:t>Location:</w:t>
            </w:r>
          </w:p>
        </w:tc>
        <w:tc>
          <w:tcPr>
            <w:tcW w:w="8748" w:type="dxa"/>
          </w:tcPr>
          <w:p>
            <w:pPr>
              <w:pStyle w:val="TableParagraph"/>
              <w:spacing w:line="224" w:lineRule="exact"/>
              <w:rPr>
                <w:sz w:val="20"/>
              </w:rPr>
            </w:pPr>
            <w:r>
              <w:rPr>
                <w:sz w:val="20"/>
              </w:rPr>
              <w:t>Bank of England, 20 Moorgate</w:t>
            </w:r>
          </w:p>
        </w:tc>
      </w:tr>
      <w:tr>
        <w:trPr>
          <w:trHeight w:val="3943" w:hRule="atLeast"/>
        </w:trPr>
        <w:tc>
          <w:tcPr>
            <w:tcW w:w="1246" w:type="dxa"/>
          </w:tcPr>
          <w:p>
            <w:pPr>
              <w:pStyle w:val="TableParagraph"/>
              <w:spacing w:before="146"/>
              <w:ind w:left="200"/>
              <w:rPr>
                <w:sz w:val="20"/>
              </w:rPr>
            </w:pPr>
            <w:r>
              <w:rPr>
                <w:sz w:val="20"/>
              </w:rPr>
              <w:t>Attendees:</w:t>
            </w:r>
          </w:p>
        </w:tc>
        <w:tc>
          <w:tcPr>
            <w:tcW w:w="8748" w:type="dxa"/>
          </w:tcPr>
          <w:p>
            <w:pPr>
              <w:pStyle w:val="TableParagraph"/>
              <w:spacing w:line="230" w:lineRule="exact" w:before="146"/>
              <w:rPr>
                <w:sz w:val="20"/>
              </w:rPr>
            </w:pPr>
            <w:r>
              <w:rPr>
                <w:b/>
                <w:sz w:val="20"/>
              </w:rPr>
              <w:t>Aberdeen Standard Investments: </w:t>
            </w:r>
            <w:r>
              <w:rPr>
                <w:sz w:val="20"/>
              </w:rPr>
              <w:t>Gordon Lowson (Chair)</w:t>
            </w:r>
          </w:p>
          <w:p>
            <w:pPr>
              <w:pStyle w:val="TableParagraph"/>
              <w:spacing w:line="230" w:lineRule="exact"/>
              <w:rPr>
                <w:sz w:val="20"/>
              </w:rPr>
            </w:pPr>
            <w:r>
              <w:rPr>
                <w:b/>
                <w:sz w:val="20"/>
              </w:rPr>
              <w:t>ACT: </w:t>
            </w:r>
            <w:r>
              <w:rPr>
                <w:sz w:val="20"/>
              </w:rPr>
              <w:t>Michelle</w:t>
            </w:r>
            <w:r>
              <w:rPr>
                <w:spacing w:val="-2"/>
                <w:sz w:val="20"/>
              </w:rPr>
              <w:t> </w:t>
            </w:r>
            <w:r>
              <w:rPr>
                <w:sz w:val="20"/>
              </w:rPr>
              <w:t>Price</w:t>
            </w:r>
          </w:p>
          <w:p>
            <w:pPr>
              <w:pStyle w:val="TableParagraph"/>
              <w:spacing w:before="1"/>
              <w:ind w:right="5729"/>
              <w:rPr>
                <w:sz w:val="20"/>
              </w:rPr>
            </w:pPr>
            <w:r>
              <w:rPr>
                <w:b/>
                <w:sz w:val="20"/>
              </w:rPr>
              <w:t>Aviva Investors: </w:t>
            </w:r>
            <w:r>
              <w:rPr>
                <w:sz w:val="20"/>
              </w:rPr>
              <w:t>Mick </w:t>
            </w:r>
            <w:r>
              <w:rPr>
                <w:spacing w:val="-3"/>
                <w:sz w:val="20"/>
              </w:rPr>
              <w:t>Chadwick </w:t>
            </w:r>
            <w:r>
              <w:rPr>
                <w:b/>
                <w:sz w:val="20"/>
              </w:rPr>
              <w:t>BAML: </w:t>
            </w:r>
            <w:r>
              <w:rPr>
                <w:sz w:val="20"/>
              </w:rPr>
              <w:t>Alessandro Cozzani </w:t>
            </w:r>
            <w:r>
              <w:rPr>
                <w:b/>
                <w:sz w:val="20"/>
              </w:rPr>
              <w:t>FCA (Observer): </w:t>
            </w:r>
            <w:r>
              <w:rPr>
                <w:sz w:val="20"/>
              </w:rPr>
              <w:t>Paul Johnson </w:t>
            </w:r>
            <w:r>
              <w:rPr>
                <w:b/>
                <w:sz w:val="20"/>
              </w:rPr>
              <w:t>GLA: </w:t>
            </w:r>
            <w:r>
              <w:rPr>
                <w:sz w:val="20"/>
              </w:rPr>
              <w:t>Luke</w:t>
            </w:r>
            <w:r>
              <w:rPr>
                <w:spacing w:val="-1"/>
                <w:sz w:val="20"/>
              </w:rPr>
              <w:t> </w:t>
            </w:r>
            <w:r>
              <w:rPr>
                <w:sz w:val="20"/>
              </w:rPr>
              <w:t>Webster</w:t>
            </w:r>
          </w:p>
          <w:p>
            <w:pPr>
              <w:pStyle w:val="TableParagraph"/>
              <w:spacing w:line="230" w:lineRule="exact"/>
              <w:rPr>
                <w:sz w:val="20"/>
              </w:rPr>
            </w:pPr>
            <w:r>
              <w:rPr>
                <w:b/>
                <w:sz w:val="20"/>
              </w:rPr>
              <w:t>Hoare &amp; Co: </w:t>
            </w:r>
            <w:r>
              <w:rPr>
                <w:sz w:val="20"/>
              </w:rPr>
              <w:t>Andy Green</w:t>
            </w:r>
          </w:p>
          <w:p>
            <w:pPr>
              <w:pStyle w:val="TableParagraph"/>
              <w:ind w:right="6562"/>
              <w:rPr>
                <w:sz w:val="20"/>
              </w:rPr>
            </w:pPr>
            <w:r>
              <w:rPr>
                <w:b/>
                <w:sz w:val="20"/>
              </w:rPr>
              <w:t>HSBC: </w:t>
            </w:r>
            <w:r>
              <w:rPr>
                <w:sz w:val="20"/>
              </w:rPr>
              <w:t>Ned Taylor </w:t>
            </w:r>
            <w:r>
              <w:rPr>
                <w:b/>
                <w:sz w:val="20"/>
              </w:rPr>
              <w:t>ICAP: </w:t>
            </w:r>
            <w:r>
              <w:rPr>
                <w:sz w:val="20"/>
              </w:rPr>
              <w:t>Phil Chilvers </w:t>
            </w:r>
            <w:r>
              <w:rPr>
                <w:b/>
                <w:sz w:val="20"/>
              </w:rPr>
              <w:t>IMMFA: </w:t>
            </w:r>
            <w:r>
              <w:rPr>
                <w:sz w:val="20"/>
              </w:rPr>
              <w:t>Martin Curran* </w:t>
            </w:r>
            <w:r>
              <w:rPr>
                <w:b/>
                <w:sz w:val="20"/>
              </w:rPr>
              <w:t>ISLA: </w:t>
            </w:r>
            <w:r>
              <w:rPr>
                <w:sz w:val="20"/>
              </w:rPr>
              <w:t>Andy Dyson </w:t>
            </w:r>
            <w:r>
              <w:rPr>
                <w:b/>
                <w:sz w:val="20"/>
              </w:rPr>
              <w:t>Lloyds: </w:t>
            </w:r>
            <w:r>
              <w:rPr>
                <w:sz w:val="20"/>
              </w:rPr>
              <w:t>James Smith</w:t>
            </w:r>
          </w:p>
          <w:p>
            <w:pPr>
              <w:pStyle w:val="TableParagraph"/>
              <w:ind w:right="6239"/>
              <w:rPr>
                <w:sz w:val="20"/>
              </w:rPr>
            </w:pPr>
            <w:r>
              <w:rPr>
                <w:b/>
                <w:sz w:val="20"/>
              </w:rPr>
              <w:t>MTS Markets: </w:t>
            </w:r>
            <w:r>
              <w:rPr>
                <w:sz w:val="20"/>
              </w:rPr>
              <w:t>Oliver Clark </w:t>
            </w:r>
            <w:r>
              <w:rPr>
                <w:b/>
                <w:sz w:val="20"/>
              </w:rPr>
              <w:t>Nationwide: </w:t>
            </w:r>
            <w:r>
              <w:rPr>
                <w:sz w:val="20"/>
              </w:rPr>
              <w:t>Jo Dwyer* </w:t>
            </w:r>
            <w:r>
              <w:rPr>
                <w:b/>
                <w:sz w:val="20"/>
              </w:rPr>
              <w:t>RBS: </w:t>
            </w:r>
            <w:r>
              <w:rPr>
                <w:sz w:val="20"/>
              </w:rPr>
              <w:t>Mark Thomasson</w:t>
            </w:r>
          </w:p>
          <w:p>
            <w:pPr>
              <w:pStyle w:val="TableParagraph"/>
              <w:rPr>
                <w:sz w:val="20"/>
              </w:rPr>
            </w:pPr>
            <w:r>
              <w:rPr>
                <w:b/>
                <w:sz w:val="20"/>
              </w:rPr>
              <w:t>Bank of England: </w:t>
            </w:r>
            <w:r>
              <w:rPr>
                <w:sz w:val="20"/>
              </w:rPr>
              <w:t>Jon Pyzer (Senior Adviser), Tom Jennings and Rebecca Maher (Secretariat)</w:t>
            </w:r>
          </w:p>
        </w:tc>
      </w:tr>
      <w:tr>
        <w:trPr>
          <w:trHeight w:val="1150" w:hRule="atLeast"/>
        </w:trPr>
        <w:tc>
          <w:tcPr>
            <w:tcW w:w="1246" w:type="dxa"/>
          </w:tcPr>
          <w:p>
            <w:pPr>
              <w:pStyle w:val="TableParagraph"/>
              <w:spacing w:before="112"/>
              <w:ind w:left="216"/>
              <w:rPr>
                <w:sz w:val="20"/>
              </w:rPr>
            </w:pPr>
            <w:r>
              <w:rPr>
                <w:sz w:val="20"/>
              </w:rPr>
              <w:t>Apologies:</w:t>
            </w:r>
          </w:p>
        </w:tc>
        <w:tc>
          <w:tcPr>
            <w:tcW w:w="8748" w:type="dxa"/>
          </w:tcPr>
          <w:p>
            <w:pPr>
              <w:pStyle w:val="TableParagraph"/>
              <w:spacing w:line="230" w:lineRule="exact" w:before="112"/>
              <w:ind w:left="172"/>
              <w:rPr>
                <w:sz w:val="20"/>
              </w:rPr>
            </w:pPr>
            <w:r>
              <w:rPr>
                <w:b/>
                <w:sz w:val="20"/>
              </w:rPr>
              <w:t>Blackrock: </w:t>
            </w:r>
            <w:r>
              <w:rPr>
                <w:sz w:val="20"/>
              </w:rPr>
              <w:t>Tim Mcleod</w:t>
            </w:r>
          </w:p>
          <w:p>
            <w:pPr>
              <w:pStyle w:val="TableParagraph"/>
              <w:spacing w:line="230" w:lineRule="exact"/>
              <w:ind w:left="172"/>
              <w:rPr>
                <w:sz w:val="20"/>
              </w:rPr>
            </w:pPr>
            <w:r>
              <w:rPr>
                <w:b/>
                <w:sz w:val="20"/>
              </w:rPr>
              <w:t>DMO (Observer): </w:t>
            </w:r>
            <w:r>
              <w:rPr>
                <w:sz w:val="20"/>
              </w:rPr>
              <w:t>Jessica Pulay</w:t>
            </w:r>
          </w:p>
          <w:p>
            <w:pPr>
              <w:pStyle w:val="TableParagraph"/>
              <w:spacing w:before="1"/>
              <w:ind w:left="172"/>
              <w:rPr>
                <w:sz w:val="20"/>
              </w:rPr>
            </w:pPr>
            <w:r>
              <w:rPr>
                <w:b/>
                <w:sz w:val="20"/>
              </w:rPr>
              <w:t>LCH: </w:t>
            </w:r>
            <w:r>
              <w:rPr>
                <w:sz w:val="20"/>
              </w:rPr>
              <w:t>Paul Elkins</w:t>
            </w:r>
          </w:p>
          <w:p>
            <w:pPr>
              <w:pStyle w:val="TableParagraph"/>
              <w:ind w:left="172"/>
              <w:rPr>
                <w:sz w:val="20"/>
              </w:rPr>
            </w:pPr>
            <w:r>
              <w:rPr>
                <w:b/>
                <w:sz w:val="20"/>
              </w:rPr>
              <w:t>Tradeweb: </w:t>
            </w:r>
            <w:r>
              <w:rPr>
                <w:sz w:val="20"/>
              </w:rPr>
              <w:t>Jennifer Kesser</w:t>
            </w:r>
          </w:p>
        </w:tc>
      </w:tr>
      <w:tr>
        <w:trPr>
          <w:trHeight w:val="341" w:hRule="atLeast"/>
        </w:trPr>
        <w:tc>
          <w:tcPr>
            <w:tcW w:w="1246" w:type="dxa"/>
          </w:tcPr>
          <w:p>
            <w:pPr>
              <w:pStyle w:val="TableParagraph"/>
              <w:ind w:left="0"/>
              <w:rPr>
                <w:rFonts w:ascii="Times New Roman"/>
                <w:sz w:val="20"/>
              </w:rPr>
            </w:pPr>
          </w:p>
        </w:tc>
        <w:tc>
          <w:tcPr>
            <w:tcW w:w="8748" w:type="dxa"/>
          </w:tcPr>
          <w:p>
            <w:pPr>
              <w:pStyle w:val="TableParagraph"/>
              <w:spacing w:line="210" w:lineRule="exact" w:before="111"/>
              <w:ind w:left="227"/>
              <w:rPr>
                <w:sz w:val="20"/>
              </w:rPr>
            </w:pPr>
            <w:r>
              <w:rPr>
                <w:b/>
                <w:sz w:val="20"/>
              </w:rPr>
              <w:t>*</w:t>
            </w:r>
            <w:r>
              <w:rPr>
                <w:sz w:val="20"/>
              </w:rPr>
              <w:t>Alternate agreed via the Secretariat</w:t>
            </w:r>
          </w:p>
        </w:tc>
      </w:tr>
    </w:tbl>
    <w:p>
      <w:pPr>
        <w:pStyle w:val="BodyText"/>
        <w:spacing w:before="10"/>
        <w:rPr>
          <w:rFonts w:ascii="Times New Roman"/>
          <w:sz w:val="14"/>
        </w:rPr>
      </w:pPr>
    </w:p>
    <w:p>
      <w:pPr>
        <w:pStyle w:val="Heading1"/>
        <w:spacing w:before="94"/>
      </w:pPr>
      <w:r>
        <w:rPr/>
        <w:t>Item 1. Introductory remarks</w:t>
      </w:r>
    </w:p>
    <w:p>
      <w:pPr>
        <w:pStyle w:val="BodyText"/>
        <w:spacing w:before="3"/>
        <w:rPr>
          <w:b/>
        </w:rPr>
      </w:pPr>
    </w:p>
    <w:p>
      <w:pPr>
        <w:pStyle w:val="ListParagraph"/>
        <w:numPr>
          <w:ilvl w:val="0"/>
          <w:numId w:val="1"/>
        </w:numPr>
        <w:tabs>
          <w:tab w:pos="981" w:val="left" w:leader="none"/>
        </w:tabs>
        <w:spacing w:line="276" w:lineRule="auto" w:before="0" w:after="0"/>
        <w:ind w:left="980" w:right="580" w:hanging="361"/>
        <w:jc w:val="left"/>
        <w:rPr>
          <w:sz w:val="20"/>
        </w:rPr>
      </w:pPr>
      <w:r>
        <w:rPr>
          <w:sz w:val="20"/>
        </w:rPr>
        <w:t>The Chair confirmed that the minutes from the October meeting had been published on the Bank’s</w:t>
      </w:r>
      <w:r>
        <w:rPr>
          <w:spacing w:val="-1"/>
          <w:sz w:val="20"/>
        </w:rPr>
        <w:t> </w:t>
      </w:r>
      <w:r>
        <w:rPr>
          <w:sz w:val="20"/>
        </w:rPr>
        <w:t>website.</w:t>
      </w:r>
      <w:r>
        <w:rPr>
          <w:sz w:val="20"/>
          <w:vertAlign w:val="superscript"/>
        </w:rPr>
        <w:t>1</w:t>
      </w:r>
    </w:p>
    <w:p>
      <w:pPr>
        <w:pStyle w:val="Heading1"/>
        <w:spacing w:before="202"/>
      </w:pPr>
      <w:r>
        <w:rPr/>
        <w:t>Item 2. Annual Survey Results</w:t>
      </w:r>
    </w:p>
    <w:p>
      <w:pPr>
        <w:pStyle w:val="BodyText"/>
        <w:spacing w:before="3"/>
        <w:rPr>
          <w:b/>
        </w:rPr>
      </w:pPr>
    </w:p>
    <w:p>
      <w:pPr>
        <w:pStyle w:val="ListParagraph"/>
        <w:numPr>
          <w:ilvl w:val="0"/>
          <w:numId w:val="1"/>
        </w:numPr>
        <w:tabs>
          <w:tab w:pos="981" w:val="left" w:leader="none"/>
        </w:tabs>
        <w:spacing w:line="240" w:lineRule="auto" w:before="1" w:after="0"/>
        <w:ind w:left="980" w:right="0" w:hanging="361"/>
        <w:jc w:val="left"/>
        <w:rPr>
          <w:sz w:val="20"/>
        </w:rPr>
      </w:pPr>
      <w:r>
        <w:rPr>
          <w:sz w:val="20"/>
        </w:rPr>
        <w:t>The Bank provided the results from the UK Money Markets Code annual</w:t>
      </w:r>
      <w:r>
        <w:rPr>
          <w:spacing w:val="-10"/>
          <w:sz w:val="20"/>
        </w:rPr>
        <w:t> </w:t>
      </w:r>
      <w:r>
        <w:rPr>
          <w:sz w:val="20"/>
        </w:rPr>
        <w:t>survey:</w:t>
      </w:r>
    </w:p>
    <w:p>
      <w:pPr>
        <w:pStyle w:val="BodyText"/>
        <w:spacing w:before="10"/>
        <w:rPr>
          <w:sz w:val="25"/>
        </w:rPr>
      </w:pPr>
    </w:p>
    <w:p>
      <w:pPr>
        <w:pStyle w:val="ListParagraph"/>
        <w:numPr>
          <w:ilvl w:val="1"/>
          <w:numId w:val="1"/>
        </w:numPr>
        <w:tabs>
          <w:tab w:pos="1340" w:val="left" w:leader="none"/>
          <w:tab w:pos="1341" w:val="left" w:leader="none"/>
        </w:tabs>
        <w:spacing w:line="240" w:lineRule="auto" w:before="0" w:after="0"/>
        <w:ind w:left="1340" w:right="576" w:hanging="360"/>
        <w:jc w:val="left"/>
        <w:rPr>
          <w:sz w:val="20"/>
        </w:rPr>
      </w:pPr>
      <w:r>
        <w:rPr>
          <w:sz w:val="20"/>
        </w:rPr>
        <w:t>The survey had run from mid-September to mid-October, and was distributed to SMF participants, MMC and Sub-committee members, and relevant Trade</w:t>
      </w:r>
      <w:r>
        <w:rPr>
          <w:spacing w:val="-5"/>
          <w:sz w:val="20"/>
        </w:rPr>
        <w:t> </w:t>
      </w:r>
      <w:r>
        <w:rPr>
          <w:sz w:val="20"/>
        </w:rPr>
        <w:t>Associations.</w:t>
      </w:r>
    </w:p>
    <w:p>
      <w:pPr>
        <w:pStyle w:val="BodyText"/>
        <w:spacing w:before="9"/>
      </w:pPr>
    </w:p>
    <w:p>
      <w:pPr>
        <w:pStyle w:val="ListParagraph"/>
        <w:numPr>
          <w:ilvl w:val="1"/>
          <w:numId w:val="1"/>
        </w:numPr>
        <w:tabs>
          <w:tab w:pos="1340" w:val="left" w:leader="none"/>
          <w:tab w:pos="1341" w:val="left" w:leader="none"/>
        </w:tabs>
        <w:spacing w:line="240" w:lineRule="auto" w:before="0" w:after="0"/>
        <w:ind w:left="1340" w:right="580" w:hanging="360"/>
        <w:jc w:val="left"/>
        <w:rPr>
          <w:sz w:val="20"/>
        </w:rPr>
      </w:pPr>
      <w:r>
        <w:rPr>
          <w:sz w:val="20"/>
        </w:rPr>
        <w:t>There were 49 respondents in total, including banks and building societies, asset managers and a brokerage firm.</w:t>
      </w:r>
    </w:p>
    <w:p>
      <w:pPr>
        <w:pStyle w:val="BodyText"/>
        <w:spacing w:before="7"/>
      </w:pPr>
    </w:p>
    <w:p>
      <w:pPr>
        <w:pStyle w:val="ListParagraph"/>
        <w:numPr>
          <w:ilvl w:val="1"/>
          <w:numId w:val="1"/>
        </w:numPr>
        <w:tabs>
          <w:tab w:pos="1340" w:val="left" w:leader="none"/>
          <w:tab w:pos="1341" w:val="left" w:leader="none"/>
        </w:tabs>
        <w:spacing w:line="240" w:lineRule="auto" w:before="1" w:after="0"/>
        <w:ind w:left="1340" w:right="578" w:hanging="360"/>
        <w:jc w:val="left"/>
        <w:rPr>
          <w:sz w:val="20"/>
        </w:rPr>
      </w:pPr>
      <w:r>
        <w:rPr>
          <w:sz w:val="20"/>
        </w:rPr>
        <w:t>The vast majority of respondents had signed the statement of commitment to the Code, or were planning to in the</w:t>
      </w:r>
      <w:r>
        <w:rPr>
          <w:spacing w:val="-2"/>
          <w:sz w:val="20"/>
        </w:rPr>
        <w:t> </w:t>
      </w:r>
      <w:r>
        <w:rPr>
          <w:sz w:val="20"/>
        </w:rPr>
        <w:t>future.</w:t>
      </w:r>
    </w:p>
    <w:p>
      <w:pPr>
        <w:pStyle w:val="BodyText"/>
        <w:spacing w:before="9"/>
      </w:pPr>
    </w:p>
    <w:p>
      <w:pPr>
        <w:pStyle w:val="ListParagraph"/>
        <w:numPr>
          <w:ilvl w:val="1"/>
          <w:numId w:val="1"/>
        </w:numPr>
        <w:tabs>
          <w:tab w:pos="1340" w:val="left" w:leader="none"/>
          <w:tab w:pos="1341" w:val="left" w:leader="none"/>
        </w:tabs>
        <w:spacing w:line="240" w:lineRule="auto" w:before="0" w:after="0"/>
        <w:ind w:left="1340" w:right="577" w:hanging="360"/>
        <w:jc w:val="left"/>
        <w:rPr>
          <w:sz w:val="20"/>
        </w:rPr>
      </w:pPr>
      <w:r>
        <w:rPr>
          <w:sz w:val="20"/>
        </w:rPr>
        <w:t>The responses showed that decisions to implement the Code had typically been taken at the Board/Senior level, and in many instances proactive steps had been taken to raise</w:t>
      </w:r>
      <w:r>
        <w:rPr>
          <w:spacing w:val="-8"/>
          <w:sz w:val="20"/>
        </w:rPr>
        <w:t> </w:t>
      </w:r>
      <w:r>
        <w:rPr>
          <w:sz w:val="20"/>
        </w:rPr>
        <w:t>awareness</w:t>
      </w:r>
    </w:p>
    <w:p>
      <w:pPr>
        <w:pStyle w:val="BodyText"/>
        <w:spacing w:before="6"/>
      </w:pPr>
      <w:r>
        <w:rPr/>
        <w:pict>
          <v:shape style="position:absolute;margin-left:72pt;margin-top:14.163569pt;width:144.050pt;height:.1pt;mso-position-horizontal-relative:page;mso-position-vertical-relative:paragraph;z-index:-251658240;mso-wrap-distance-left:0;mso-wrap-distance-right:0" coordorigin="1440,283" coordsize="2881,0" path="m1440,283l4320,283e" filled="false" stroked="true" strokeweight=".72003pt" strokecolor="#000000">
            <v:path arrowok="t"/>
            <v:stroke dashstyle="solid"/>
            <w10:wrap type="topAndBottom"/>
          </v:shape>
        </w:pict>
      </w:r>
    </w:p>
    <w:p>
      <w:pPr>
        <w:pStyle w:val="BodyText"/>
        <w:spacing w:before="37"/>
        <w:ind w:left="620"/>
      </w:pPr>
      <w:r>
        <w:rPr>
          <w:rFonts w:ascii="Calibri" w:hAnsi="Calibri"/>
          <w:position w:val="10"/>
          <w:sz w:val="13"/>
        </w:rPr>
        <w:t>1 </w:t>
      </w:r>
      <w:r>
        <w:rPr/>
        <w:t>Minutes available on the Bank’s website </w:t>
      </w:r>
      <w:hyperlink r:id="rId6">
        <w:r>
          <w:rPr>
            <w:color w:val="0000FF"/>
            <w:u w:val="single" w:color="0000FF"/>
          </w:rPr>
          <w:t>here</w:t>
        </w:r>
        <w:r>
          <w:rPr/>
          <w:t>.</w:t>
        </w:r>
      </w:hyperlink>
    </w:p>
    <w:p>
      <w:pPr>
        <w:spacing w:after="0"/>
        <w:sectPr>
          <w:headerReference w:type="default" r:id="rId5"/>
          <w:type w:val="continuous"/>
          <w:pgSz w:w="11910" w:h="16840"/>
          <w:pgMar w:header="735" w:top="1660" w:bottom="280" w:left="820" w:right="860"/>
        </w:sectPr>
      </w:pPr>
    </w:p>
    <w:p>
      <w:pPr>
        <w:pStyle w:val="BodyText"/>
        <w:spacing w:before="140"/>
        <w:ind w:left="1340"/>
      </w:pPr>
      <w:r>
        <w:rPr/>
        <w:t>of the Code through internal communications, provision of training for appropriate staff, and incorporation of the Code into internal compliance codes.</w:t>
      </w:r>
    </w:p>
    <w:p>
      <w:pPr>
        <w:pStyle w:val="BodyText"/>
        <w:spacing w:before="9"/>
      </w:pPr>
    </w:p>
    <w:p>
      <w:pPr>
        <w:pStyle w:val="ListParagraph"/>
        <w:numPr>
          <w:ilvl w:val="1"/>
          <w:numId w:val="1"/>
        </w:numPr>
        <w:tabs>
          <w:tab w:pos="1341" w:val="left" w:leader="none"/>
        </w:tabs>
        <w:spacing w:line="240" w:lineRule="auto" w:before="0" w:after="0"/>
        <w:ind w:left="1340" w:right="578" w:hanging="360"/>
        <w:jc w:val="both"/>
        <w:rPr>
          <w:sz w:val="20"/>
        </w:rPr>
      </w:pPr>
      <w:r>
        <w:rPr>
          <w:sz w:val="20"/>
        </w:rPr>
        <w:t>Respondents’ comments overall were very positive regarding the Code, particularly in respect of it providing a good benchmark for institutions to adhere to. Many expressed a desire to  see the Code further embedded in the</w:t>
      </w:r>
      <w:r>
        <w:rPr>
          <w:spacing w:val="-6"/>
          <w:sz w:val="20"/>
        </w:rPr>
        <w:t> </w:t>
      </w:r>
      <w:r>
        <w:rPr>
          <w:sz w:val="20"/>
        </w:rPr>
        <w:t>market.</w:t>
      </w:r>
    </w:p>
    <w:p>
      <w:pPr>
        <w:pStyle w:val="BodyText"/>
        <w:spacing w:before="9"/>
      </w:pPr>
    </w:p>
    <w:p>
      <w:pPr>
        <w:pStyle w:val="ListParagraph"/>
        <w:numPr>
          <w:ilvl w:val="0"/>
          <w:numId w:val="1"/>
        </w:numPr>
        <w:tabs>
          <w:tab w:pos="981" w:val="left" w:leader="none"/>
        </w:tabs>
        <w:spacing w:line="240" w:lineRule="auto" w:before="0" w:after="0"/>
        <w:ind w:left="980" w:right="576" w:hanging="361"/>
        <w:jc w:val="both"/>
        <w:rPr>
          <w:sz w:val="20"/>
        </w:rPr>
      </w:pPr>
      <w:r>
        <w:rPr>
          <w:sz w:val="20"/>
        </w:rPr>
        <w:t>The Committee discussed possible means to encourage further adoption of the Code across a wider variety of institutions, including possibly publishing a summary document on the Code produced jointly by members of the Sub-Committee and relevant Trade Associations. Some members also suggested that their respective institutions’ relationship management teams and client surveys could raise awareness of the Code, and seek to understand any themes in signing statements of commitment to the</w:t>
      </w:r>
      <w:r>
        <w:rPr>
          <w:spacing w:val="-6"/>
          <w:sz w:val="20"/>
        </w:rPr>
        <w:t> </w:t>
      </w:r>
      <w:r>
        <w:rPr>
          <w:sz w:val="20"/>
        </w:rPr>
        <w:t>Code.</w:t>
      </w:r>
    </w:p>
    <w:p>
      <w:pPr>
        <w:pStyle w:val="BodyText"/>
        <w:spacing w:before="1"/>
      </w:pPr>
    </w:p>
    <w:p>
      <w:pPr>
        <w:pStyle w:val="ListParagraph"/>
        <w:numPr>
          <w:ilvl w:val="0"/>
          <w:numId w:val="1"/>
        </w:numPr>
        <w:tabs>
          <w:tab w:pos="981" w:val="left" w:leader="none"/>
        </w:tabs>
        <w:spacing w:line="240" w:lineRule="auto" w:before="0" w:after="0"/>
        <w:ind w:left="980" w:right="578" w:hanging="361"/>
        <w:jc w:val="both"/>
        <w:rPr>
          <w:sz w:val="20"/>
        </w:rPr>
      </w:pPr>
      <w:r>
        <w:rPr>
          <w:sz w:val="20"/>
        </w:rPr>
        <w:t>Whilst the Committee agreed that there is further work required to increase sign up to the Code, no member has received notification of any breaches of the</w:t>
      </w:r>
      <w:r>
        <w:rPr>
          <w:spacing w:val="-6"/>
          <w:sz w:val="20"/>
        </w:rPr>
        <w:t> </w:t>
      </w:r>
      <w:r>
        <w:rPr>
          <w:sz w:val="20"/>
        </w:rPr>
        <w:t>Code.</w:t>
      </w:r>
    </w:p>
    <w:p>
      <w:pPr>
        <w:pStyle w:val="BodyText"/>
        <w:spacing w:before="10"/>
      </w:pPr>
    </w:p>
    <w:p>
      <w:pPr>
        <w:pStyle w:val="Heading1"/>
        <w:spacing w:before="1"/>
      </w:pPr>
      <w:r>
        <w:rPr/>
        <w:t>Item 3. FCA recognition of the Code</w:t>
      </w:r>
    </w:p>
    <w:p>
      <w:pPr>
        <w:pStyle w:val="BodyText"/>
        <w:spacing w:before="9"/>
        <w:rPr>
          <w:b/>
        </w:rPr>
      </w:pPr>
    </w:p>
    <w:p>
      <w:pPr>
        <w:pStyle w:val="ListParagraph"/>
        <w:numPr>
          <w:ilvl w:val="0"/>
          <w:numId w:val="1"/>
        </w:numPr>
        <w:tabs>
          <w:tab w:pos="981" w:val="left" w:leader="none"/>
        </w:tabs>
        <w:spacing w:line="276" w:lineRule="auto" w:before="0" w:after="0"/>
        <w:ind w:left="980" w:right="578" w:hanging="361"/>
        <w:jc w:val="both"/>
        <w:rPr>
          <w:sz w:val="20"/>
        </w:rPr>
      </w:pPr>
      <w:r>
        <w:rPr>
          <w:sz w:val="20"/>
        </w:rPr>
        <w:t>The Bank, in its role as MMC Chair, had applied on behalf of the Committee to the FCA for recognition of the UK Money Market Code. The public consultation would close on 6 February 2019 and, assuming a positive outcome, the Code might be recognised in</w:t>
      </w:r>
      <w:r>
        <w:rPr>
          <w:spacing w:val="-8"/>
          <w:sz w:val="20"/>
        </w:rPr>
        <w:t> </w:t>
      </w:r>
      <w:r>
        <w:rPr>
          <w:sz w:val="20"/>
        </w:rPr>
        <w:t>Q2.</w:t>
      </w:r>
    </w:p>
    <w:p>
      <w:pPr>
        <w:pStyle w:val="BodyText"/>
        <w:spacing w:before="5"/>
        <w:rPr>
          <w:sz w:val="17"/>
        </w:rPr>
      </w:pPr>
    </w:p>
    <w:p>
      <w:pPr>
        <w:pStyle w:val="Heading1"/>
        <w:spacing w:before="1"/>
      </w:pPr>
      <w:r>
        <w:rPr/>
        <w:t>Item 4. Review of the Code</w:t>
      </w:r>
    </w:p>
    <w:p>
      <w:pPr>
        <w:pStyle w:val="BodyText"/>
        <w:spacing w:before="3"/>
        <w:rPr>
          <w:b/>
        </w:rPr>
      </w:pPr>
    </w:p>
    <w:p>
      <w:pPr>
        <w:pStyle w:val="ListParagraph"/>
        <w:numPr>
          <w:ilvl w:val="0"/>
          <w:numId w:val="1"/>
        </w:numPr>
        <w:tabs>
          <w:tab w:pos="981" w:val="left" w:leader="none"/>
        </w:tabs>
        <w:spacing w:line="276" w:lineRule="auto" w:before="0" w:after="0"/>
        <w:ind w:left="980" w:right="575" w:hanging="361"/>
        <w:jc w:val="both"/>
        <w:rPr>
          <w:sz w:val="20"/>
        </w:rPr>
      </w:pPr>
      <w:r>
        <w:rPr>
          <w:sz w:val="20"/>
        </w:rPr>
        <w:t>The Chair outlined an initial proposal for reviewing the UK Money Markets Code in line with the intention to update the Code every three years. The Committee agreed that the review of the Code will follow a similar approach to the drafting of the Code with regards to work streams focussed on each chapter. The Secretariat agreed to circulate a list of proposed work streams to members ahead of the next Committee</w:t>
      </w:r>
      <w:r>
        <w:rPr>
          <w:spacing w:val="-5"/>
          <w:sz w:val="20"/>
        </w:rPr>
        <w:t> </w:t>
      </w:r>
      <w:r>
        <w:rPr>
          <w:sz w:val="20"/>
        </w:rPr>
        <w:t>meeting.</w:t>
      </w:r>
    </w:p>
    <w:p>
      <w:pPr>
        <w:pStyle w:val="BodyText"/>
        <w:rPr>
          <w:sz w:val="23"/>
        </w:rPr>
      </w:pPr>
    </w:p>
    <w:p>
      <w:pPr>
        <w:pStyle w:val="ListParagraph"/>
        <w:numPr>
          <w:ilvl w:val="0"/>
          <w:numId w:val="1"/>
        </w:numPr>
        <w:tabs>
          <w:tab w:pos="981" w:val="left" w:leader="none"/>
        </w:tabs>
        <w:spacing w:line="276" w:lineRule="auto" w:before="0" w:after="0"/>
        <w:ind w:left="980" w:right="576" w:hanging="361"/>
        <w:jc w:val="both"/>
        <w:rPr>
          <w:sz w:val="20"/>
        </w:rPr>
      </w:pPr>
      <w:r>
        <w:rPr>
          <w:sz w:val="20"/>
        </w:rPr>
        <w:t>It was anticipated that the Code would be updated to reflect a number of regulatory changes,  such as MiFID II. Members agreed to review the Code to identify any high level areas for change ahead of discussion at the next Committee</w:t>
      </w:r>
      <w:r>
        <w:rPr>
          <w:spacing w:val="-7"/>
          <w:sz w:val="20"/>
        </w:rPr>
        <w:t> </w:t>
      </w:r>
      <w:r>
        <w:rPr>
          <w:sz w:val="20"/>
        </w:rPr>
        <w:t>meeting.</w:t>
      </w:r>
    </w:p>
    <w:p>
      <w:pPr>
        <w:pStyle w:val="BodyText"/>
        <w:spacing w:before="6"/>
        <w:rPr>
          <w:sz w:val="17"/>
        </w:rPr>
      </w:pPr>
    </w:p>
    <w:p>
      <w:pPr>
        <w:pStyle w:val="Heading1"/>
      </w:pPr>
      <w:r>
        <w:rPr/>
        <w:t>Item 5. Forward agenda</w:t>
      </w:r>
    </w:p>
    <w:p>
      <w:pPr>
        <w:pStyle w:val="BodyText"/>
        <w:spacing w:before="3"/>
        <w:rPr>
          <w:b/>
        </w:rPr>
      </w:pPr>
    </w:p>
    <w:p>
      <w:pPr>
        <w:pStyle w:val="ListParagraph"/>
        <w:numPr>
          <w:ilvl w:val="0"/>
          <w:numId w:val="1"/>
        </w:numPr>
        <w:tabs>
          <w:tab w:pos="981" w:val="left" w:leader="none"/>
        </w:tabs>
        <w:spacing w:line="276" w:lineRule="auto" w:before="0" w:after="0"/>
        <w:ind w:left="980" w:right="577" w:hanging="361"/>
        <w:jc w:val="both"/>
        <w:rPr>
          <w:sz w:val="20"/>
        </w:rPr>
      </w:pPr>
      <w:r>
        <w:rPr>
          <w:sz w:val="20"/>
        </w:rPr>
        <w:t>Discussion turned to potential topics to be included in the Committee’s forward agenda for 2019. Suggestions put forward by members</w:t>
      </w:r>
      <w:r>
        <w:rPr>
          <w:spacing w:val="-3"/>
          <w:sz w:val="20"/>
        </w:rPr>
        <w:t> </w:t>
      </w:r>
      <w:r>
        <w:rPr>
          <w:sz w:val="20"/>
        </w:rPr>
        <w:t>included:</w:t>
      </w:r>
    </w:p>
    <w:p>
      <w:pPr>
        <w:pStyle w:val="BodyText"/>
        <w:spacing w:before="11"/>
        <w:rPr>
          <w:sz w:val="22"/>
        </w:rPr>
      </w:pPr>
    </w:p>
    <w:p>
      <w:pPr>
        <w:pStyle w:val="ListParagraph"/>
        <w:numPr>
          <w:ilvl w:val="1"/>
          <w:numId w:val="1"/>
        </w:numPr>
        <w:tabs>
          <w:tab w:pos="2060" w:val="left" w:leader="none"/>
          <w:tab w:pos="2061" w:val="left" w:leader="none"/>
        </w:tabs>
        <w:spacing w:line="240" w:lineRule="auto" w:before="0" w:after="0"/>
        <w:ind w:left="2060" w:right="0" w:hanging="361"/>
        <w:jc w:val="left"/>
        <w:rPr>
          <w:sz w:val="20"/>
        </w:rPr>
      </w:pPr>
      <w:r>
        <w:rPr>
          <w:sz w:val="20"/>
        </w:rPr>
        <w:t>Impact of the Code on bank</w:t>
      </w:r>
      <w:r>
        <w:rPr>
          <w:spacing w:val="-4"/>
          <w:sz w:val="20"/>
        </w:rPr>
        <w:t> </w:t>
      </w:r>
      <w:r>
        <w:rPr>
          <w:sz w:val="20"/>
        </w:rPr>
        <w:t>disintermediation;</w:t>
      </w:r>
    </w:p>
    <w:p>
      <w:pPr>
        <w:pStyle w:val="ListParagraph"/>
        <w:numPr>
          <w:ilvl w:val="1"/>
          <w:numId w:val="1"/>
        </w:numPr>
        <w:tabs>
          <w:tab w:pos="2060" w:val="left" w:leader="none"/>
          <w:tab w:pos="2061" w:val="left" w:leader="none"/>
        </w:tabs>
        <w:spacing w:line="240" w:lineRule="auto" w:before="33" w:after="0"/>
        <w:ind w:left="2060" w:right="0" w:hanging="361"/>
        <w:jc w:val="left"/>
        <w:rPr>
          <w:sz w:val="20"/>
        </w:rPr>
      </w:pPr>
      <w:r>
        <w:rPr>
          <w:sz w:val="20"/>
        </w:rPr>
        <w:t>Communication strategy on the Code (as discussed under item</w:t>
      </w:r>
      <w:r>
        <w:rPr>
          <w:spacing w:val="-4"/>
          <w:sz w:val="20"/>
        </w:rPr>
        <w:t> </w:t>
      </w:r>
      <w:r>
        <w:rPr>
          <w:sz w:val="20"/>
        </w:rPr>
        <w:t>2);</w:t>
      </w:r>
    </w:p>
    <w:p>
      <w:pPr>
        <w:pStyle w:val="ListParagraph"/>
        <w:numPr>
          <w:ilvl w:val="1"/>
          <w:numId w:val="1"/>
        </w:numPr>
        <w:tabs>
          <w:tab w:pos="2060" w:val="left" w:leader="none"/>
          <w:tab w:pos="2061" w:val="left" w:leader="none"/>
        </w:tabs>
        <w:spacing w:line="240" w:lineRule="auto" w:before="33" w:after="0"/>
        <w:ind w:left="2060" w:right="0" w:hanging="361"/>
        <w:jc w:val="left"/>
        <w:rPr>
          <w:sz w:val="20"/>
        </w:rPr>
      </w:pPr>
      <w:r>
        <w:rPr>
          <w:sz w:val="20"/>
        </w:rPr>
        <w:t>Education and training on the</w:t>
      </w:r>
      <w:r>
        <w:rPr>
          <w:spacing w:val="-1"/>
          <w:sz w:val="20"/>
        </w:rPr>
        <w:t> </w:t>
      </w:r>
      <w:r>
        <w:rPr>
          <w:sz w:val="20"/>
        </w:rPr>
        <w:t>Code;</w:t>
      </w:r>
    </w:p>
    <w:p>
      <w:pPr>
        <w:pStyle w:val="ListParagraph"/>
        <w:numPr>
          <w:ilvl w:val="1"/>
          <w:numId w:val="1"/>
        </w:numPr>
        <w:tabs>
          <w:tab w:pos="2060" w:val="left" w:leader="none"/>
          <w:tab w:pos="2061" w:val="left" w:leader="none"/>
        </w:tabs>
        <w:spacing w:line="273" w:lineRule="auto" w:before="33" w:after="0"/>
        <w:ind w:left="2060" w:right="576" w:hanging="360"/>
        <w:jc w:val="left"/>
        <w:rPr>
          <w:sz w:val="20"/>
        </w:rPr>
      </w:pPr>
      <w:r>
        <w:rPr>
          <w:sz w:val="20"/>
        </w:rPr>
        <w:t>The impact of Central Securities Depositories Regulation on trade settlement discipline;</w:t>
      </w:r>
    </w:p>
    <w:p>
      <w:pPr>
        <w:pStyle w:val="ListParagraph"/>
        <w:numPr>
          <w:ilvl w:val="1"/>
          <w:numId w:val="1"/>
        </w:numPr>
        <w:tabs>
          <w:tab w:pos="2060" w:val="left" w:leader="none"/>
          <w:tab w:pos="2061" w:val="left" w:leader="none"/>
        </w:tabs>
        <w:spacing w:line="240" w:lineRule="auto" w:before="1" w:after="0"/>
        <w:ind w:left="2060" w:right="0" w:hanging="361"/>
        <w:jc w:val="left"/>
        <w:rPr>
          <w:sz w:val="20"/>
        </w:rPr>
      </w:pPr>
      <w:r>
        <w:rPr>
          <w:sz w:val="20"/>
        </w:rPr>
        <w:t>Interaction between Risk Free Rate reform and the</w:t>
      </w:r>
      <w:r>
        <w:rPr>
          <w:spacing w:val="-4"/>
          <w:sz w:val="20"/>
        </w:rPr>
        <w:t> </w:t>
      </w:r>
      <w:r>
        <w:rPr>
          <w:sz w:val="20"/>
        </w:rPr>
        <w:t>Code;</w:t>
      </w:r>
    </w:p>
    <w:p>
      <w:pPr>
        <w:pStyle w:val="ListParagraph"/>
        <w:numPr>
          <w:ilvl w:val="1"/>
          <w:numId w:val="1"/>
        </w:numPr>
        <w:tabs>
          <w:tab w:pos="2060" w:val="left" w:leader="none"/>
          <w:tab w:pos="2061" w:val="left" w:leader="none"/>
        </w:tabs>
        <w:spacing w:line="271" w:lineRule="auto" w:before="33" w:after="0"/>
        <w:ind w:left="2060" w:right="578" w:hanging="360"/>
        <w:jc w:val="left"/>
        <w:rPr>
          <w:sz w:val="20"/>
        </w:rPr>
      </w:pPr>
      <w:r>
        <w:rPr>
          <w:sz w:val="20"/>
        </w:rPr>
        <w:t>Whether behaviour in relation to market participation at reporting dates was in line with the high ethical standards expected in the</w:t>
      </w:r>
      <w:r>
        <w:rPr>
          <w:spacing w:val="-6"/>
          <w:sz w:val="20"/>
        </w:rPr>
        <w:t> </w:t>
      </w:r>
      <w:r>
        <w:rPr>
          <w:sz w:val="20"/>
        </w:rPr>
        <w:t>Code.</w:t>
      </w:r>
    </w:p>
    <w:p>
      <w:pPr>
        <w:pStyle w:val="BodyText"/>
        <w:rPr>
          <w:sz w:val="18"/>
        </w:rPr>
      </w:pPr>
    </w:p>
    <w:p>
      <w:pPr>
        <w:pStyle w:val="Heading1"/>
      </w:pPr>
      <w:r>
        <w:rPr/>
        <w:t>Item 6. AOB</w:t>
      </w:r>
    </w:p>
    <w:p>
      <w:pPr>
        <w:pStyle w:val="BodyText"/>
        <w:spacing w:before="4"/>
        <w:rPr>
          <w:b/>
        </w:rPr>
      </w:pPr>
    </w:p>
    <w:p>
      <w:pPr>
        <w:pStyle w:val="ListParagraph"/>
        <w:numPr>
          <w:ilvl w:val="0"/>
          <w:numId w:val="1"/>
        </w:numPr>
        <w:tabs>
          <w:tab w:pos="981" w:val="left" w:leader="none"/>
        </w:tabs>
        <w:spacing w:line="240" w:lineRule="auto" w:before="0" w:after="0"/>
        <w:ind w:left="980" w:right="0" w:hanging="361"/>
        <w:jc w:val="left"/>
        <w:rPr>
          <w:sz w:val="20"/>
        </w:rPr>
      </w:pPr>
      <w:r>
        <w:rPr>
          <w:sz w:val="20"/>
        </w:rPr>
        <w:t>The Chair confirmed that the next meeting will take place on 16 May</w:t>
      </w:r>
      <w:r>
        <w:rPr>
          <w:spacing w:val="-8"/>
          <w:sz w:val="20"/>
        </w:rPr>
        <w:t> </w:t>
      </w:r>
      <w:r>
        <w:rPr>
          <w:sz w:val="20"/>
        </w:rPr>
        <w:t>2019.</w:t>
      </w:r>
    </w:p>
    <w:sectPr>
      <w:pgSz w:w="11910" w:h="16840"/>
      <w:pgMar w:header="735" w:footer="0" w:top="1660" w:bottom="280" w:left="8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497472">
          <wp:simplePos x="0" y="0"/>
          <wp:positionH relativeFrom="page">
            <wp:posOffset>956522</wp:posOffset>
          </wp:positionH>
          <wp:positionV relativeFrom="page">
            <wp:posOffset>466983</wp:posOffset>
          </wp:positionV>
          <wp:extent cx="463513" cy="46917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63513" cy="469177"/>
                  </a:xfrm>
                  <a:prstGeom prst="rect">
                    <a:avLst/>
                  </a:prstGeom>
                </pic:spPr>
              </pic:pic>
            </a:graphicData>
          </a:graphic>
        </wp:anchor>
      </w:drawing>
    </w:r>
    <w:r>
      <w:rPr/>
      <w:drawing>
        <wp:anchor distT="0" distB="0" distL="0" distR="0" allowOverlap="1" layoutInCell="1" locked="0" behindDoc="1" simplePos="0" relativeHeight="251498496">
          <wp:simplePos x="0" y="0"/>
          <wp:positionH relativeFrom="page">
            <wp:posOffset>2131774</wp:posOffset>
          </wp:positionH>
          <wp:positionV relativeFrom="page">
            <wp:posOffset>640463</wp:posOffset>
          </wp:positionV>
          <wp:extent cx="123098" cy="12801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23098" cy="128018"/>
                  </a:xfrm>
                  <a:prstGeom prst="rect">
                    <a:avLst/>
                  </a:prstGeom>
                </pic:spPr>
              </pic:pic>
            </a:graphicData>
          </a:graphic>
        </wp:anchor>
      </w:drawing>
    </w:r>
    <w:r>
      <w:rPr/>
      <w:drawing>
        <wp:anchor distT="0" distB="0" distL="0" distR="0" allowOverlap="1" layoutInCell="1" locked="0" behindDoc="1" simplePos="0" relativeHeight="251499520">
          <wp:simplePos x="0" y="0"/>
          <wp:positionH relativeFrom="page">
            <wp:posOffset>2722416</wp:posOffset>
          </wp:positionH>
          <wp:positionV relativeFrom="page">
            <wp:posOffset>640480</wp:posOffset>
          </wp:positionV>
          <wp:extent cx="106845" cy="1280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06845" cy="128000"/>
                  </a:xfrm>
                  <a:prstGeom prst="rect">
                    <a:avLst/>
                  </a:prstGeom>
                </pic:spPr>
              </pic:pic>
            </a:graphicData>
          </a:graphic>
        </wp:anchor>
      </w:drawing>
    </w:r>
    <w:r>
      <w:rPr/>
      <w:drawing>
        <wp:anchor distT="0" distB="0" distL="0" distR="0" allowOverlap="1" layoutInCell="1" locked="0" behindDoc="1" simplePos="0" relativeHeight="251500544">
          <wp:simplePos x="0" y="0"/>
          <wp:positionH relativeFrom="page">
            <wp:posOffset>1670130</wp:posOffset>
          </wp:positionH>
          <wp:positionV relativeFrom="page">
            <wp:posOffset>641044</wp:posOffset>
          </wp:positionV>
          <wp:extent cx="110934" cy="12555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4" cstate="print"/>
                  <a:stretch>
                    <a:fillRect/>
                  </a:stretch>
                </pic:blipFill>
                <pic:spPr>
                  <a:xfrm>
                    <a:off x="0" y="0"/>
                    <a:ext cx="110934" cy="125552"/>
                  </a:xfrm>
                  <a:prstGeom prst="rect">
                    <a:avLst/>
                  </a:prstGeom>
                </pic:spPr>
              </pic:pic>
            </a:graphicData>
          </a:graphic>
        </wp:anchor>
      </w:drawing>
    </w:r>
    <w:r>
      <w:rPr/>
      <w:drawing>
        <wp:anchor distT="0" distB="0" distL="0" distR="0" allowOverlap="1" layoutInCell="1" locked="0" behindDoc="1" simplePos="0" relativeHeight="251501568">
          <wp:simplePos x="0" y="0"/>
          <wp:positionH relativeFrom="page">
            <wp:posOffset>2960121</wp:posOffset>
          </wp:positionH>
          <wp:positionV relativeFrom="page">
            <wp:posOffset>641044</wp:posOffset>
          </wp:positionV>
          <wp:extent cx="110847" cy="125552"/>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5" cstate="print"/>
                  <a:stretch>
                    <a:fillRect/>
                  </a:stretch>
                </pic:blipFill>
                <pic:spPr>
                  <a:xfrm>
                    <a:off x="0" y="0"/>
                    <a:ext cx="110847" cy="125552"/>
                  </a:xfrm>
                  <a:prstGeom prst="rect">
                    <a:avLst/>
                  </a:prstGeom>
                </pic:spPr>
              </pic:pic>
            </a:graphicData>
          </a:graphic>
        </wp:anchor>
      </w:drawing>
    </w:r>
    <w:r>
      <w:rPr/>
      <w:drawing>
        <wp:anchor distT="0" distB="0" distL="0" distR="0" allowOverlap="1" layoutInCell="1" locked="0" behindDoc="1" simplePos="0" relativeHeight="251502592">
          <wp:simplePos x="0" y="0"/>
          <wp:positionH relativeFrom="page">
            <wp:posOffset>1563545</wp:posOffset>
          </wp:positionH>
          <wp:positionV relativeFrom="page">
            <wp:posOffset>641625</wp:posOffset>
          </wp:positionV>
          <wp:extent cx="79994" cy="12497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6" cstate="print"/>
                  <a:stretch>
                    <a:fillRect/>
                  </a:stretch>
                </pic:blipFill>
                <pic:spPr>
                  <a:xfrm>
                    <a:off x="0" y="0"/>
                    <a:ext cx="79994" cy="124970"/>
                  </a:xfrm>
                  <a:prstGeom prst="rect">
                    <a:avLst/>
                  </a:prstGeom>
                </pic:spPr>
              </pic:pic>
            </a:graphicData>
          </a:graphic>
        </wp:anchor>
      </w:drawing>
    </w:r>
    <w:r>
      <w:rPr/>
      <w:drawing>
        <wp:anchor distT="0" distB="0" distL="0" distR="0" allowOverlap="1" layoutInCell="1" locked="0" behindDoc="1" simplePos="0" relativeHeight="251503616">
          <wp:simplePos x="0" y="0"/>
          <wp:positionH relativeFrom="page">
            <wp:posOffset>1814232</wp:posOffset>
          </wp:positionH>
          <wp:positionV relativeFrom="page">
            <wp:posOffset>641625</wp:posOffset>
          </wp:positionV>
          <wp:extent cx="108289" cy="124970"/>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7" cstate="print"/>
                  <a:stretch>
                    <a:fillRect/>
                  </a:stretch>
                </pic:blipFill>
                <pic:spPr>
                  <a:xfrm>
                    <a:off x="0" y="0"/>
                    <a:ext cx="108289" cy="124970"/>
                  </a:xfrm>
                  <a:prstGeom prst="rect">
                    <a:avLst/>
                  </a:prstGeom>
                </pic:spPr>
              </pic:pic>
            </a:graphicData>
          </a:graphic>
        </wp:anchor>
      </w:drawing>
    </w:r>
    <w:r>
      <w:rPr/>
      <w:drawing>
        <wp:anchor distT="0" distB="0" distL="0" distR="0" allowOverlap="1" layoutInCell="1" locked="0" behindDoc="1" simplePos="0" relativeHeight="251504640">
          <wp:simplePos x="0" y="0"/>
          <wp:positionH relativeFrom="page">
            <wp:posOffset>1968983</wp:posOffset>
          </wp:positionH>
          <wp:positionV relativeFrom="page">
            <wp:posOffset>641625</wp:posOffset>
          </wp:positionV>
          <wp:extent cx="89756" cy="12497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8" cstate="print"/>
                  <a:stretch>
                    <a:fillRect/>
                  </a:stretch>
                </pic:blipFill>
                <pic:spPr>
                  <a:xfrm>
                    <a:off x="0" y="0"/>
                    <a:ext cx="89756" cy="124970"/>
                  </a:xfrm>
                  <a:prstGeom prst="rect">
                    <a:avLst/>
                  </a:prstGeom>
                </pic:spPr>
              </pic:pic>
            </a:graphicData>
          </a:graphic>
        </wp:anchor>
      </w:drawing>
    </w:r>
    <w:r>
      <w:rPr/>
      <w:drawing>
        <wp:anchor distT="0" distB="0" distL="0" distR="0" allowOverlap="1" layoutInCell="1" locked="0" behindDoc="1" simplePos="0" relativeHeight="251505664">
          <wp:simplePos x="0" y="0"/>
          <wp:positionH relativeFrom="page">
            <wp:posOffset>2295888</wp:posOffset>
          </wp:positionH>
          <wp:positionV relativeFrom="page">
            <wp:posOffset>641625</wp:posOffset>
          </wp:positionV>
          <wp:extent cx="71380" cy="12497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9" cstate="print"/>
                  <a:stretch>
                    <a:fillRect/>
                  </a:stretch>
                </pic:blipFill>
                <pic:spPr>
                  <a:xfrm>
                    <a:off x="0" y="0"/>
                    <a:ext cx="71380" cy="124970"/>
                  </a:xfrm>
                  <a:prstGeom prst="rect">
                    <a:avLst/>
                  </a:prstGeom>
                </pic:spPr>
              </pic:pic>
            </a:graphicData>
          </a:graphic>
        </wp:anchor>
      </w:drawing>
    </w:r>
    <w:r>
      <w:rPr/>
      <w:drawing>
        <wp:anchor distT="0" distB="0" distL="0" distR="0" allowOverlap="1" layoutInCell="1" locked="0" behindDoc="1" simplePos="0" relativeHeight="251506688">
          <wp:simplePos x="0" y="0"/>
          <wp:positionH relativeFrom="page">
            <wp:posOffset>2456469</wp:posOffset>
          </wp:positionH>
          <wp:positionV relativeFrom="page">
            <wp:posOffset>641625</wp:posOffset>
          </wp:positionV>
          <wp:extent cx="75122" cy="12497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0" cstate="print"/>
                  <a:stretch>
                    <a:fillRect/>
                  </a:stretch>
                </pic:blipFill>
                <pic:spPr>
                  <a:xfrm>
                    <a:off x="0" y="0"/>
                    <a:ext cx="75122" cy="124970"/>
                  </a:xfrm>
                  <a:prstGeom prst="rect">
                    <a:avLst/>
                  </a:prstGeom>
                </pic:spPr>
              </pic:pic>
            </a:graphicData>
          </a:graphic>
        </wp:anchor>
      </w:drawing>
    </w:r>
    <w:r>
      <w:rPr/>
      <w:drawing>
        <wp:anchor distT="0" distB="0" distL="0" distR="0" allowOverlap="1" layoutInCell="1" locked="0" behindDoc="1" simplePos="0" relativeHeight="251507712">
          <wp:simplePos x="0" y="0"/>
          <wp:positionH relativeFrom="page">
            <wp:posOffset>2573355</wp:posOffset>
          </wp:positionH>
          <wp:positionV relativeFrom="page">
            <wp:posOffset>641625</wp:posOffset>
          </wp:positionV>
          <wp:extent cx="108341" cy="124970"/>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1" cstate="print"/>
                  <a:stretch>
                    <a:fillRect/>
                  </a:stretch>
                </pic:blipFill>
                <pic:spPr>
                  <a:xfrm>
                    <a:off x="0" y="0"/>
                    <a:ext cx="108341" cy="124970"/>
                  </a:xfrm>
                  <a:prstGeom prst="rect">
                    <a:avLst/>
                  </a:prstGeom>
                </pic:spPr>
              </pic:pic>
            </a:graphicData>
          </a:graphic>
        </wp:anchor>
      </w:drawing>
    </w:r>
    <w:r>
      <w:rPr/>
      <w:drawing>
        <wp:anchor distT="0" distB="0" distL="0" distR="0" allowOverlap="1" layoutInCell="1" locked="0" behindDoc="1" simplePos="0" relativeHeight="251508736">
          <wp:simplePos x="0" y="0"/>
          <wp:positionH relativeFrom="page">
            <wp:posOffset>2874506</wp:posOffset>
          </wp:positionH>
          <wp:positionV relativeFrom="page">
            <wp:posOffset>641625</wp:posOffset>
          </wp:positionV>
          <wp:extent cx="64037" cy="124970"/>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2" cstate="print"/>
                  <a:stretch>
                    <a:fillRect/>
                  </a:stretch>
                </pic:blipFill>
                <pic:spPr>
                  <a:xfrm>
                    <a:off x="0" y="0"/>
                    <a:ext cx="64037" cy="124970"/>
                  </a:xfrm>
                  <a:prstGeom prst="rect">
                    <a:avLst/>
                  </a:prstGeom>
                </pic:spPr>
              </pic:pic>
            </a:graphicData>
          </a:graphic>
        </wp:anchor>
      </w:drawing>
    </w:r>
    <w:r>
      <w:rPr/>
      <w:drawing>
        <wp:anchor distT="0" distB="0" distL="0" distR="0" allowOverlap="1" layoutInCell="1" locked="0" behindDoc="1" simplePos="0" relativeHeight="251509760">
          <wp:simplePos x="0" y="0"/>
          <wp:positionH relativeFrom="page">
            <wp:posOffset>3104206</wp:posOffset>
          </wp:positionH>
          <wp:positionV relativeFrom="page">
            <wp:posOffset>641625</wp:posOffset>
          </wp:positionV>
          <wp:extent cx="108237" cy="124970"/>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3" cstate="print"/>
                  <a:stretch>
                    <a:fillRect/>
                  </a:stretch>
                </pic:blipFill>
                <pic:spPr>
                  <a:xfrm>
                    <a:off x="0" y="0"/>
                    <a:ext cx="108237" cy="124970"/>
                  </a:xfrm>
                  <a:prstGeom prst="rect">
                    <a:avLst/>
                  </a:prstGeom>
                </pic:spPr>
              </pic:pic>
            </a:graphicData>
          </a:graphic>
        </wp:anchor>
      </w:drawing>
    </w:r>
    <w:r>
      <w:rPr/>
      <w:drawing>
        <wp:anchor distT="0" distB="0" distL="0" distR="0" allowOverlap="1" layoutInCell="1" locked="0" behindDoc="1" simplePos="0" relativeHeight="251510784">
          <wp:simplePos x="0" y="0"/>
          <wp:positionH relativeFrom="page">
            <wp:posOffset>3258905</wp:posOffset>
          </wp:positionH>
          <wp:positionV relativeFrom="page">
            <wp:posOffset>641608</wp:posOffset>
          </wp:positionV>
          <wp:extent cx="102320" cy="124988"/>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14" cstate="print"/>
                  <a:stretch>
                    <a:fillRect/>
                  </a:stretch>
                </pic:blipFill>
                <pic:spPr>
                  <a:xfrm>
                    <a:off x="0" y="0"/>
                    <a:ext cx="102320" cy="1249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80" w:hanging="361"/>
        <w:jc w:val="left"/>
      </w:pPr>
      <w:rPr>
        <w:rFonts w:hint="default" w:ascii="Arial" w:hAnsi="Arial" w:eastAsia="Arial" w:cs="Arial"/>
        <w:w w:val="100"/>
        <w:sz w:val="20"/>
        <w:szCs w:val="20"/>
        <w:lang w:val="en-gb" w:eastAsia="en-gb" w:bidi="en-gb"/>
      </w:rPr>
    </w:lvl>
    <w:lvl w:ilvl="1">
      <w:start w:val="0"/>
      <w:numFmt w:val="bullet"/>
      <w:lvlText w:val=""/>
      <w:lvlJc w:val="left"/>
      <w:pPr>
        <w:ind w:left="1340" w:hanging="360"/>
      </w:pPr>
      <w:rPr>
        <w:rFonts w:hint="default" w:ascii="Symbol" w:hAnsi="Symbol" w:eastAsia="Symbol" w:cs="Symbol"/>
        <w:w w:val="100"/>
        <w:sz w:val="20"/>
        <w:szCs w:val="20"/>
        <w:lang w:val="en-gb" w:eastAsia="en-gb" w:bidi="en-gb"/>
      </w:rPr>
    </w:lvl>
    <w:lvl w:ilvl="2">
      <w:start w:val="0"/>
      <w:numFmt w:val="bullet"/>
      <w:lvlText w:val="•"/>
      <w:lvlJc w:val="left"/>
      <w:pPr>
        <w:ind w:left="2060" w:hanging="360"/>
      </w:pPr>
      <w:rPr>
        <w:rFonts w:hint="default"/>
        <w:lang w:val="en-gb" w:eastAsia="en-gb" w:bidi="en-gb"/>
      </w:rPr>
    </w:lvl>
    <w:lvl w:ilvl="3">
      <w:start w:val="0"/>
      <w:numFmt w:val="bullet"/>
      <w:lvlText w:val="•"/>
      <w:lvlJc w:val="left"/>
      <w:pPr>
        <w:ind w:left="3080" w:hanging="360"/>
      </w:pPr>
      <w:rPr>
        <w:rFonts w:hint="default"/>
        <w:lang w:val="en-gb" w:eastAsia="en-gb" w:bidi="en-gb"/>
      </w:rPr>
    </w:lvl>
    <w:lvl w:ilvl="4">
      <w:start w:val="0"/>
      <w:numFmt w:val="bullet"/>
      <w:lvlText w:val="•"/>
      <w:lvlJc w:val="left"/>
      <w:pPr>
        <w:ind w:left="4101" w:hanging="360"/>
      </w:pPr>
      <w:rPr>
        <w:rFonts w:hint="default"/>
        <w:lang w:val="en-gb" w:eastAsia="en-gb" w:bidi="en-gb"/>
      </w:rPr>
    </w:lvl>
    <w:lvl w:ilvl="5">
      <w:start w:val="0"/>
      <w:numFmt w:val="bullet"/>
      <w:lvlText w:val="•"/>
      <w:lvlJc w:val="left"/>
      <w:pPr>
        <w:ind w:left="5122" w:hanging="360"/>
      </w:pPr>
      <w:rPr>
        <w:rFonts w:hint="default"/>
        <w:lang w:val="en-gb" w:eastAsia="en-gb" w:bidi="en-gb"/>
      </w:rPr>
    </w:lvl>
    <w:lvl w:ilvl="6">
      <w:start w:val="0"/>
      <w:numFmt w:val="bullet"/>
      <w:lvlText w:val="•"/>
      <w:lvlJc w:val="left"/>
      <w:pPr>
        <w:ind w:left="6143" w:hanging="360"/>
      </w:pPr>
      <w:rPr>
        <w:rFonts w:hint="default"/>
        <w:lang w:val="en-gb" w:eastAsia="en-gb" w:bidi="en-gb"/>
      </w:rPr>
    </w:lvl>
    <w:lvl w:ilvl="7">
      <w:start w:val="0"/>
      <w:numFmt w:val="bullet"/>
      <w:lvlText w:val="•"/>
      <w:lvlJc w:val="left"/>
      <w:pPr>
        <w:ind w:left="7164" w:hanging="360"/>
      </w:pPr>
      <w:rPr>
        <w:rFonts w:hint="default"/>
        <w:lang w:val="en-gb" w:eastAsia="en-gb" w:bidi="en-gb"/>
      </w:rPr>
    </w:lvl>
    <w:lvl w:ilvl="8">
      <w:start w:val="0"/>
      <w:numFmt w:val="bullet"/>
      <w:lvlText w:val="•"/>
      <w:lvlJc w:val="left"/>
      <w:pPr>
        <w:ind w:left="8184"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62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80" w:hanging="361"/>
    </w:pPr>
    <w:rPr>
      <w:rFonts w:ascii="Arial" w:hAnsi="Arial" w:eastAsia="Arial" w:cs="Arial"/>
      <w:lang w:val="en-gb" w:eastAsia="en-gb" w:bidi="en-gb"/>
    </w:rPr>
  </w:style>
  <w:style w:styleId="TableParagraph" w:type="paragraph">
    <w:name w:val="Table Paragraph"/>
    <w:basedOn w:val="Normal"/>
    <w:uiPriority w:val="1"/>
    <w:qFormat/>
    <w:pPr>
      <w:ind w:left="88"/>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cms-lw-svr01/-/media/boe/files/minutes/2018/uk-money-markets-committee-minutes-october-2018.pdf?la=en&amp;hash=223C94718B450B33B5C08104DBCA9D3030A51456" TargetMode="Externa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UK Money Markets Code Sub-Committee Minutes - February 2019</dc:title>
  <dcterms:created xsi:type="dcterms:W3CDTF">2020-06-01T02:21:15Z</dcterms:created>
  <dcterms:modified xsi:type="dcterms:W3CDTF">2020-06-01T02:21:15Z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LastSaved">
    <vt:filetime>2020-06-01T00:00:00Z</vt:filetime>
  </property>
</Properties>
</file>