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24"/>
        </w:rPr>
      </w:pPr>
    </w:p>
    <w:p>
      <w:pPr>
        <w:spacing w:before="88"/>
        <w:ind w:left="116" w:right="0" w:firstLine="0"/>
        <w:jc w:val="left"/>
        <w:rPr>
          <w:sz w:val="41"/>
        </w:rPr>
      </w:pPr>
      <w:r>
        <w:rPr>
          <w:sz w:val="41"/>
        </w:rPr>
        <w:t>Minutes</w:t>
      </w:r>
    </w:p>
    <w:p>
      <w:pPr>
        <w:spacing w:before="326"/>
        <w:ind w:left="116" w:right="0" w:firstLine="0"/>
        <w:jc w:val="left"/>
        <w:rPr>
          <w:b/>
          <w:sz w:val="22"/>
        </w:rPr>
      </w:pPr>
      <w:r>
        <w:rPr>
          <w:b/>
          <w:sz w:val="22"/>
        </w:rPr>
        <w:t>Wholesale Distribution Steering Group (WDSG)</w:t>
      </w:r>
    </w:p>
    <w:p>
      <w:pPr>
        <w:spacing w:before="45"/>
        <w:ind w:left="116" w:right="0" w:firstLine="0"/>
        <w:jc w:val="left"/>
        <w:rPr>
          <w:sz w:val="22"/>
        </w:rPr>
      </w:pPr>
      <w:r>
        <w:rPr>
          <w:sz w:val="22"/>
        </w:rPr>
        <w:t>20 January 2020</w:t>
      </w:r>
    </w:p>
    <w:p>
      <w:pPr>
        <w:pStyle w:val="BodyText"/>
        <w:spacing w:before="9"/>
      </w:pPr>
      <w:r>
        <w:rPr/>
        <w:pict>
          <v:shape style="position:absolute;margin-left:48.840004pt;margin-top:12.970326pt;width:513.85pt;height:.1pt;mso-position-horizontal-relative:page;mso-position-vertical-relative:paragraph;z-index:-251658240;mso-wrap-distance-left:0;mso-wrap-distance-right:0" coordorigin="977,259" coordsize="10277,0" path="m977,259l11254,259e" filled="false" stroked="true" strokeweight=".360008pt" strokecolor="#000000">
            <v:path arrowok="t"/>
            <v:stroke dashstyle="solid"/>
            <w10:wrap type="topAndBottom"/>
          </v:shape>
        </w:pict>
      </w:r>
    </w:p>
    <w:p>
      <w:pPr>
        <w:pStyle w:val="BodyText"/>
        <w:rPr>
          <w:sz w:val="7"/>
        </w:rPr>
      </w:pPr>
    </w:p>
    <w:p>
      <w:pPr>
        <w:pStyle w:val="Heading1"/>
        <w:spacing w:before="100"/>
        <w:ind w:left="116" w:firstLine="0"/>
      </w:pPr>
      <w:r>
        <w:rPr>
          <w:b w:val="0"/>
          <w:w w:val="105"/>
        </w:rPr>
        <w:t>Location: </w:t>
      </w:r>
      <w:r>
        <w:rPr>
          <w:w w:val="105"/>
        </w:rPr>
        <w:t>Bank of England, Threadneedle St, London EC2R 8AH (Room 1X)</w:t>
      </w:r>
    </w:p>
    <w:p>
      <w:pPr>
        <w:pStyle w:val="BodyText"/>
        <w:spacing w:before="6"/>
        <w:rPr>
          <w:b/>
          <w:sz w:val="22"/>
        </w:rPr>
      </w:pPr>
    </w:p>
    <w:p>
      <w:pPr>
        <w:pStyle w:val="BodyText"/>
        <w:spacing w:line="285" w:lineRule="auto"/>
        <w:ind w:left="1014" w:hanging="898"/>
      </w:pPr>
      <w:r>
        <w:rPr>
          <w:w w:val="105"/>
        </w:rPr>
        <w:t>Attendees:</w:t>
      </w:r>
      <w:r>
        <w:rPr>
          <w:spacing w:val="-6"/>
          <w:w w:val="105"/>
        </w:rPr>
        <w:t> </w:t>
      </w:r>
      <w:r>
        <w:rPr>
          <w:b/>
          <w:w w:val="105"/>
        </w:rPr>
        <w:t>Bank</w:t>
      </w:r>
      <w:r>
        <w:rPr>
          <w:b/>
          <w:spacing w:val="-17"/>
          <w:w w:val="105"/>
        </w:rPr>
        <w:t> </w:t>
      </w:r>
      <w:r>
        <w:rPr>
          <w:b/>
          <w:w w:val="105"/>
        </w:rPr>
        <w:t>of</w:t>
      </w:r>
      <w:r>
        <w:rPr>
          <w:b/>
          <w:spacing w:val="-18"/>
          <w:w w:val="105"/>
        </w:rPr>
        <w:t> </w:t>
      </w:r>
      <w:r>
        <w:rPr>
          <w:b/>
          <w:w w:val="105"/>
        </w:rPr>
        <w:t>England</w:t>
      </w:r>
      <w:r>
        <w:rPr>
          <w:w w:val="105"/>
        </w:rPr>
        <w:t>:</w:t>
      </w:r>
      <w:r>
        <w:rPr>
          <w:spacing w:val="-18"/>
          <w:w w:val="105"/>
        </w:rPr>
        <w:t> </w:t>
      </w:r>
      <w:r>
        <w:rPr>
          <w:w w:val="105"/>
        </w:rPr>
        <w:t>Sarah</w:t>
      </w:r>
      <w:r>
        <w:rPr>
          <w:spacing w:val="-18"/>
          <w:w w:val="105"/>
        </w:rPr>
        <w:t> </w:t>
      </w:r>
      <w:r>
        <w:rPr>
          <w:w w:val="105"/>
        </w:rPr>
        <w:t>John</w:t>
      </w:r>
      <w:r>
        <w:rPr>
          <w:spacing w:val="-18"/>
          <w:w w:val="105"/>
        </w:rPr>
        <w:t> </w:t>
      </w:r>
      <w:r>
        <w:rPr>
          <w:w w:val="105"/>
        </w:rPr>
        <w:t>(Chair),</w:t>
      </w:r>
      <w:r>
        <w:rPr>
          <w:spacing w:val="18"/>
          <w:w w:val="105"/>
        </w:rPr>
        <w:t> </w:t>
      </w:r>
      <w:r>
        <w:rPr>
          <w:w w:val="105"/>
        </w:rPr>
        <w:t>Martin</w:t>
      </w:r>
      <w:r>
        <w:rPr>
          <w:spacing w:val="-18"/>
          <w:w w:val="105"/>
        </w:rPr>
        <w:t> </w:t>
      </w:r>
      <w:r>
        <w:rPr>
          <w:w w:val="105"/>
        </w:rPr>
        <w:t>Etheridge,</w:t>
      </w:r>
      <w:r>
        <w:rPr>
          <w:spacing w:val="-16"/>
          <w:w w:val="105"/>
        </w:rPr>
        <w:t> </w:t>
      </w:r>
      <w:r>
        <w:rPr>
          <w:w w:val="105"/>
        </w:rPr>
        <w:t>Mark</w:t>
      </w:r>
      <w:r>
        <w:rPr>
          <w:spacing w:val="-12"/>
          <w:w w:val="105"/>
        </w:rPr>
        <w:t> </w:t>
      </w:r>
      <w:r>
        <w:rPr>
          <w:w w:val="105"/>
        </w:rPr>
        <w:t>McLintock,</w:t>
      </w:r>
      <w:r>
        <w:rPr>
          <w:spacing w:val="-15"/>
          <w:w w:val="105"/>
        </w:rPr>
        <w:t> </w:t>
      </w:r>
      <w:r>
        <w:rPr>
          <w:w w:val="105"/>
        </w:rPr>
        <w:t>Ronan</w:t>
      </w:r>
      <w:r>
        <w:rPr>
          <w:spacing w:val="-16"/>
          <w:w w:val="105"/>
        </w:rPr>
        <w:t> </w:t>
      </w:r>
      <w:r>
        <w:rPr>
          <w:w w:val="105"/>
        </w:rPr>
        <w:t>McClintock,</w:t>
      </w:r>
      <w:r>
        <w:rPr>
          <w:spacing w:val="-12"/>
          <w:w w:val="105"/>
        </w:rPr>
        <w:t> </w:t>
      </w:r>
      <w:r>
        <w:rPr>
          <w:w w:val="105"/>
        </w:rPr>
        <w:t>Menaha</w:t>
      </w:r>
      <w:r>
        <w:rPr>
          <w:spacing w:val="-17"/>
          <w:w w:val="105"/>
        </w:rPr>
        <w:t> </w:t>
      </w:r>
      <w:r>
        <w:rPr>
          <w:w w:val="105"/>
        </w:rPr>
        <w:t>Yogendra, Kevin</w:t>
      </w:r>
      <w:r>
        <w:rPr>
          <w:spacing w:val="1"/>
          <w:w w:val="105"/>
        </w:rPr>
        <w:t> </w:t>
      </w:r>
      <w:r>
        <w:rPr>
          <w:w w:val="105"/>
        </w:rPr>
        <w:t>Finan</w:t>
      </w:r>
    </w:p>
    <w:p>
      <w:pPr>
        <w:pStyle w:val="BodyText"/>
        <w:spacing w:before="4"/>
        <w:ind w:left="1066"/>
      </w:pPr>
      <w:r>
        <w:rPr>
          <w:b/>
          <w:w w:val="105"/>
        </w:rPr>
        <w:t>UK Finance</w:t>
      </w:r>
      <w:r>
        <w:rPr>
          <w:w w:val="105"/>
        </w:rPr>
        <w:t>: Russell Saunders, Eric Leenders, Philip Mind</w:t>
      </w:r>
    </w:p>
    <w:p>
      <w:pPr>
        <w:spacing w:line="288" w:lineRule="auto" w:before="43"/>
        <w:ind w:left="1066" w:right="6197" w:firstLine="0"/>
        <w:jc w:val="left"/>
        <w:rPr>
          <w:sz w:val="18"/>
        </w:rPr>
      </w:pPr>
      <w:r>
        <w:rPr>
          <w:b/>
          <w:w w:val="105"/>
          <w:sz w:val="18"/>
        </w:rPr>
        <w:t>Barclays: </w:t>
      </w:r>
      <w:r>
        <w:rPr>
          <w:w w:val="105"/>
          <w:sz w:val="18"/>
        </w:rPr>
        <w:t>Tim Allen (by phone) </w:t>
      </w:r>
      <w:r>
        <w:rPr>
          <w:b/>
          <w:w w:val="105"/>
          <w:sz w:val="18"/>
        </w:rPr>
        <w:t>Lloyds Banking Group: </w:t>
      </w:r>
      <w:r>
        <w:rPr>
          <w:w w:val="105"/>
          <w:sz w:val="18"/>
        </w:rPr>
        <w:t>Otto Benz </w:t>
      </w:r>
      <w:r>
        <w:rPr>
          <w:b/>
          <w:w w:val="105"/>
          <w:sz w:val="18"/>
        </w:rPr>
        <w:t>HSBC</w:t>
      </w:r>
      <w:r>
        <w:rPr>
          <w:w w:val="105"/>
          <w:sz w:val="18"/>
        </w:rPr>
        <w:t>: Sue Yarham</w:t>
      </w:r>
    </w:p>
    <w:p>
      <w:pPr>
        <w:spacing w:line="206" w:lineRule="exact" w:before="0"/>
        <w:ind w:left="1066" w:right="0" w:firstLine="0"/>
        <w:jc w:val="left"/>
        <w:rPr>
          <w:sz w:val="18"/>
        </w:rPr>
      </w:pPr>
      <w:r>
        <w:rPr>
          <w:b/>
          <w:w w:val="105"/>
          <w:sz w:val="18"/>
        </w:rPr>
        <w:t>Virgin Money UK: </w:t>
      </w:r>
      <w:r>
        <w:rPr>
          <w:w w:val="105"/>
          <w:sz w:val="18"/>
        </w:rPr>
        <w:t>Derek Walker (Alternate, by phone)</w:t>
      </w:r>
    </w:p>
    <w:p>
      <w:pPr>
        <w:spacing w:line="288" w:lineRule="auto" w:before="42"/>
        <w:ind w:left="1067" w:right="5936" w:firstLine="0"/>
        <w:jc w:val="left"/>
        <w:rPr>
          <w:sz w:val="18"/>
        </w:rPr>
      </w:pPr>
      <w:r>
        <w:rPr>
          <w:b/>
          <w:w w:val="105"/>
          <w:sz w:val="18"/>
        </w:rPr>
        <w:t>Royal Bank of Scotland: </w:t>
      </w:r>
      <w:r>
        <w:rPr>
          <w:w w:val="105"/>
          <w:sz w:val="18"/>
        </w:rPr>
        <w:t>Richard Talbot </w:t>
      </w:r>
      <w:r>
        <w:rPr>
          <w:b/>
          <w:w w:val="105"/>
          <w:sz w:val="18"/>
        </w:rPr>
        <w:t>Santander: </w:t>
      </w:r>
      <w:r>
        <w:rPr>
          <w:w w:val="105"/>
          <w:sz w:val="18"/>
        </w:rPr>
        <w:t>Robert White (by phone) </w:t>
      </w:r>
      <w:r>
        <w:rPr>
          <w:b/>
          <w:w w:val="105"/>
          <w:sz w:val="18"/>
        </w:rPr>
        <w:t>Post Office: </w:t>
      </w:r>
      <w:r>
        <w:rPr>
          <w:w w:val="105"/>
          <w:sz w:val="18"/>
        </w:rPr>
        <w:t>Russell Hancock (by phone) </w:t>
      </w:r>
      <w:r>
        <w:rPr>
          <w:b/>
          <w:w w:val="105"/>
          <w:sz w:val="18"/>
        </w:rPr>
        <w:t>HM Treasury: </w:t>
      </w:r>
      <w:r>
        <w:rPr>
          <w:w w:val="105"/>
          <w:sz w:val="18"/>
        </w:rPr>
        <w:t>Derek Dunne (Alternate)</w:t>
      </w:r>
    </w:p>
    <w:p>
      <w:pPr>
        <w:pStyle w:val="BodyText"/>
        <w:rPr>
          <w:sz w:val="20"/>
        </w:rPr>
      </w:pPr>
    </w:p>
    <w:p>
      <w:pPr>
        <w:pStyle w:val="BodyText"/>
        <w:spacing w:before="5"/>
        <w:rPr>
          <w:sz w:val="23"/>
        </w:rPr>
      </w:pPr>
    </w:p>
    <w:p>
      <w:pPr>
        <w:pStyle w:val="BodyText"/>
        <w:ind w:left="1066"/>
      </w:pPr>
      <w:r>
        <w:rPr>
          <w:b/>
          <w:w w:val="105"/>
        </w:rPr>
        <w:t>KPMG: </w:t>
      </w:r>
      <w:r>
        <w:rPr>
          <w:w w:val="105"/>
        </w:rPr>
        <w:t>Simon Walker, Oliver Kirby-Johnson</w:t>
      </w:r>
    </w:p>
    <w:p>
      <w:pPr>
        <w:pStyle w:val="BodyText"/>
        <w:rPr>
          <w:sz w:val="20"/>
        </w:rPr>
      </w:pPr>
    </w:p>
    <w:p>
      <w:pPr>
        <w:pStyle w:val="BodyText"/>
        <w:rPr>
          <w:sz w:val="24"/>
        </w:rPr>
      </w:pPr>
    </w:p>
    <w:p>
      <w:pPr>
        <w:pStyle w:val="BodyText"/>
        <w:spacing w:line="285" w:lineRule="auto"/>
        <w:ind w:left="1014" w:hanging="898"/>
      </w:pPr>
      <w:r>
        <w:rPr>
          <w:w w:val="105"/>
        </w:rPr>
        <w:t>Apologies: Kevin McMullan (Danske Bank), Mario Pisani (HMT), John Garrett (First Trust Bank), Julie Fitzgibbon (Bank of Ireland)</w:t>
      </w:r>
    </w:p>
    <w:p>
      <w:pPr>
        <w:pStyle w:val="BodyText"/>
        <w:rPr>
          <w:sz w:val="20"/>
        </w:rPr>
      </w:pPr>
    </w:p>
    <w:p>
      <w:pPr>
        <w:pStyle w:val="BodyText"/>
        <w:rPr>
          <w:sz w:val="20"/>
        </w:rPr>
      </w:pPr>
    </w:p>
    <w:p>
      <w:pPr>
        <w:pStyle w:val="BodyText"/>
        <w:spacing w:before="5"/>
        <w:rPr>
          <w:sz w:val="19"/>
        </w:rPr>
      </w:pPr>
    </w:p>
    <w:p>
      <w:pPr>
        <w:pStyle w:val="Heading1"/>
        <w:ind w:left="215" w:firstLine="0"/>
      </w:pPr>
      <w:r>
        <w:rPr>
          <w:w w:val="105"/>
        </w:rPr>
        <w:t>Item</w:t>
      </w:r>
    </w:p>
    <w:p>
      <w:pPr>
        <w:pStyle w:val="BodyText"/>
        <w:rPr>
          <w:b/>
          <w:sz w:val="20"/>
        </w:rPr>
      </w:pPr>
    </w:p>
    <w:p>
      <w:pPr>
        <w:pStyle w:val="BodyText"/>
        <w:rPr>
          <w:b/>
          <w:sz w:val="20"/>
        </w:rPr>
      </w:pPr>
    </w:p>
    <w:p>
      <w:pPr>
        <w:pStyle w:val="BodyText"/>
        <w:spacing w:before="9"/>
        <w:rPr>
          <w:b/>
          <w:sz w:val="19"/>
        </w:rPr>
      </w:pPr>
    </w:p>
    <w:p>
      <w:pPr>
        <w:pStyle w:val="ListParagraph"/>
        <w:numPr>
          <w:ilvl w:val="0"/>
          <w:numId w:val="1"/>
        </w:numPr>
        <w:tabs>
          <w:tab w:pos="1115" w:val="left" w:leader="none"/>
          <w:tab w:pos="1116" w:val="left" w:leader="none"/>
        </w:tabs>
        <w:spacing w:line="240" w:lineRule="auto" w:before="1" w:after="0"/>
        <w:ind w:left="1115" w:right="0" w:hanging="901"/>
        <w:jc w:val="left"/>
        <w:rPr>
          <w:b/>
          <w:sz w:val="18"/>
        </w:rPr>
      </w:pPr>
      <w:r>
        <w:rPr>
          <w:b/>
          <w:w w:val="105"/>
          <w:sz w:val="18"/>
        </w:rPr>
        <w:t>Standing agenda</w:t>
      </w:r>
      <w:r>
        <w:rPr>
          <w:b/>
          <w:spacing w:val="-1"/>
          <w:w w:val="105"/>
          <w:sz w:val="18"/>
        </w:rPr>
        <w:t> </w:t>
      </w:r>
      <w:r>
        <w:rPr>
          <w:b/>
          <w:w w:val="105"/>
          <w:sz w:val="18"/>
        </w:rPr>
        <w:t>items</w:t>
      </w:r>
    </w:p>
    <w:p>
      <w:pPr>
        <w:pStyle w:val="BodyText"/>
        <w:spacing w:before="6"/>
        <w:rPr>
          <w:b/>
          <w:sz w:val="19"/>
        </w:rPr>
      </w:pPr>
    </w:p>
    <w:p>
      <w:pPr>
        <w:pStyle w:val="ListParagraph"/>
        <w:numPr>
          <w:ilvl w:val="1"/>
          <w:numId w:val="1"/>
        </w:numPr>
        <w:tabs>
          <w:tab w:pos="1446" w:val="left" w:leader="none"/>
          <w:tab w:pos="1447" w:val="left" w:leader="none"/>
        </w:tabs>
        <w:spacing w:line="240" w:lineRule="auto" w:before="0" w:after="0"/>
        <w:ind w:left="1446" w:right="0" w:hanging="340"/>
        <w:jc w:val="left"/>
        <w:rPr>
          <w:b/>
          <w:sz w:val="18"/>
        </w:rPr>
      </w:pPr>
      <w:r>
        <w:rPr>
          <w:b/>
          <w:w w:val="105"/>
          <w:sz w:val="18"/>
        </w:rPr>
        <w:t>December 2019</w:t>
      </w:r>
      <w:r>
        <w:rPr>
          <w:b/>
          <w:spacing w:val="-2"/>
          <w:w w:val="105"/>
          <w:sz w:val="18"/>
        </w:rPr>
        <w:t> </w:t>
      </w:r>
      <w:r>
        <w:rPr>
          <w:b/>
          <w:w w:val="105"/>
          <w:sz w:val="18"/>
        </w:rPr>
        <w:t>minutes:</w:t>
      </w:r>
    </w:p>
    <w:p>
      <w:pPr>
        <w:pStyle w:val="BodyText"/>
        <w:spacing w:before="9"/>
        <w:rPr>
          <w:b/>
          <w:sz w:val="19"/>
        </w:rPr>
      </w:pPr>
    </w:p>
    <w:p>
      <w:pPr>
        <w:pStyle w:val="BodyText"/>
        <w:ind w:left="1115"/>
      </w:pPr>
      <w:r>
        <w:rPr>
          <w:w w:val="105"/>
        </w:rPr>
        <w:t>The group agreed the December 2019 minutes, and approved their publication.</w:t>
      </w:r>
    </w:p>
    <w:p>
      <w:pPr>
        <w:pStyle w:val="BodyText"/>
        <w:spacing w:before="4"/>
        <w:rPr>
          <w:sz w:val="19"/>
        </w:rPr>
      </w:pPr>
    </w:p>
    <w:p>
      <w:pPr>
        <w:pStyle w:val="Heading1"/>
        <w:numPr>
          <w:ilvl w:val="1"/>
          <w:numId w:val="1"/>
        </w:numPr>
        <w:tabs>
          <w:tab w:pos="1446" w:val="left" w:leader="none"/>
          <w:tab w:pos="1447" w:val="left" w:leader="none"/>
        </w:tabs>
        <w:spacing w:line="240" w:lineRule="auto" w:before="0" w:after="0"/>
        <w:ind w:left="1446" w:right="0" w:hanging="340"/>
        <w:jc w:val="left"/>
      </w:pPr>
      <w:r>
        <w:rPr>
          <w:w w:val="105"/>
        </w:rPr>
        <w:t>Sharing information on stakeholder</w:t>
      </w:r>
      <w:r>
        <w:rPr>
          <w:spacing w:val="-4"/>
          <w:w w:val="105"/>
        </w:rPr>
        <w:t> </w:t>
      </w:r>
      <w:r>
        <w:rPr>
          <w:w w:val="105"/>
        </w:rPr>
        <w:t>engagement:</w:t>
      </w:r>
    </w:p>
    <w:p>
      <w:pPr>
        <w:pStyle w:val="BodyText"/>
        <w:spacing w:before="9"/>
        <w:rPr>
          <w:b/>
          <w:sz w:val="19"/>
        </w:rPr>
      </w:pPr>
    </w:p>
    <w:p>
      <w:pPr>
        <w:pStyle w:val="BodyText"/>
        <w:ind w:left="1115"/>
      </w:pPr>
      <w:r>
        <w:rPr>
          <w:w w:val="105"/>
        </w:rPr>
        <w:t>No updates were noted.</w:t>
      </w:r>
    </w:p>
    <w:p>
      <w:pPr>
        <w:pStyle w:val="BodyText"/>
        <w:rPr>
          <w:sz w:val="20"/>
        </w:rPr>
      </w:pPr>
    </w:p>
    <w:p>
      <w:pPr>
        <w:pStyle w:val="BodyText"/>
        <w:rPr>
          <w:sz w:val="20"/>
        </w:rPr>
      </w:pPr>
    </w:p>
    <w:p>
      <w:pPr>
        <w:pStyle w:val="BodyText"/>
        <w:rPr>
          <w:sz w:val="20"/>
        </w:rPr>
      </w:pPr>
    </w:p>
    <w:p>
      <w:pPr>
        <w:pStyle w:val="BodyText"/>
        <w:spacing w:before="4"/>
        <w:rPr>
          <w:sz w:val="17"/>
        </w:rPr>
      </w:pPr>
    </w:p>
    <w:p>
      <w:pPr>
        <w:pStyle w:val="Heading1"/>
        <w:numPr>
          <w:ilvl w:val="0"/>
          <w:numId w:val="1"/>
        </w:numPr>
        <w:tabs>
          <w:tab w:pos="1115" w:val="left" w:leader="none"/>
          <w:tab w:pos="1116" w:val="left" w:leader="none"/>
        </w:tabs>
        <w:spacing w:line="240" w:lineRule="auto" w:before="1" w:after="0"/>
        <w:ind w:left="1115" w:right="0" w:hanging="901"/>
        <w:jc w:val="left"/>
      </w:pPr>
      <w:r>
        <w:rPr>
          <w:w w:val="105"/>
        </w:rPr>
        <w:t>Project</w:t>
      </w:r>
      <w:r>
        <w:rPr>
          <w:spacing w:val="-2"/>
          <w:w w:val="105"/>
        </w:rPr>
        <w:t> </w:t>
      </w:r>
      <w:r>
        <w:rPr>
          <w:w w:val="105"/>
        </w:rPr>
        <w:t>Progress</w:t>
      </w:r>
    </w:p>
    <w:p>
      <w:pPr>
        <w:pStyle w:val="BodyText"/>
        <w:spacing w:before="6"/>
        <w:rPr>
          <w:b/>
          <w:sz w:val="19"/>
        </w:rPr>
      </w:pPr>
    </w:p>
    <w:p>
      <w:pPr>
        <w:pStyle w:val="BodyText"/>
        <w:spacing w:line="249" w:lineRule="auto"/>
        <w:ind w:left="1115" w:right="1388"/>
      </w:pPr>
      <w:r>
        <w:rPr>
          <w:w w:val="105"/>
        </w:rPr>
        <w:t>KPMG provided a progress report on their work plan for developing the future cash distribution model. The following points were covered:</w:t>
      </w:r>
    </w:p>
    <w:p>
      <w:pPr>
        <w:spacing w:after="0" w:line="249" w:lineRule="auto"/>
        <w:sectPr>
          <w:type w:val="continuous"/>
          <w:pgSz w:w="12240" w:h="15840"/>
          <w:pgMar w:top="1500" w:bottom="280" w:left="860" w:right="880"/>
        </w:sectPr>
      </w:pPr>
    </w:p>
    <w:p>
      <w:pPr>
        <w:pStyle w:val="BodyText"/>
        <w:spacing w:before="76"/>
        <w:ind w:right="826"/>
        <w:jc w:val="right"/>
      </w:pPr>
      <w:r>
        <w:rPr>
          <w:w w:val="103"/>
        </w:rPr>
        <w:t>2</w:t>
      </w:r>
    </w:p>
    <w:p>
      <w:pPr>
        <w:pStyle w:val="BodyText"/>
        <w:spacing w:before="7"/>
        <w:rPr>
          <w:sz w:val="19"/>
        </w:rPr>
      </w:pPr>
    </w:p>
    <w:p>
      <w:pPr>
        <w:pStyle w:val="ListParagraph"/>
        <w:numPr>
          <w:ilvl w:val="0"/>
          <w:numId w:val="2"/>
        </w:numPr>
        <w:tabs>
          <w:tab w:pos="1792" w:val="left" w:leader="none"/>
        </w:tabs>
        <w:spacing w:line="249" w:lineRule="auto" w:before="101" w:after="0"/>
        <w:ind w:left="1792" w:right="1532" w:hanging="339"/>
        <w:jc w:val="left"/>
        <w:rPr>
          <w:sz w:val="18"/>
        </w:rPr>
      </w:pPr>
      <w:r>
        <w:rPr>
          <w:w w:val="105"/>
          <w:sz w:val="18"/>
        </w:rPr>
        <w:t>On</w:t>
      </w:r>
      <w:r>
        <w:rPr>
          <w:spacing w:val="-4"/>
          <w:w w:val="105"/>
          <w:sz w:val="18"/>
        </w:rPr>
        <w:t> </w:t>
      </w:r>
      <w:r>
        <w:rPr>
          <w:w w:val="105"/>
          <w:sz w:val="18"/>
        </w:rPr>
        <w:t>behalf</w:t>
      </w:r>
      <w:r>
        <w:rPr>
          <w:spacing w:val="-4"/>
          <w:w w:val="105"/>
          <w:sz w:val="18"/>
        </w:rPr>
        <w:t> </w:t>
      </w:r>
      <w:r>
        <w:rPr>
          <w:w w:val="105"/>
          <w:sz w:val="18"/>
        </w:rPr>
        <w:t>of</w:t>
      </w:r>
      <w:r>
        <w:rPr>
          <w:spacing w:val="-3"/>
          <w:w w:val="105"/>
          <w:sz w:val="18"/>
        </w:rPr>
        <w:t> </w:t>
      </w:r>
      <w:r>
        <w:rPr>
          <w:w w:val="105"/>
          <w:sz w:val="18"/>
        </w:rPr>
        <w:t>ISG,</w:t>
      </w:r>
      <w:r>
        <w:rPr>
          <w:spacing w:val="-5"/>
          <w:w w:val="105"/>
          <w:sz w:val="18"/>
        </w:rPr>
        <w:t> </w:t>
      </w:r>
      <w:r>
        <w:rPr>
          <w:w w:val="105"/>
          <w:sz w:val="18"/>
        </w:rPr>
        <w:t>KPMG</w:t>
      </w:r>
      <w:r>
        <w:rPr>
          <w:spacing w:val="-5"/>
          <w:w w:val="105"/>
          <w:sz w:val="18"/>
        </w:rPr>
        <w:t> </w:t>
      </w:r>
      <w:r>
        <w:rPr>
          <w:w w:val="105"/>
          <w:sz w:val="18"/>
        </w:rPr>
        <w:t>has</w:t>
      </w:r>
      <w:r>
        <w:rPr>
          <w:spacing w:val="-4"/>
          <w:w w:val="105"/>
          <w:sz w:val="18"/>
        </w:rPr>
        <w:t> </w:t>
      </w:r>
      <w:r>
        <w:rPr>
          <w:w w:val="105"/>
          <w:sz w:val="18"/>
        </w:rPr>
        <w:t>assessed</w:t>
      </w:r>
      <w:r>
        <w:rPr>
          <w:spacing w:val="-3"/>
          <w:w w:val="105"/>
          <w:sz w:val="18"/>
        </w:rPr>
        <w:t> </w:t>
      </w:r>
      <w:r>
        <w:rPr>
          <w:w w:val="105"/>
          <w:sz w:val="18"/>
        </w:rPr>
        <w:t>3</w:t>
      </w:r>
      <w:r>
        <w:rPr>
          <w:spacing w:val="-6"/>
          <w:w w:val="105"/>
          <w:sz w:val="18"/>
        </w:rPr>
        <w:t> </w:t>
      </w:r>
      <w:r>
        <w:rPr>
          <w:w w:val="105"/>
          <w:sz w:val="18"/>
        </w:rPr>
        <w:t>organisational</w:t>
      </w:r>
      <w:r>
        <w:rPr>
          <w:spacing w:val="-5"/>
          <w:w w:val="105"/>
          <w:sz w:val="18"/>
        </w:rPr>
        <w:t> </w:t>
      </w:r>
      <w:r>
        <w:rPr>
          <w:w w:val="105"/>
          <w:sz w:val="18"/>
        </w:rPr>
        <w:t>models</w:t>
      </w:r>
      <w:r>
        <w:rPr>
          <w:spacing w:val="-6"/>
          <w:w w:val="105"/>
          <w:sz w:val="18"/>
        </w:rPr>
        <w:t> </w:t>
      </w:r>
      <w:r>
        <w:rPr>
          <w:w w:val="105"/>
          <w:sz w:val="18"/>
        </w:rPr>
        <w:t>for</w:t>
      </w:r>
      <w:r>
        <w:rPr>
          <w:spacing w:val="-2"/>
          <w:w w:val="105"/>
          <w:sz w:val="18"/>
        </w:rPr>
        <w:t> </w:t>
      </w:r>
      <w:r>
        <w:rPr>
          <w:w w:val="105"/>
          <w:sz w:val="18"/>
        </w:rPr>
        <w:t>a</w:t>
      </w:r>
      <w:r>
        <w:rPr>
          <w:spacing w:val="-5"/>
          <w:w w:val="105"/>
          <w:sz w:val="18"/>
        </w:rPr>
        <w:t> </w:t>
      </w:r>
      <w:r>
        <w:rPr>
          <w:w w:val="105"/>
          <w:sz w:val="18"/>
        </w:rPr>
        <w:t>utility</w:t>
      </w:r>
      <w:r>
        <w:rPr>
          <w:spacing w:val="-8"/>
          <w:w w:val="105"/>
          <w:sz w:val="18"/>
        </w:rPr>
        <w:t> </w:t>
      </w:r>
      <w:r>
        <w:rPr>
          <w:w w:val="105"/>
          <w:sz w:val="18"/>
        </w:rPr>
        <w:t>against</w:t>
      </w:r>
      <w:r>
        <w:rPr>
          <w:spacing w:val="-5"/>
          <w:w w:val="105"/>
          <w:sz w:val="18"/>
        </w:rPr>
        <w:t> </w:t>
      </w:r>
      <w:r>
        <w:rPr>
          <w:w w:val="105"/>
          <w:sz w:val="18"/>
        </w:rPr>
        <w:t>the WDSG success</w:t>
      </w:r>
      <w:r>
        <w:rPr>
          <w:spacing w:val="-5"/>
          <w:w w:val="105"/>
          <w:sz w:val="18"/>
        </w:rPr>
        <w:t> </w:t>
      </w:r>
      <w:r>
        <w:rPr>
          <w:w w:val="105"/>
          <w:sz w:val="18"/>
        </w:rPr>
        <w:t>criteria;</w:t>
      </w:r>
    </w:p>
    <w:p>
      <w:pPr>
        <w:pStyle w:val="BodyText"/>
        <w:spacing w:before="1"/>
        <w:rPr>
          <w:sz w:val="19"/>
        </w:rPr>
      </w:pPr>
    </w:p>
    <w:p>
      <w:pPr>
        <w:pStyle w:val="ListParagraph"/>
        <w:numPr>
          <w:ilvl w:val="0"/>
          <w:numId w:val="2"/>
        </w:numPr>
        <w:tabs>
          <w:tab w:pos="1792" w:val="left" w:leader="none"/>
        </w:tabs>
        <w:spacing w:line="249" w:lineRule="auto" w:before="0" w:after="0"/>
        <w:ind w:left="1792" w:right="1751" w:hanging="339"/>
        <w:jc w:val="left"/>
        <w:rPr>
          <w:sz w:val="18"/>
        </w:rPr>
      </w:pPr>
      <w:r>
        <w:rPr>
          <w:w w:val="105"/>
          <w:sz w:val="18"/>
        </w:rPr>
        <w:t>A</w:t>
      </w:r>
      <w:r>
        <w:rPr>
          <w:spacing w:val="-7"/>
          <w:w w:val="105"/>
          <w:sz w:val="18"/>
        </w:rPr>
        <w:t> </w:t>
      </w:r>
      <w:r>
        <w:rPr>
          <w:w w:val="105"/>
          <w:sz w:val="18"/>
        </w:rPr>
        <w:t>proposed</w:t>
      </w:r>
      <w:r>
        <w:rPr>
          <w:spacing w:val="-6"/>
          <w:w w:val="105"/>
          <w:sz w:val="18"/>
        </w:rPr>
        <w:t> </w:t>
      </w:r>
      <w:r>
        <w:rPr>
          <w:w w:val="105"/>
          <w:sz w:val="18"/>
        </w:rPr>
        <w:t>set</w:t>
      </w:r>
      <w:r>
        <w:rPr>
          <w:spacing w:val="-7"/>
          <w:w w:val="105"/>
          <w:sz w:val="18"/>
        </w:rPr>
        <w:t> </w:t>
      </w:r>
      <w:r>
        <w:rPr>
          <w:w w:val="105"/>
          <w:sz w:val="18"/>
        </w:rPr>
        <w:t>of</w:t>
      </w:r>
      <w:r>
        <w:rPr>
          <w:spacing w:val="-5"/>
          <w:w w:val="105"/>
          <w:sz w:val="18"/>
        </w:rPr>
        <w:t> </w:t>
      </w:r>
      <w:r>
        <w:rPr>
          <w:w w:val="105"/>
          <w:sz w:val="18"/>
        </w:rPr>
        <w:t>counterfactual</w:t>
      </w:r>
      <w:r>
        <w:rPr>
          <w:spacing w:val="-5"/>
          <w:w w:val="105"/>
          <w:sz w:val="18"/>
        </w:rPr>
        <w:t> </w:t>
      </w:r>
      <w:r>
        <w:rPr>
          <w:w w:val="105"/>
          <w:sz w:val="18"/>
        </w:rPr>
        <w:t>scenarios</w:t>
      </w:r>
      <w:r>
        <w:rPr>
          <w:spacing w:val="-3"/>
          <w:w w:val="105"/>
          <w:sz w:val="18"/>
        </w:rPr>
        <w:t> </w:t>
      </w:r>
      <w:r>
        <w:rPr>
          <w:w w:val="105"/>
          <w:sz w:val="18"/>
        </w:rPr>
        <w:t>has</w:t>
      </w:r>
      <w:r>
        <w:rPr>
          <w:spacing w:val="-7"/>
          <w:w w:val="105"/>
          <w:sz w:val="18"/>
        </w:rPr>
        <w:t> </w:t>
      </w:r>
      <w:r>
        <w:rPr>
          <w:w w:val="105"/>
          <w:sz w:val="18"/>
        </w:rPr>
        <w:t>been</w:t>
      </w:r>
      <w:r>
        <w:rPr>
          <w:spacing w:val="-4"/>
          <w:w w:val="105"/>
          <w:sz w:val="18"/>
        </w:rPr>
        <w:t> </w:t>
      </w:r>
      <w:r>
        <w:rPr>
          <w:w w:val="105"/>
          <w:sz w:val="18"/>
        </w:rPr>
        <w:t>presented</w:t>
      </w:r>
      <w:r>
        <w:rPr>
          <w:spacing w:val="-7"/>
          <w:w w:val="105"/>
          <w:sz w:val="18"/>
        </w:rPr>
        <w:t> </w:t>
      </w:r>
      <w:r>
        <w:rPr>
          <w:w w:val="105"/>
          <w:sz w:val="18"/>
        </w:rPr>
        <w:t>to</w:t>
      </w:r>
      <w:r>
        <w:rPr>
          <w:spacing w:val="-3"/>
          <w:w w:val="105"/>
          <w:sz w:val="18"/>
        </w:rPr>
        <w:t> </w:t>
      </w:r>
      <w:r>
        <w:rPr>
          <w:w w:val="105"/>
          <w:sz w:val="18"/>
        </w:rPr>
        <w:t>ISG</w:t>
      </w:r>
      <w:r>
        <w:rPr>
          <w:spacing w:val="-4"/>
          <w:w w:val="105"/>
          <w:sz w:val="18"/>
        </w:rPr>
        <w:t> </w:t>
      </w:r>
      <w:r>
        <w:rPr>
          <w:w w:val="105"/>
          <w:sz w:val="18"/>
        </w:rPr>
        <w:t>to</w:t>
      </w:r>
      <w:r>
        <w:rPr>
          <w:spacing w:val="-8"/>
          <w:w w:val="105"/>
          <w:sz w:val="18"/>
        </w:rPr>
        <w:t> </w:t>
      </w:r>
      <w:r>
        <w:rPr>
          <w:w w:val="105"/>
          <w:sz w:val="18"/>
        </w:rPr>
        <w:t>determine the industry business case for progressing to a utility</w:t>
      </w:r>
      <w:r>
        <w:rPr>
          <w:spacing w:val="-15"/>
          <w:w w:val="105"/>
          <w:sz w:val="18"/>
        </w:rPr>
        <w:t> </w:t>
      </w:r>
      <w:r>
        <w:rPr>
          <w:w w:val="105"/>
          <w:sz w:val="18"/>
        </w:rPr>
        <w:t>model;</w:t>
      </w:r>
    </w:p>
    <w:p>
      <w:pPr>
        <w:pStyle w:val="BodyText"/>
        <w:spacing w:before="10"/>
      </w:pPr>
    </w:p>
    <w:p>
      <w:pPr>
        <w:pStyle w:val="ListParagraph"/>
        <w:numPr>
          <w:ilvl w:val="0"/>
          <w:numId w:val="2"/>
        </w:numPr>
        <w:tabs>
          <w:tab w:pos="1792" w:val="left" w:leader="none"/>
        </w:tabs>
        <w:spacing w:line="249" w:lineRule="auto" w:before="1" w:after="0"/>
        <w:ind w:left="1792" w:right="1908" w:hanging="339"/>
        <w:jc w:val="left"/>
        <w:rPr>
          <w:sz w:val="18"/>
        </w:rPr>
      </w:pPr>
      <w:r>
        <w:rPr>
          <w:w w:val="105"/>
          <w:sz w:val="18"/>
        </w:rPr>
        <w:t>The</w:t>
      </w:r>
      <w:r>
        <w:rPr>
          <w:spacing w:val="-6"/>
          <w:w w:val="105"/>
          <w:sz w:val="18"/>
        </w:rPr>
        <w:t> </w:t>
      </w:r>
      <w:r>
        <w:rPr>
          <w:w w:val="105"/>
          <w:sz w:val="18"/>
        </w:rPr>
        <w:t>ISG</w:t>
      </w:r>
      <w:r>
        <w:rPr>
          <w:spacing w:val="-5"/>
          <w:w w:val="105"/>
          <w:sz w:val="18"/>
        </w:rPr>
        <w:t> </w:t>
      </w:r>
      <w:r>
        <w:rPr>
          <w:w w:val="105"/>
          <w:sz w:val="18"/>
        </w:rPr>
        <w:t>will</w:t>
      </w:r>
      <w:r>
        <w:rPr>
          <w:spacing w:val="-6"/>
          <w:w w:val="105"/>
          <w:sz w:val="18"/>
        </w:rPr>
        <w:t> </w:t>
      </w:r>
      <w:r>
        <w:rPr>
          <w:w w:val="105"/>
          <w:sz w:val="18"/>
        </w:rPr>
        <w:t>run</w:t>
      </w:r>
      <w:r>
        <w:rPr>
          <w:spacing w:val="-6"/>
          <w:w w:val="105"/>
          <w:sz w:val="18"/>
        </w:rPr>
        <w:t> </w:t>
      </w:r>
      <w:r>
        <w:rPr>
          <w:w w:val="105"/>
          <w:sz w:val="18"/>
        </w:rPr>
        <w:t>a</w:t>
      </w:r>
      <w:r>
        <w:rPr>
          <w:spacing w:val="-3"/>
          <w:w w:val="105"/>
          <w:sz w:val="18"/>
        </w:rPr>
        <w:t> </w:t>
      </w:r>
      <w:r>
        <w:rPr>
          <w:w w:val="105"/>
          <w:sz w:val="18"/>
        </w:rPr>
        <w:t>number</w:t>
      </w:r>
      <w:r>
        <w:rPr>
          <w:spacing w:val="-3"/>
          <w:w w:val="105"/>
          <w:sz w:val="18"/>
        </w:rPr>
        <w:t> </w:t>
      </w:r>
      <w:r>
        <w:rPr>
          <w:w w:val="105"/>
          <w:sz w:val="18"/>
        </w:rPr>
        <w:t>of</w:t>
      </w:r>
      <w:r>
        <w:rPr>
          <w:spacing w:val="-7"/>
          <w:w w:val="105"/>
          <w:sz w:val="18"/>
        </w:rPr>
        <w:t> </w:t>
      </w:r>
      <w:r>
        <w:rPr>
          <w:w w:val="105"/>
          <w:sz w:val="18"/>
        </w:rPr>
        <w:t>sprint</w:t>
      </w:r>
      <w:r>
        <w:rPr>
          <w:spacing w:val="-3"/>
          <w:w w:val="105"/>
          <w:sz w:val="18"/>
        </w:rPr>
        <w:t> </w:t>
      </w:r>
      <w:r>
        <w:rPr>
          <w:w w:val="105"/>
          <w:sz w:val="18"/>
        </w:rPr>
        <w:t>workshops</w:t>
      </w:r>
      <w:r>
        <w:rPr>
          <w:spacing w:val="-5"/>
          <w:w w:val="105"/>
          <w:sz w:val="18"/>
        </w:rPr>
        <w:t> </w:t>
      </w:r>
      <w:r>
        <w:rPr>
          <w:w w:val="105"/>
          <w:sz w:val="18"/>
        </w:rPr>
        <w:t>in</w:t>
      </w:r>
      <w:r>
        <w:rPr>
          <w:spacing w:val="-7"/>
          <w:w w:val="105"/>
          <w:sz w:val="18"/>
        </w:rPr>
        <w:t> </w:t>
      </w:r>
      <w:r>
        <w:rPr>
          <w:w w:val="105"/>
          <w:sz w:val="18"/>
        </w:rPr>
        <w:t>February</w:t>
      </w:r>
      <w:r>
        <w:rPr>
          <w:spacing w:val="-6"/>
          <w:w w:val="105"/>
          <w:sz w:val="18"/>
        </w:rPr>
        <w:t> </w:t>
      </w:r>
      <w:r>
        <w:rPr>
          <w:w w:val="105"/>
          <w:sz w:val="18"/>
        </w:rPr>
        <w:t>2020</w:t>
      </w:r>
      <w:r>
        <w:rPr>
          <w:spacing w:val="-6"/>
          <w:w w:val="105"/>
          <w:sz w:val="18"/>
        </w:rPr>
        <w:t> </w:t>
      </w:r>
      <w:r>
        <w:rPr>
          <w:w w:val="105"/>
          <w:sz w:val="18"/>
        </w:rPr>
        <w:t>to</w:t>
      </w:r>
      <w:r>
        <w:rPr>
          <w:spacing w:val="-3"/>
          <w:w w:val="105"/>
          <w:sz w:val="18"/>
        </w:rPr>
        <w:t> </w:t>
      </w:r>
      <w:r>
        <w:rPr>
          <w:w w:val="105"/>
          <w:sz w:val="18"/>
        </w:rPr>
        <w:t>provide</w:t>
      </w:r>
      <w:r>
        <w:rPr>
          <w:spacing w:val="-4"/>
          <w:w w:val="105"/>
          <w:sz w:val="18"/>
        </w:rPr>
        <w:t> </w:t>
      </w:r>
      <w:r>
        <w:rPr>
          <w:w w:val="105"/>
          <w:sz w:val="18"/>
        </w:rPr>
        <w:t>further analysis and refinements to the</w:t>
      </w:r>
      <w:r>
        <w:rPr>
          <w:spacing w:val="2"/>
          <w:w w:val="105"/>
          <w:sz w:val="18"/>
        </w:rPr>
        <w:t> </w:t>
      </w:r>
      <w:r>
        <w:rPr>
          <w:w w:val="105"/>
          <w:sz w:val="18"/>
        </w:rPr>
        <w:t>model.</w:t>
      </w:r>
    </w:p>
    <w:p>
      <w:pPr>
        <w:pStyle w:val="BodyText"/>
        <w:spacing w:before="2"/>
        <w:rPr>
          <w:sz w:val="29"/>
        </w:rPr>
      </w:pPr>
    </w:p>
    <w:p>
      <w:pPr>
        <w:pStyle w:val="Heading1"/>
        <w:numPr>
          <w:ilvl w:val="0"/>
          <w:numId w:val="3"/>
        </w:numPr>
        <w:tabs>
          <w:tab w:pos="1115" w:val="left" w:leader="none"/>
          <w:tab w:pos="1116" w:val="left" w:leader="none"/>
        </w:tabs>
        <w:spacing w:line="240" w:lineRule="auto" w:before="100" w:after="0"/>
        <w:ind w:left="1115" w:right="0" w:hanging="901"/>
        <w:jc w:val="left"/>
      </w:pPr>
      <w:r>
        <w:rPr>
          <w:w w:val="105"/>
        </w:rPr>
        <w:t>Operating</w:t>
      </w:r>
      <w:r>
        <w:rPr>
          <w:spacing w:val="-3"/>
          <w:w w:val="105"/>
        </w:rPr>
        <w:t> </w:t>
      </w:r>
      <w:r>
        <w:rPr>
          <w:w w:val="105"/>
        </w:rPr>
        <w:t>Model</w:t>
      </w:r>
    </w:p>
    <w:p>
      <w:pPr>
        <w:pStyle w:val="BodyText"/>
        <w:spacing w:before="4"/>
        <w:rPr>
          <w:b/>
          <w:sz w:val="19"/>
        </w:rPr>
      </w:pPr>
    </w:p>
    <w:p>
      <w:pPr>
        <w:pStyle w:val="BodyText"/>
        <w:spacing w:line="252" w:lineRule="auto"/>
        <w:ind w:left="1115" w:right="1591"/>
      </w:pPr>
      <w:r>
        <w:rPr>
          <w:w w:val="105"/>
        </w:rPr>
        <w:t>Members noted the KPMG analysis on behalf of the ISG. Members were content to proceed with further analysis of the two models which include consolidated asset ownership. This was on the basis that the analysis showed these models were best able to meet the success criteria.</w:t>
      </w:r>
    </w:p>
    <w:p>
      <w:pPr>
        <w:pStyle w:val="BodyText"/>
        <w:spacing w:before="4"/>
      </w:pPr>
    </w:p>
    <w:p>
      <w:pPr>
        <w:pStyle w:val="BodyText"/>
        <w:ind w:left="1115"/>
      </w:pPr>
      <w:r>
        <w:rPr>
          <w:w w:val="105"/>
        </w:rPr>
        <w:t>Members agreed a set of further analysis to help differentiate between the remaining models.</w:t>
      </w:r>
    </w:p>
    <w:p>
      <w:pPr>
        <w:pStyle w:val="BodyText"/>
        <w:spacing w:before="9"/>
        <w:rPr>
          <w:sz w:val="19"/>
        </w:rPr>
      </w:pPr>
    </w:p>
    <w:p>
      <w:pPr>
        <w:pStyle w:val="BodyText"/>
        <w:spacing w:line="249" w:lineRule="auto"/>
        <w:ind w:left="1115" w:right="1696"/>
      </w:pPr>
      <w:r>
        <w:rPr>
          <w:w w:val="105"/>
        </w:rPr>
        <w:t>The Chair noted the importance of members representing the views of their organisations to UK Finance / KPMG where necessary for these to be addressed as part of the forthcoming sprint workshops.</w:t>
      </w:r>
    </w:p>
    <w:p>
      <w:pPr>
        <w:pStyle w:val="BodyText"/>
        <w:rPr>
          <w:sz w:val="20"/>
        </w:rPr>
      </w:pPr>
    </w:p>
    <w:p>
      <w:pPr>
        <w:pStyle w:val="BodyText"/>
        <w:spacing w:before="8"/>
        <w:rPr>
          <w:sz w:val="17"/>
        </w:rPr>
      </w:pPr>
    </w:p>
    <w:p>
      <w:pPr>
        <w:pStyle w:val="Heading1"/>
        <w:numPr>
          <w:ilvl w:val="0"/>
          <w:numId w:val="3"/>
        </w:numPr>
        <w:tabs>
          <w:tab w:pos="1115" w:val="left" w:leader="none"/>
          <w:tab w:pos="1116" w:val="left" w:leader="none"/>
        </w:tabs>
        <w:spacing w:line="240" w:lineRule="auto" w:before="1" w:after="0"/>
        <w:ind w:left="1115" w:right="0" w:hanging="901"/>
        <w:jc w:val="left"/>
      </w:pPr>
      <w:r>
        <w:rPr>
          <w:w w:val="105"/>
        </w:rPr>
        <w:t>Counterfactual</w:t>
      </w:r>
    </w:p>
    <w:p>
      <w:pPr>
        <w:pStyle w:val="BodyText"/>
        <w:spacing w:before="8"/>
        <w:rPr>
          <w:b/>
          <w:sz w:val="19"/>
        </w:rPr>
      </w:pPr>
    </w:p>
    <w:p>
      <w:pPr>
        <w:pStyle w:val="BodyText"/>
        <w:spacing w:line="249" w:lineRule="auto" w:before="1"/>
        <w:ind w:left="1115" w:right="1388"/>
      </w:pPr>
      <w:r>
        <w:rPr>
          <w:w w:val="105"/>
        </w:rPr>
        <w:t>Members noted the good progress on the counterfactual scenarios, which would provide a range of scenarios against which to examine the case for moving towards a utility structure.</w:t>
      </w:r>
    </w:p>
    <w:p>
      <w:pPr>
        <w:pStyle w:val="BodyText"/>
        <w:spacing w:before="7"/>
      </w:pPr>
    </w:p>
    <w:p>
      <w:pPr>
        <w:pStyle w:val="BodyText"/>
        <w:spacing w:line="254" w:lineRule="auto" w:before="1"/>
        <w:ind w:left="1115" w:right="1768"/>
      </w:pPr>
      <w:r>
        <w:rPr>
          <w:w w:val="105"/>
        </w:rPr>
        <w:t>The group agreed that a sensitivity analysis should also be undertaken on the assumptions used in the models as it was not feasible to identify all possible counterfactuals.</w:t>
      </w:r>
    </w:p>
    <w:p>
      <w:pPr>
        <w:pStyle w:val="BodyText"/>
        <w:rPr>
          <w:sz w:val="20"/>
        </w:rPr>
      </w:pPr>
    </w:p>
    <w:p>
      <w:pPr>
        <w:pStyle w:val="BodyText"/>
        <w:rPr>
          <w:sz w:val="20"/>
        </w:rPr>
      </w:pPr>
    </w:p>
    <w:p>
      <w:pPr>
        <w:pStyle w:val="BodyText"/>
        <w:spacing w:before="11"/>
        <w:rPr>
          <w:sz w:val="15"/>
        </w:rPr>
      </w:pPr>
    </w:p>
    <w:p>
      <w:pPr>
        <w:pStyle w:val="Heading1"/>
        <w:numPr>
          <w:ilvl w:val="0"/>
          <w:numId w:val="3"/>
        </w:numPr>
        <w:tabs>
          <w:tab w:pos="1115" w:val="left" w:leader="none"/>
          <w:tab w:pos="1116" w:val="left" w:leader="none"/>
        </w:tabs>
        <w:spacing w:line="240" w:lineRule="auto" w:before="0" w:after="0"/>
        <w:ind w:left="1115" w:right="0" w:hanging="901"/>
        <w:jc w:val="left"/>
      </w:pPr>
      <w:r>
        <w:rPr>
          <w:w w:val="105"/>
        </w:rPr>
        <w:t>Next</w:t>
      </w:r>
      <w:r>
        <w:rPr>
          <w:spacing w:val="-2"/>
          <w:w w:val="105"/>
        </w:rPr>
        <w:t> </w:t>
      </w:r>
      <w:r>
        <w:rPr>
          <w:w w:val="105"/>
        </w:rPr>
        <w:t>Steps</w:t>
      </w:r>
    </w:p>
    <w:p>
      <w:pPr>
        <w:pStyle w:val="BodyText"/>
        <w:spacing w:before="6"/>
        <w:rPr>
          <w:b/>
          <w:sz w:val="19"/>
        </w:rPr>
      </w:pPr>
    </w:p>
    <w:p>
      <w:pPr>
        <w:pStyle w:val="BodyText"/>
        <w:spacing w:line="252" w:lineRule="auto"/>
        <w:ind w:left="1115" w:right="1653"/>
      </w:pPr>
      <w:r>
        <w:rPr>
          <w:w w:val="105"/>
        </w:rPr>
        <w:t>KPMG continue to liaise with the underwriters on the transition plan, they anticipate having a detailed blueprint by mid-February. Additionally, KPMG are also developing/refining the industry business case.</w:t>
      </w:r>
    </w:p>
    <w:p>
      <w:pPr>
        <w:pStyle w:val="BodyText"/>
        <w:rPr>
          <w:sz w:val="20"/>
        </w:rPr>
      </w:pPr>
    </w:p>
    <w:p>
      <w:pPr>
        <w:pStyle w:val="BodyText"/>
        <w:spacing w:before="3"/>
        <w:rPr>
          <w:sz w:val="17"/>
        </w:rPr>
      </w:pPr>
    </w:p>
    <w:p>
      <w:pPr>
        <w:pStyle w:val="Heading1"/>
        <w:numPr>
          <w:ilvl w:val="0"/>
          <w:numId w:val="3"/>
        </w:numPr>
        <w:tabs>
          <w:tab w:pos="1115" w:val="left" w:leader="none"/>
          <w:tab w:pos="1116" w:val="left" w:leader="none"/>
        </w:tabs>
        <w:spacing w:line="240" w:lineRule="auto" w:before="0" w:after="0"/>
        <w:ind w:left="1115" w:right="0" w:hanging="901"/>
        <w:jc w:val="left"/>
      </w:pPr>
      <w:r>
        <w:rPr>
          <w:w w:val="105"/>
        </w:rPr>
        <w:t>AOB</w:t>
      </w:r>
    </w:p>
    <w:p>
      <w:pPr>
        <w:pStyle w:val="BodyText"/>
        <w:spacing w:before="11"/>
        <w:ind w:left="1115"/>
        <w:rPr>
          <w:i/>
        </w:rPr>
      </w:pPr>
      <w:r>
        <w:rPr>
          <w:w w:val="105"/>
        </w:rPr>
        <w:t>Actions were reviewed and closed where applicable</w:t>
      </w:r>
      <w:r>
        <w:rPr>
          <w:i/>
          <w:w w:val="105"/>
        </w:rPr>
        <w:t>.</w:t>
      </w:r>
    </w:p>
    <w:sectPr>
      <w:pgSz w:w="12240" w:h="15840"/>
      <w:pgMar w:top="46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1115" w:hanging="900"/>
        <w:jc w:val="left"/>
      </w:pPr>
      <w:rPr>
        <w:rFonts w:hint="default" w:ascii="Arial" w:hAnsi="Arial" w:eastAsia="Arial" w:cs="Arial"/>
        <w:b/>
        <w:bCs/>
        <w:spacing w:val="-2"/>
        <w:w w:val="103"/>
        <w:sz w:val="18"/>
        <w:szCs w:val="18"/>
      </w:rPr>
    </w:lvl>
    <w:lvl w:ilvl="1">
      <w:start w:val="0"/>
      <w:numFmt w:val="bullet"/>
      <w:lvlText w:val="•"/>
      <w:lvlJc w:val="left"/>
      <w:pPr>
        <w:ind w:left="2058" w:hanging="900"/>
      </w:pPr>
      <w:rPr>
        <w:rFonts w:hint="default"/>
      </w:rPr>
    </w:lvl>
    <w:lvl w:ilvl="2">
      <w:start w:val="0"/>
      <w:numFmt w:val="bullet"/>
      <w:lvlText w:val="•"/>
      <w:lvlJc w:val="left"/>
      <w:pPr>
        <w:ind w:left="2996" w:hanging="900"/>
      </w:pPr>
      <w:rPr>
        <w:rFonts w:hint="default"/>
      </w:rPr>
    </w:lvl>
    <w:lvl w:ilvl="3">
      <w:start w:val="0"/>
      <w:numFmt w:val="bullet"/>
      <w:lvlText w:val="•"/>
      <w:lvlJc w:val="left"/>
      <w:pPr>
        <w:ind w:left="3934" w:hanging="900"/>
      </w:pPr>
      <w:rPr>
        <w:rFonts w:hint="default"/>
      </w:rPr>
    </w:lvl>
    <w:lvl w:ilvl="4">
      <w:start w:val="0"/>
      <w:numFmt w:val="bullet"/>
      <w:lvlText w:val="•"/>
      <w:lvlJc w:val="left"/>
      <w:pPr>
        <w:ind w:left="4872" w:hanging="900"/>
      </w:pPr>
      <w:rPr>
        <w:rFonts w:hint="default"/>
      </w:rPr>
    </w:lvl>
    <w:lvl w:ilvl="5">
      <w:start w:val="0"/>
      <w:numFmt w:val="bullet"/>
      <w:lvlText w:val="•"/>
      <w:lvlJc w:val="left"/>
      <w:pPr>
        <w:ind w:left="5810" w:hanging="900"/>
      </w:pPr>
      <w:rPr>
        <w:rFonts w:hint="default"/>
      </w:rPr>
    </w:lvl>
    <w:lvl w:ilvl="6">
      <w:start w:val="0"/>
      <w:numFmt w:val="bullet"/>
      <w:lvlText w:val="•"/>
      <w:lvlJc w:val="left"/>
      <w:pPr>
        <w:ind w:left="6748" w:hanging="900"/>
      </w:pPr>
      <w:rPr>
        <w:rFonts w:hint="default"/>
      </w:rPr>
    </w:lvl>
    <w:lvl w:ilvl="7">
      <w:start w:val="0"/>
      <w:numFmt w:val="bullet"/>
      <w:lvlText w:val="•"/>
      <w:lvlJc w:val="left"/>
      <w:pPr>
        <w:ind w:left="7686" w:hanging="900"/>
      </w:pPr>
      <w:rPr>
        <w:rFonts w:hint="default"/>
      </w:rPr>
    </w:lvl>
    <w:lvl w:ilvl="8">
      <w:start w:val="0"/>
      <w:numFmt w:val="bullet"/>
      <w:lvlText w:val="•"/>
      <w:lvlJc w:val="left"/>
      <w:pPr>
        <w:ind w:left="8624" w:hanging="900"/>
      </w:pPr>
      <w:rPr>
        <w:rFonts w:hint="default"/>
      </w:rPr>
    </w:lvl>
  </w:abstractNum>
  <w:abstractNum w:abstractNumId="1">
    <w:multiLevelType w:val="hybridMultilevel"/>
    <w:lvl w:ilvl="0">
      <w:start w:val="1"/>
      <w:numFmt w:val="decimal"/>
      <w:lvlText w:val="%1."/>
      <w:lvlJc w:val="left"/>
      <w:pPr>
        <w:ind w:left="1792" w:hanging="339"/>
        <w:jc w:val="left"/>
      </w:pPr>
      <w:rPr>
        <w:rFonts w:hint="default" w:ascii="Arial" w:hAnsi="Arial" w:eastAsia="Arial" w:cs="Arial"/>
        <w:spacing w:val="0"/>
        <w:w w:val="103"/>
        <w:sz w:val="18"/>
        <w:szCs w:val="18"/>
      </w:rPr>
    </w:lvl>
    <w:lvl w:ilvl="1">
      <w:start w:val="0"/>
      <w:numFmt w:val="bullet"/>
      <w:lvlText w:val="•"/>
      <w:lvlJc w:val="left"/>
      <w:pPr>
        <w:ind w:left="2670" w:hanging="339"/>
      </w:pPr>
      <w:rPr>
        <w:rFonts w:hint="default"/>
      </w:rPr>
    </w:lvl>
    <w:lvl w:ilvl="2">
      <w:start w:val="0"/>
      <w:numFmt w:val="bullet"/>
      <w:lvlText w:val="•"/>
      <w:lvlJc w:val="left"/>
      <w:pPr>
        <w:ind w:left="3540" w:hanging="339"/>
      </w:pPr>
      <w:rPr>
        <w:rFonts w:hint="default"/>
      </w:rPr>
    </w:lvl>
    <w:lvl w:ilvl="3">
      <w:start w:val="0"/>
      <w:numFmt w:val="bullet"/>
      <w:lvlText w:val="•"/>
      <w:lvlJc w:val="left"/>
      <w:pPr>
        <w:ind w:left="4410" w:hanging="339"/>
      </w:pPr>
      <w:rPr>
        <w:rFonts w:hint="default"/>
      </w:rPr>
    </w:lvl>
    <w:lvl w:ilvl="4">
      <w:start w:val="0"/>
      <w:numFmt w:val="bullet"/>
      <w:lvlText w:val="•"/>
      <w:lvlJc w:val="left"/>
      <w:pPr>
        <w:ind w:left="5280" w:hanging="339"/>
      </w:pPr>
      <w:rPr>
        <w:rFonts w:hint="default"/>
      </w:rPr>
    </w:lvl>
    <w:lvl w:ilvl="5">
      <w:start w:val="0"/>
      <w:numFmt w:val="bullet"/>
      <w:lvlText w:val="•"/>
      <w:lvlJc w:val="left"/>
      <w:pPr>
        <w:ind w:left="6150" w:hanging="339"/>
      </w:pPr>
      <w:rPr>
        <w:rFonts w:hint="default"/>
      </w:rPr>
    </w:lvl>
    <w:lvl w:ilvl="6">
      <w:start w:val="0"/>
      <w:numFmt w:val="bullet"/>
      <w:lvlText w:val="•"/>
      <w:lvlJc w:val="left"/>
      <w:pPr>
        <w:ind w:left="7020" w:hanging="339"/>
      </w:pPr>
      <w:rPr>
        <w:rFonts w:hint="default"/>
      </w:rPr>
    </w:lvl>
    <w:lvl w:ilvl="7">
      <w:start w:val="0"/>
      <w:numFmt w:val="bullet"/>
      <w:lvlText w:val="•"/>
      <w:lvlJc w:val="left"/>
      <w:pPr>
        <w:ind w:left="7890" w:hanging="339"/>
      </w:pPr>
      <w:rPr>
        <w:rFonts w:hint="default"/>
      </w:rPr>
    </w:lvl>
    <w:lvl w:ilvl="8">
      <w:start w:val="0"/>
      <w:numFmt w:val="bullet"/>
      <w:lvlText w:val="•"/>
      <w:lvlJc w:val="left"/>
      <w:pPr>
        <w:ind w:left="8760" w:hanging="339"/>
      </w:pPr>
      <w:rPr>
        <w:rFonts w:hint="default"/>
      </w:rPr>
    </w:lvl>
  </w:abstractNum>
  <w:abstractNum w:abstractNumId="0">
    <w:multiLevelType w:val="hybridMultilevel"/>
    <w:lvl w:ilvl="0">
      <w:start w:val="1"/>
      <w:numFmt w:val="decimal"/>
      <w:lvlText w:val="%1."/>
      <w:lvlJc w:val="left"/>
      <w:pPr>
        <w:ind w:left="1115" w:hanging="900"/>
        <w:jc w:val="left"/>
      </w:pPr>
      <w:rPr>
        <w:rFonts w:hint="default" w:ascii="Arial" w:hAnsi="Arial" w:eastAsia="Arial" w:cs="Arial"/>
        <w:b/>
        <w:bCs/>
        <w:spacing w:val="-2"/>
        <w:w w:val="103"/>
        <w:sz w:val="18"/>
        <w:szCs w:val="18"/>
      </w:rPr>
    </w:lvl>
    <w:lvl w:ilvl="1">
      <w:start w:val="0"/>
      <w:numFmt w:val="bullet"/>
      <w:lvlText w:val="-"/>
      <w:lvlJc w:val="left"/>
      <w:pPr>
        <w:ind w:left="1446" w:hanging="339"/>
      </w:pPr>
      <w:rPr>
        <w:rFonts w:hint="default" w:ascii="Arial" w:hAnsi="Arial" w:eastAsia="Arial" w:cs="Arial"/>
        <w:w w:val="103"/>
        <w:sz w:val="18"/>
        <w:szCs w:val="18"/>
      </w:rPr>
    </w:lvl>
    <w:lvl w:ilvl="2">
      <w:start w:val="0"/>
      <w:numFmt w:val="bullet"/>
      <w:lvlText w:val="•"/>
      <w:lvlJc w:val="left"/>
      <w:pPr>
        <w:ind w:left="2446" w:hanging="339"/>
      </w:pPr>
      <w:rPr>
        <w:rFonts w:hint="default"/>
      </w:rPr>
    </w:lvl>
    <w:lvl w:ilvl="3">
      <w:start w:val="0"/>
      <w:numFmt w:val="bullet"/>
      <w:lvlText w:val="•"/>
      <w:lvlJc w:val="left"/>
      <w:pPr>
        <w:ind w:left="3453" w:hanging="339"/>
      </w:pPr>
      <w:rPr>
        <w:rFonts w:hint="default"/>
      </w:rPr>
    </w:lvl>
    <w:lvl w:ilvl="4">
      <w:start w:val="0"/>
      <w:numFmt w:val="bullet"/>
      <w:lvlText w:val="•"/>
      <w:lvlJc w:val="left"/>
      <w:pPr>
        <w:ind w:left="4460" w:hanging="339"/>
      </w:pPr>
      <w:rPr>
        <w:rFonts w:hint="default"/>
      </w:rPr>
    </w:lvl>
    <w:lvl w:ilvl="5">
      <w:start w:val="0"/>
      <w:numFmt w:val="bullet"/>
      <w:lvlText w:val="•"/>
      <w:lvlJc w:val="left"/>
      <w:pPr>
        <w:ind w:left="5466" w:hanging="339"/>
      </w:pPr>
      <w:rPr>
        <w:rFonts w:hint="default"/>
      </w:rPr>
    </w:lvl>
    <w:lvl w:ilvl="6">
      <w:start w:val="0"/>
      <w:numFmt w:val="bullet"/>
      <w:lvlText w:val="•"/>
      <w:lvlJc w:val="left"/>
      <w:pPr>
        <w:ind w:left="6473" w:hanging="339"/>
      </w:pPr>
      <w:rPr>
        <w:rFonts w:hint="default"/>
      </w:rPr>
    </w:lvl>
    <w:lvl w:ilvl="7">
      <w:start w:val="0"/>
      <w:numFmt w:val="bullet"/>
      <w:lvlText w:val="•"/>
      <w:lvlJc w:val="left"/>
      <w:pPr>
        <w:ind w:left="7480" w:hanging="339"/>
      </w:pPr>
      <w:rPr>
        <w:rFonts w:hint="default"/>
      </w:rPr>
    </w:lvl>
    <w:lvl w:ilvl="8">
      <w:start w:val="0"/>
      <w:numFmt w:val="bullet"/>
      <w:lvlText w:val="•"/>
      <w:lvlJc w:val="left"/>
      <w:pPr>
        <w:ind w:left="8486" w:hanging="33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115" w:hanging="901"/>
      <w:outlineLvl w:val="1"/>
    </w:pPr>
    <w:rPr>
      <w:rFonts w:ascii="Arial" w:hAnsi="Arial" w:eastAsia="Arial" w:cs="Arial"/>
      <w:b/>
      <w:bCs/>
      <w:sz w:val="18"/>
      <w:szCs w:val="18"/>
    </w:rPr>
  </w:style>
  <w:style w:styleId="ListParagraph" w:type="paragraph">
    <w:name w:val="List Paragraph"/>
    <w:basedOn w:val="Normal"/>
    <w:uiPriority w:val="1"/>
    <w:qFormat/>
    <w:pPr>
      <w:ind w:left="1115" w:hanging="90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Wholesale Distribution Steering Group</dc:subject>
  <dc:title>Minutes of the Wholesale Distribution Steering Group - January 2020</dc:title>
  <dcterms:created xsi:type="dcterms:W3CDTF">2020-06-01T02:21:50Z</dcterms:created>
  <dcterms:modified xsi:type="dcterms:W3CDTF">2020-06-01T02:21:50Z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2020-02-17T00:00:00Z</vt:filetime>
  </property>
  <property fmtid="{D5CDD505-2E9C-101B-9397-08002B2CF9AE}" pid="3" name="LastSaved">
    <vt:filetime>2020-06-01T00:00:00Z</vt:filetime>
  </property>
</Properties>
</file>