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spacing w:before="228"/>
        <w:ind w:left="116" w:right="0" w:firstLine="0"/>
        <w:jc w:val="left"/>
        <w:rPr>
          <w:sz w:val="41"/>
        </w:rPr>
      </w:pPr>
      <w:r>
        <w:rPr>
          <w:sz w:val="41"/>
        </w:rPr>
        <w:t>Minutes</w:t>
      </w:r>
    </w:p>
    <w:p>
      <w:pPr>
        <w:spacing w:before="325"/>
        <w:ind w:left="116" w:right="0" w:firstLine="0"/>
        <w:jc w:val="left"/>
        <w:rPr>
          <w:b/>
          <w:sz w:val="22"/>
        </w:rPr>
      </w:pPr>
      <w:r>
        <w:rPr>
          <w:b/>
          <w:sz w:val="22"/>
        </w:rPr>
        <w:t>Wholesale Distribution Steering Group (WDSG)</w:t>
      </w:r>
    </w:p>
    <w:p>
      <w:pPr>
        <w:spacing w:before="45"/>
        <w:ind w:left="116" w:right="0" w:firstLine="0"/>
        <w:jc w:val="left"/>
        <w:rPr>
          <w:sz w:val="22"/>
        </w:rPr>
      </w:pPr>
      <w:r>
        <w:rPr>
          <w:sz w:val="22"/>
        </w:rPr>
        <w:t>25 June 2019</w:t>
      </w:r>
    </w:p>
    <w:p>
      <w:pPr>
        <w:pStyle w:val="BodyText"/>
        <w:spacing w:before="9"/>
      </w:pPr>
      <w:r>
        <w:rPr/>
        <w:pict>
          <v:shape style="position:absolute;margin-left:48.720001pt;margin-top:12.989642pt;width:514pt;height:.1pt;mso-position-horizontal-relative:page;mso-position-vertical-relative:paragraph;z-index:-251658240;mso-wrap-distance-left:0;mso-wrap-distance-right:0" coordorigin="974,260" coordsize="10280,0" path="m974,260l11254,260e" filled="false" stroked="true" strokeweight=".360008pt" strokecolor="#000000">
            <v:path arrowok="t"/>
            <v:stroke dashstyle="solid"/>
            <w10:wrap type="topAndBottom"/>
          </v:shape>
        </w:pict>
      </w:r>
    </w:p>
    <w:p>
      <w:pPr>
        <w:pStyle w:val="BodyText"/>
        <w:rPr>
          <w:sz w:val="7"/>
        </w:rPr>
      </w:pPr>
    </w:p>
    <w:p>
      <w:pPr>
        <w:pStyle w:val="Heading1"/>
        <w:spacing w:before="100"/>
        <w:ind w:left="116"/>
      </w:pPr>
      <w:r>
        <w:rPr>
          <w:b w:val="0"/>
          <w:w w:val="105"/>
        </w:rPr>
        <w:t>Location: </w:t>
      </w:r>
      <w:r>
        <w:rPr>
          <w:w w:val="105"/>
        </w:rPr>
        <w:t>Bank of England, Threadneedle St, London EC2R 8AH (Room 1X)</w:t>
      </w:r>
    </w:p>
    <w:p>
      <w:pPr>
        <w:pStyle w:val="BodyText"/>
        <w:spacing w:before="6"/>
        <w:rPr>
          <w:b/>
          <w:sz w:val="22"/>
        </w:rPr>
      </w:pPr>
    </w:p>
    <w:p>
      <w:pPr>
        <w:pStyle w:val="BodyText"/>
        <w:spacing w:line="285" w:lineRule="auto"/>
        <w:ind w:left="1014" w:right="91" w:hanging="898"/>
      </w:pPr>
      <w:r>
        <w:rPr>
          <w:w w:val="105"/>
        </w:rPr>
        <w:t>Attendees: </w:t>
      </w:r>
      <w:r>
        <w:rPr>
          <w:b/>
          <w:w w:val="105"/>
        </w:rPr>
        <w:t>Bank of England</w:t>
      </w:r>
      <w:r>
        <w:rPr>
          <w:w w:val="105"/>
        </w:rPr>
        <w:t>: Sarah John (Chair), Martin Etheridge, Mark McLintock, Ronan Mcclintock, Tina Harris, Kirsty Woodgate</w:t>
      </w:r>
    </w:p>
    <w:p>
      <w:pPr>
        <w:spacing w:before="4"/>
        <w:ind w:left="1066" w:right="0" w:firstLine="0"/>
        <w:jc w:val="left"/>
        <w:rPr>
          <w:sz w:val="18"/>
        </w:rPr>
      </w:pPr>
      <w:r>
        <w:rPr>
          <w:b/>
          <w:w w:val="105"/>
          <w:sz w:val="18"/>
        </w:rPr>
        <w:t>UK Finance</w:t>
      </w:r>
      <w:r>
        <w:rPr>
          <w:w w:val="105"/>
          <w:sz w:val="18"/>
        </w:rPr>
        <w:t>: Eric Leenders, Russell Saunders</w:t>
      </w:r>
    </w:p>
    <w:p>
      <w:pPr>
        <w:spacing w:before="43"/>
        <w:ind w:left="1066" w:right="0" w:firstLine="0"/>
        <w:jc w:val="left"/>
        <w:rPr>
          <w:sz w:val="18"/>
        </w:rPr>
      </w:pPr>
      <w:r>
        <w:rPr>
          <w:b/>
          <w:w w:val="105"/>
          <w:sz w:val="18"/>
        </w:rPr>
        <w:t>Barclays: </w:t>
      </w:r>
      <w:r>
        <w:rPr>
          <w:w w:val="105"/>
          <w:sz w:val="18"/>
        </w:rPr>
        <w:t>Tim Allen (by phone)</w:t>
      </w:r>
    </w:p>
    <w:p>
      <w:pPr>
        <w:spacing w:line="288" w:lineRule="auto" w:before="40"/>
        <w:ind w:left="1067" w:right="4505" w:hanging="1"/>
        <w:jc w:val="left"/>
        <w:rPr>
          <w:sz w:val="18"/>
        </w:rPr>
      </w:pPr>
      <w:r>
        <w:rPr>
          <w:b/>
          <w:w w:val="105"/>
          <w:sz w:val="18"/>
        </w:rPr>
        <w:t>Lloyds Banking Group: </w:t>
      </w:r>
      <w:r>
        <w:rPr>
          <w:w w:val="105"/>
          <w:sz w:val="18"/>
        </w:rPr>
        <w:t>Richard Hill (alternate) </w:t>
      </w:r>
      <w:r>
        <w:rPr>
          <w:b/>
          <w:w w:val="105"/>
          <w:sz w:val="18"/>
        </w:rPr>
        <w:t>Clydesdale/Yorkshire: </w:t>
      </w:r>
      <w:r>
        <w:rPr>
          <w:w w:val="105"/>
          <w:sz w:val="18"/>
        </w:rPr>
        <w:t>Dougie Belmore (by phone) </w:t>
      </w:r>
      <w:r>
        <w:rPr>
          <w:b/>
          <w:w w:val="105"/>
          <w:sz w:val="18"/>
        </w:rPr>
        <w:t>HSBC: </w:t>
      </w:r>
      <w:r>
        <w:rPr>
          <w:w w:val="105"/>
          <w:sz w:val="18"/>
        </w:rPr>
        <w:t>David Brook (alternate)</w:t>
      </w:r>
    </w:p>
    <w:p>
      <w:pPr>
        <w:spacing w:before="1"/>
        <w:ind w:left="1067" w:right="0" w:firstLine="0"/>
        <w:jc w:val="left"/>
        <w:rPr>
          <w:sz w:val="18"/>
        </w:rPr>
      </w:pPr>
      <w:r>
        <w:rPr>
          <w:b/>
          <w:w w:val="105"/>
          <w:sz w:val="18"/>
        </w:rPr>
        <w:t>Royal Bank of Scotland: </w:t>
      </w:r>
      <w:r>
        <w:rPr>
          <w:w w:val="105"/>
          <w:sz w:val="18"/>
        </w:rPr>
        <w:t>Richard Talbot</w:t>
      </w:r>
    </w:p>
    <w:p>
      <w:pPr>
        <w:spacing w:before="43"/>
        <w:ind w:left="1067" w:right="0" w:firstLine="0"/>
        <w:jc w:val="left"/>
        <w:rPr>
          <w:sz w:val="18"/>
        </w:rPr>
      </w:pPr>
      <w:r>
        <w:rPr>
          <w:b/>
          <w:w w:val="105"/>
          <w:sz w:val="18"/>
        </w:rPr>
        <w:t>Santander: </w:t>
      </w:r>
      <w:r>
        <w:rPr>
          <w:w w:val="105"/>
          <w:sz w:val="18"/>
        </w:rPr>
        <w:t>Robert White</w:t>
      </w:r>
    </w:p>
    <w:p>
      <w:pPr>
        <w:spacing w:before="40"/>
        <w:ind w:left="1067" w:right="0" w:firstLine="0"/>
        <w:jc w:val="left"/>
        <w:rPr>
          <w:sz w:val="18"/>
        </w:rPr>
      </w:pPr>
      <w:r>
        <w:rPr>
          <w:b/>
          <w:w w:val="105"/>
          <w:sz w:val="18"/>
        </w:rPr>
        <w:t>Post Office: </w:t>
      </w:r>
      <w:r>
        <w:rPr>
          <w:w w:val="105"/>
          <w:sz w:val="18"/>
        </w:rPr>
        <w:t>Russell Hancock (by phone)</w:t>
      </w:r>
    </w:p>
    <w:p>
      <w:pPr>
        <w:spacing w:before="43"/>
        <w:ind w:left="1067" w:right="0" w:firstLine="0"/>
        <w:jc w:val="left"/>
        <w:rPr>
          <w:sz w:val="18"/>
        </w:rPr>
      </w:pPr>
      <w:r>
        <w:rPr>
          <w:b/>
          <w:w w:val="105"/>
          <w:sz w:val="18"/>
        </w:rPr>
        <w:t>HM Treasury: </w:t>
      </w:r>
      <w:r>
        <w:rPr>
          <w:w w:val="105"/>
          <w:sz w:val="18"/>
        </w:rPr>
        <w:t>Mario Pisani</w:t>
      </w:r>
    </w:p>
    <w:p>
      <w:pPr>
        <w:pStyle w:val="BodyText"/>
        <w:spacing w:before="3"/>
        <w:rPr>
          <w:sz w:val="22"/>
        </w:rPr>
      </w:pPr>
    </w:p>
    <w:p>
      <w:pPr>
        <w:spacing w:before="0"/>
        <w:ind w:left="116" w:right="0" w:firstLine="0"/>
        <w:jc w:val="left"/>
        <w:rPr>
          <w:sz w:val="18"/>
        </w:rPr>
      </w:pPr>
      <w:r>
        <w:rPr>
          <w:w w:val="105"/>
          <w:sz w:val="18"/>
        </w:rPr>
        <w:t>Apologies: </w:t>
      </w:r>
      <w:r>
        <w:rPr>
          <w:b/>
          <w:w w:val="105"/>
          <w:sz w:val="18"/>
        </w:rPr>
        <w:t>Lloyds Banking Group: </w:t>
      </w:r>
      <w:r>
        <w:rPr>
          <w:w w:val="105"/>
          <w:sz w:val="18"/>
        </w:rPr>
        <w:t>Otto Benz</w:t>
      </w:r>
    </w:p>
    <w:p>
      <w:pPr>
        <w:spacing w:before="42"/>
        <w:ind w:left="1066" w:right="0" w:firstLine="0"/>
        <w:jc w:val="left"/>
        <w:rPr>
          <w:sz w:val="18"/>
        </w:rPr>
      </w:pPr>
      <w:r>
        <w:rPr>
          <w:b/>
          <w:w w:val="105"/>
          <w:sz w:val="18"/>
        </w:rPr>
        <w:t>HSBC: </w:t>
      </w:r>
      <w:r>
        <w:rPr>
          <w:w w:val="105"/>
          <w:sz w:val="18"/>
        </w:rPr>
        <w:t>Tom Wood</w:t>
      </w:r>
    </w:p>
    <w:p>
      <w:pPr>
        <w:pStyle w:val="BodyText"/>
        <w:rPr>
          <w:sz w:val="20"/>
        </w:rPr>
      </w:pPr>
    </w:p>
    <w:p>
      <w:pPr>
        <w:pStyle w:val="BodyText"/>
        <w:spacing w:before="9"/>
        <w:rPr>
          <w:sz w:val="23"/>
        </w:rPr>
      </w:pPr>
    </w:p>
    <w:p>
      <w:pPr>
        <w:pStyle w:val="Heading1"/>
        <w:ind w:left="215"/>
      </w:pPr>
      <w:r>
        <w:rPr>
          <w:w w:val="105"/>
        </w:rPr>
        <w:t>Item</w:t>
      </w:r>
    </w:p>
    <w:p>
      <w:pPr>
        <w:pStyle w:val="BodyText"/>
        <w:spacing w:before="1"/>
        <w:rPr>
          <w:b/>
          <w:sz w:val="21"/>
        </w:rPr>
      </w:pPr>
    </w:p>
    <w:p>
      <w:pPr>
        <w:pStyle w:val="ListParagraph"/>
        <w:numPr>
          <w:ilvl w:val="0"/>
          <w:numId w:val="1"/>
        </w:numPr>
        <w:tabs>
          <w:tab w:pos="1115" w:val="left" w:leader="none"/>
          <w:tab w:pos="1116" w:val="left" w:leader="none"/>
        </w:tabs>
        <w:spacing w:line="240" w:lineRule="auto" w:before="0" w:after="0"/>
        <w:ind w:left="1115" w:right="0" w:hanging="901"/>
        <w:jc w:val="left"/>
        <w:rPr>
          <w:b/>
          <w:sz w:val="18"/>
        </w:rPr>
      </w:pPr>
      <w:r>
        <w:rPr>
          <w:b/>
          <w:w w:val="105"/>
          <w:sz w:val="18"/>
        </w:rPr>
        <w:t>Introductions</w:t>
      </w:r>
    </w:p>
    <w:p>
      <w:pPr>
        <w:pStyle w:val="BodyText"/>
        <w:spacing w:before="8"/>
        <w:rPr>
          <w:b/>
          <w:sz w:val="19"/>
        </w:rPr>
      </w:pPr>
    </w:p>
    <w:p>
      <w:pPr>
        <w:pStyle w:val="BodyText"/>
        <w:spacing w:before="1"/>
        <w:ind w:left="1115"/>
      </w:pPr>
      <w:r>
        <w:rPr>
          <w:w w:val="105"/>
        </w:rPr>
        <w:t>The Chair introduced new members to the group.</w:t>
      </w:r>
    </w:p>
    <w:p>
      <w:pPr>
        <w:pStyle w:val="BodyText"/>
        <w:rPr>
          <w:sz w:val="20"/>
        </w:rPr>
      </w:pPr>
    </w:p>
    <w:p>
      <w:pPr>
        <w:pStyle w:val="BodyText"/>
        <w:spacing w:before="1"/>
      </w:pPr>
    </w:p>
    <w:p>
      <w:pPr>
        <w:pStyle w:val="Heading1"/>
        <w:numPr>
          <w:ilvl w:val="0"/>
          <w:numId w:val="1"/>
        </w:numPr>
        <w:tabs>
          <w:tab w:pos="1115" w:val="left" w:leader="none"/>
          <w:tab w:pos="1116" w:val="left" w:leader="none"/>
        </w:tabs>
        <w:spacing w:line="240" w:lineRule="auto" w:before="0" w:after="0"/>
        <w:ind w:left="1115" w:right="0" w:hanging="901"/>
        <w:jc w:val="left"/>
      </w:pPr>
      <w:r>
        <w:rPr>
          <w:w w:val="105"/>
        </w:rPr>
        <w:t>Agree May 2019 minutes and confirm</w:t>
      </w:r>
      <w:r>
        <w:rPr>
          <w:spacing w:val="-3"/>
          <w:w w:val="105"/>
        </w:rPr>
        <w:t> </w:t>
      </w:r>
      <w:r>
        <w:rPr>
          <w:w w:val="105"/>
        </w:rPr>
        <w:t>publication</w:t>
      </w:r>
    </w:p>
    <w:p>
      <w:pPr>
        <w:pStyle w:val="BodyText"/>
        <w:spacing w:before="9"/>
        <w:rPr>
          <w:b/>
          <w:sz w:val="19"/>
        </w:rPr>
      </w:pPr>
    </w:p>
    <w:p>
      <w:pPr>
        <w:pStyle w:val="BodyText"/>
        <w:spacing w:line="247" w:lineRule="auto"/>
        <w:ind w:left="1115" w:right="1980"/>
      </w:pPr>
      <w:r>
        <w:rPr>
          <w:w w:val="105"/>
        </w:rPr>
        <w:t>WDSG members agreed the May 2019 minutes. In line with the Terms of Reference, the minutes will be published on the Bank of England’s website.</w:t>
      </w:r>
    </w:p>
    <w:p>
      <w:pPr>
        <w:pStyle w:val="BodyText"/>
        <w:rPr>
          <w:sz w:val="20"/>
        </w:rPr>
      </w:pPr>
    </w:p>
    <w:p>
      <w:pPr>
        <w:pStyle w:val="BodyText"/>
        <w:rPr>
          <w:sz w:val="20"/>
        </w:rPr>
      </w:pPr>
    </w:p>
    <w:p>
      <w:pPr>
        <w:pStyle w:val="BodyText"/>
        <w:spacing w:before="10"/>
        <w:rPr>
          <w:sz w:val="16"/>
        </w:rPr>
      </w:pPr>
    </w:p>
    <w:p>
      <w:pPr>
        <w:pStyle w:val="Heading1"/>
        <w:numPr>
          <w:ilvl w:val="0"/>
          <w:numId w:val="1"/>
        </w:numPr>
        <w:tabs>
          <w:tab w:pos="1115" w:val="left" w:leader="none"/>
          <w:tab w:pos="1116" w:val="left" w:leader="none"/>
        </w:tabs>
        <w:spacing w:line="240" w:lineRule="auto" w:before="0" w:after="0"/>
        <w:ind w:left="1115" w:right="0" w:hanging="901"/>
        <w:jc w:val="left"/>
      </w:pPr>
      <w:r>
        <w:rPr>
          <w:w w:val="105"/>
        </w:rPr>
        <w:t>Finalise WDSG Terms of</w:t>
      </w:r>
      <w:r>
        <w:rPr>
          <w:spacing w:val="-3"/>
          <w:w w:val="105"/>
        </w:rPr>
        <w:t> </w:t>
      </w:r>
      <w:r>
        <w:rPr>
          <w:w w:val="105"/>
        </w:rPr>
        <w:t>Reference</w:t>
      </w:r>
    </w:p>
    <w:p>
      <w:pPr>
        <w:pStyle w:val="BodyText"/>
        <w:spacing w:before="6"/>
        <w:rPr>
          <w:b/>
          <w:sz w:val="19"/>
        </w:rPr>
      </w:pPr>
    </w:p>
    <w:p>
      <w:pPr>
        <w:pStyle w:val="BodyText"/>
        <w:spacing w:line="249" w:lineRule="auto"/>
        <w:ind w:left="1115" w:right="1580"/>
      </w:pPr>
      <w:r>
        <w:rPr>
          <w:w w:val="105"/>
        </w:rPr>
        <w:t>The Bank of England presented the WDSG Terms of Reference, which had been updated following comments from the May 2019 meeting. Members discussed the membership of the Northern Ireland issuing banks. Members agreed that it was for each entity to decide whether to participate. Acknowledging that the lead consultants would need clarity on the scope of work, members agreed that there would be merit in further discussion with the issuing banks before finalising the Terms of Reference, with a decision on scope and representation in Northern Ireland to be confirmed at the next WDSG meeting (24 July). With this caveat, the Terms of Reference were agreed.</w:t>
      </w:r>
    </w:p>
    <w:p>
      <w:pPr>
        <w:pStyle w:val="BodyText"/>
        <w:spacing w:before="6"/>
        <w:rPr>
          <w:sz w:val="19"/>
        </w:rPr>
      </w:pPr>
    </w:p>
    <w:p>
      <w:pPr>
        <w:pStyle w:val="BodyText"/>
        <w:spacing w:line="249" w:lineRule="auto"/>
        <w:ind w:left="1115" w:right="1643"/>
      </w:pPr>
      <w:r>
        <w:rPr>
          <w:w w:val="105"/>
        </w:rPr>
        <w:t>The Chair sought views on publishing the WDSG Terms of Reference. Members agreed that the transparency of the group’s work would be enhanced through publication, therefore the Terms of Reference should be published on the Bank of England’s website.</w:t>
      </w:r>
    </w:p>
    <w:p>
      <w:pPr>
        <w:spacing w:after="0" w:line="249" w:lineRule="auto"/>
        <w:sectPr>
          <w:headerReference w:type="default" r:id="rId5"/>
          <w:type w:val="continuous"/>
          <w:pgSz w:w="12240" w:h="15840"/>
          <w:pgMar w:header="959" w:top="1400" w:bottom="280" w:left="860" w:right="880"/>
        </w:sectPr>
      </w:pPr>
    </w:p>
    <w:p>
      <w:pPr>
        <w:pStyle w:val="Heading1"/>
        <w:spacing w:before="90"/>
      </w:pPr>
      <w:r>
        <w:rPr>
          <w:w w:val="105"/>
        </w:rPr>
        <w:t>Finalise success criteria</w:t>
      </w:r>
    </w:p>
    <w:p>
      <w:pPr>
        <w:spacing w:before="9"/>
        <w:ind w:left="215" w:right="0" w:firstLine="0"/>
        <w:jc w:val="left"/>
        <w:rPr>
          <w:b/>
          <w:sz w:val="18"/>
        </w:rPr>
      </w:pPr>
      <w:r>
        <w:rPr>
          <w:b/>
          <w:w w:val="105"/>
          <w:sz w:val="18"/>
        </w:rPr>
        <w:t>4.</w:t>
      </w:r>
    </w:p>
    <w:p>
      <w:pPr>
        <w:pStyle w:val="BodyText"/>
        <w:spacing w:line="249" w:lineRule="auto" w:before="9"/>
        <w:ind w:left="1115" w:right="1664"/>
      </w:pPr>
      <w:r>
        <w:rPr>
          <w:w w:val="105"/>
        </w:rPr>
        <w:t>The Bank of England presented the WDSG success criteria, which had been updated following comments from the May 2019 meeting. Members agreed that the differing levels of current authentication between notes and coin meant that an additional, separate, success criterion should be included for the authentication of coin. With this addition the success criteria were agreed and base-lined.</w:t>
      </w:r>
    </w:p>
    <w:p>
      <w:pPr>
        <w:pStyle w:val="BodyText"/>
        <w:rPr>
          <w:sz w:val="20"/>
        </w:rPr>
      </w:pPr>
    </w:p>
    <w:p>
      <w:pPr>
        <w:pStyle w:val="BodyText"/>
        <w:rPr>
          <w:sz w:val="20"/>
        </w:rPr>
      </w:pPr>
    </w:p>
    <w:p>
      <w:pPr>
        <w:pStyle w:val="BodyText"/>
        <w:spacing w:before="8"/>
        <w:rPr>
          <w:sz w:val="16"/>
        </w:rPr>
      </w:pPr>
    </w:p>
    <w:p>
      <w:pPr>
        <w:pStyle w:val="BodyText"/>
        <w:spacing w:line="252" w:lineRule="auto"/>
        <w:ind w:left="1115" w:right="2032"/>
        <w:jc w:val="both"/>
      </w:pPr>
      <w:r>
        <w:rPr>
          <w:w w:val="105"/>
        </w:rPr>
        <w:t>The</w:t>
      </w:r>
      <w:r>
        <w:rPr>
          <w:spacing w:val="-7"/>
          <w:w w:val="105"/>
        </w:rPr>
        <w:t> </w:t>
      </w:r>
      <w:r>
        <w:rPr>
          <w:w w:val="105"/>
        </w:rPr>
        <w:t>Chair</w:t>
      </w:r>
      <w:r>
        <w:rPr>
          <w:spacing w:val="-4"/>
          <w:w w:val="105"/>
        </w:rPr>
        <w:t> </w:t>
      </w:r>
      <w:r>
        <w:rPr>
          <w:w w:val="105"/>
        </w:rPr>
        <w:t>sought</w:t>
      </w:r>
      <w:r>
        <w:rPr>
          <w:spacing w:val="-2"/>
          <w:w w:val="105"/>
        </w:rPr>
        <w:t> </w:t>
      </w:r>
      <w:r>
        <w:rPr>
          <w:w w:val="105"/>
        </w:rPr>
        <w:t>views</w:t>
      </w:r>
      <w:r>
        <w:rPr>
          <w:spacing w:val="-8"/>
          <w:w w:val="105"/>
        </w:rPr>
        <w:t> </w:t>
      </w:r>
      <w:r>
        <w:rPr>
          <w:w w:val="105"/>
        </w:rPr>
        <w:t>on</w:t>
      </w:r>
      <w:r>
        <w:rPr>
          <w:spacing w:val="-3"/>
          <w:w w:val="105"/>
        </w:rPr>
        <w:t> </w:t>
      </w:r>
      <w:r>
        <w:rPr>
          <w:w w:val="105"/>
        </w:rPr>
        <w:t>publishing</w:t>
      </w:r>
      <w:r>
        <w:rPr>
          <w:spacing w:val="-5"/>
          <w:w w:val="105"/>
        </w:rPr>
        <w:t> </w:t>
      </w:r>
      <w:r>
        <w:rPr>
          <w:w w:val="105"/>
        </w:rPr>
        <w:t>the</w:t>
      </w:r>
      <w:r>
        <w:rPr>
          <w:spacing w:val="-9"/>
          <w:w w:val="105"/>
        </w:rPr>
        <w:t> </w:t>
      </w:r>
      <w:r>
        <w:rPr>
          <w:w w:val="105"/>
        </w:rPr>
        <w:t>WDSG</w:t>
      </w:r>
      <w:r>
        <w:rPr>
          <w:spacing w:val="-6"/>
          <w:w w:val="105"/>
        </w:rPr>
        <w:t> </w:t>
      </w:r>
      <w:r>
        <w:rPr>
          <w:w w:val="105"/>
        </w:rPr>
        <w:t>success</w:t>
      </w:r>
      <w:r>
        <w:rPr>
          <w:spacing w:val="-6"/>
          <w:w w:val="105"/>
        </w:rPr>
        <w:t> </w:t>
      </w:r>
      <w:r>
        <w:rPr>
          <w:w w:val="105"/>
        </w:rPr>
        <w:t>criteria.</w:t>
      </w:r>
      <w:r>
        <w:rPr>
          <w:spacing w:val="-7"/>
          <w:w w:val="105"/>
        </w:rPr>
        <w:t> </w:t>
      </w:r>
      <w:r>
        <w:rPr>
          <w:w w:val="105"/>
        </w:rPr>
        <w:t>Members</w:t>
      </w:r>
      <w:r>
        <w:rPr>
          <w:spacing w:val="-5"/>
          <w:w w:val="105"/>
        </w:rPr>
        <w:t> </w:t>
      </w:r>
      <w:r>
        <w:rPr>
          <w:w w:val="105"/>
        </w:rPr>
        <w:t>agreed</w:t>
      </w:r>
      <w:r>
        <w:rPr>
          <w:spacing w:val="-5"/>
          <w:w w:val="105"/>
        </w:rPr>
        <w:t> </w:t>
      </w:r>
      <w:r>
        <w:rPr>
          <w:w w:val="105"/>
        </w:rPr>
        <w:t>that success criteria would need to be published in due course. However, they should not be published at this stage,</w:t>
      </w:r>
      <w:r>
        <w:rPr>
          <w:spacing w:val="3"/>
          <w:w w:val="105"/>
        </w:rPr>
        <w:t> </w:t>
      </w:r>
      <w:r>
        <w:rPr>
          <w:w w:val="105"/>
        </w:rPr>
        <w:t>as:</w:t>
      </w:r>
    </w:p>
    <w:p>
      <w:pPr>
        <w:pStyle w:val="ListParagraph"/>
        <w:numPr>
          <w:ilvl w:val="0"/>
          <w:numId w:val="2"/>
        </w:numPr>
        <w:tabs>
          <w:tab w:pos="1791" w:val="left" w:leader="none"/>
          <w:tab w:pos="1792" w:val="left" w:leader="none"/>
        </w:tabs>
        <w:spacing w:line="249" w:lineRule="auto" w:before="0" w:after="0"/>
        <w:ind w:left="1792" w:right="1759" w:hanging="339"/>
        <w:jc w:val="left"/>
        <w:rPr>
          <w:sz w:val="18"/>
        </w:rPr>
      </w:pPr>
      <w:r>
        <w:rPr>
          <w:w w:val="105"/>
          <w:sz w:val="18"/>
        </w:rPr>
        <w:t>This</w:t>
      </w:r>
      <w:r>
        <w:rPr>
          <w:spacing w:val="-5"/>
          <w:w w:val="105"/>
          <w:sz w:val="18"/>
        </w:rPr>
        <w:t> </w:t>
      </w:r>
      <w:r>
        <w:rPr>
          <w:w w:val="105"/>
          <w:sz w:val="18"/>
        </w:rPr>
        <w:t>preliminary</w:t>
      </w:r>
      <w:r>
        <w:rPr>
          <w:spacing w:val="-5"/>
          <w:w w:val="105"/>
          <w:sz w:val="18"/>
        </w:rPr>
        <w:t> </w:t>
      </w:r>
      <w:r>
        <w:rPr>
          <w:w w:val="105"/>
          <w:sz w:val="18"/>
        </w:rPr>
        <w:t>set</w:t>
      </w:r>
      <w:r>
        <w:rPr>
          <w:spacing w:val="-1"/>
          <w:w w:val="105"/>
          <w:sz w:val="18"/>
        </w:rPr>
        <w:t> </w:t>
      </w:r>
      <w:r>
        <w:rPr>
          <w:w w:val="105"/>
          <w:sz w:val="18"/>
        </w:rPr>
        <w:t>was</w:t>
      </w:r>
      <w:r>
        <w:rPr>
          <w:spacing w:val="-6"/>
          <w:w w:val="105"/>
          <w:sz w:val="18"/>
        </w:rPr>
        <w:t> </w:t>
      </w:r>
      <w:r>
        <w:rPr>
          <w:w w:val="105"/>
          <w:sz w:val="18"/>
        </w:rPr>
        <w:t>very</w:t>
      </w:r>
      <w:r>
        <w:rPr>
          <w:spacing w:val="-11"/>
          <w:w w:val="105"/>
          <w:sz w:val="18"/>
        </w:rPr>
        <w:t> </w:t>
      </w:r>
      <w:r>
        <w:rPr>
          <w:w w:val="105"/>
          <w:sz w:val="18"/>
        </w:rPr>
        <w:t>high-level,</w:t>
      </w:r>
      <w:r>
        <w:rPr>
          <w:spacing w:val="-4"/>
          <w:w w:val="105"/>
          <w:sz w:val="18"/>
        </w:rPr>
        <w:t> </w:t>
      </w:r>
      <w:r>
        <w:rPr>
          <w:w w:val="105"/>
          <w:sz w:val="18"/>
        </w:rPr>
        <w:t>and</w:t>
      </w:r>
      <w:r>
        <w:rPr>
          <w:spacing w:val="-6"/>
          <w:w w:val="105"/>
          <w:sz w:val="18"/>
        </w:rPr>
        <w:t> </w:t>
      </w:r>
      <w:r>
        <w:rPr>
          <w:w w:val="105"/>
          <w:sz w:val="18"/>
        </w:rPr>
        <w:t>more</w:t>
      </w:r>
      <w:r>
        <w:rPr>
          <w:spacing w:val="-7"/>
          <w:w w:val="105"/>
          <w:sz w:val="18"/>
        </w:rPr>
        <w:t> </w:t>
      </w:r>
      <w:r>
        <w:rPr>
          <w:w w:val="105"/>
          <w:sz w:val="18"/>
        </w:rPr>
        <w:t>work</w:t>
      </w:r>
      <w:r>
        <w:rPr>
          <w:spacing w:val="-5"/>
          <w:w w:val="105"/>
          <w:sz w:val="18"/>
        </w:rPr>
        <w:t> </w:t>
      </w:r>
      <w:r>
        <w:rPr>
          <w:w w:val="105"/>
          <w:sz w:val="18"/>
        </w:rPr>
        <w:t>would</w:t>
      </w:r>
      <w:r>
        <w:rPr>
          <w:spacing w:val="-7"/>
          <w:w w:val="105"/>
          <w:sz w:val="18"/>
        </w:rPr>
        <w:t> </w:t>
      </w:r>
      <w:r>
        <w:rPr>
          <w:w w:val="105"/>
          <w:sz w:val="18"/>
        </w:rPr>
        <w:t>be</w:t>
      </w:r>
      <w:r>
        <w:rPr>
          <w:spacing w:val="-4"/>
          <w:w w:val="105"/>
          <w:sz w:val="18"/>
        </w:rPr>
        <w:t> </w:t>
      </w:r>
      <w:r>
        <w:rPr>
          <w:w w:val="105"/>
          <w:sz w:val="18"/>
        </w:rPr>
        <w:t>required</w:t>
      </w:r>
      <w:r>
        <w:rPr>
          <w:spacing w:val="-3"/>
          <w:w w:val="105"/>
          <w:sz w:val="18"/>
        </w:rPr>
        <w:t> </w:t>
      </w:r>
      <w:r>
        <w:rPr>
          <w:w w:val="105"/>
          <w:sz w:val="18"/>
        </w:rPr>
        <w:t>to</w:t>
      </w:r>
      <w:r>
        <w:rPr>
          <w:spacing w:val="-3"/>
          <w:w w:val="105"/>
          <w:sz w:val="18"/>
        </w:rPr>
        <w:t> </w:t>
      </w:r>
      <w:r>
        <w:rPr>
          <w:w w:val="105"/>
          <w:sz w:val="18"/>
        </w:rPr>
        <w:t>define them</w:t>
      </w:r>
      <w:r>
        <w:rPr>
          <w:spacing w:val="2"/>
          <w:w w:val="105"/>
          <w:sz w:val="18"/>
        </w:rPr>
        <w:t> </w:t>
      </w:r>
      <w:r>
        <w:rPr>
          <w:w w:val="105"/>
          <w:sz w:val="18"/>
        </w:rPr>
        <w:t>further;</w:t>
      </w:r>
    </w:p>
    <w:p>
      <w:pPr>
        <w:pStyle w:val="ListParagraph"/>
        <w:numPr>
          <w:ilvl w:val="0"/>
          <w:numId w:val="2"/>
        </w:numPr>
        <w:tabs>
          <w:tab w:pos="1791" w:val="left" w:leader="none"/>
          <w:tab w:pos="1792" w:val="left" w:leader="none"/>
        </w:tabs>
        <w:spacing w:line="254" w:lineRule="auto" w:before="0" w:after="0"/>
        <w:ind w:left="1792" w:right="1698" w:hanging="339"/>
        <w:jc w:val="left"/>
        <w:rPr>
          <w:sz w:val="18"/>
        </w:rPr>
      </w:pPr>
      <w:r>
        <w:rPr>
          <w:w w:val="105"/>
          <w:sz w:val="18"/>
        </w:rPr>
        <w:t>This</w:t>
      </w:r>
      <w:r>
        <w:rPr>
          <w:spacing w:val="-6"/>
          <w:w w:val="105"/>
          <w:sz w:val="18"/>
        </w:rPr>
        <w:t> </w:t>
      </w:r>
      <w:r>
        <w:rPr>
          <w:w w:val="105"/>
          <w:sz w:val="18"/>
        </w:rPr>
        <w:t>preliminary</w:t>
      </w:r>
      <w:r>
        <w:rPr>
          <w:spacing w:val="-5"/>
          <w:w w:val="105"/>
          <w:sz w:val="18"/>
        </w:rPr>
        <w:t> </w:t>
      </w:r>
      <w:r>
        <w:rPr>
          <w:w w:val="105"/>
          <w:sz w:val="18"/>
        </w:rPr>
        <w:t>set</w:t>
      </w:r>
      <w:r>
        <w:rPr>
          <w:spacing w:val="-2"/>
          <w:w w:val="105"/>
          <w:sz w:val="18"/>
        </w:rPr>
        <w:t> </w:t>
      </w:r>
      <w:r>
        <w:rPr>
          <w:w w:val="105"/>
          <w:sz w:val="18"/>
        </w:rPr>
        <w:t>was</w:t>
      </w:r>
      <w:r>
        <w:rPr>
          <w:spacing w:val="-7"/>
          <w:w w:val="105"/>
          <w:sz w:val="18"/>
        </w:rPr>
        <w:t> </w:t>
      </w:r>
      <w:r>
        <w:rPr>
          <w:w w:val="105"/>
          <w:sz w:val="18"/>
        </w:rPr>
        <w:t>primarily</w:t>
      </w:r>
      <w:r>
        <w:rPr>
          <w:spacing w:val="-7"/>
          <w:w w:val="105"/>
          <w:sz w:val="18"/>
        </w:rPr>
        <w:t> </w:t>
      </w:r>
      <w:r>
        <w:rPr>
          <w:w w:val="105"/>
          <w:sz w:val="18"/>
        </w:rPr>
        <w:t>to</w:t>
      </w:r>
      <w:r>
        <w:rPr>
          <w:spacing w:val="-8"/>
          <w:w w:val="105"/>
          <w:sz w:val="18"/>
        </w:rPr>
        <w:t> </w:t>
      </w:r>
      <w:r>
        <w:rPr>
          <w:w w:val="105"/>
          <w:sz w:val="18"/>
        </w:rPr>
        <w:t>provide</w:t>
      </w:r>
      <w:r>
        <w:rPr>
          <w:spacing w:val="-3"/>
          <w:w w:val="105"/>
          <w:sz w:val="18"/>
        </w:rPr>
        <w:t> </w:t>
      </w:r>
      <w:r>
        <w:rPr>
          <w:w w:val="105"/>
          <w:sz w:val="18"/>
        </w:rPr>
        <w:t>initial</w:t>
      </w:r>
      <w:r>
        <w:rPr>
          <w:spacing w:val="-5"/>
          <w:w w:val="105"/>
          <w:sz w:val="18"/>
        </w:rPr>
        <w:t> </w:t>
      </w:r>
      <w:r>
        <w:rPr>
          <w:w w:val="105"/>
          <w:sz w:val="18"/>
        </w:rPr>
        <w:t>direction</w:t>
      </w:r>
      <w:r>
        <w:rPr>
          <w:spacing w:val="-3"/>
          <w:w w:val="105"/>
          <w:sz w:val="18"/>
        </w:rPr>
        <w:t> </w:t>
      </w:r>
      <w:r>
        <w:rPr>
          <w:w w:val="105"/>
          <w:sz w:val="18"/>
        </w:rPr>
        <w:t>and</w:t>
      </w:r>
      <w:r>
        <w:rPr>
          <w:spacing w:val="-4"/>
          <w:w w:val="105"/>
          <w:sz w:val="18"/>
        </w:rPr>
        <w:t> </w:t>
      </w:r>
      <w:r>
        <w:rPr>
          <w:w w:val="105"/>
          <w:sz w:val="18"/>
        </w:rPr>
        <w:t>guidance</w:t>
      </w:r>
      <w:r>
        <w:rPr>
          <w:spacing w:val="-7"/>
          <w:w w:val="105"/>
          <w:sz w:val="18"/>
        </w:rPr>
        <w:t> </w:t>
      </w:r>
      <w:r>
        <w:rPr>
          <w:w w:val="105"/>
          <w:sz w:val="18"/>
        </w:rPr>
        <w:t>to</w:t>
      </w:r>
      <w:r>
        <w:rPr>
          <w:spacing w:val="-5"/>
          <w:w w:val="105"/>
          <w:sz w:val="18"/>
        </w:rPr>
        <w:t> </w:t>
      </w:r>
      <w:r>
        <w:rPr>
          <w:w w:val="105"/>
          <w:sz w:val="18"/>
        </w:rPr>
        <w:t>the</w:t>
      </w:r>
      <w:r>
        <w:rPr>
          <w:spacing w:val="-3"/>
          <w:w w:val="105"/>
          <w:sz w:val="18"/>
        </w:rPr>
        <w:t> </w:t>
      </w:r>
      <w:r>
        <w:rPr>
          <w:w w:val="105"/>
          <w:sz w:val="18"/>
        </w:rPr>
        <w:t>lead consultants;</w:t>
      </w:r>
    </w:p>
    <w:p>
      <w:pPr>
        <w:pStyle w:val="ListParagraph"/>
        <w:numPr>
          <w:ilvl w:val="0"/>
          <w:numId w:val="2"/>
        </w:numPr>
        <w:tabs>
          <w:tab w:pos="1791" w:val="left" w:leader="none"/>
          <w:tab w:pos="1792" w:val="left" w:leader="none"/>
        </w:tabs>
        <w:spacing w:line="249" w:lineRule="auto" w:before="0" w:after="0"/>
        <w:ind w:left="1792" w:right="1759" w:hanging="339"/>
        <w:jc w:val="left"/>
        <w:rPr>
          <w:sz w:val="18"/>
        </w:rPr>
      </w:pPr>
      <w:r>
        <w:rPr>
          <w:w w:val="105"/>
          <w:sz w:val="18"/>
        </w:rPr>
        <w:t>The</w:t>
      </w:r>
      <w:r>
        <w:rPr>
          <w:spacing w:val="-7"/>
          <w:w w:val="105"/>
          <w:sz w:val="18"/>
        </w:rPr>
        <w:t> </w:t>
      </w:r>
      <w:r>
        <w:rPr>
          <w:w w:val="105"/>
          <w:sz w:val="18"/>
        </w:rPr>
        <w:t>strategic</w:t>
      </w:r>
      <w:r>
        <w:rPr>
          <w:spacing w:val="-8"/>
          <w:w w:val="105"/>
          <w:sz w:val="18"/>
        </w:rPr>
        <w:t> </w:t>
      </w:r>
      <w:r>
        <w:rPr>
          <w:w w:val="105"/>
          <w:sz w:val="18"/>
        </w:rPr>
        <w:t>objective</w:t>
      </w:r>
      <w:r>
        <w:rPr>
          <w:spacing w:val="-8"/>
          <w:w w:val="105"/>
          <w:sz w:val="18"/>
        </w:rPr>
        <w:t> </w:t>
      </w:r>
      <w:r>
        <w:rPr>
          <w:w w:val="105"/>
          <w:sz w:val="18"/>
        </w:rPr>
        <w:t>of</w:t>
      </w:r>
      <w:r>
        <w:rPr>
          <w:spacing w:val="-5"/>
          <w:w w:val="105"/>
          <w:sz w:val="18"/>
        </w:rPr>
        <w:t> </w:t>
      </w:r>
      <w:r>
        <w:rPr>
          <w:w w:val="105"/>
          <w:sz w:val="18"/>
        </w:rPr>
        <w:t>ensuring</w:t>
      </w:r>
      <w:r>
        <w:rPr>
          <w:spacing w:val="-4"/>
          <w:w w:val="105"/>
          <w:sz w:val="18"/>
        </w:rPr>
        <w:t> </w:t>
      </w:r>
      <w:r>
        <w:rPr>
          <w:w w:val="105"/>
          <w:sz w:val="18"/>
        </w:rPr>
        <w:t>an</w:t>
      </w:r>
      <w:r>
        <w:rPr>
          <w:spacing w:val="-4"/>
          <w:w w:val="105"/>
          <w:sz w:val="18"/>
        </w:rPr>
        <w:t> </w:t>
      </w:r>
      <w:r>
        <w:rPr>
          <w:w w:val="105"/>
          <w:sz w:val="18"/>
        </w:rPr>
        <w:t>effective,</w:t>
      </w:r>
      <w:r>
        <w:rPr>
          <w:spacing w:val="-6"/>
          <w:w w:val="105"/>
          <w:sz w:val="18"/>
        </w:rPr>
        <w:t> </w:t>
      </w:r>
      <w:r>
        <w:rPr>
          <w:w w:val="105"/>
          <w:sz w:val="18"/>
        </w:rPr>
        <w:t>resilient</w:t>
      </w:r>
      <w:r>
        <w:rPr>
          <w:spacing w:val="-7"/>
          <w:w w:val="105"/>
          <w:sz w:val="18"/>
        </w:rPr>
        <w:t> </w:t>
      </w:r>
      <w:r>
        <w:rPr>
          <w:w w:val="105"/>
          <w:sz w:val="18"/>
        </w:rPr>
        <w:t>and</w:t>
      </w:r>
      <w:r>
        <w:rPr>
          <w:spacing w:val="-2"/>
          <w:w w:val="105"/>
          <w:sz w:val="18"/>
        </w:rPr>
        <w:t> </w:t>
      </w:r>
      <w:r>
        <w:rPr>
          <w:w w:val="105"/>
          <w:sz w:val="18"/>
        </w:rPr>
        <w:t>sustainable</w:t>
      </w:r>
      <w:r>
        <w:rPr>
          <w:spacing w:val="-7"/>
          <w:w w:val="105"/>
          <w:sz w:val="18"/>
        </w:rPr>
        <w:t> </w:t>
      </w:r>
      <w:r>
        <w:rPr>
          <w:w w:val="105"/>
          <w:sz w:val="18"/>
        </w:rPr>
        <w:t>model</w:t>
      </w:r>
      <w:r>
        <w:rPr>
          <w:spacing w:val="-10"/>
          <w:w w:val="105"/>
          <w:sz w:val="18"/>
        </w:rPr>
        <w:t> </w:t>
      </w:r>
      <w:r>
        <w:rPr>
          <w:w w:val="105"/>
          <w:sz w:val="18"/>
        </w:rPr>
        <w:t>was already set out in the Terms of</w:t>
      </w:r>
      <w:r>
        <w:rPr>
          <w:spacing w:val="-9"/>
          <w:w w:val="105"/>
          <w:sz w:val="18"/>
        </w:rPr>
        <w:t> </w:t>
      </w:r>
      <w:r>
        <w:rPr>
          <w:w w:val="105"/>
          <w:sz w:val="18"/>
        </w:rPr>
        <w:t>Reference.</w:t>
      </w:r>
    </w:p>
    <w:p>
      <w:pPr>
        <w:pStyle w:val="BodyText"/>
        <w:rPr>
          <w:sz w:val="20"/>
        </w:rPr>
      </w:pPr>
    </w:p>
    <w:p>
      <w:pPr>
        <w:pStyle w:val="BodyText"/>
        <w:rPr>
          <w:sz w:val="20"/>
        </w:rPr>
      </w:pPr>
    </w:p>
    <w:p>
      <w:pPr>
        <w:pStyle w:val="BodyText"/>
        <w:rPr>
          <w:sz w:val="20"/>
        </w:rPr>
      </w:pPr>
    </w:p>
    <w:p>
      <w:pPr>
        <w:pStyle w:val="BodyText"/>
        <w:spacing w:before="2"/>
        <w:rPr>
          <w:sz w:val="17"/>
        </w:rPr>
      </w:pPr>
    </w:p>
    <w:p>
      <w:pPr>
        <w:pStyle w:val="Heading1"/>
        <w:spacing w:line="198" w:lineRule="exact"/>
      </w:pPr>
      <w:r>
        <w:rPr>
          <w:w w:val="105"/>
        </w:rPr>
        <w:t>Update from UK Finance</w:t>
      </w:r>
    </w:p>
    <w:p>
      <w:pPr>
        <w:spacing w:line="198" w:lineRule="exact" w:before="0"/>
        <w:ind w:left="215" w:right="0" w:firstLine="0"/>
        <w:jc w:val="left"/>
        <w:rPr>
          <w:b/>
          <w:sz w:val="18"/>
        </w:rPr>
      </w:pPr>
      <w:r>
        <w:rPr>
          <w:b/>
          <w:w w:val="105"/>
          <w:sz w:val="18"/>
        </w:rPr>
        <w:t>5.</w:t>
      </w:r>
    </w:p>
    <w:p>
      <w:pPr>
        <w:pStyle w:val="BodyText"/>
        <w:spacing w:line="252" w:lineRule="auto" w:before="33"/>
        <w:ind w:left="1115" w:right="1506"/>
      </w:pPr>
      <w:r>
        <w:rPr>
          <w:w w:val="105"/>
        </w:rPr>
        <w:t>UK Finance confirmed they have selected their preferred consultancy and legal team and they were currently on boarding these two organisations. They expected work with the lead consultant to begin in earnest in the coming weeks. They thanked the banks for their work so far in getting to this stage, and asked them to ensure they had resource available to work with the consultants once they had been formally appointed.</w:t>
      </w:r>
    </w:p>
    <w:p>
      <w:pPr>
        <w:pStyle w:val="BodyText"/>
        <w:rPr>
          <w:sz w:val="20"/>
        </w:rPr>
      </w:pPr>
    </w:p>
    <w:p>
      <w:pPr>
        <w:pStyle w:val="BodyText"/>
        <w:rPr>
          <w:sz w:val="20"/>
        </w:rPr>
      </w:pPr>
    </w:p>
    <w:p>
      <w:pPr>
        <w:pStyle w:val="BodyText"/>
        <w:spacing w:before="11"/>
        <w:rPr>
          <w:sz w:val="15"/>
        </w:rPr>
      </w:pPr>
    </w:p>
    <w:p>
      <w:pPr>
        <w:pStyle w:val="Heading1"/>
        <w:spacing w:line="198" w:lineRule="exact"/>
      </w:pPr>
      <w:r>
        <w:rPr>
          <w:w w:val="105"/>
        </w:rPr>
        <w:t>Review actions from May 2019 meeting</w:t>
      </w:r>
    </w:p>
    <w:p>
      <w:pPr>
        <w:spacing w:line="198" w:lineRule="exact" w:before="0"/>
        <w:ind w:left="215" w:right="0" w:firstLine="0"/>
        <w:jc w:val="left"/>
        <w:rPr>
          <w:b/>
          <w:sz w:val="18"/>
        </w:rPr>
      </w:pPr>
      <w:r>
        <w:rPr>
          <w:b/>
          <w:w w:val="105"/>
          <w:sz w:val="18"/>
        </w:rPr>
        <w:t>6.</w:t>
      </w:r>
    </w:p>
    <w:p>
      <w:pPr>
        <w:pStyle w:val="BodyText"/>
        <w:spacing w:before="38"/>
        <w:ind w:left="1115"/>
      </w:pPr>
      <w:r>
        <w:rPr>
          <w:w w:val="105"/>
        </w:rPr>
        <w:t>Actions were discussed.</w:t>
      </w:r>
    </w:p>
    <w:p>
      <w:pPr>
        <w:pStyle w:val="BodyText"/>
        <w:rPr>
          <w:sz w:val="20"/>
        </w:rPr>
      </w:pPr>
    </w:p>
    <w:p>
      <w:pPr>
        <w:pStyle w:val="BodyText"/>
        <w:rPr>
          <w:sz w:val="20"/>
        </w:rPr>
      </w:pPr>
    </w:p>
    <w:p>
      <w:pPr>
        <w:pStyle w:val="BodyText"/>
        <w:spacing w:before="1"/>
        <w:rPr>
          <w:sz w:val="17"/>
        </w:rPr>
      </w:pPr>
    </w:p>
    <w:p>
      <w:pPr>
        <w:pStyle w:val="Heading1"/>
        <w:spacing w:line="198" w:lineRule="exact"/>
      </w:pPr>
      <w:r>
        <w:rPr>
          <w:w w:val="105"/>
        </w:rPr>
        <w:t>Next steps</w:t>
      </w:r>
    </w:p>
    <w:p>
      <w:pPr>
        <w:spacing w:line="198" w:lineRule="exact" w:before="0"/>
        <w:ind w:left="215" w:right="0" w:firstLine="0"/>
        <w:jc w:val="left"/>
        <w:rPr>
          <w:b/>
          <w:sz w:val="18"/>
        </w:rPr>
      </w:pPr>
      <w:r>
        <w:rPr>
          <w:b/>
          <w:w w:val="105"/>
          <w:sz w:val="18"/>
        </w:rPr>
        <w:t>7.</w:t>
      </w:r>
    </w:p>
    <w:p>
      <w:pPr>
        <w:pStyle w:val="BodyText"/>
        <w:spacing w:line="249" w:lineRule="auto" w:before="36"/>
        <w:ind w:left="1115" w:right="1653"/>
      </w:pPr>
      <w:r>
        <w:rPr>
          <w:w w:val="105"/>
        </w:rPr>
        <w:t>UK Finance would appoint the consultants and legal advisors and commence the detailed planning for the project. Members agreed that where it was considered it would be beneficial to the WDSG discussions, the consultants, and any other relevant party, would be invited to present to future WDSG meetings.</w:t>
      </w:r>
    </w:p>
    <w:p>
      <w:pPr>
        <w:pStyle w:val="BodyText"/>
        <w:rPr>
          <w:sz w:val="19"/>
        </w:rPr>
      </w:pPr>
    </w:p>
    <w:p>
      <w:pPr>
        <w:pStyle w:val="BodyText"/>
        <w:spacing w:line="254" w:lineRule="auto"/>
        <w:ind w:left="1115" w:right="2093"/>
        <w:jc w:val="both"/>
      </w:pPr>
      <w:r>
        <w:rPr>
          <w:w w:val="105"/>
        </w:rPr>
        <w:t>The</w:t>
      </w:r>
      <w:r>
        <w:rPr>
          <w:spacing w:val="-8"/>
          <w:w w:val="105"/>
        </w:rPr>
        <w:t> </w:t>
      </w:r>
      <w:r>
        <w:rPr>
          <w:w w:val="105"/>
        </w:rPr>
        <w:t>Bank</w:t>
      </w:r>
      <w:r>
        <w:rPr>
          <w:spacing w:val="-2"/>
          <w:w w:val="105"/>
        </w:rPr>
        <w:t> </w:t>
      </w:r>
      <w:r>
        <w:rPr>
          <w:w w:val="105"/>
        </w:rPr>
        <w:t>of</w:t>
      </w:r>
      <w:r>
        <w:rPr>
          <w:spacing w:val="-7"/>
          <w:w w:val="105"/>
        </w:rPr>
        <w:t> </w:t>
      </w:r>
      <w:r>
        <w:rPr>
          <w:w w:val="105"/>
        </w:rPr>
        <w:t>England</w:t>
      </w:r>
      <w:r>
        <w:rPr>
          <w:spacing w:val="-4"/>
          <w:w w:val="105"/>
        </w:rPr>
        <w:t> </w:t>
      </w:r>
      <w:r>
        <w:rPr>
          <w:w w:val="105"/>
        </w:rPr>
        <w:t>will</w:t>
      </w:r>
      <w:r>
        <w:rPr>
          <w:spacing w:val="-5"/>
          <w:w w:val="105"/>
        </w:rPr>
        <w:t> </w:t>
      </w:r>
      <w:r>
        <w:rPr>
          <w:w w:val="105"/>
        </w:rPr>
        <w:t>have</w:t>
      </w:r>
      <w:r>
        <w:rPr>
          <w:spacing w:val="-4"/>
          <w:w w:val="105"/>
        </w:rPr>
        <w:t> </w:t>
      </w:r>
      <w:r>
        <w:rPr>
          <w:w w:val="105"/>
        </w:rPr>
        <w:t>regular</w:t>
      </w:r>
      <w:r>
        <w:rPr>
          <w:spacing w:val="-7"/>
          <w:w w:val="105"/>
        </w:rPr>
        <w:t> </w:t>
      </w:r>
      <w:r>
        <w:rPr>
          <w:w w:val="105"/>
        </w:rPr>
        <w:t>bi-laterals</w:t>
      </w:r>
      <w:r>
        <w:rPr>
          <w:spacing w:val="-5"/>
          <w:w w:val="105"/>
        </w:rPr>
        <w:t> </w:t>
      </w:r>
      <w:r>
        <w:rPr>
          <w:w w:val="105"/>
        </w:rPr>
        <w:t>with</w:t>
      </w:r>
      <w:r>
        <w:rPr>
          <w:spacing w:val="-6"/>
          <w:w w:val="105"/>
        </w:rPr>
        <w:t> </w:t>
      </w:r>
      <w:r>
        <w:rPr>
          <w:w w:val="105"/>
        </w:rPr>
        <w:t>WDSG</w:t>
      </w:r>
      <w:r>
        <w:rPr>
          <w:spacing w:val="-8"/>
          <w:w w:val="105"/>
        </w:rPr>
        <w:t> </w:t>
      </w:r>
      <w:r>
        <w:rPr>
          <w:w w:val="105"/>
        </w:rPr>
        <w:t>members</w:t>
      </w:r>
      <w:r>
        <w:rPr>
          <w:spacing w:val="-7"/>
          <w:w w:val="105"/>
        </w:rPr>
        <w:t> </w:t>
      </w:r>
      <w:r>
        <w:rPr>
          <w:w w:val="105"/>
        </w:rPr>
        <w:t>between</w:t>
      </w:r>
      <w:r>
        <w:rPr>
          <w:spacing w:val="-5"/>
          <w:w w:val="105"/>
        </w:rPr>
        <w:t> </w:t>
      </w:r>
      <w:r>
        <w:rPr>
          <w:w w:val="105"/>
        </w:rPr>
        <w:t>WDSG meetings.</w:t>
      </w:r>
    </w:p>
    <w:sectPr>
      <w:headerReference w:type="default" r:id="rId6"/>
      <w:pgSz w:w="12240" w:h="15840"/>
      <w:pgMar w:header="536" w:footer="0" w:top="140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4.160004pt;margin-top:46.940491pt;width:48.9pt;height:12.45pt;mso-position-horizontal-relative:page;mso-position-vertical-relative:page;z-index:-251776000" type="#_x0000_t202" filled="false" stroked="false">
          <v:textbox inset="0,0,0,0">
            <w:txbxContent>
              <w:p>
                <w:pPr>
                  <w:pStyle w:val="BodyText"/>
                  <w:spacing w:before="20"/>
                  <w:ind w:left="20"/>
                </w:pPr>
                <w:r>
                  <w:rPr>
                    <w:w w:val="105"/>
                  </w:rPr>
                  <w:t>25.06.2019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359985pt;margin-top:25.820492pt;width:7.2pt;height:12.45pt;mso-position-horizontal-relative:page;mso-position-vertical-relative:page;z-index:-251774976" type="#_x0000_t202" filled="false" stroked="false">
          <v:textbox inset="0,0,0,0">
            <w:txbxContent>
              <w:p>
                <w:pPr>
                  <w:pStyle w:val="BodyText"/>
                  <w:spacing w:before="20"/>
                  <w:ind w:left="20"/>
                </w:pPr>
                <w:r>
                  <w:rPr>
                    <w:w w:val="103"/>
                  </w:rPr>
                  <w:t>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792" w:hanging="339"/>
      </w:pPr>
      <w:rPr>
        <w:rFonts w:hint="default" w:ascii="Arial" w:hAnsi="Arial" w:eastAsia="Arial" w:cs="Arial"/>
        <w:w w:val="103"/>
        <w:sz w:val="18"/>
        <w:szCs w:val="18"/>
      </w:rPr>
    </w:lvl>
    <w:lvl w:ilvl="1">
      <w:start w:val="0"/>
      <w:numFmt w:val="bullet"/>
      <w:lvlText w:val="•"/>
      <w:lvlJc w:val="left"/>
      <w:pPr>
        <w:ind w:left="2670" w:hanging="339"/>
      </w:pPr>
      <w:rPr>
        <w:rFonts w:hint="default"/>
      </w:rPr>
    </w:lvl>
    <w:lvl w:ilvl="2">
      <w:start w:val="0"/>
      <w:numFmt w:val="bullet"/>
      <w:lvlText w:val="•"/>
      <w:lvlJc w:val="left"/>
      <w:pPr>
        <w:ind w:left="3540" w:hanging="339"/>
      </w:pPr>
      <w:rPr>
        <w:rFonts w:hint="default"/>
      </w:rPr>
    </w:lvl>
    <w:lvl w:ilvl="3">
      <w:start w:val="0"/>
      <w:numFmt w:val="bullet"/>
      <w:lvlText w:val="•"/>
      <w:lvlJc w:val="left"/>
      <w:pPr>
        <w:ind w:left="4410" w:hanging="339"/>
      </w:pPr>
      <w:rPr>
        <w:rFonts w:hint="default"/>
      </w:rPr>
    </w:lvl>
    <w:lvl w:ilvl="4">
      <w:start w:val="0"/>
      <w:numFmt w:val="bullet"/>
      <w:lvlText w:val="•"/>
      <w:lvlJc w:val="left"/>
      <w:pPr>
        <w:ind w:left="5280" w:hanging="339"/>
      </w:pPr>
      <w:rPr>
        <w:rFonts w:hint="default"/>
      </w:rPr>
    </w:lvl>
    <w:lvl w:ilvl="5">
      <w:start w:val="0"/>
      <w:numFmt w:val="bullet"/>
      <w:lvlText w:val="•"/>
      <w:lvlJc w:val="left"/>
      <w:pPr>
        <w:ind w:left="6150" w:hanging="339"/>
      </w:pPr>
      <w:rPr>
        <w:rFonts w:hint="default"/>
      </w:rPr>
    </w:lvl>
    <w:lvl w:ilvl="6">
      <w:start w:val="0"/>
      <w:numFmt w:val="bullet"/>
      <w:lvlText w:val="•"/>
      <w:lvlJc w:val="left"/>
      <w:pPr>
        <w:ind w:left="7020" w:hanging="339"/>
      </w:pPr>
      <w:rPr>
        <w:rFonts w:hint="default"/>
      </w:rPr>
    </w:lvl>
    <w:lvl w:ilvl="7">
      <w:start w:val="0"/>
      <w:numFmt w:val="bullet"/>
      <w:lvlText w:val="•"/>
      <w:lvlJc w:val="left"/>
      <w:pPr>
        <w:ind w:left="7890" w:hanging="339"/>
      </w:pPr>
      <w:rPr>
        <w:rFonts w:hint="default"/>
      </w:rPr>
    </w:lvl>
    <w:lvl w:ilvl="8">
      <w:start w:val="0"/>
      <w:numFmt w:val="bullet"/>
      <w:lvlText w:val="•"/>
      <w:lvlJc w:val="left"/>
      <w:pPr>
        <w:ind w:left="8760" w:hanging="339"/>
      </w:pPr>
      <w:rPr>
        <w:rFonts w:hint="default"/>
      </w:rPr>
    </w:lvl>
  </w:abstractNum>
  <w:abstractNum w:abstractNumId="0">
    <w:multiLevelType w:val="hybridMultilevel"/>
    <w:lvl w:ilvl="0">
      <w:start w:val="1"/>
      <w:numFmt w:val="decimal"/>
      <w:lvlText w:val="%1."/>
      <w:lvlJc w:val="left"/>
      <w:pPr>
        <w:ind w:left="1115" w:hanging="900"/>
        <w:jc w:val="left"/>
      </w:pPr>
      <w:rPr>
        <w:rFonts w:hint="default" w:ascii="Arial" w:hAnsi="Arial" w:eastAsia="Arial" w:cs="Arial"/>
        <w:b/>
        <w:bCs/>
        <w:spacing w:val="-2"/>
        <w:w w:val="103"/>
        <w:sz w:val="18"/>
        <w:szCs w:val="18"/>
      </w:rPr>
    </w:lvl>
    <w:lvl w:ilvl="1">
      <w:start w:val="0"/>
      <w:numFmt w:val="bullet"/>
      <w:lvlText w:val="•"/>
      <w:lvlJc w:val="left"/>
      <w:pPr>
        <w:ind w:left="2058" w:hanging="900"/>
      </w:pPr>
      <w:rPr>
        <w:rFonts w:hint="default"/>
      </w:rPr>
    </w:lvl>
    <w:lvl w:ilvl="2">
      <w:start w:val="0"/>
      <w:numFmt w:val="bullet"/>
      <w:lvlText w:val="•"/>
      <w:lvlJc w:val="left"/>
      <w:pPr>
        <w:ind w:left="2996" w:hanging="900"/>
      </w:pPr>
      <w:rPr>
        <w:rFonts w:hint="default"/>
      </w:rPr>
    </w:lvl>
    <w:lvl w:ilvl="3">
      <w:start w:val="0"/>
      <w:numFmt w:val="bullet"/>
      <w:lvlText w:val="•"/>
      <w:lvlJc w:val="left"/>
      <w:pPr>
        <w:ind w:left="3934" w:hanging="900"/>
      </w:pPr>
      <w:rPr>
        <w:rFonts w:hint="default"/>
      </w:rPr>
    </w:lvl>
    <w:lvl w:ilvl="4">
      <w:start w:val="0"/>
      <w:numFmt w:val="bullet"/>
      <w:lvlText w:val="•"/>
      <w:lvlJc w:val="left"/>
      <w:pPr>
        <w:ind w:left="4872" w:hanging="900"/>
      </w:pPr>
      <w:rPr>
        <w:rFonts w:hint="default"/>
      </w:rPr>
    </w:lvl>
    <w:lvl w:ilvl="5">
      <w:start w:val="0"/>
      <w:numFmt w:val="bullet"/>
      <w:lvlText w:val="•"/>
      <w:lvlJc w:val="left"/>
      <w:pPr>
        <w:ind w:left="5810" w:hanging="900"/>
      </w:pPr>
      <w:rPr>
        <w:rFonts w:hint="default"/>
      </w:rPr>
    </w:lvl>
    <w:lvl w:ilvl="6">
      <w:start w:val="0"/>
      <w:numFmt w:val="bullet"/>
      <w:lvlText w:val="•"/>
      <w:lvlJc w:val="left"/>
      <w:pPr>
        <w:ind w:left="6748" w:hanging="900"/>
      </w:pPr>
      <w:rPr>
        <w:rFonts w:hint="default"/>
      </w:rPr>
    </w:lvl>
    <w:lvl w:ilvl="7">
      <w:start w:val="0"/>
      <w:numFmt w:val="bullet"/>
      <w:lvlText w:val="•"/>
      <w:lvlJc w:val="left"/>
      <w:pPr>
        <w:ind w:left="7686" w:hanging="900"/>
      </w:pPr>
      <w:rPr>
        <w:rFonts w:hint="default"/>
      </w:rPr>
    </w:lvl>
    <w:lvl w:ilvl="8">
      <w:start w:val="0"/>
      <w:numFmt w:val="bullet"/>
      <w:lvlText w:val="•"/>
      <w:lvlJc w:val="left"/>
      <w:pPr>
        <w:ind w:left="8624" w:hanging="90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115"/>
      <w:outlineLvl w:val="1"/>
    </w:pPr>
    <w:rPr>
      <w:rFonts w:ascii="Arial" w:hAnsi="Arial" w:eastAsia="Arial" w:cs="Arial"/>
      <w:b/>
      <w:bCs/>
      <w:sz w:val="18"/>
      <w:szCs w:val="18"/>
    </w:rPr>
  </w:style>
  <w:style w:styleId="ListParagraph" w:type="paragraph">
    <w:name w:val="List Paragraph"/>
    <w:basedOn w:val="Normal"/>
    <w:uiPriority w:val="1"/>
    <w:qFormat/>
    <w:pPr>
      <w:ind w:left="1115" w:hanging="90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Wholesale Distribution Steering Group - June 2019</dc:subject>
  <dc:title>Minutes of the Wholesale Distribution Steering Group - June 2019</dc:title>
  <dcterms:created xsi:type="dcterms:W3CDTF">2020-06-01T02:21:56Z</dcterms:created>
  <dcterms:modified xsi:type="dcterms:W3CDTF">2020-06-01T02:21:56Z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2019-07-25T00:00:00Z</vt:filetime>
  </property>
  <property fmtid="{D5CDD505-2E9C-101B-9397-08002B2CF9AE}" pid="3" name="LastSaved">
    <vt:filetime>2020-06-01T00:00:00Z</vt:filetime>
  </property>
</Properties>
</file>