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104" w:right="0" w:firstLine="0"/>
        <w:jc w:val="left"/>
        <w:rPr>
          <w:sz w:val="17"/>
        </w:rPr>
      </w:pPr>
      <w:r>
        <w:rPr>
          <w:color w:val="808080"/>
          <w:sz w:val="17"/>
        </w:rPr>
        <w:t>In line with WDSG Terms of Reference, information considered commercially sensitive has been redacted from the minutes prior to publication</w:t>
      </w:r>
    </w:p>
    <w:p>
      <w:pPr>
        <w:pStyle w:val="BodyText"/>
        <w:spacing w:before="3"/>
      </w:pPr>
    </w:p>
    <w:p>
      <w:pPr>
        <w:pStyle w:val="BodyText"/>
        <w:ind w:right="370"/>
        <w:jc w:val="right"/>
      </w:pPr>
      <w:r>
        <w:rPr/>
        <w:t>15.05.2019</w:t>
      </w:r>
    </w:p>
    <w:p>
      <w:pPr>
        <w:pStyle w:val="BodyText"/>
        <w:rPr>
          <w:sz w:val="20"/>
        </w:rPr>
      </w:pPr>
    </w:p>
    <w:p>
      <w:pPr>
        <w:pStyle w:val="BodyText"/>
        <w:rPr>
          <w:sz w:val="20"/>
        </w:rPr>
      </w:pPr>
    </w:p>
    <w:p>
      <w:pPr>
        <w:pStyle w:val="BodyText"/>
        <w:spacing w:before="4"/>
        <w:rPr>
          <w:sz w:val="21"/>
        </w:rPr>
      </w:pPr>
    </w:p>
    <w:p>
      <w:pPr>
        <w:spacing w:before="0"/>
        <w:ind w:left="822" w:right="0" w:firstLine="0"/>
        <w:jc w:val="left"/>
        <w:rPr>
          <w:sz w:val="41"/>
        </w:rPr>
      </w:pPr>
      <w:r>
        <w:rPr>
          <w:sz w:val="41"/>
        </w:rPr>
        <w:t>Minutes</w:t>
      </w:r>
    </w:p>
    <w:p>
      <w:pPr>
        <w:spacing w:before="324"/>
        <w:ind w:left="822" w:right="0" w:firstLine="0"/>
        <w:jc w:val="left"/>
        <w:rPr>
          <w:b/>
          <w:sz w:val="22"/>
        </w:rPr>
      </w:pPr>
      <w:r>
        <w:rPr>
          <w:b/>
          <w:sz w:val="22"/>
        </w:rPr>
        <w:t>Wholesale Distribution Steering Group</w:t>
      </w:r>
    </w:p>
    <w:p>
      <w:pPr>
        <w:spacing w:before="44"/>
        <w:ind w:left="822" w:right="0" w:firstLine="0"/>
        <w:jc w:val="left"/>
        <w:rPr>
          <w:sz w:val="22"/>
        </w:rPr>
      </w:pPr>
      <w:r>
        <w:rPr>
          <w:sz w:val="22"/>
        </w:rPr>
        <w:t>15 May 2019</w:t>
      </w:r>
    </w:p>
    <w:p>
      <w:pPr>
        <w:pStyle w:val="BodyText"/>
        <w:rPr>
          <w:sz w:val="20"/>
        </w:rPr>
      </w:pPr>
    </w:p>
    <w:p>
      <w:pPr>
        <w:pStyle w:val="BodyText"/>
        <w:spacing w:before="5"/>
        <w:rPr>
          <w:sz w:val="21"/>
        </w:rPr>
      </w:pPr>
    </w:p>
    <w:p>
      <w:pPr>
        <w:pStyle w:val="Heading1"/>
        <w:ind w:left="822"/>
      </w:pPr>
      <w:r>
        <w:rPr>
          <w:b w:val="0"/>
          <w:w w:val="105"/>
        </w:rPr>
        <w:t>Location: </w:t>
      </w:r>
      <w:r>
        <w:rPr>
          <w:w w:val="105"/>
        </w:rPr>
        <w:t>Bank of England, Threadneedle St, London EC2R 8AH (Room SVQ)</w:t>
      </w:r>
    </w:p>
    <w:p>
      <w:pPr>
        <w:pStyle w:val="BodyText"/>
        <w:spacing w:before="5"/>
        <w:rPr>
          <w:b/>
          <w:sz w:val="22"/>
        </w:rPr>
      </w:pPr>
    </w:p>
    <w:p>
      <w:pPr>
        <w:pStyle w:val="BodyText"/>
        <w:ind w:left="822"/>
      </w:pPr>
      <w:r>
        <w:rPr>
          <w:w w:val="105"/>
        </w:rPr>
        <w:t>Attendees: </w:t>
      </w:r>
      <w:r>
        <w:rPr>
          <w:b/>
          <w:w w:val="105"/>
        </w:rPr>
        <w:t>Bank of England</w:t>
      </w:r>
      <w:r>
        <w:rPr>
          <w:w w:val="105"/>
        </w:rPr>
        <w:t>: Sarah John (Chair), Martin Etheridge, Mark McLintock, Ronan McClintock</w:t>
      </w:r>
    </w:p>
    <w:p>
      <w:pPr>
        <w:spacing w:before="41"/>
        <w:ind w:left="1772" w:right="0" w:firstLine="0"/>
        <w:jc w:val="left"/>
        <w:rPr>
          <w:sz w:val="18"/>
        </w:rPr>
      </w:pPr>
      <w:r>
        <w:rPr>
          <w:b/>
          <w:w w:val="105"/>
          <w:sz w:val="18"/>
        </w:rPr>
        <w:t>UK Finance</w:t>
      </w:r>
      <w:r>
        <w:rPr>
          <w:w w:val="105"/>
          <w:sz w:val="18"/>
        </w:rPr>
        <w:t>: Eric Leenders, Russell Saunders</w:t>
      </w:r>
    </w:p>
    <w:p>
      <w:pPr>
        <w:spacing w:before="40"/>
        <w:ind w:left="1772" w:right="0" w:firstLine="0"/>
        <w:jc w:val="left"/>
        <w:rPr>
          <w:sz w:val="18"/>
        </w:rPr>
      </w:pPr>
      <w:r>
        <w:rPr>
          <w:b/>
          <w:w w:val="105"/>
          <w:sz w:val="18"/>
        </w:rPr>
        <w:t>Barclays: </w:t>
      </w:r>
      <w:r>
        <w:rPr>
          <w:w w:val="105"/>
          <w:sz w:val="18"/>
        </w:rPr>
        <w:t>Tim Allen</w:t>
      </w:r>
    </w:p>
    <w:p>
      <w:pPr>
        <w:spacing w:before="45"/>
        <w:ind w:left="1772" w:right="0" w:firstLine="0"/>
        <w:jc w:val="left"/>
        <w:rPr>
          <w:sz w:val="18"/>
        </w:rPr>
      </w:pPr>
      <w:r>
        <w:rPr>
          <w:b/>
          <w:w w:val="105"/>
          <w:sz w:val="18"/>
        </w:rPr>
        <w:t>Lloyds Banking Group: </w:t>
      </w:r>
      <w:r>
        <w:rPr>
          <w:w w:val="105"/>
          <w:sz w:val="18"/>
        </w:rPr>
        <w:t>Richard Hill (alternate)</w:t>
      </w:r>
    </w:p>
    <w:p>
      <w:pPr>
        <w:spacing w:before="40"/>
        <w:ind w:left="1772" w:right="0" w:firstLine="0"/>
        <w:jc w:val="left"/>
        <w:rPr>
          <w:sz w:val="18"/>
        </w:rPr>
      </w:pPr>
      <w:r>
        <w:rPr>
          <w:b/>
          <w:w w:val="105"/>
          <w:sz w:val="18"/>
        </w:rPr>
        <w:t>Clydesdale/Yorkshire: </w:t>
      </w:r>
      <w:r>
        <w:rPr>
          <w:w w:val="105"/>
          <w:sz w:val="18"/>
        </w:rPr>
        <w:t>Mark Curran</w:t>
      </w:r>
    </w:p>
    <w:p>
      <w:pPr>
        <w:spacing w:before="43"/>
        <w:ind w:left="1772" w:right="0" w:firstLine="0"/>
        <w:jc w:val="left"/>
        <w:rPr>
          <w:sz w:val="18"/>
        </w:rPr>
      </w:pPr>
      <w:r>
        <w:rPr>
          <w:b/>
          <w:w w:val="105"/>
          <w:sz w:val="18"/>
        </w:rPr>
        <w:t>HSBC: </w:t>
      </w:r>
      <w:r>
        <w:rPr>
          <w:w w:val="105"/>
          <w:sz w:val="18"/>
        </w:rPr>
        <w:t>David Brook (Alternate)</w:t>
      </w:r>
    </w:p>
    <w:p>
      <w:pPr>
        <w:spacing w:before="40"/>
        <w:ind w:left="1772" w:right="0" w:firstLine="0"/>
        <w:jc w:val="left"/>
        <w:rPr>
          <w:sz w:val="18"/>
        </w:rPr>
      </w:pPr>
      <w:r>
        <w:rPr>
          <w:b/>
          <w:w w:val="105"/>
          <w:sz w:val="18"/>
        </w:rPr>
        <w:t>Royal Bank of Scotland: </w:t>
      </w:r>
      <w:r>
        <w:rPr>
          <w:w w:val="105"/>
          <w:sz w:val="18"/>
        </w:rPr>
        <w:t>Richard Talbot</w:t>
      </w:r>
    </w:p>
    <w:p>
      <w:pPr>
        <w:spacing w:before="40"/>
        <w:ind w:left="1772" w:right="0" w:firstLine="0"/>
        <w:jc w:val="left"/>
        <w:rPr>
          <w:sz w:val="18"/>
        </w:rPr>
      </w:pPr>
      <w:r>
        <w:rPr>
          <w:b/>
          <w:w w:val="105"/>
          <w:sz w:val="18"/>
        </w:rPr>
        <w:t>Santander: </w:t>
      </w:r>
      <w:r>
        <w:rPr>
          <w:w w:val="105"/>
          <w:sz w:val="18"/>
        </w:rPr>
        <w:t>Robert White</w:t>
      </w:r>
    </w:p>
    <w:p>
      <w:pPr>
        <w:spacing w:before="45"/>
        <w:ind w:left="1772" w:right="0" w:firstLine="0"/>
        <w:jc w:val="left"/>
        <w:rPr>
          <w:sz w:val="18"/>
        </w:rPr>
      </w:pPr>
      <w:r>
        <w:rPr>
          <w:b/>
          <w:w w:val="105"/>
          <w:sz w:val="18"/>
        </w:rPr>
        <w:t>Post Office: </w:t>
      </w:r>
      <w:r>
        <w:rPr>
          <w:w w:val="105"/>
          <w:sz w:val="18"/>
        </w:rPr>
        <w:t>Russell Hancock</w:t>
      </w:r>
    </w:p>
    <w:p>
      <w:pPr>
        <w:spacing w:before="40"/>
        <w:ind w:left="1772" w:right="0" w:firstLine="0"/>
        <w:jc w:val="left"/>
        <w:rPr>
          <w:sz w:val="18"/>
        </w:rPr>
      </w:pPr>
      <w:r>
        <w:rPr>
          <w:b/>
          <w:w w:val="105"/>
          <w:sz w:val="18"/>
        </w:rPr>
        <w:t>HM Treasury: </w:t>
      </w:r>
      <w:r>
        <w:rPr>
          <w:w w:val="105"/>
          <w:sz w:val="18"/>
        </w:rPr>
        <w:t>Derek Dunne (alternate)</w:t>
      </w:r>
    </w:p>
    <w:p>
      <w:pPr>
        <w:pStyle w:val="BodyText"/>
        <w:spacing w:before="6"/>
        <w:rPr>
          <w:sz w:val="22"/>
        </w:rPr>
      </w:pPr>
    </w:p>
    <w:p>
      <w:pPr>
        <w:spacing w:before="0"/>
        <w:ind w:left="822" w:right="0" w:firstLine="0"/>
        <w:jc w:val="left"/>
        <w:rPr>
          <w:sz w:val="18"/>
        </w:rPr>
      </w:pPr>
      <w:r>
        <w:rPr>
          <w:w w:val="105"/>
          <w:sz w:val="18"/>
        </w:rPr>
        <w:t>Apologies: </w:t>
      </w:r>
      <w:r>
        <w:rPr>
          <w:b/>
          <w:w w:val="105"/>
          <w:sz w:val="18"/>
        </w:rPr>
        <w:t>Lloyds Banking Group: </w:t>
      </w:r>
      <w:r>
        <w:rPr>
          <w:w w:val="105"/>
          <w:sz w:val="18"/>
        </w:rPr>
        <w:t>Otto Benz</w:t>
      </w:r>
    </w:p>
    <w:p>
      <w:pPr>
        <w:spacing w:before="40"/>
        <w:ind w:left="1772" w:right="0" w:firstLine="0"/>
        <w:jc w:val="left"/>
        <w:rPr>
          <w:sz w:val="18"/>
        </w:rPr>
      </w:pPr>
      <w:r>
        <w:rPr>
          <w:b/>
          <w:w w:val="105"/>
          <w:sz w:val="18"/>
        </w:rPr>
        <w:t>HM Treasury: </w:t>
      </w:r>
      <w:r>
        <w:rPr>
          <w:w w:val="105"/>
          <w:sz w:val="18"/>
        </w:rPr>
        <w:t>Mario Pisani</w:t>
      </w:r>
    </w:p>
    <w:p>
      <w:pPr>
        <w:spacing w:before="43"/>
        <w:ind w:left="1772" w:right="0" w:firstLine="0"/>
        <w:jc w:val="left"/>
        <w:rPr>
          <w:sz w:val="18"/>
        </w:rPr>
      </w:pPr>
      <w:r>
        <w:rPr>
          <w:b/>
          <w:w w:val="105"/>
          <w:sz w:val="18"/>
        </w:rPr>
        <w:t>HSBC: </w:t>
      </w:r>
      <w:r>
        <w:rPr>
          <w:w w:val="105"/>
          <w:sz w:val="18"/>
        </w:rPr>
        <w:t>Tom Wood</w:t>
      </w:r>
    </w:p>
    <w:p>
      <w:pPr>
        <w:pStyle w:val="BodyText"/>
        <w:rPr>
          <w:sz w:val="20"/>
        </w:rPr>
      </w:pPr>
    </w:p>
    <w:p>
      <w:pPr>
        <w:pStyle w:val="BodyText"/>
        <w:spacing w:before="9"/>
        <w:rPr>
          <w:sz w:val="23"/>
        </w:rPr>
      </w:pPr>
    </w:p>
    <w:p>
      <w:pPr>
        <w:pStyle w:val="Heading1"/>
        <w:ind w:left="925"/>
      </w:pPr>
      <w:r>
        <w:rPr>
          <w:w w:val="105"/>
        </w:rPr>
        <w:t>Item</w:t>
      </w:r>
    </w:p>
    <w:p>
      <w:pPr>
        <w:pStyle w:val="BodyText"/>
        <w:spacing w:before="3"/>
        <w:rPr>
          <w:b/>
          <w:sz w:val="12"/>
        </w:rPr>
      </w:pPr>
    </w:p>
    <w:p>
      <w:pPr>
        <w:spacing w:after="0"/>
        <w:rPr>
          <w:sz w:val="12"/>
        </w:rPr>
        <w:sectPr>
          <w:type w:val="continuous"/>
          <w:pgSz w:w="12240" w:h="15840"/>
          <w:pgMar w:top="460" w:bottom="280" w:left="620" w:right="760"/>
        </w:sectPr>
      </w:pPr>
    </w:p>
    <w:p>
      <w:pPr>
        <w:spacing w:before="101"/>
        <w:ind w:left="925" w:right="0" w:firstLine="0"/>
        <w:jc w:val="left"/>
        <w:rPr>
          <w:b/>
          <w:sz w:val="18"/>
        </w:rPr>
      </w:pPr>
      <w:r>
        <w:rPr>
          <w:b/>
          <w:w w:val="105"/>
          <w:sz w:val="18"/>
        </w:rPr>
        <w:t>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27"/>
        <w:ind w:left="925" w:right="0" w:firstLine="0"/>
        <w:jc w:val="left"/>
        <w:rPr>
          <w:b/>
          <w:sz w:val="18"/>
        </w:rPr>
      </w:pPr>
      <w:r>
        <w:rPr>
          <w:b/>
          <w:sz w:val="18"/>
        </w:rPr>
        <w:t>1a.</w:t>
      </w:r>
    </w:p>
    <w:p>
      <w:pPr>
        <w:spacing w:before="101"/>
        <w:ind w:left="600" w:right="0" w:firstLine="0"/>
        <w:jc w:val="left"/>
        <w:rPr>
          <w:b/>
          <w:sz w:val="18"/>
        </w:rPr>
      </w:pPr>
      <w:r>
        <w:rPr/>
        <w:br w:type="column"/>
      </w:r>
      <w:r>
        <w:rPr>
          <w:b/>
          <w:w w:val="105"/>
          <w:sz w:val="18"/>
        </w:rPr>
        <w:t>Welcome and introductions</w:t>
      </w:r>
    </w:p>
    <w:p>
      <w:pPr>
        <w:pStyle w:val="BodyText"/>
        <w:spacing w:before="4"/>
        <w:rPr>
          <w:b/>
          <w:sz w:val="19"/>
        </w:rPr>
      </w:pPr>
    </w:p>
    <w:p>
      <w:pPr>
        <w:pStyle w:val="BodyText"/>
        <w:spacing w:line="252" w:lineRule="auto"/>
        <w:ind w:left="600" w:right="1180"/>
        <w:jc w:val="both"/>
      </w:pPr>
      <w:r>
        <w:rPr>
          <w:w w:val="105"/>
        </w:rPr>
        <w:t>The Chair described the background to the work and outlined the purpose of the group. Against the background of the declining transactional use of cash, and recognising the recently published Access to Cash report, the Bank was convening relevant stakeholders with the aim to design a new model for wholesale distribution of cash.</w:t>
      </w:r>
    </w:p>
    <w:p>
      <w:pPr>
        <w:pStyle w:val="BodyText"/>
        <w:spacing w:before="6"/>
      </w:pPr>
    </w:p>
    <w:p>
      <w:pPr>
        <w:pStyle w:val="BodyText"/>
        <w:ind w:left="600"/>
      </w:pPr>
      <w:r>
        <w:rPr>
          <w:w w:val="105"/>
        </w:rPr>
        <w:t>Participants introduced themselves.</w:t>
      </w:r>
    </w:p>
    <w:p>
      <w:pPr>
        <w:pStyle w:val="BodyText"/>
        <w:spacing w:before="6"/>
        <w:rPr>
          <w:sz w:val="19"/>
        </w:rPr>
      </w:pPr>
    </w:p>
    <w:p>
      <w:pPr>
        <w:pStyle w:val="Heading1"/>
        <w:ind w:left="600"/>
      </w:pPr>
      <w:r>
        <w:rPr>
          <w:w w:val="105"/>
        </w:rPr>
        <w:t>Competition Law</w:t>
      </w:r>
    </w:p>
    <w:p>
      <w:pPr>
        <w:spacing w:after="0"/>
        <w:sectPr>
          <w:type w:val="continuous"/>
          <w:pgSz w:w="12240" w:h="15840"/>
          <w:pgMar w:top="460" w:bottom="280" w:left="620" w:right="760"/>
          <w:cols w:num="2" w:equalWidth="0">
            <w:col w:w="1184" w:space="40"/>
            <w:col w:w="9636"/>
          </w:cols>
        </w:sectPr>
      </w:pPr>
    </w:p>
    <w:p>
      <w:pPr>
        <w:pStyle w:val="BodyText"/>
        <w:spacing w:before="9"/>
        <w:rPr>
          <w:b/>
          <w:sz w:val="10"/>
        </w:rPr>
      </w:pPr>
      <w:r>
        <w:rPr/>
        <w:pict>
          <v:line style="position:absolute;mso-position-horizontal-relative:page;mso-position-vertical-relative:page;z-index:251658240" from="72pt,172.680008pt" to="585.960037pt,172.680008pt" stroked="true" strokeweight=".48pt" strokecolor="#000000">
            <v:stroke dashstyle="solid"/>
            <w10:wrap type="none"/>
          </v:line>
        </w:pict>
      </w:r>
    </w:p>
    <w:p>
      <w:pPr>
        <w:pStyle w:val="BodyText"/>
        <w:spacing w:before="101"/>
        <w:ind w:left="1774" w:right="1676"/>
        <w:jc w:val="center"/>
      </w:pPr>
      <w:r>
        <w:rPr>
          <w:w w:val="105"/>
        </w:rPr>
        <w:t>Attendees noted their responsibilities and obligations under EU and UK competition law.</w:t>
      </w:r>
    </w:p>
    <w:p>
      <w:pPr>
        <w:pStyle w:val="BodyText"/>
        <w:spacing w:before="3"/>
        <w:rPr>
          <w:sz w:val="17"/>
        </w:rPr>
      </w:pPr>
    </w:p>
    <w:p>
      <w:pPr>
        <w:pStyle w:val="Heading1"/>
        <w:numPr>
          <w:ilvl w:val="0"/>
          <w:numId w:val="1"/>
        </w:numPr>
        <w:tabs>
          <w:tab w:pos="1823" w:val="left" w:leader="none"/>
          <w:tab w:pos="1824" w:val="left" w:leader="none"/>
        </w:tabs>
        <w:spacing w:line="240" w:lineRule="auto" w:before="0" w:after="0"/>
        <w:ind w:left="1823" w:right="0" w:hanging="899"/>
        <w:jc w:val="left"/>
      </w:pPr>
      <w:r>
        <w:rPr>
          <w:w w:val="105"/>
        </w:rPr>
        <w:t>Terms of Reference</w:t>
      </w:r>
    </w:p>
    <w:p>
      <w:pPr>
        <w:pStyle w:val="BodyText"/>
        <w:spacing w:before="6"/>
        <w:rPr>
          <w:b/>
          <w:sz w:val="19"/>
        </w:rPr>
      </w:pPr>
    </w:p>
    <w:p>
      <w:pPr>
        <w:pStyle w:val="BodyText"/>
        <w:ind w:left="1779" w:right="1676"/>
        <w:jc w:val="center"/>
      </w:pPr>
      <w:r>
        <w:rPr>
          <w:w w:val="105"/>
        </w:rPr>
        <w:t>The group discussed the draft Terms of reference of the WDSG. In particular, the group:</w:t>
      </w:r>
    </w:p>
    <w:p>
      <w:pPr>
        <w:pStyle w:val="BodyText"/>
        <w:spacing w:before="7"/>
        <w:rPr>
          <w:sz w:val="19"/>
        </w:rPr>
      </w:pPr>
    </w:p>
    <w:p>
      <w:pPr>
        <w:pStyle w:val="ListParagraph"/>
        <w:numPr>
          <w:ilvl w:val="1"/>
          <w:numId w:val="1"/>
        </w:numPr>
        <w:tabs>
          <w:tab w:pos="2500" w:val="left" w:leader="none"/>
          <w:tab w:pos="2501" w:val="left" w:leader="none"/>
        </w:tabs>
        <w:spacing w:line="249" w:lineRule="auto" w:before="0" w:after="0"/>
        <w:ind w:left="2500" w:right="1446" w:hanging="339"/>
        <w:jc w:val="left"/>
        <w:rPr>
          <w:sz w:val="18"/>
        </w:rPr>
      </w:pPr>
      <w:r>
        <w:rPr>
          <w:w w:val="105"/>
          <w:sz w:val="18"/>
        </w:rPr>
        <w:t>Agreed</w:t>
      </w:r>
      <w:r>
        <w:rPr>
          <w:spacing w:val="-7"/>
          <w:w w:val="105"/>
          <w:sz w:val="18"/>
        </w:rPr>
        <w:t> </w:t>
      </w:r>
      <w:r>
        <w:rPr>
          <w:w w:val="105"/>
          <w:sz w:val="18"/>
        </w:rPr>
        <w:t>that</w:t>
      </w:r>
      <w:r>
        <w:rPr>
          <w:spacing w:val="-2"/>
          <w:w w:val="105"/>
          <w:sz w:val="18"/>
        </w:rPr>
        <w:t> </w:t>
      </w:r>
      <w:r>
        <w:rPr>
          <w:w w:val="105"/>
          <w:sz w:val="18"/>
        </w:rPr>
        <w:t>the</w:t>
      </w:r>
      <w:r>
        <w:rPr>
          <w:spacing w:val="-3"/>
          <w:w w:val="105"/>
          <w:sz w:val="18"/>
        </w:rPr>
        <w:t> </w:t>
      </w:r>
      <w:r>
        <w:rPr>
          <w:w w:val="105"/>
          <w:sz w:val="18"/>
        </w:rPr>
        <w:t>scope</w:t>
      </w:r>
      <w:r>
        <w:rPr>
          <w:spacing w:val="-2"/>
          <w:w w:val="105"/>
          <w:sz w:val="18"/>
        </w:rPr>
        <w:t> </w:t>
      </w:r>
      <w:r>
        <w:rPr>
          <w:w w:val="105"/>
          <w:sz w:val="18"/>
        </w:rPr>
        <w:t>of</w:t>
      </w:r>
      <w:r>
        <w:rPr>
          <w:spacing w:val="-4"/>
          <w:w w:val="105"/>
          <w:sz w:val="18"/>
        </w:rPr>
        <w:t> </w:t>
      </w:r>
      <w:r>
        <w:rPr>
          <w:w w:val="105"/>
          <w:sz w:val="18"/>
        </w:rPr>
        <w:t>the</w:t>
      </w:r>
      <w:r>
        <w:rPr>
          <w:spacing w:val="-5"/>
          <w:w w:val="105"/>
          <w:sz w:val="18"/>
        </w:rPr>
        <w:t> </w:t>
      </w:r>
      <w:r>
        <w:rPr>
          <w:w w:val="105"/>
          <w:sz w:val="18"/>
        </w:rPr>
        <w:t>work</w:t>
      </w:r>
      <w:r>
        <w:rPr>
          <w:spacing w:val="-1"/>
          <w:w w:val="105"/>
          <w:sz w:val="18"/>
        </w:rPr>
        <w:t> </w:t>
      </w:r>
      <w:r>
        <w:rPr>
          <w:w w:val="105"/>
          <w:sz w:val="18"/>
        </w:rPr>
        <w:t>of</w:t>
      </w:r>
      <w:r>
        <w:rPr>
          <w:spacing w:val="-6"/>
          <w:w w:val="105"/>
          <w:sz w:val="18"/>
        </w:rPr>
        <w:t> </w:t>
      </w:r>
      <w:r>
        <w:rPr>
          <w:w w:val="105"/>
          <w:sz w:val="18"/>
        </w:rPr>
        <w:t>the</w:t>
      </w:r>
      <w:r>
        <w:rPr>
          <w:spacing w:val="-6"/>
          <w:w w:val="105"/>
          <w:sz w:val="18"/>
        </w:rPr>
        <w:t> </w:t>
      </w:r>
      <w:r>
        <w:rPr>
          <w:w w:val="105"/>
          <w:sz w:val="18"/>
        </w:rPr>
        <w:t>WDSG</w:t>
      </w:r>
      <w:r>
        <w:rPr>
          <w:spacing w:val="-3"/>
          <w:w w:val="105"/>
          <w:sz w:val="18"/>
        </w:rPr>
        <w:t> </w:t>
      </w:r>
      <w:r>
        <w:rPr>
          <w:w w:val="105"/>
          <w:sz w:val="18"/>
        </w:rPr>
        <w:t>would</w:t>
      </w:r>
      <w:r>
        <w:rPr>
          <w:spacing w:val="-6"/>
          <w:w w:val="105"/>
          <w:sz w:val="18"/>
        </w:rPr>
        <w:t> </w:t>
      </w:r>
      <w:r>
        <w:rPr>
          <w:w w:val="105"/>
          <w:sz w:val="18"/>
        </w:rPr>
        <w:t>be</w:t>
      </w:r>
      <w:r>
        <w:rPr>
          <w:spacing w:val="-5"/>
          <w:w w:val="105"/>
          <w:sz w:val="18"/>
        </w:rPr>
        <w:t> </w:t>
      </w:r>
      <w:r>
        <w:rPr>
          <w:w w:val="105"/>
          <w:sz w:val="18"/>
        </w:rPr>
        <w:t>limited</w:t>
      </w:r>
      <w:r>
        <w:rPr>
          <w:spacing w:val="-6"/>
          <w:w w:val="105"/>
          <w:sz w:val="18"/>
        </w:rPr>
        <w:t> </w:t>
      </w:r>
      <w:r>
        <w:rPr>
          <w:w w:val="105"/>
          <w:sz w:val="18"/>
        </w:rPr>
        <w:t>to</w:t>
      </w:r>
      <w:r>
        <w:rPr>
          <w:spacing w:val="-2"/>
          <w:w w:val="105"/>
          <w:sz w:val="18"/>
        </w:rPr>
        <w:t> </w:t>
      </w:r>
      <w:r>
        <w:rPr>
          <w:w w:val="105"/>
          <w:sz w:val="18"/>
        </w:rPr>
        <w:t>wholesale</w:t>
      </w:r>
      <w:r>
        <w:rPr>
          <w:spacing w:val="-5"/>
          <w:w w:val="105"/>
          <w:sz w:val="18"/>
        </w:rPr>
        <w:t> </w:t>
      </w:r>
      <w:r>
        <w:rPr>
          <w:w w:val="105"/>
          <w:sz w:val="18"/>
        </w:rPr>
        <w:t>cash distribution,</w:t>
      </w:r>
      <w:r>
        <w:rPr>
          <w:spacing w:val="-5"/>
          <w:w w:val="105"/>
          <w:sz w:val="18"/>
        </w:rPr>
        <w:t> </w:t>
      </w:r>
      <w:r>
        <w:rPr>
          <w:w w:val="105"/>
          <w:sz w:val="18"/>
        </w:rPr>
        <w:t>and</w:t>
      </w:r>
      <w:r>
        <w:rPr>
          <w:spacing w:val="-2"/>
          <w:w w:val="105"/>
          <w:sz w:val="18"/>
        </w:rPr>
        <w:t> </w:t>
      </w:r>
      <w:r>
        <w:rPr>
          <w:w w:val="105"/>
          <w:sz w:val="18"/>
        </w:rPr>
        <w:t>that</w:t>
      </w:r>
      <w:r>
        <w:rPr>
          <w:spacing w:val="-6"/>
          <w:w w:val="105"/>
          <w:sz w:val="18"/>
        </w:rPr>
        <w:t> </w:t>
      </w:r>
      <w:r>
        <w:rPr>
          <w:w w:val="105"/>
          <w:sz w:val="18"/>
        </w:rPr>
        <w:t>it</w:t>
      </w:r>
      <w:r>
        <w:rPr>
          <w:spacing w:val="-3"/>
          <w:w w:val="105"/>
          <w:sz w:val="18"/>
        </w:rPr>
        <w:t> </w:t>
      </w:r>
      <w:r>
        <w:rPr>
          <w:w w:val="105"/>
          <w:sz w:val="18"/>
        </w:rPr>
        <w:t>would</w:t>
      </w:r>
      <w:r>
        <w:rPr>
          <w:spacing w:val="-5"/>
          <w:w w:val="105"/>
          <w:sz w:val="18"/>
        </w:rPr>
        <w:t> </w:t>
      </w:r>
      <w:r>
        <w:rPr>
          <w:w w:val="105"/>
          <w:sz w:val="18"/>
        </w:rPr>
        <w:t>cover</w:t>
      </w:r>
      <w:r>
        <w:rPr>
          <w:spacing w:val="-5"/>
          <w:w w:val="105"/>
          <w:sz w:val="18"/>
        </w:rPr>
        <w:t> </w:t>
      </w:r>
      <w:r>
        <w:rPr>
          <w:w w:val="105"/>
          <w:sz w:val="18"/>
        </w:rPr>
        <w:t>the</w:t>
      </w:r>
      <w:r>
        <w:rPr>
          <w:spacing w:val="-3"/>
          <w:w w:val="105"/>
          <w:sz w:val="18"/>
        </w:rPr>
        <w:t> </w:t>
      </w:r>
      <w:r>
        <w:rPr>
          <w:w w:val="105"/>
          <w:sz w:val="18"/>
        </w:rPr>
        <w:t>distribution</w:t>
      </w:r>
      <w:r>
        <w:rPr>
          <w:spacing w:val="-2"/>
          <w:w w:val="105"/>
          <w:sz w:val="18"/>
        </w:rPr>
        <w:t> </w:t>
      </w:r>
      <w:r>
        <w:rPr>
          <w:w w:val="105"/>
          <w:sz w:val="18"/>
        </w:rPr>
        <w:t>of</w:t>
      </w:r>
      <w:r>
        <w:rPr>
          <w:spacing w:val="-2"/>
          <w:w w:val="105"/>
          <w:sz w:val="18"/>
        </w:rPr>
        <w:t> </w:t>
      </w:r>
      <w:r>
        <w:rPr>
          <w:w w:val="105"/>
          <w:sz w:val="18"/>
        </w:rPr>
        <w:t>both</w:t>
      </w:r>
      <w:r>
        <w:rPr>
          <w:spacing w:val="-4"/>
          <w:w w:val="105"/>
          <w:sz w:val="18"/>
        </w:rPr>
        <w:t> </w:t>
      </w:r>
      <w:r>
        <w:rPr>
          <w:w w:val="105"/>
          <w:sz w:val="18"/>
        </w:rPr>
        <w:t>banknotes</w:t>
      </w:r>
      <w:r>
        <w:rPr>
          <w:spacing w:val="-6"/>
          <w:w w:val="105"/>
          <w:sz w:val="18"/>
        </w:rPr>
        <w:t> </w:t>
      </w:r>
      <w:r>
        <w:rPr>
          <w:w w:val="105"/>
          <w:sz w:val="18"/>
        </w:rPr>
        <w:t>and</w:t>
      </w:r>
      <w:r>
        <w:rPr>
          <w:spacing w:val="-2"/>
          <w:w w:val="105"/>
          <w:sz w:val="18"/>
        </w:rPr>
        <w:t> </w:t>
      </w:r>
      <w:r>
        <w:rPr>
          <w:w w:val="105"/>
          <w:sz w:val="18"/>
        </w:rPr>
        <w:t>coins.</w:t>
      </w:r>
    </w:p>
    <w:p>
      <w:pPr>
        <w:pStyle w:val="BodyText"/>
        <w:spacing w:before="10"/>
      </w:pPr>
    </w:p>
    <w:p>
      <w:pPr>
        <w:pStyle w:val="ListParagraph"/>
        <w:numPr>
          <w:ilvl w:val="1"/>
          <w:numId w:val="1"/>
        </w:numPr>
        <w:tabs>
          <w:tab w:pos="2500" w:val="left" w:leader="none"/>
          <w:tab w:pos="2501" w:val="left" w:leader="none"/>
        </w:tabs>
        <w:spacing w:line="254" w:lineRule="auto" w:before="0" w:after="0"/>
        <w:ind w:left="2500" w:right="1299" w:hanging="339"/>
        <w:jc w:val="left"/>
        <w:rPr>
          <w:sz w:val="18"/>
        </w:rPr>
      </w:pPr>
      <w:r>
        <w:rPr>
          <w:w w:val="105"/>
          <w:sz w:val="18"/>
        </w:rPr>
        <w:t>Noted</w:t>
      </w:r>
      <w:r>
        <w:rPr>
          <w:spacing w:val="-4"/>
          <w:w w:val="105"/>
          <w:sz w:val="18"/>
        </w:rPr>
        <w:t> </w:t>
      </w:r>
      <w:r>
        <w:rPr>
          <w:w w:val="105"/>
          <w:sz w:val="18"/>
        </w:rPr>
        <w:t>the</w:t>
      </w:r>
      <w:r>
        <w:rPr>
          <w:spacing w:val="-3"/>
          <w:w w:val="105"/>
          <w:sz w:val="18"/>
        </w:rPr>
        <w:t> </w:t>
      </w:r>
      <w:r>
        <w:rPr>
          <w:w w:val="105"/>
          <w:sz w:val="18"/>
        </w:rPr>
        <w:t>criteria</w:t>
      </w:r>
      <w:r>
        <w:rPr>
          <w:spacing w:val="-9"/>
          <w:w w:val="105"/>
          <w:sz w:val="18"/>
        </w:rPr>
        <w:t> </w:t>
      </w:r>
      <w:r>
        <w:rPr>
          <w:w w:val="105"/>
          <w:sz w:val="18"/>
        </w:rPr>
        <w:t>chosen</w:t>
      </w:r>
      <w:r>
        <w:rPr>
          <w:spacing w:val="-6"/>
          <w:w w:val="105"/>
          <w:sz w:val="18"/>
        </w:rPr>
        <w:t> </w:t>
      </w:r>
      <w:r>
        <w:rPr>
          <w:w w:val="105"/>
          <w:sz w:val="18"/>
        </w:rPr>
        <w:t>to</w:t>
      </w:r>
      <w:r>
        <w:rPr>
          <w:spacing w:val="-7"/>
          <w:w w:val="105"/>
          <w:sz w:val="18"/>
        </w:rPr>
        <w:t> </w:t>
      </w:r>
      <w:r>
        <w:rPr>
          <w:w w:val="105"/>
          <w:sz w:val="18"/>
        </w:rPr>
        <w:t>determine</w:t>
      </w:r>
      <w:r>
        <w:rPr>
          <w:spacing w:val="-4"/>
          <w:w w:val="105"/>
          <w:sz w:val="18"/>
        </w:rPr>
        <w:t> </w:t>
      </w:r>
      <w:r>
        <w:rPr>
          <w:w w:val="105"/>
          <w:sz w:val="18"/>
        </w:rPr>
        <w:t>which</w:t>
      </w:r>
      <w:r>
        <w:rPr>
          <w:spacing w:val="-5"/>
          <w:w w:val="105"/>
          <w:sz w:val="18"/>
        </w:rPr>
        <w:t> </w:t>
      </w:r>
      <w:r>
        <w:rPr>
          <w:w w:val="105"/>
          <w:sz w:val="18"/>
        </w:rPr>
        <w:t>entities</w:t>
      </w:r>
      <w:r>
        <w:rPr>
          <w:spacing w:val="-7"/>
          <w:w w:val="105"/>
          <w:sz w:val="18"/>
        </w:rPr>
        <w:t> </w:t>
      </w:r>
      <w:r>
        <w:rPr>
          <w:w w:val="105"/>
          <w:sz w:val="18"/>
        </w:rPr>
        <w:t>were</w:t>
      </w:r>
      <w:r>
        <w:rPr>
          <w:spacing w:val="-7"/>
          <w:w w:val="105"/>
          <w:sz w:val="18"/>
        </w:rPr>
        <w:t> </w:t>
      </w:r>
      <w:r>
        <w:rPr>
          <w:w w:val="105"/>
          <w:sz w:val="18"/>
        </w:rPr>
        <w:t>invited</w:t>
      </w:r>
      <w:r>
        <w:rPr>
          <w:spacing w:val="-4"/>
          <w:w w:val="105"/>
          <w:sz w:val="18"/>
        </w:rPr>
        <w:t> </w:t>
      </w:r>
      <w:r>
        <w:rPr>
          <w:w w:val="105"/>
          <w:sz w:val="18"/>
        </w:rPr>
        <w:t>to</w:t>
      </w:r>
      <w:r>
        <w:rPr>
          <w:spacing w:val="-4"/>
          <w:w w:val="105"/>
          <w:sz w:val="18"/>
        </w:rPr>
        <w:t> </w:t>
      </w:r>
      <w:r>
        <w:rPr>
          <w:w w:val="105"/>
          <w:sz w:val="18"/>
        </w:rPr>
        <w:t>participate</w:t>
      </w:r>
      <w:r>
        <w:rPr>
          <w:spacing w:val="-3"/>
          <w:w w:val="105"/>
          <w:sz w:val="18"/>
        </w:rPr>
        <w:t> </w:t>
      </w:r>
      <w:r>
        <w:rPr>
          <w:w w:val="105"/>
          <w:sz w:val="18"/>
        </w:rPr>
        <w:t>in</w:t>
      </w:r>
      <w:r>
        <w:rPr>
          <w:spacing w:val="-5"/>
          <w:w w:val="105"/>
          <w:sz w:val="18"/>
        </w:rPr>
        <w:t> </w:t>
      </w:r>
      <w:r>
        <w:rPr>
          <w:w w:val="105"/>
          <w:sz w:val="18"/>
        </w:rPr>
        <w:t>the WDSG.</w:t>
      </w:r>
    </w:p>
    <w:p>
      <w:pPr>
        <w:pStyle w:val="BodyText"/>
        <w:spacing w:before="2"/>
      </w:pPr>
    </w:p>
    <w:p>
      <w:pPr>
        <w:pStyle w:val="ListParagraph"/>
        <w:numPr>
          <w:ilvl w:val="1"/>
          <w:numId w:val="1"/>
        </w:numPr>
        <w:tabs>
          <w:tab w:pos="2500" w:val="left" w:leader="none"/>
          <w:tab w:pos="2501" w:val="left" w:leader="none"/>
        </w:tabs>
        <w:spacing w:line="249" w:lineRule="auto" w:before="1" w:after="0"/>
        <w:ind w:left="2500" w:right="1454" w:hanging="339"/>
        <w:jc w:val="left"/>
        <w:rPr>
          <w:sz w:val="18"/>
        </w:rPr>
      </w:pPr>
      <w:r>
        <w:rPr>
          <w:w w:val="105"/>
          <w:sz w:val="18"/>
        </w:rPr>
        <w:t>Noted</w:t>
      </w:r>
      <w:r>
        <w:rPr>
          <w:spacing w:val="-3"/>
          <w:w w:val="105"/>
          <w:sz w:val="18"/>
        </w:rPr>
        <w:t> </w:t>
      </w:r>
      <w:r>
        <w:rPr>
          <w:w w:val="105"/>
          <w:sz w:val="18"/>
        </w:rPr>
        <w:t>that</w:t>
      </w:r>
      <w:r>
        <w:rPr>
          <w:spacing w:val="-7"/>
          <w:w w:val="105"/>
          <w:sz w:val="18"/>
        </w:rPr>
        <w:t> </w:t>
      </w:r>
      <w:r>
        <w:rPr>
          <w:w w:val="105"/>
          <w:sz w:val="18"/>
        </w:rPr>
        <w:t>of</w:t>
      </w:r>
      <w:r>
        <w:rPr>
          <w:spacing w:val="-5"/>
          <w:w w:val="105"/>
          <w:sz w:val="18"/>
        </w:rPr>
        <w:t> </w:t>
      </w:r>
      <w:r>
        <w:rPr>
          <w:w w:val="105"/>
          <w:sz w:val="18"/>
        </w:rPr>
        <w:t>the</w:t>
      </w:r>
      <w:r>
        <w:rPr>
          <w:spacing w:val="-4"/>
          <w:w w:val="105"/>
          <w:sz w:val="18"/>
        </w:rPr>
        <w:t> </w:t>
      </w:r>
      <w:r>
        <w:rPr>
          <w:w w:val="105"/>
          <w:sz w:val="18"/>
        </w:rPr>
        <w:t>Northern</w:t>
      </w:r>
      <w:r>
        <w:rPr>
          <w:spacing w:val="-6"/>
          <w:w w:val="105"/>
          <w:sz w:val="18"/>
        </w:rPr>
        <w:t> </w:t>
      </w:r>
      <w:r>
        <w:rPr>
          <w:w w:val="105"/>
          <w:sz w:val="18"/>
        </w:rPr>
        <w:t>Ireland</w:t>
      </w:r>
      <w:r>
        <w:rPr>
          <w:spacing w:val="-7"/>
          <w:w w:val="105"/>
          <w:sz w:val="18"/>
        </w:rPr>
        <w:t> </w:t>
      </w:r>
      <w:r>
        <w:rPr>
          <w:w w:val="105"/>
          <w:sz w:val="18"/>
        </w:rPr>
        <w:t>banks</w:t>
      </w:r>
      <w:r>
        <w:rPr>
          <w:spacing w:val="-7"/>
          <w:w w:val="105"/>
          <w:sz w:val="18"/>
        </w:rPr>
        <w:t> </w:t>
      </w:r>
      <w:r>
        <w:rPr>
          <w:w w:val="105"/>
          <w:sz w:val="18"/>
        </w:rPr>
        <w:t>that</w:t>
      </w:r>
      <w:r>
        <w:rPr>
          <w:spacing w:val="-1"/>
          <w:w w:val="105"/>
          <w:sz w:val="18"/>
        </w:rPr>
        <w:t> </w:t>
      </w:r>
      <w:r>
        <w:rPr>
          <w:w w:val="105"/>
          <w:sz w:val="18"/>
        </w:rPr>
        <w:t>met</w:t>
      </w:r>
      <w:r>
        <w:rPr>
          <w:spacing w:val="-6"/>
          <w:w w:val="105"/>
          <w:sz w:val="18"/>
        </w:rPr>
        <w:t> </w:t>
      </w:r>
      <w:r>
        <w:rPr>
          <w:w w:val="105"/>
          <w:sz w:val="18"/>
        </w:rPr>
        <w:t>the</w:t>
      </w:r>
      <w:r>
        <w:rPr>
          <w:spacing w:val="-3"/>
          <w:w w:val="105"/>
          <w:sz w:val="18"/>
        </w:rPr>
        <w:t> </w:t>
      </w:r>
      <w:r>
        <w:rPr>
          <w:w w:val="105"/>
          <w:sz w:val="18"/>
        </w:rPr>
        <w:t>criteria,</w:t>
      </w:r>
      <w:r>
        <w:rPr>
          <w:spacing w:val="-3"/>
          <w:w w:val="105"/>
          <w:sz w:val="18"/>
        </w:rPr>
        <w:t> </w:t>
      </w:r>
      <w:r>
        <w:rPr>
          <w:w w:val="105"/>
          <w:sz w:val="18"/>
        </w:rPr>
        <w:t>not</w:t>
      </w:r>
      <w:r>
        <w:rPr>
          <w:spacing w:val="-7"/>
          <w:w w:val="105"/>
          <w:sz w:val="18"/>
        </w:rPr>
        <w:t> </w:t>
      </w:r>
      <w:r>
        <w:rPr>
          <w:w w:val="105"/>
          <w:sz w:val="18"/>
        </w:rPr>
        <w:t>all</w:t>
      </w:r>
      <w:r>
        <w:rPr>
          <w:spacing w:val="-3"/>
          <w:w w:val="105"/>
          <w:sz w:val="18"/>
        </w:rPr>
        <w:t> </w:t>
      </w:r>
      <w:r>
        <w:rPr>
          <w:w w:val="105"/>
          <w:sz w:val="18"/>
        </w:rPr>
        <w:t>had</w:t>
      </w:r>
      <w:r>
        <w:rPr>
          <w:spacing w:val="-3"/>
          <w:w w:val="105"/>
          <w:sz w:val="18"/>
        </w:rPr>
        <w:t> </w:t>
      </w:r>
      <w:r>
        <w:rPr>
          <w:w w:val="105"/>
          <w:sz w:val="18"/>
        </w:rPr>
        <w:t>decided</w:t>
      </w:r>
      <w:r>
        <w:rPr>
          <w:spacing w:val="-6"/>
          <w:w w:val="105"/>
          <w:sz w:val="18"/>
        </w:rPr>
        <w:t> </w:t>
      </w:r>
      <w:r>
        <w:rPr>
          <w:w w:val="105"/>
          <w:sz w:val="18"/>
        </w:rPr>
        <w:t>to participate, and discussed any implications of</w:t>
      </w:r>
      <w:r>
        <w:rPr>
          <w:spacing w:val="-10"/>
          <w:w w:val="105"/>
          <w:sz w:val="18"/>
        </w:rPr>
        <w:t> </w:t>
      </w:r>
      <w:r>
        <w:rPr>
          <w:w w:val="105"/>
          <w:sz w:val="18"/>
        </w:rPr>
        <w:t>this.</w:t>
      </w:r>
    </w:p>
    <w:p>
      <w:pPr>
        <w:pStyle w:val="BodyText"/>
        <w:spacing w:before="1"/>
        <w:rPr>
          <w:sz w:val="19"/>
        </w:rPr>
      </w:pPr>
    </w:p>
    <w:p>
      <w:pPr>
        <w:pStyle w:val="ListParagraph"/>
        <w:numPr>
          <w:ilvl w:val="1"/>
          <w:numId w:val="1"/>
        </w:numPr>
        <w:tabs>
          <w:tab w:pos="2500" w:val="left" w:leader="none"/>
          <w:tab w:pos="2501" w:val="left" w:leader="none"/>
        </w:tabs>
        <w:spacing w:line="240" w:lineRule="auto" w:before="0" w:after="0"/>
        <w:ind w:left="2500" w:right="0" w:hanging="340"/>
        <w:jc w:val="left"/>
        <w:rPr>
          <w:sz w:val="18"/>
        </w:rPr>
      </w:pPr>
      <w:r>
        <w:rPr>
          <w:w w:val="105"/>
          <w:sz w:val="18"/>
        </w:rPr>
        <w:t>Discussed the role of the WDSG relative to other bodies, and in particular noted</w:t>
      </w:r>
      <w:r>
        <w:rPr>
          <w:spacing w:val="-26"/>
          <w:w w:val="105"/>
          <w:sz w:val="18"/>
        </w:rPr>
        <w:t> </w:t>
      </w:r>
      <w:r>
        <w:rPr>
          <w:w w:val="105"/>
          <w:sz w:val="18"/>
        </w:rPr>
        <w:t>the</w:t>
      </w:r>
    </w:p>
    <w:p>
      <w:pPr>
        <w:spacing w:after="0" w:line="240" w:lineRule="auto"/>
        <w:jc w:val="left"/>
        <w:rPr>
          <w:sz w:val="18"/>
        </w:rPr>
        <w:sectPr>
          <w:type w:val="continuous"/>
          <w:pgSz w:w="12240" w:h="15840"/>
          <w:pgMar w:top="460" w:bottom="280" w:left="620" w:right="760"/>
        </w:sectPr>
      </w:pPr>
    </w:p>
    <w:p>
      <w:pPr>
        <w:pStyle w:val="BodyText"/>
        <w:spacing w:before="5"/>
        <w:rPr>
          <w:sz w:val="19"/>
        </w:rPr>
      </w:pPr>
    </w:p>
    <w:p>
      <w:pPr>
        <w:pStyle w:val="BodyText"/>
        <w:spacing w:before="101"/>
        <w:ind w:left="2500"/>
      </w:pPr>
      <w:r>
        <w:rPr>
          <w:w w:val="105"/>
        </w:rPr>
        <w:t>need for clear delineation between the role of the WDSG and that of UK Finance.</w:t>
      </w:r>
    </w:p>
    <w:p>
      <w:pPr>
        <w:pStyle w:val="BodyText"/>
        <w:spacing w:before="8"/>
        <w:rPr>
          <w:sz w:val="19"/>
        </w:rPr>
      </w:pPr>
    </w:p>
    <w:p>
      <w:pPr>
        <w:pStyle w:val="ListParagraph"/>
        <w:numPr>
          <w:ilvl w:val="1"/>
          <w:numId w:val="1"/>
        </w:numPr>
        <w:tabs>
          <w:tab w:pos="2500" w:val="left" w:leader="none"/>
          <w:tab w:pos="2501" w:val="left" w:leader="none"/>
        </w:tabs>
        <w:spacing w:line="240" w:lineRule="auto" w:before="1" w:after="0"/>
        <w:ind w:left="2500" w:right="0" w:hanging="340"/>
        <w:jc w:val="left"/>
        <w:rPr>
          <w:sz w:val="18"/>
        </w:rPr>
      </w:pPr>
      <w:r>
        <w:rPr>
          <w:w w:val="105"/>
          <w:sz w:val="18"/>
        </w:rPr>
        <w:t>Discussed the processes for decision making within the</w:t>
      </w:r>
      <w:r>
        <w:rPr>
          <w:spacing w:val="-13"/>
          <w:w w:val="105"/>
          <w:sz w:val="18"/>
        </w:rPr>
        <w:t> </w:t>
      </w:r>
      <w:r>
        <w:rPr>
          <w:w w:val="105"/>
          <w:sz w:val="18"/>
        </w:rPr>
        <w:t>WDSG.</w:t>
      </w:r>
    </w:p>
    <w:p>
      <w:pPr>
        <w:pStyle w:val="BodyText"/>
        <w:spacing w:before="6"/>
        <w:rPr>
          <w:sz w:val="19"/>
        </w:rPr>
      </w:pPr>
    </w:p>
    <w:p>
      <w:pPr>
        <w:pStyle w:val="BodyText"/>
        <w:spacing w:line="247" w:lineRule="auto"/>
        <w:ind w:left="1823" w:right="1148"/>
      </w:pPr>
      <w:r>
        <w:rPr>
          <w:w w:val="105"/>
        </w:rPr>
        <w:t>A series of actions were agreed and the Terms of Reference will be amended and recirculated to the next WDSG meeting for ratification.</w:t>
      </w:r>
    </w:p>
    <w:p>
      <w:pPr>
        <w:pStyle w:val="BodyText"/>
        <w:spacing w:before="6"/>
        <w:rPr>
          <w:sz w:val="10"/>
        </w:rPr>
      </w:pPr>
    </w:p>
    <w:p>
      <w:pPr>
        <w:spacing w:after="0"/>
        <w:rPr>
          <w:sz w:val="10"/>
        </w:rPr>
        <w:sectPr>
          <w:headerReference w:type="default" r:id="rId5"/>
          <w:pgSz w:w="12240" w:h="15840"/>
          <w:pgMar w:header="536" w:footer="0" w:top="740" w:bottom="280" w:left="620" w:right="760"/>
          <w:pgNumType w:start="2"/>
        </w:sectPr>
      </w:pPr>
    </w:p>
    <w:p>
      <w:pPr>
        <w:pStyle w:val="Heading1"/>
        <w:spacing w:before="101"/>
        <w:ind w:left="0"/>
        <w:jc w:val="right"/>
      </w:pPr>
      <w:r>
        <w:rPr/>
        <w:t>2a.</w:t>
      </w:r>
    </w:p>
    <w:p>
      <w:pPr>
        <w:spacing w:before="101"/>
        <w:ind w:left="600" w:right="0" w:firstLine="0"/>
        <w:jc w:val="left"/>
        <w:rPr>
          <w:b/>
          <w:sz w:val="18"/>
        </w:rPr>
      </w:pPr>
      <w:r>
        <w:rPr/>
        <w:br w:type="column"/>
      </w:r>
      <w:r>
        <w:rPr>
          <w:b/>
          <w:w w:val="105"/>
          <w:sz w:val="18"/>
        </w:rPr>
        <w:t>Stakeholder engagement</w:t>
      </w:r>
    </w:p>
    <w:p>
      <w:pPr>
        <w:pStyle w:val="BodyText"/>
        <w:spacing w:before="6"/>
        <w:rPr>
          <w:b/>
          <w:sz w:val="19"/>
        </w:rPr>
      </w:pPr>
    </w:p>
    <w:p>
      <w:pPr>
        <w:pStyle w:val="BodyText"/>
        <w:ind w:left="600"/>
      </w:pPr>
      <w:r>
        <w:rPr>
          <w:w w:val="105"/>
        </w:rPr>
        <w:t>The Group discussed the approach to wider stakeholder engagement and agreed:</w:t>
      </w:r>
    </w:p>
    <w:p>
      <w:pPr>
        <w:pStyle w:val="BodyText"/>
        <w:spacing w:before="7"/>
        <w:rPr>
          <w:sz w:val="19"/>
        </w:rPr>
      </w:pPr>
    </w:p>
    <w:p>
      <w:pPr>
        <w:pStyle w:val="ListParagraph"/>
        <w:numPr>
          <w:ilvl w:val="0"/>
          <w:numId w:val="2"/>
        </w:numPr>
        <w:tabs>
          <w:tab w:pos="1277" w:val="left" w:leader="none"/>
          <w:tab w:pos="1278" w:val="left" w:leader="none"/>
        </w:tabs>
        <w:spacing w:line="249" w:lineRule="auto" w:before="0" w:after="0"/>
        <w:ind w:left="1276" w:right="1380" w:hanging="339"/>
        <w:jc w:val="left"/>
        <w:rPr>
          <w:sz w:val="18"/>
        </w:rPr>
      </w:pPr>
      <w:r>
        <w:rPr>
          <w:w w:val="105"/>
          <w:sz w:val="18"/>
        </w:rPr>
        <w:t>There</w:t>
      </w:r>
      <w:r>
        <w:rPr>
          <w:spacing w:val="-7"/>
          <w:w w:val="105"/>
          <w:sz w:val="18"/>
        </w:rPr>
        <w:t> </w:t>
      </w:r>
      <w:r>
        <w:rPr>
          <w:w w:val="105"/>
          <w:sz w:val="18"/>
        </w:rPr>
        <w:t>are</w:t>
      </w:r>
      <w:r>
        <w:rPr>
          <w:spacing w:val="-3"/>
          <w:w w:val="105"/>
          <w:sz w:val="18"/>
        </w:rPr>
        <w:t> </w:t>
      </w:r>
      <w:r>
        <w:rPr>
          <w:w w:val="105"/>
          <w:sz w:val="18"/>
        </w:rPr>
        <w:t>a</w:t>
      </w:r>
      <w:r>
        <w:rPr>
          <w:spacing w:val="-6"/>
          <w:w w:val="105"/>
          <w:sz w:val="18"/>
        </w:rPr>
        <w:t> </w:t>
      </w:r>
      <w:r>
        <w:rPr>
          <w:w w:val="105"/>
          <w:sz w:val="18"/>
        </w:rPr>
        <w:t>wide</w:t>
      </w:r>
      <w:r>
        <w:rPr>
          <w:spacing w:val="-3"/>
          <w:w w:val="105"/>
          <w:sz w:val="18"/>
        </w:rPr>
        <w:t> </w:t>
      </w:r>
      <w:r>
        <w:rPr>
          <w:w w:val="105"/>
          <w:sz w:val="18"/>
        </w:rPr>
        <w:t>range</w:t>
      </w:r>
      <w:r>
        <w:rPr>
          <w:spacing w:val="-6"/>
          <w:w w:val="105"/>
          <w:sz w:val="18"/>
        </w:rPr>
        <w:t> </w:t>
      </w:r>
      <w:r>
        <w:rPr>
          <w:w w:val="105"/>
          <w:sz w:val="18"/>
        </w:rPr>
        <w:t>of</w:t>
      </w:r>
      <w:r>
        <w:rPr>
          <w:spacing w:val="-3"/>
          <w:w w:val="105"/>
          <w:sz w:val="18"/>
        </w:rPr>
        <w:t> </w:t>
      </w:r>
      <w:r>
        <w:rPr>
          <w:w w:val="105"/>
          <w:sz w:val="18"/>
        </w:rPr>
        <w:t>stakeholders</w:t>
      </w:r>
      <w:r>
        <w:rPr>
          <w:spacing w:val="-6"/>
          <w:w w:val="105"/>
          <w:sz w:val="18"/>
        </w:rPr>
        <w:t> </w:t>
      </w:r>
      <w:r>
        <w:rPr>
          <w:w w:val="105"/>
          <w:sz w:val="18"/>
        </w:rPr>
        <w:t>who</w:t>
      </w:r>
      <w:r>
        <w:rPr>
          <w:spacing w:val="-6"/>
          <w:w w:val="105"/>
          <w:sz w:val="18"/>
        </w:rPr>
        <w:t> </w:t>
      </w:r>
      <w:r>
        <w:rPr>
          <w:w w:val="105"/>
          <w:sz w:val="18"/>
        </w:rPr>
        <w:t>will</w:t>
      </w:r>
      <w:r>
        <w:rPr>
          <w:spacing w:val="-6"/>
          <w:w w:val="105"/>
          <w:sz w:val="18"/>
        </w:rPr>
        <w:t> </w:t>
      </w:r>
      <w:r>
        <w:rPr>
          <w:w w:val="105"/>
          <w:sz w:val="18"/>
        </w:rPr>
        <w:t>potentially</w:t>
      </w:r>
      <w:r>
        <w:rPr>
          <w:spacing w:val="-6"/>
          <w:w w:val="105"/>
          <w:sz w:val="18"/>
        </w:rPr>
        <w:t> </w:t>
      </w:r>
      <w:r>
        <w:rPr>
          <w:w w:val="105"/>
          <w:sz w:val="18"/>
        </w:rPr>
        <w:t>be</w:t>
      </w:r>
      <w:r>
        <w:rPr>
          <w:spacing w:val="-3"/>
          <w:w w:val="105"/>
          <w:sz w:val="18"/>
        </w:rPr>
        <w:t> </w:t>
      </w:r>
      <w:r>
        <w:rPr>
          <w:w w:val="105"/>
          <w:sz w:val="18"/>
        </w:rPr>
        <w:t>interested</w:t>
      </w:r>
      <w:r>
        <w:rPr>
          <w:spacing w:val="-7"/>
          <w:w w:val="105"/>
          <w:sz w:val="18"/>
        </w:rPr>
        <w:t> </w:t>
      </w:r>
      <w:r>
        <w:rPr>
          <w:w w:val="105"/>
          <w:sz w:val="18"/>
        </w:rPr>
        <w:t>in</w:t>
      </w:r>
      <w:r>
        <w:rPr>
          <w:spacing w:val="-3"/>
          <w:w w:val="105"/>
          <w:sz w:val="18"/>
        </w:rPr>
        <w:t> </w:t>
      </w:r>
      <w:r>
        <w:rPr>
          <w:w w:val="105"/>
          <w:sz w:val="18"/>
        </w:rPr>
        <w:t>the</w:t>
      </w:r>
      <w:r>
        <w:rPr>
          <w:spacing w:val="-4"/>
          <w:w w:val="105"/>
          <w:sz w:val="18"/>
        </w:rPr>
        <w:t> </w:t>
      </w:r>
      <w:r>
        <w:rPr>
          <w:w w:val="105"/>
          <w:sz w:val="18"/>
        </w:rPr>
        <w:t>work of the group, including those directly involved in the cash industry, public sector authorities and groups/individuals representing consumer</w:t>
      </w:r>
      <w:r>
        <w:rPr>
          <w:spacing w:val="-14"/>
          <w:w w:val="105"/>
          <w:sz w:val="18"/>
        </w:rPr>
        <w:t> </w:t>
      </w:r>
      <w:r>
        <w:rPr>
          <w:w w:val="105"/>
          <w:sz w:val="18"/>
        </w:rPr>
        <w:t>interests.</w:t>
      </w:r>
    </w:p>
    <w:p>
      <w:pPr>
        <w:pStyle w:val="BodyText"/>
        <w:spacing w:before="2"/>
        <w:rPr>
          <w:sz w:val="19"/>
        </w:rPr>
      </w:pPr>
    </w:p>
    <w:p>
      <w:pPr>
        <w:pStyle w:val="ListParagraph"/>
        <w:numPr>
          <w:ilvl w:val="0"/>
          <w:numId w:val="2"/>
        </w:numPr>
        <w:tabs>
          <w:tab w:pos="1277" w:val="left" w:leader="none"/>
          <w:tab w:pos="1278" w:val="left" w:leader="none"/>
        </w:tabs>
        <w:spacing w:line="249" w:lineRule="auto" w:before="0" w:after="0"/>
        <w:ind w:left="1276" w:right="1400" w:hanging="339"/>
        <w:jc w:val="left"/>
        <w:rPr>
          <w:sz w:val="18"/>
        </w:rPr>
      </w:pPr>
      <w:r>
        <w:rPr>
          <w:w w:val="105"/>
          <w:sz w:val="18"/>
        </w:rPr>
        <w:t>Recognising</w:t>
      </w:r>
      <w:r>
        <w:rPr>
          <w:spacing w:val="-8"/>
          <w:w w:val="105"/>
          <w:sz w:val="18"/>
        </w:rPr>
        <w:t> </w:t>
      </w:r>
      <w:r>
        <w:rPr>
          <w:w w:val="105"/>
          <w:sz w:val="18"/>
        </w:rPr>
        <w:t>the</w:t>
      </w:r>
      <w:r>
        <w:rPr>
          <w:spacing w:val="-6"/>
          <w:w w:val="105"/>
          <w:sz w:val="18"/>
        </w:rPr>
        <w:t> </w:t>
      </w:r>
      <w:r>
        <w:rPr>
          <w:w w:val="105"/>
          <w:sz w:val="18"/>
        </w:rPr>
        <w:t>importance</w:t>
      </w:r>
      <w:r>
        <w:rPr>
          <w:spacing w:val="-8"/>
          <w:w w:val="105"/>
          <w:sz w:val="18"/>
        </w:rPr>
        <w:t> </w:t>
      </w:r>
      <w:r>
        <w:rPr>
          <w:w w:val="105"/>
          <w:sz w:val="18"/>
        </w:rPr>
        <w:t>of</w:t>
      </w:r>
      <w:r>
        <w:rPr>
          <w:spacing w:val="-6"/>
          <w:w w:val="105"/>
          <w:sz w:val="18"/>
        </w:rPr>
        <w:t> </w:t>
      </w:r>
      <w:r>
        <w:rPr>
          <w:w w:val="105"/>
          <w:sz w:val="18"/>
        </w:rPr>
        <w:t>openness</w:t>
      </w:r>
      <w:r>
        <w:rPr>
          <w:spacing w:val="-7"/>
          <w:w w:val="105"/>
          <w:sz w:val="18"/>
        </w:rPr>
        <w:t> </w:t>
      </w:r>
      <w:r>
        <w:rPr>
          <w:w w:val="105"/>
          <w:sz w:val="18"/>
        </w:rPr>
        <w:t>and</w:t>
      </w:r>
      <w:r>
        <w:rPr>
          <w:spacing w:val="-5"/>
          <w:w w:val="105"/>
          <w:sz w:val="18"/>
        </w:rPr>
        <w:t> </w:t>
      </w:r>
      <w:r>
        <w:rPr>
          <w:w w:val="105"/>
          <w:sz w:val="18"/>
        </w:rPr>
        <w:t>transparency</w:t>
      </w:r>
      <w:r>
        <w:rPr>
          <w:spacing w:val="-7"/>
          <w:w w:val="105"/>
          <w:sz w:val="18"/>
        </w:rPr>
        <w:t> </w:t>
      </w:r>
      <w:r>
        <w:rPr>
          <w:w w:val="105"/>
          <w:sz w:val="18"/>
        </w:rPr>
        <w:t>a</w:t>
      </w:r>
      <w:r>
        <w:rPr>
          <w:spacing w:val="-5"/>
          <w:w w:val="105"/>
          <w:sz w:val="18"/>
        </w:rPr>
        <w:t> </w:t>
      </w:r>
      <w:r>
        <w:rPr>
          <w:w w:val="105"/>
          <w:sz w:val="18"/>
        </w:rPr>
        <w:t>record</w:t>
      </w:r>
      <w:r>
        <w:rPr>
          <w:spacing w:val="-7"/>
          <w:w w:val="105"/>
          <w:sz w:val="18"/>
        </w:rPr>
        <w:t> </w:t>
      </w:r>
      <w:r>
        <w:rPr>
          <w:w w:val="105"/>
          <w:sz w:val="18"/>
        </w:rPr>
        <w:t>of</w:t>
      </w:r>
      <w:r>
        <w:rPr>
          <w:spacing w:val="-4"/>
          <w:w w:val="105"/>
          <w:sz w:val="18"/>
        </w:rPr>
        <w:t> </w:t>
      </w:r>
      <w:r>
        <w:rPr>
          <w:w w:val="105"/>
          <w:sz w:val="18"/>
        </w:rPr>
        <w:t>each</w:t>
      </w:r>
      <w:r>
        <w:rPr>
          <w:spacing w:val="-4"/>
          <w:w w:val="105"/>
          <w:sz w:val="18"/>
        </w:rPr>
        <w:t> </w:t>
      </w:r>
      <w:r>
        <w:rPr>
          <w:w w:val="105"/>
          <w:sz w:val="18"/>
        </w:rPr>
        <w:t>WDSG meeting will be</w:t>
      </w:r>
      <w:r>
        <w:rPr>
          <w:spacing w:val="-4"/>
          <w:w w:val="105"/>
          <w:sz w:val="18"/>
        </w:rPr>
        <w:t> </w:t>
      </w:r>
      <w:r>
        <w:rPr>
          <w:w w:val="105"/>
          <w:sz w:val="18"/>
        </w:rPr>
        <w:t>published.</w:t>
      </w:r>
    </w:p>
    <w:p>
      <w:pPr>
        <w:pStyle w:val="BodyText"/>
        <w:spacing w:before="10"/>
      </w:pPr>
    </w:p>
    <w:p>
      <w:pPr>
        <w:pStyle w:val="ListParagraph"/>
        <w:numPr>
          <w:ilvl w:val="0"/>
          <w:numId w:val="2"/>
        </w:numPr>
        <w:tabs>
          <w:tab w:pos="1277" w:val="left" w:leader="none"/>
          <w:tab w:pos="1278" w:val="left" w:leader="none"/>
        </w:tabs>
        <w:spacing w:line="249" w:lineRule="auto" w:before="0" w:after="0"/>
        <w:ind w:left="1276" w:right="1561" w:hanging="339"/>
        <w:jc w:val="left"/>
        <w:rPr>
          <w:sz w:val="18"/>
        </w:rPr>
      </w:pPr>
      <w:r>
        <w:rPr>
          <w:w w:val="105"/>
          <w:sz w:val="18"/>
        </w:rPr>
        <w:t>Certain</w:t>
      </w:r>
      <w:r>
        <w:rPr>
          <w:spacing w:val="-7"/>
          <w:w w:val="105"/>
          <w:sz w:val="18"/>
        </w:rPr>
        <w:t> </w:t>
      </w:r>
      <w:r>
        <w:rPr>
          <w:w w:val="105"/>
          <w:sz w:val="18"/>
        </w:rPr>
        <w:t>entities</w:t>
      </w:r>
      <w:r>
        <w:rPr>
          <w:spacing w:val="-6"/>
          <w:w w:val="105"/>
          <w:sz w:val="18"/>
        </w:rPr>
        <w:t> </w:t>
      </w:r>
      <w:r>
        <w:rPr>
          <w:w w:val="105"/>
          <w:sz w:val="18"/>
        </w:rPr>
        <w:t>–</w:t>
      </w:r>
      <w:r>
        <w:rPr>
          <w:spacing w:val="-3"/>
          <w:w w:val="105"/>
          <w:sz w:val="18"/>
        </w:rPr>
        <w:t> </w:t>
      </w:r>
      <w:r>
        <w:rPr>
          <w:w w:val="105"/>
          <w:sz w:val="18"/>
        </w:rPr>
        <w:t>not on</w:t>
      </w:r>
      <w:r>
        <w:rPr>
          <w:spacing w:val="-2"/>
          <w:w w:val="105"/>
          <w:sz w:val="18"/>
        </w:rPr>
        <w:t> </w:t>
      </w:r>
      <w:r>
        <w:rPr>
          <w:w w:val="105"/>
          <w:sz w:val="18"/>
        </w:rPr>
        <w:t>the</w:t>
      </w:r>
      <w:r>
        <w:rPr>
          <w:spacing w:val="-5"/>
          <w:w w:val="105"/>
          <w:sz w:val="18"/>
        </w:rPr>
        <w:t> </w:t>
      </w:r>
      <w:r>
        <w:rPr>
          <w:w w:val="105"/>
          <w:sz w:val="18"/>
        </w:rPr>
        <w:t>WDSG</w:t>
      </w:r>
      <w:r>
        <w:rPr>
          <w:spacing w:val="-4"/>
          <w:w w:val="105"/>
          <w:sz w:val="18"/>
        </w:rPr>
        <w:t> </w:t>
      </w:r>
      <w:r>
        <w:rPr>
          <w:w w:val="105"/>
          <w:sz w:val="18"/>
        </w:rPr>
        <w:t>–</w:t>
      </w:r>
      <w:r>
        <w:rPr>
          <w:spacing w:val="-6"/>
          <w:w w:val="105"/>
          <w:sz w:val="18"/>
        </w:rPr>
        <w:t> </w:t>
      </w:r>
      <w:r>
        <w:rPr>
          <w:w w:val="105"/>
          <w:sz w:val="18"/>
        </w:rPr>
        <w:t>which</w:t>
      </w:r>
      <w:r>
        <w:rPr>
          <w:spacing w:val="-3"/>
          <w:w w:val="105"/>
          <w:sz w:val="18"/>
        </w:rPr>
        <w:t> </w:t>
      </w:r>
      <w:r>
        <w:rPr>
          <w:w w:val="105"/>
          <w:sz w:val="18"/>
        </w:rPr>
        <w:t>use</w:t>
      </w:r>
      <w:r>
        <w:rPr>
          <w:spacing w:val="-6"/>
          <w:w w:val="105"/>
          <w:sz w:val="18"/>
        </w:rPr>
        <w:t> </w:t>
      </w:r>
      <w:r>
        <w:rPr>
          <w:w w:val="105"/>
          <w:sz w:val="18"/>
        </w:rPr>
        <w:t>or</w:t>
      </w:r>
      <w:r>
        <w:rPr>
          <w:spacing w:val="-5"/>
          <w:w w:val="105"/>
          <w:sz w:val="18"/>
        </w:rPr>
        <w:t> </w:t>
      </w:r>
      <w:r>
        <w:rPr>
          <w:w w:val="105"/>
          <w:sz w:val="18"/>
        </w:rPr>
        <w:t>operate</w:t>
      </w:r>
      <w:r>
        <w:rPr>
          <w:spacing w:val="-7"/>
          <w:w w:val="105"/>
          <w:sz w:val="18"/>
        </w:rPr>
        <w:t> </w:t>
      </w:r>
      <w:r>
        <w:rPr>
          <w:w w:val="105"/>
          <w:sz w:val="18"/>
        </w:rPr>
        <w:t>the</w:t>
      </w:r>
      <w:r>
        <w:rPr>
          <w:spacing w:val="-5"/>
          <w:w w:val="105"/>
          <w:sz w:val="18"/>
        </w:rPr>
        <w:t> </w:t>
      </w:r>
      <w:r>
        <w:rPr>
          <w:w w:val="105"/>
          <w:sz w:val="18"/>
        </w:rPr>
        <w:t>current</w:t>
      </w:r>
      <w:r>
        <w:rPr>
          <w:spacing w:val="-3"/>
          <w:w w:val="105"/>
          <w:sz w:val="18"/>
        </w:rPr>
        <w:t> </w:t>
      </w:r>
      <w:r>
        <w:rPr>
          <w:w w:val="105"/>
          <w:sz w:val="18"/>
        </w:rPr>
        <w:t>system</w:t>
      </w:r>
      <w:r>
        <w:rPr>
          <w:spacing w:val="-5"/>
          <w:w w:val="105"/>
          <w:sz w:val="18"/>
        </w:rPr>
        <w:t> </w:t>
      </w:r>
      <w:r>
        <w:rPr>
          <w:w w:val="105"/>
          <w:sz w:val="18"/>
        </w:rPr>
        <w:t>will need to be closely involved in the work to design a new end state</w:t>
      </w:r>
      <w:r>
        <w:rPr>
          <w:spacing w:val="-32"/>
          <w:w w:val="105"/>
          <w:sz w:val="18"/>
        </w:rPr>
        <w:t> </w:t>
      </w:r>
      <w:r>
        <w:rPr>
          <w:w w:val="105"/>
          <w:sz w:val="18"/>
        </w:rPr>
        <w:t>model.</w:t>
      </w:r>
    </w:p>
    <w:p>
      <w:pPr>
        <w:pStyle w:val="BodyText"/>
        <w:spacing w:before="11"/>
      </w:pPr>
    </w:p>
    <w:p>
      <w:pPr>
        <w:pStyle w:val="ListParagraph"/>
        <w:numPr>
          <w:ilvl w:val="0"/>
          <w:numId w:val="2"/>
        </w:numPr>
        <w:tabs>
          <w:tab w:pos="1277" w:val="left" w:leader="none"/>
          <w:tab w:pos="1278" w:val="left" w:leader="none"/>
        </w:tabs>
        <w:spacing w:line="249" w:lineRule="auto" w:before="0" w:after="0"/>
        <w:ind w:left="1276" w:right="1268" w:hanging="339"/>
        <w:jc w:val="left"/>
        <w:rPr>
          <w:sz w:val="18"/>
        </w:rPr>
      </w:pPr>
      <w:r>
        <w:rPr>
          <w:w w:val="105"/>
          <w:sz w:val="18"/>
        </w:rPr>
        <w:t>A</w:t>
      </w:r>
      <w:r>
        <w:rPr>
          <w:spacing w:val="-8"/>
          <w:w w:val="105"/>
          <w:sz w:val="18"/>
        </w:rPr>
        <w:t> </w:t>
      </w:r>
      <w:r>
        <w:rPr>
          <w:w w:val="105"/>
          <w:sz w:val="18"/>
        </w:rPr>
        <w:t>wider</w:t>
      </w:r>
      <w:r>
        <w:rPr>
          <w:spacing w:val="-4"/>
          <w:w w:val="105"/>
          <w:sz w:val="18"/>
        </w:rPr>
        <w:t> </w:t>
      </w:r>
      <w:r>
        <w:rPr>
          <w:w w:val="105"/>
          <w:sz w:val="18"/>
        </w:rPr>
        <w:t>public</w:t>
      </w:r>
      <w:r>
        <w:rPr>
          <w:spacing w:val="-6"/>
          <w:w w:val="105"/>
          <w:sz w:val="18"/>
        </w:rPr>
        <w:t> </w:t>
      </w:r>
      <w:r>
        <w:rPr>
          <w:w w:val="105"/>
          <w:sz w:val="18"/>
        </w:rPr>
        <w:t>consultation</w:t>
      </w:r>
      <w:r>
        <w:rPr>
          <w:spacing w:val="-3"/>
          <w:w w:val="105"/>
          <w:sz w:val="18"/>
        </w:rPr>
        <w:t> </w:t>
      </w:r>
      <w:r>
        <w:rPr>
          <w:w w:val="105"/>
          <w:sz w:val="18"/>
        </w:rPr>
        <w:t>will</w:t>
      </w:r>
      <w:r>
        <w:rPr>
          <w:spacing w:val="-6"/>
          <w:w w:val="105"/>
          <w:sz w:val="18"/>
        </w:rPr>
        <w:t> </w:t>
      </w:r>
      <w:r>
        <w:rPr>
          <w:w w:val="105"/>
          <w:sz w:val="18"/>
        </w:rPr>
        <w:t>be</w:t>
      </w:r>
      <w:r>
        <w:rPr>
          <w:spacing w:val="-6"/>
          <w:w w:val="105"/>
          <w:sz w:val="18"/>
        </w:rPr>
        <w:t> </w:t>
      </w:r>
      <w:r>
        <w:rPr>
          <w:w w:val="105"/>
          <w:sz w:val="18"/>
        </w:rPr>
        <w:t>undertaken</w:t>
      </w:r>
      <w:r>
        <w:rPr>
          <w:spacing w:val="-6"/>
          <w:w w:val="105"/>
          <w:sz w:val="18"/>
        </w:rPr>
        <w:t> </w:t>
      </w:r>
      <w:r>
        <w:rPr>
          <w:w w:val="105"/>
          <w:sz w:val="18"/>
        </w:rPr>
        <w:t>in</w:t>
      </w:r>
      <w:r>
        <w:rPr>
          <w:spacing w:val="-4"/>
          <w:w w:val="105"/>
          <w:sz w:val="18"/>
        </w:rPr>
        <w:t> </w:t>
      </w:r>
      <w:r>
        <w:rPr>
          <w:w w:val="105"/>
          <w:sz w:val="18"/>
        </w:rPr>
        <w:t>advance</w:t>
      </w:r>
      <w:r>
        <w:rPr>
          <w:spacing w:val="-4"/>
          <w:w w:val="105"/>
          <w:sz w:val="18"/>
        </w:rPr>
        <w:t> </w:t>
      </w:r>
      <w:r>
        <w:rPr>
          <w:w w:val="105"/>
          <w:sz w:val="18"/>
        </w:rPr>
        <w:t>of</w:t>
      </w:r>
      <w:r>
        <w:rPr>
          <w:spacing w:val="-7"/>
          <w:w w:val="105"/>
          <w:sz w:val="18"/>
        </w:rPr>
        <w:t> </w:t>
      </w:r>
      <w:r>
        <w:rPr>
          <w:w w:val="105"/>
          <w:sz w:val="18"/>
        </w:rPr>
        <w:t>agreeing</w:t>
      </w:r>
      <w:r>
        <w:rPr>
          <w:spacing w:val="-4"/>
          <w:w w:val="105"/>
          <w:sz w:val="18"/>
        </w:rPr>
        <w:t> </w:t>
      </w:r>
      <w:r>
        <w:rPr>
          <w:w w:val="105"/>
          <w:sz w:val="18"/>
        </w:rPr>
        <w:t>any</w:t>
      </w:r>
      <w:r>
        <w:rPr>
          <w:spacing w:val="-8"/>
          <w:w w:val="105"/>
          <w:sz w:val="18"/>
        </w:rPr>
        <w:t> </w:t>
      </w:r>
      <w:r>
        <w:rPr>
          <w:w w:val="105"/>
          <w:sz w:val="18"/>
        </w:rPr>
        <w:t>future</w:t>
      </w:r>
      <w:r>
        <w:rPr>
          <w:spacing w:val="-4"/>
          <w:w w:val="105"/>
          <w:sz w:val="18"/>
        </w:rPr>
        <w:t> </w:t>
      </w:r>
      <w:r>
        <w:rPr>
          <w:w w:val="105"/>
          <w:sz w:val="18"/>
        </w:rPr>
        <w:t>state cash distribution</w:t>
      </w:r>
      <w:r>
        <w:rPr>
          <w:spacing w:val="-1"/>
          <w:w w:val="105"/>
          <w:sz w:val="18"/>
        </w:rPr>
        <w:t> </w:t>
      </w:r>
      <w:r>
        <w:rPr>
          <w:w w:val="105"/>
          <w:sz w:val="18"/>
        </w:rPr>
        <w:t>model.</w:t>
      </w:r>
    </w:p>
    <w:p>
      <w:pPr>
        <w:pStyle w:val="BodyText"/>
        <w:spacing w:before="10"/>
      </w:pPr>
    </w:p>
    <w:p>
      <w:pPr>
        <w:pStyle w:val="BodyText"/>
        <w:spacing w:line="249" w:lineRule="auto"/>
        <w:ind w:left="600" w:right="1566"/>
      </w:pPr>
      <w:r>
        <w:rPr>
          <w:w w:val="105"/>
        </w:rPr>
        <w:t>The content and structure of the public consultation would be agreed in due course and a series of actions were agreed to initiate the public consultation scoping exercise.</w:t>
      </w:r>
    </w:p>
    <w:p>
      <w:pPr>
        <w:spacing w:after="0" w:line="249" w:lineRule="auto"/>
        <w:sectPr>
          <w:type w:val="continuous"/>
          <w:pgSz w:w="12240" w:h="15840"/>
          <w:pgMar w:top="460" w:bottom="280" w:left="620" w:right="760"/>
          <w:cols w:num="2" w:equalWidth="0">
            <w:col w:w="1184" w:space="40"/>
            <w:col w:w="9636"/>
          </w:cols>
        </w:sectPr>
      </w:pPr>
    </w:p>
    <w:p>
      <w:pPr>
        <w:pStyle w:val="BodyText"/>
        <w:spacing w:before="5"/>
        <w:rPr>
          <w:sz w:val="10"/>
        </w:rPr>
      </w:pPr>
    </w:p>
    <w:p>
      <w:pPr>
        <w:pStyle w:val="Heading1"/>
        <w:numPr>
          <w:ilvl w:val="0"/>
          <w:numId w:val="1"/>
        </w:numPr>
        <w:tabs>
          <w:tab w:pos="1823" w:val="left" w:leader="none"/>
          <w:tab w:pos="1824" w:val="left" w:leader="none"/>
        </w:tabs>
        <w:spacing w:line="240" w:lineRule="auto" w:before="100" w:after="0"/>
        <w:ind w:left="1823" w:right="0" w:hanging="899"/>
        <w:jc w:val="left"/>
      </w:pPr>
      <w:r>
        <w:rPr>
          <w:w w:val="105"/>
        </w:rPr>
        <w:t>Update from UK</w:t>
      </w:r>
      <w:r>
        <w:rPr>
          <w:spacing w:val="-5"/>
          <w:w w:val="105"/>
        </w:rPr>
        <w:t> </w:t>
      </w:r>
      <w:r>
        <w:rPr>
          <w:w w:val="105"/>
        </w:rPr>
        <w:t>Finance</w:t>
      </w:r>
    </w:p>
    <w:p>
      <w:pPr>
        <w:pStyle w:val="BodyText"/>
        <w:spacing w:before="4"/>
        <w:rPr>
          <w:b/>
          <w:sz w:val="19"/>
        </w:rPr>
      </w:pPr>
    </w:p>
    <w:p>
      <w:pPr>
        <w:pStyle w:val="BodyText"/>
        <w:spacing w:line="252" w:lineRule="auto"/>
        <w:ind w:left="1823" w:right="1336"/>
      </w:pPr>
      <w:r>
        <w:rPr>
          <w:w w:val="105"/>
        </w:rPr>
        <w:t>UK Finance provided a brief summary of their ‘Cash Supply Chain Assessment’ to date and next steps for developing potential future state models. The next WDSG meeting will be scheduled in late-June 2019 ensuring detailed plans to take the work forward will have been received by the lead consultants (once appointed) and can be reviewed by the group.</w:t>
      </w:r>
    </w:p>
    <w:p>
      <w:pPr>
        <w:pStyle w:val="BodyText"/>
        <w:spacing w:before="6"/>
      </w:pPr>
    </w:p>
    <w:p>
      <w:pPr>
        <w:pStyle w:val="Heading1"/>
        <w:numPr>
          <w:ilvl w:val="0"/>
          <w:numId w:val="1"/>
        </w:numPr>
        <w:tabs>
          <w:tab w:pos="1823" w:val="left" w:leader="none"/>
          <w:tab w:pos="1824" w:val="left" w:leader="none"/>
        </w:tabs>
        <w:spacing w:line="240" w:lineRule="auto" w:before="0" w:after="0"/>
        <w:ind w:left="1823" w:right="0" w:hanging="899"/>
        <w:jc w:val="left"/>
      </w:pPr>
      <w:r>
        <w:rPr>
          <w:w w:val="105"/>
        </w:rPr>
        <w:t>Success</w:t>
      </w:r>
      <w:r>
        <w:rPr>
          <w:spacing w:val="1"/>
          <w:w w:val="105"/>
        </w:rPr>
        <w:t> </w:t>
      </w:r>
      <w:r>
        <w:rPr>
          <w:w w:val="105"/>
        </w:rPr>
        <w:t>Criteria</w:t>
      </w:r>
    </w:p>
    <w:p>
      <w:pPr>
        <w:pStyle w:val="BodyText"/>
        <w:spacing w:before="7"/>
        <w:rPr>
          <w:b/>
          <w:sz w:val="19"/>
        </w:rPr>
      </w:pPr>
    </w:p>
    <w:p>
      <w:pPr>
        <w:pStyle w:val="BodyText"/>
        <w:spacing w:line="249" w:lineRule="auto"/>
        <w:ind w:left="1823" w:right="1274"/>
      </w:pPr>
      <w:r>
        <w:rPr>
          <w:w w:val="105"/>
        </w:rPr>
        <w:t>The group had a preliminary discussion of the Success Criteria that would be used to assess the new wholesale distribution model. In particular it was agreed:</w:t>
      </w:r>
    </w:p>
    <w:p>
      <w:pPr>
        <w:pStyle w:val="BodyText"/>
        <w:spacing w:before="1"/>
        <w:rPr>
          <w:sz w:val="19"/>
        </w:rPr>
      </w:pPr>
    </w:p>
    <w:p>
      <w:pPr>
        <w:pStyle w:val="ListParagraph"/>
        <w:numPr>
          <w:ilvl w:val="1"/>
          <w:numId w:val="1"/>
        </w:numPr>
        <w:tabs>
          <w:tab w:pos="2501" w:val="left" w:leader="none"/>
        </w:tabs>
        <w:spacing w:line="249" w:lineRule="auto" w:before="0" w:after="0"/>
        <w:ind w:left="2500" w:right="1645" w:hanging="339"/>
        <w:jc w:val="both"/>
        <w:rPr>
          <w:sz w:val="18"/>
        </w:rPr>
      </w:pPr>
      <w:r>
        <w:rPr>
          <w:w w:val="105"/>
          <w:sz w:val="18"/>
        </w:rPr>
        <w:t>Future</w:t>
      </w:r>
      <w:r>
        <w:rPr>
          <w:spacing w:val="-4"/>
          <w:w w:val="105"/>
          <w:sz w:val="18"/>
        </w:rPr>
        <w:t> </w:t>
      </w:r>
      <w:r>
        <w:rPr>
          <w:w w:val="105"/>
          <w:sz w:val="18"/>
        </w:rPr>
        <w:t>state</w:t>
      </w:r>
      <w:r>
        <w:rPr>
          <w:spacing w:val="-7"/>
          <w:w w:val="105"/>
          <w:sz w:val="18"/>
        </w:rPr>
        <w:t> </w:t>
      </w:r>
      <w:r>
        <w:rPr>
          <w:w w:val="105"/>
          <w:sz w:val="18"/>
        </w:rPr>
        <w:t>models</w:t>
      </w:r>
      <w:r>
        <w:rPr>
          <w:spacing w:val="-7"/>
          <w:w w:val="105"/>
          <w:sz w:val="18"/>
        </w:rPr>
        <w:t> </w:t>
      </w:r>
      <w:r>
        <w:rPr>
          <w:w w:val="105"/>
          <w:sz w:val="18"/>
        </w:rPr>
        <w:t>will</w:t>
      </w:r>
      <w:r>
        <w:rPr>
          <w:spacing w:val="-5"/>
          <w:w w:val="105"/>
          <w:sz w:val="18"/>
        </w:rPr>
        <w:t> </w:t>
      </w:r>
      <w:r>
        <w:rPr>
          <w:w w:val="105"/>
          <w:sz w:val="18"/>
        </w:rPr>
        <w:t>be</w:t>
      </w:r>
      <w:r>
        <w:rPr>
          <w:spacing w:val="-3"/>
          <w:w w:val="105"/>
          <w:sz w:val="18"/>
        </w:rPr>
        <w:t> </w:t>
      </w:r>
      <w:r>
        <w:rPr>
          <w:w w:val="105"/>
          <w:sz w:val="18"/>
        </w:rPr>
        <w:t>assessed</w:t>
      </w:r>
      <w:r>
        <w:rPr>
          <w:spacing w:val="-4"/>
          <w:w w:val="105"/>
          <w:sz w:val="18"/>
        </w:rPr>
        <w:t> </w:t>
      </w:r>
      <w:r>
        <w:rPr>
          <w:w w:val="105"/>
          <w:sz w:val="18"/>
        </w:rPr>
        <w:t>against</w:t>
      </w:r>
      <w:r>
        <w:rPr>
          <w:spacing w:val="-7"/>
          <w:w w:val="105"/>
          <w:sz w:val="18"/>
        </w:rPr>
        <w:t> </w:t>
      </w:r>
      <w:r>
        <w:rPr>
          <w:w w:val="105"/>
          <w:sz w:val="18"/>
        </w:rPr>
        <w:t>key</w:t>
      </w:r>
      <w:r>
        <w:rPr>
          <w:spacing w:val="-8"/>
          <w:w w:val="105"/>
          <w:sz w:val="18"/>
        </w:rPr>
        <w:t> </w:t>
      </w:r>
      <w:r>
        <w:rPr>
          <w:w w:val="105"/>
          <w:sz w:val="18"/>
        </w:rPr>
        <w:t>criteria</w:t>
      </w:r>
      <w:r>
        <w:rPr>
          <w:spacing w:val="-8"/>
          <w:w w:val="105"/>
          <w:sz w:val="18"/>
        </w:rPr>
        <w:t> </w:t>
      </w:r>
      <w:r>
        <w:rPr>
          <w:w w:val="105"/>
          <w:sz w:val="18"/>
        </w:rPr>
        <w:t>falling</w:t>
      </w:r>
      <w:r>
        <w:rPr>
          <w:spacing w:val="-6"/>
          <w:w w:val="105"/>
          <w:sz w:val="18"/>
        </w:rPr>
        <w:t> </w:t>
      </w:r>
      <w:r>
        <w:rPr>
          <w:w w:val="105"/>
          <w:sz w:val="18"/>
        </w:rPr>
        <w:t>under</w:t>
      </w:r>
      <w:r>
        <w:rPr>
          <w:spacing w:val="-7"/>
          <w:w w:val="105"/>
          <w:sz w:val="18"/>
        </w:rPr>
        <w:t> </w:t>
      </w:r>
      <w:r>
        <w:rPr>
          <w:w w:val="105"/>
          <w:sz w:val="18"/>
        </w:rPr>
        <w:t>three</w:t>
      </w:r>
      <w:r>
        <w:rPr>
          <w:spacing w:val="-4"/>
          <w:w w:val="105"/>
          <w:sz w:val="18"/>
        </w:rPr>
        <w:t> </w:t>
      </w:r>
      <w:r>
        <w:rPr>
          <w:w w:val="105"/>
          <w:sz w:val="18"/>
        </w:rPr>
        <w:t>main headings;</w:t>
      </w:r>
      <w:r>
        <w:rPr>
          <w:spacing w:val="-7"/>
          <w:w w:val="105"/>
          <w:sz w:val="18"/>
        </w:rPr>
        <w:t> </w:t>
      </w:r>
      <w:r>
        <w:rPr>
          <w:w w:val="105"/>
          <w:sz w:val="18"/>
        </w:rPr>
        <w:t>1)</w:t>
      </w:r>
      <w:r>
        <w:rPr>
          <w:spacing w:val="-5"/>
          <w:w w:val="105"/>
          <w:sz w:val="18"/>
        </w:rPr>
        <w:t> </w:t>
      </w:r>
      <w:r>
        <w:rPr>
          <w:w w:val="105"/>
          <w:sz w:val="18"/>
        </w:rPr>
        <w:t>Effectiveness,</w:t>
      </w:r>
      <w:r>
        <w:rPr>
          <w:spacing w:val="-6"/>
          <w:w w:val="105"/>
          <w:sz w:val="18"/>
        </w:rPr>
        <w:t> </w:t>
      </w:r>
      <w:r>
        <w:rPr>
          <w:w w:val="105"/>
          <w:sz w:val="18"/>
        </w:rPr>
        <w:t>2)</w:t>
      </w:r>
      <w:r>
        <w:rPr>
          <w:spacing w:val="-7"/>
          <w:w w:val="105"/>
          <w:sz w:val="18"/>
        </w:rPr>
        <w:t> </w:t>
      </w:r>
      <w:r>
        <w:rPr>
          <w:w w:val="105"/>
          <w:sz w:val="18"/>
        </w:rPr>
        <w:t>Resilience</w:t>
      </w:r>
      <w:r>
        <w:rPr>
          <w:spacing w:val="-5"/>
          <w:w w:val="105"/>
          <w:sz w:val="18"/>
        </w:rPr>
        <w:t> </w:t>
      </w:r>
      <w:r>
        <w:rPr>
          <w:w w:val="105"/>
          <w:sz w:val="18"/>
        </w:rPr>
        <w:t>and</w:t>
      </w:r>
      <w:r>
        <w:rPr>
          <w:spacing w:val="-5"/>
          <w:w w:val="105"/>
          <w:sz w:val="18"/>
        </w:rPr>
        <w:t> </w:t>
      </w:r>
      <w:r>
        <w:rPr>
          <w:w w:val="105"/>
          <w:sz w:val="18"/>
        </w:rPr>
        <w:t>3)</w:t>
      </w:r>
      <w:r>
        <w:rPr>
          <w:spacing w:val="-5"/>
          <w:w w:val="105"/>
          <w:sz w:val="18"/>
        </w:rPr>
        <w:t> </w:t>
      </w:r>
      <w:r>
        <w:rPr>
          <w:w w:val="105"/>
          <w:sz w:val="18"/>
        </w:rPr>
        <w:t>Sustainability,</w:t>
      </w:r>
      <w:r>
        <w:rPr>
          <w:spacing w:val="-6"/>
          <w:w w:val="105"/>
          <w:sz w:val="18"/>
        </w:rPr>
        <w:t> </w:t>
      </w:r>
      <w:r>
        <w:rPr>
          <w:w w:val="105"/>
          <w:sz w:val="18"/>
        </w:rPr>
        <w:t>which</w:t>
      </w:r>
      <w:r>
        <w:rPr>
          <w:spacing w:val="-8"/>
          <w:w w:val="105"/>
          <w:sz w:val="18"/>
        </w:rPr>
        <w:t> </w:t>
      </w:r>
      <w:r>
        <w:rPr>
          <w:w w:val="105"/>
          <w:sz w:val="18"/>
        </w:rPr>
        <w:t>will</w:t>
      </w:r>
      <w:r>
        <w:rPr>
          <w:spacing w:val="-7"/>
          <w:w w:val="105"/>
          <w:sz w:val="18"/>
        </w:rPr>
        <w:t> </w:t>
      </w:r>
      <w:r>
        <w:rPr>
          <w:w w:val="105"/>
          <w:sz w:val="18"/>
        </w:rPr>
        <w:t>include Environmental</w:t>
      </w:r>
      <w:r>
        <w:rPr>
          <w:spacing w:val="-2"/>
          <w:w w:val="105"/>
          <w:sz w:val="18"/>
        </w:rPr>
        <w:t> </w:t>
      </w:r>
      <w:r>
        <w:rPr>
          <w:w w:val="105"/>
          <w:sz w:val="18"/>
        </w:rPr>
        <w:t>Impact.</w:t>
      </w:r>
    </w:p>
    <w:p>
      <w:pPr>
        <w:pStyle w:val="BodyText"/>
        <w:rPr>
          <w:sz w:val="19"/>
        </w:rPr>
      </w:pPr>
    </w:p>
    <w:p>
      <w:pPr>
        <w:pStyle w:val="ListParagraph"/>
        <w:numPr>
          <w:ilvl w:val="1"/>
          <w:numId w:val="1"/>
        </w:numPr>
        <w:tabs>
          <w:tab w:pos="2500" w:val="left" w:leader="none"/>
          <w:tab w:pos="2501" w:val="left" w:leader="none"/>
        </w:tabs>
        <w:spacing w:line="249" w:lineRule="auto" w:before="0" w:after="0"/>
        <w:ind w:left="2500" w:right="1203" w:hanging="339"/>
        <w:jc w:val="left"/>
        <w:rPr>
          <w:sz w:val="18"/>
        </w:rPr>
      </w:pPr>
      <w:r>
        <w:rPr>
          <w:w w:val="105"/>
          <w:sz w:val="18"/>
        </w:rPr>
        <w:t>Further consideration will be given to the criteria to ensure cost effectiveness of the new model. The group recognised that cost effectiveness was an important consideration, but that there was a challenge in establishing an appropriate benchmark</w:t>
      </w:r>
      <w:r>
        <w:rPr>
          <w:spacing w:val="-4"/>
          <w:w w:val="105"/>
          <w:sz w:val="18"/>
        </w:rPr>
        <w:t> </w:t>
      </w:r>
      <w:r>
        <w:rPr>
          <w:w w:val="105"/>
          <w:sz w:val="18"/>
        </w:rPr>
        <w:t>against</w:t>
      </w:r>
      <w:r>
        <w:rPr>
          <w:spacing w:val="-6"/>
          <w:w w:val="105"/>
          <w:sz w:val="18"/>
        </w:rPr>
        <w:t> </w:t>
      </w:r>
      <w:r>
        <w:rPr>
          <w:w w:val="105"/>
          <w:sz w:val="18"/>
        </w:rPr>
        <w:t>which</w:t>
      </w:r>
      <w:r>
        <w:rPr>
          <w:spacing w:val="-5"/>
          <w:w w:val="105"/>
          <w:sz w:val="18"/>
        </w:rPr>
        <w:t> </w:t>
      </w:r>
      <w:r>
        <w:rPr>
          <w:w w:val="105"/>
          <w:sz w:val="18"/>
        </w:rPr>
        <w:t>to</w:t>
      </w:r>
      <w:r>
        <w:rPr>
          <w:spacing w:val="-10"/>
          <w:w w:val="105"/>
          <w:sz w:val="18"/>
        </w:rPr>
        <w:t> </w:t>
      </w:r>
      <w:r>
        <w:rPr>
          <w:w w:val="105"/>
          <w:sz w:val="18"/>
        </w:rPr>
        <w:t>compare</w:t>
      </w:r>
      <w:r>
        <w:rPr>
          <w:spacing w:val="-5"/>
          <w:w w:val="105"/>
          <w:sz w:val="18"/>
        </w:rPr>
        <w:t> </w:t>
      </w:r>
      <w:r>
        <w:rPr>
          <w:w w:val="105"/>
          <w:sz w:val="18"/>
        </w:rPr>
        <w:t>costs,</w:t>
      </w:r>
      <w:r>
        <w:rPr>
          <w:spacing w:val="-7"/>
          <w:w w:val="105"/>
          <w:sz w:val="18"/>
        </w:rPr>
        <w:t> </w:t>
      </w:r>
      <w:r>
        <w:rPr>
          <w:w w:val="105"/>
          <w:sz w:val="18"/>
        </w:rPr>
        <w:t>not</w:t>
      </w:r>
      <w:r>
        <w:rPr>
          <w:spacing w:val="-9"/>
          <w:w w:val="105"/>
          <w:sz w:val="18"/>
        </w:rPr>
        <w:t> </w:t>
      </w:r>
      <w:r>
        <w:rPr>
          <w:w w:val="105"/>
          <w:sz w:val="18"/>
        </w:rPr>
        <w:t>least</w:t>
      </w:r>
      <w:r>
        <w:rPr>
          <w:spacing w:val="-6"/>
          <w:w w:val="105"/>
          <w:sz w:val="18"/>
        </w:rPr>
        <w:t> </w:t>
      </w:r>
      <w:r>
        <w:rPr>
          <w:w w:val="105"/>
          <w:sz w:val="18"/>
        </w:rPr>
        <w:t>given</w:t>
      </w:r>
      <w:r>
        <w:rPr>
          <w:spacing w:val="-5"/>
          <w:w w:val="105"/>
          <w:sz w:val="18"/>
        </w:rPr>
        <w:t> </w:t>
      </w:r>
      <w:r>
        <w:rPr>
          <w:w w:val="105"/>
          <w:sz w:val="18"/>
        </w:rPr>
        <w:t>predicted</w:t>
      </w:r>
      <w:r>
        <w:rPr>
          <w:spacing w:val="-5"/>
          <w:w w:val="105"/>
          <w:sz w:val="18"/>
        </w:rPr>
        <w:t> </w:t>
      </w:r>
      <w:r>
        <w:rPr>
          <w:w w:val="105"/>
          <w:sz w:val="18"/>
        </w:rPr>
        <w:t>changes</w:t>
      </w:r>
      <w:r>
        <w:rPr>
          <w:spacing w:val="-7"/>
          <w:w w:val="105"/>
          <w:sz w:val="18"/>
        </w:rPr>
        <w:t> </w:t>
      </w:r>
      <w:r>
        <w:rPr>
          <w:w w:val="105"/>
          <w:sz w:val="18"/>
        </w:rPr>
        <w:t>in</w:t>
      </w:r>
      <w:r>
        <w:rPr>
          <w:spacing w:val="-3"/>
          <w:w w:val="105"/>
          <w:sz w:val="18"/>
        </w:rPr>
        <w:t> </w:t>
      </w:r>
      <w:r>
        <w:rPr>
          <w:w w:val="105"/>
          <w:sz w:val="18"/>
        </w:rPr>
        <w:t>cash usage volumes. The group agreed to return to measures of cost</w:t>
      </w:r>
      <w:r>
        <w:rPr>
          <w:spacing w:val="-36"/>
          <w:w w:val="105"/>
          <w:sz w:val="18"/>
        </w:rPr>
        <w:t> </w:t>
      </w:r>
      <w:r>
        <w:rPr>
          <w:w w:val="105"/>
          <w:sz w:val="18"/>
        </w:rPr>
        <w:t>effectiveness.</w:t>
      </w:r>
    </w:p>
    <w:p>
      <w:pPr>
        <w:pStyle w:val="BodyText"/>
        <w:spacing w:before="1"/>
        <w:rPr>
          <w:sz w:val="19"/>
        </w:rPr>
      </w:pPr>
    </w:p>
    <w:p>
      <w:pPr>
        <w:pStyle w:val="BodyText"/>
        <w:spacing w:line="254" w:lineRule="auto"/>
        <w:ind w:left="1823" w:right="1873"/>
      </w:pPr>
      <w:r>
        <w:rPr>
          <w:w w:val="105"/>
        </w:rPr>
        <w:t>The Success Criteria will be amended and recirculated to the next WDSG meeting for ratification.</w:t>
      </w:r>
    </w:p>
    <w:p>
      <w:pPr>
        <w:pStyle w:val="BodyText"/>
        <w:rPr>
          <w:sz w:val="20"/>
        </w:rPr>
      </w:pPr>
    </w:p>
    <w:p>
      <w:pPr>
        <w:pStyle w:val="BodyText"/>
        <w:spacing w:before="4"/>
        <w:rPr>
          <w:sz w:val="17"/>
        </w:rPr>
      </w:pPr>
    </w:p>
    <w:p>
      <w:pPr>
        <w:pStyle w:val="Heading1"/>
        <w:numPr>
          <w:ilvl w:val="0"/>
          <w:numId w:val="1"/>
        </w:numPr>
        <w:tabs>
          <w:tab w:pos="1823" w:val="left" w:leader="none"/>
          <w:tab w:pos="1824" w:val="left" w:leader="none"/>
        </w:tabs>
        <w:spacing w:line="240" w:lineRule="auto" w:before="0" w:after="0"/>
        <w:ind w:left="1823" w:right="0" w:hanging="899"/>
        <w:jc w:val="left"/>
      </w:pPr>
      <w:r>
        <w:rPr>
          <w:w w:val="105"/>
        </w:rPr>
        <w:t>Projected timeline</w:t>
      </w:r>
    </w:p>
    <w:p>
      <w:pPr>
        <w:pStyle w:val="BodyText"/>
        <w:spacing w:before="7"/>
        <w:rPr>
          <w:b/>
          <w:sz w:val="19"/>
        </w:rPr>
      </w:pPr>
    </w:p>
    <w:p>
      <w:pPr>
        <w:pStyle w:val="BodyText"/>
        <w:spacing w:line="249" w:lineRule="auto"/>
        <w:ind w:left="1823" w:right="1201"/>
      </w:pPr>
      <w:r>
        <w:rPr>
          <w:w w:val="105"/>
        </w:rPr>
        <w:t>The group debated the feasibility of agreeing the final future state model by Q1-2020 as suggested in the Access to Cash Review. Whilst this was considered a sensible target date, it was agreed further review will be necessary upon receipt of the proposals from the lead consultants which will provide a better understanding of the scale of work to be undertaken to inform the decision.</w:t>
      </w:r>
    </w:p>
    <w:p>
      <w:pPr>
        <w:pStyle w:val="BodyText"/>
        <w:rPr>
          <w:sz w:val="20"/>
        </w:rPr>
      </w:pPr>
    </w:p>
    <w:p>
      <w:pPr>
        <w:pStyle w:val="BodyText"/>
        <w:spacing w:before="6"/>
        <w:rPr>
          <w:sz w:val="16"/>
        </w:rPr>
      </w:pPr>
    </w:p>
    <w:p>
      <w:pPr>
        <w:pStyle w:val="Heading1"/>
        <w:numPr>
          <w:ilvl w:val="0"/>
          <w:numId w:val="1"/>
        </w:numPr>
        <w:tabs>
          <w:tab w:pos="1823" w:val="left" w:leader="none"/>
          <w:tab w:pos="1824" w:val="left" w:leader="none"/>
        </w:tabs>
        <w:spacing w:line="240" w:lineRule="auto" w:before="0" w:after="0"/>
        <w:ind w:left="1823" w:right="0" w:hanging="899"/>
        <w:jc w:val="left"/>
      </w:pPr>
      <w:r>
        <w:rPr>
          <w:w w:val="105"/>
        </w:rPr>
        <w:t>Next Steps</w:t>
      </w:r>
    </w:p>
    <w:p>
      <w:pPr>
        <w:spacing w:after="0" w:line="240" w:lineRule="auto"/>
        <w:jc w:val="left"/>
        <w:sectPr>
          <w:type w:val="continuous"/>
          <w:pgSz w:w="12240" w:h="15840"/>
          <w:pgMar w:top="460" w:bottom="280" w:left="620" w:right="760"/>
        </w:sectPr>
      </w:pPr>
    </w:p>
    <w:p>
      <w:pPr>
        <w:pStyle w:val="BodyText"/>
        <w:rPr>
          <w:b/>
          <w:sz w:val="20"/>
        </w:rPr>
      </w:pPr>
    </w:p>
    <w:p>
      <w:pPr>
        <w:pStyle w:val="BodyText"/>
        <w:spacing w:before="3"/>
        <w:rPr>
          <w:b/>
        </w:rPr>
      </w:pPr>
    </w:p>
    <w:p>
      <w:pPr>
        <w:pStyle w:val="BodyText"/>
        <w:spacing w:line="254" w:lineRule="auto" w:before="100"/>
        <w:ind w:left="1823" w:right="1243"/>
      </w:pPr>
      <w:r>
        <w:rPr>
          <w:w w:val="105"/>
        </w:rPr>
        <w:t>WDSG meetings will be scheduled on a monthly basis with strategic items for future agendas being identified early in the process.</w:t>
      </w:r>
    </w:p>
    <w:sectPr>
      <w:pgSz w:w="12240" w:h="15840"/>
      <w:pgMar w:header="536" w:footer="0" w:top="740" w:bottom="280" w:left="6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3.359985pt;margin-top:25.820492pt;width:11.2pt;height:12.45pt;mso-position-horizontal-relative:page;mso-position-vertical-relative:page;z-index:-251816960" type="#_x0000_t202" filled="false" stroked="false">
          <v:textbox inset="0,0,0,0">
            <w:txbxContent>
              <w:p>
                <w:pPr>
                  <w:pStyle w:val="BodyText"/>
                  <w:spacing w:before="20"/>
                  <w:ind w:left="60"/>
                </w:pPr>
                <w:r>
                  <w:rPr/>
                  <w:fldChar w:fldCharType="begin"/>
                </w:r>
                <w:r>
                  <w:rPr>
                    <w:w w:val="103"/>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76" w:hanging="339"/>
      </w:pPr>
      <w:rPr>
        <w:rFonts w:hint="default" w:ascii="Arial" w:hAnsi="Arial" w:eastAsia="Arial" w:cs="Arial"/>
        <w:w w:val="103"/>
        <w:sz w:val="18"/>
        <w:szCs w:val="18"/>
      </w:rPr>
    </w:lvl>
    <w:lvl w:ilvl="1">
      <w:start w:val="0"/>
      <w:numFmt w:val="bullet"/>
      <w:lvlText w:val="•"/>
      <w:lvlJc w:val="left"/>
      <w:pPr>
        <w:ind w:left="2115" w:hanging="339"/>
      </w:pPr>
      <w:rPr>
        <w:rFonts w:hint="default"/>
      </w:rPr>
    </w:lvl>
    <w:lvl w:ilvl="2">
      <w:start w:val="0"/>
      <w:numFmt w:val="bullet"/>
      <w:lvlText w:val="•"/>
      <w:lvlJc w:val="left"/>
      <w:pPr>
        <w:ind w:left="2951" w:hanging="339"/>
      </w:pPr>
      <w:rPr>
        <w:rFonts w:hint="default"/>
      </w:rPr>
    </w:lvl>
    <w:lvl w:ilvl="3">
      <w:start w:val="0"/>
      <w:numFmt w:val="bullet"/>
      <w:lvlText w:val="•"/>
      <w:lvlJc w:val="left"/>
      <w:pPr>
        <w:ind w:left="3787" w:hanging="339"/>
      </w:pPr>
      <w:rPr>
        <w:rFonts w:hint="default"/>
      </w:rPr>
    </w:lvl>
    <w:lvl w:ilvl="4">
      <w:start w:val="0"/>
      <w:numFmt w:val="bullet"/>
      <w:lvlText w:val="•"/>
      <w:lvlJc w:val="left"/>
      <w:pPr>
        <w:ind w:left="4622" w:hanging="339"/>
      </w:pPr>
      <w:rPr>
        <w:rFonts w:hint="default"/>
      </w:rPr>
    </w:lvl>
    <w:lvl w:ilvl="5">
      <w:start w:val="0"/>
      <w:numFmt w:val="bullet"/>
      <w:lvlText w:val="•"/>
      <w:lvlJc w:val="left"/>
      <w:pPr>
        <w:ind w:left="5458" w:hanging="339"/>
      </w:pPr>
      <w:rPr>
        <w:rFonts w:hint="default"/>
      </w:rPr>
    </w:lvl>
    <w:lvl w:ilvl="6">
      <w:start w:val="0"/>
      <w:numFmt w:val="bullet"/>
      <w:lvlText w:val="•"/>
      <w:lvlJc w:val="left"/>
      <w:pPr>
        <w:ind w:left="6294" w:hanging="339"/>
      </w:pPr>
      <w:rPr>
        <w:rFonts w:hint="default"/>
      </w:rPr>
    </w:lvl>
    <w:lvl w:ilvl="7">
      <w:start w:val="0"/>
      <w:numFmt w:val="bullet"/>
      <w:lvlText w:val="•"/>
      <w:lvlJc w:val="left"/>
      <w:pPr>
        <w:ind w:left="7129" w:hanging="339"/>
      </w:pPr>
      <w:rPr>
        <w:rFonts w:hint="default"/>
      </w:rPr>
    </w:lvl>
    <w:lvl w:ilvl="8">
      <w:start w:val="0"/>
      <w:numFmt w:val="bullet"/>
      <w:lvlText w:val="•"/>
      <w:lvlJc w:val="left"/>
      <w:pPr>
        <w:ind w:left="7965" w:hanging="339"/>
      </w:pPr>
      <w:rPr>
        <w:rFonts w:hint="default"/>
      </w:rPr>
    </w:lvl>
  </w:abstractNum>
  <w:abstractNum w:abstractNumId="0">
    <w:multiLevelType w:val="hybridMultilevel"/>
    <w:lvl w:ilvl="0">
      <w:start w:val="2"/>
      <w:numFmt w:val="decimal"/>
      <w:lvlText w:val="%1."/>
      <w:lvlJc w:val="left"/>
      <w:pPr>
        <w:ind w:left="1823" w:hanging="898"/>
        <w:jc w:val="left"/>
      </w:pPr>
      <w:rPr>
        <w:rFonts w:hint="default" w:ascii="Arial" w:hAnsi="Arial" w:eastAsia="Arial" w:cs="Arial"/>
        <w:b/>
        <w:bCs/>
        <w:spacing w:val="-2"/>
        <w:w w:val="103"/>
        <w:sz w:val="18"/>
        <w:szCs w:val="18"/>
      </w:rPr>
    </w:lvl>
    <w:lvl w:ilvl="1">
      <w:start w:val="0"/>
      <w:numFmt w:val="bullet"/>
      <w:lvlText w:val="-"/>
      <w:lvlJc w:val="left"/>
      <w:pPr>
        <w:ind w:left="2500" w:hanging="339"/>
      </w:pPr>
      <w:rPr>
        <w:rFonts w:hint="default" w:ascii="Arial" w:hAnsi="Arial" w:eastAsia="Arial" w:cs="Arial"/>
        <w:w w:val="103"/>
        <w:sz w:val="18"/>
        <w:szCs w:val="18"/>
      </w:rPr>
    </w:lvl>
    <w:lvl w:ilvl="2">
      <w:start w:val="0"/>
      <w:numFmt w:val="bullet"/>
      <w:lvlText w:val="•"/>
      <w:lvlJc w:val="left"/>
      <w:pPr>
        <w:ind w:left="3428" w:hanging="339"/>
      </w:pPr>
      <w:rPr>
        <w:rFonts w:hint="default"/>
      </w:rPr>
    </w:lvl>
    <w:lvl w:ilvl="3">
      <w:start w:val="0"/>
      <w:numFmt w:val="bullet"/>
      <w:lvlText w:val="•"/>
      <w:lvlJc w:val="left"/>
      <w:pPr>
        <w:ind w:left="4357" w:hanging="339"/>
      </w:pPr>
      <w:rPr>
        <w:rFonts w:hint="default"/>
      </w:rPr>
    </w:lvl>
    <w:lvl w:ilvl="4">
      <w:start w:val="0"/>
      <w:numFmt w:val="bullet"/>
      <w:lvlText w:val="•"/>
      <w:lvlJc w:val="left"/>
      <w:pPr>
        <w:ind w:left="5286" w:hanging="339"/>
      </w:pPr>
      <w:rPr>
        <w:rFonts w:hint="default"/>
      </w:rPr>
    </w:lvl>
    <w:lvl w:ilvl="5">
      <w:start w:val="0"/>
      <w:numFmt w:val="bullet"/>
      <w:lvlText w:val="•"/>
      <w:lvlJc w:val="left"/>
      <w:pPr>
        <w:ind w:left="6215" w:hanging="339"/>
      </w:pPr>
      <w:rPr>
        <w:rFonts w:hint="default"/>
      </w:rPr>
    </w:lvl>
    <w:lvl w:ilvl="6">
      <w:start w:val="0"/>
      <w:numFmt w:val="bullet"/>
      <w:lvlText w:val="•"/>
      <w:lvlJc w:val="left"/>
      <w:pPr>
        <w:ind w:left="7144" w:hanging="339"/>
      </w:pPr>
      <w:rPr>
        <w:rFonts w:hint="default"/>
      </w:rPr>
    </w:lvl>
    <w:lvl w:ilvl="7">
      <w:start w:val="0"/>
      <w:numFmt w:val="bullet"/>
      <w:lvlText w:val="•"/>
      <w:lvlJc w:val="left"/>
      <w:pPr>
        <w:ind w:left="8073" w:hanging="339"/>
      </w:pPr>
      <w:rPr>
        <w:rFonts w:hint="default"/>
      </w:rPr>
    </w:lvl>
    <w:lvl w:ilvl="8">
      <w:start w:val="0"/>
      <w:numFmt w:val="bullet"/>
      <w:lvlText w:val="•"/>
      <w:lvlJc w:val="left"/>
      <w:pPr>
        <w:ind w:left="9002"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823"/>
      <w:outlineLvl w:val="1"/>
    </w:pPr>
    <w:rPr>
      <w:rFonts w:ascii="Arial" w:hAnsi="Arial" w:eastAsia="Arial" w:cs="Arial"/>
      <w:b/>
      <w:bCs/>
      <w:sz w:val="18"/>
      <w:szCs w:val="18"/>
    </w:rPr>
  </w:style>
  <w:style w:styleId="ListParagraph" w:type="paragraph">
    <w:name w:val="List Paragraph"/>
    <w:basedOn w:val="Normal"/>
    <w:uiPriority w:val="1"/>
    <w:qFormat/>
    <w:pPr>
      <w:ind w:left="2500" w:hanging="33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Wholesale Distribution Steering Group</dc:subject>
  <dc:title>Wholesale Distribution Steering Group minutes - May 2019</dc:title>
  <dcterms:created xsi:type="dcterms:W3CDTF">2020-06-01T02:22:02Z</dcterms:created>
  <dcterms:modified xsi:type="dcterms:W3CDTF">2020-06-01T02:22:02Z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LastSaved">
    <vt:filetime>2020-06-01T00:00:00Z</vt:filetime>
  </property>
</Properties>
</file>