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rPr>
          <w:rFonts w:ascii="Times New Roman"/>
          <w:sz w:val="24"/>
        </w:rPr>
      </w:pPr>
    </w:p>
    <w:p>
      <w:pPr>
        <w:spacing w:before="88"/>
        <w:ind w:left="116" w:right="0" w:firstLine="0"/>
        <w:jc w:val="left"/>
        <w:rPr>
          <w:sz w:val="41"/>
        </w:rPr>
      </w:pPr>
      <w:r>
        <w:rPr>
          <w:sz w:val="41"/>
        </w:rPr>
        <w:t>Minutes</w:t>
      </w:r>
    </w:p>
    <w:p>
      <w:pPr>
        <w:spacing w:before="326"/>
        <w:ind w:left="116" w:right="0" w:firstLine="0"/>
        <w:jc w:val="left"/>
        <w:rPr>
          <w:b/>
          <w:sz w:val="22"/>
        </w:rPr>
      </w:pPr>
      <w:r>
        <w:rPr>
          <w:b/>
          <w:sz w:val="22"/>
        </w:rPr>
        <w:t>Wholesale Distribution Steering Group (WDSG)</w:t>
      </w:r>
    </w:p>
    <w:p>
      <w:pPr>
        <w:spacing w:before="45"/>
        <w:ind w:left="116" w:right="0" w:firstLine="0"/>
        <w:jc w:val="left"/>
        <w:rPr>
          <w:sz w:val="22"/>
        </w:rPr>
      </w:pPr>
      <w:r>
        <w:rPr>
          <w:sz w:val="22"/>
        </w:rPr>
        <w:t>12 November 2019</w:t>
      </w:r>
    </w:p>
    <w:p>
      <w:pPr>
        <w:pStyle w:val="BodyText"/>
        <w:spacing w:before="9"/>
      </w:pPr>
      <w:r>
        <w:rPr/>
        <w:pict>
          <v:shape style="position:absolute;margin-left:48.840004pt;margin-top:12.970326pt;width:513.85pt;height:.1pt;mso-position-horizontal-relative:page;mso-position-vertical-relative:paragraph;z-index:-251658240;mso-wrap-distance-left:0;mso-wrap-distance-right:0" coordorigin="977,259" coordsize="10277,0" path="m977,259l11254,259e" filled="false" stroked="true" strokeweight=".360008pt" strokecolor="#000000">
            <v:path arrowok="t"/>
            <v:stroke dashstyle="solid"/>
            <w10:wrap type="topAndBottom"/>
          </v:shape>
        </w:pict>
      </w:r>
    </w:p>
    <w:p>
      <w:pPr>
        <w:pStyle w:val="BodyText"/>
        <w:rPr>
          <w:sz w:val="7"/>
        </w:rPr>
      </w:pPr>
    </w:p>
    <w:p>
      <w:pPr>
        <w:pStyle w:val="Heading1"/>
        <w:spacing w:before="100"/>
        <w:ind w:left="116" w:firstLine="0"/>
      </w:pPr>
      <w:r>
        <w:rPr>
          <w:b w:val="0"/>
          <w:w w:val="105"/>
        </w:rPr>
        <w:t>Location: </w:t>
      </w:r>
      <w:r>
        <w:rPr>
          <w:w w:val="105"/>
        </w:rPr>
        <w:t>Bank of England, Threadneedle St, London EC2R 8AH (Room 1X)</w:t>
      </w:r>
    </w:p>
    <w:p>
      <w:pPr>
        <w:pStyle w:val="BodyText"/>
        <w:spacing w:before="6"/>
        <w:rPr>
          <w:b/>
          <w:sz w:val="22"/>
        </w:rPr>
      </w:pPr>
    </w:p>
    <w:p>
      <w:pPr>
        <w:pStyle w:val="BodyText"/>
        <w:ind w:left="116"/>
      </w:pPr>
      <w:r>
        <w:rPr>
          <w:w w:val="105"/>
        </w:rPr>
        <w:t>Attendees: </w:t>
      </w:r>
      <w:r>
        <w:rPr>
          <w:b/>
          <w:w w:val="105"/>
        </w:rPr>
        <w:t>Bank of England</w:t>
      </w:r>
      <w:r>
        <w:rPr>
          <w:w w:val="105"/>
        </w:rPr>
        <w:t>: Sarah John (Chair), Martin Etheridge, Ronan McClintock, Kevin Finan</w:t>
      </w:r>
    </w:p>
    <w:p>
      <w:pPr>
        <w:pStyle w:val="BodyText"/>
        <w:spacing w:before="40"/>
        <w:ind w:left="1066"/>
      </w:pPr>
      <w:r>
        <w:rPr>
          <w:b/>
          <w:w w:val="105"/>
        </w:rPr>
        <w:t>UK Finance</w:t>
      </w:r>
      <w:r>
        <w:rPr>
          <w:w w:val="105"/>
        </w:rPr>
        <w:t>: Russell Saunders (by phone), Eric Leenders (by phone)</w:t>
      </w:r>
    </w:p>
    <w:p>
      <w:pPr>
        <w:spacing w:before="43"/>
        <w:ind w:left="1066" w:right="0" w:firstLine="0"/>
        <w:jc w:val="left"/>
        <w:rPr>
          <w:sz w:val="18"/>
        </w:rPr>
      </w:pPr>
      <w:r>
        <w:rPr>
          <w:b/>
          <w:w w:val="105"/>
          <w:sz w:val="18"/>
        </w:rPr>
        <w:t>Barclays: </w:t>
      </w:r>
      <w:r>
        <w:rPr>
          <w:w w:val="105"/>
          <w:sz w:val="18"/>
        </w:rPr>
        <w:t>Tim Allen</w:t>
      </w:r>
    </w:p>
    <w:p>
      <w:pPr>
        <w:spacing w:before="42"/>
        <w:ind w:left="1066" w:right="0" w:firstLine="0"/>
        <w:jc w:val="left"/>
        <w:rPr>
          <w:sz w:val="18"/>
        </w:rPr>
      </w:pPr>
      <w:r>
        <w:rPr>
          <w:b/>
          <w:w w:val="105"/>
          <w:sz w:val="18"/>
        </w:rPr>
        <w:t>Lloyds Banking Group: </w:t>
      </w:r>
      <w:r>
        <w:rPr>
          <w:w w:val="105"/>
          <w:sz w:val="18"/>
        </w:rPr>
        <w:t>Otto Benz</w:t>
      </w:r>
    </w:p>
    <w:p>
      <w:pPr>
        <w:spacing w:before="40"/>
        <w:ind w:left="1067" w:right="0" w:firstLine="0"/>
        <w:jc w:val="left"/>
        <w:rPr>
          <w:sz w:val="18"/>
        </w:rPr>
      </w:pPr>
      <w:r>
        <w:rPr>
          <w:b/>
          <w:w w:val="105"/>
          <w:sz w:val="18"/>
        </w:rPr>
        <w:t>Virgin Money UK: </w:t>
      </w:r>
      <w:r>
        <w:rPr>
          <w:w w:val="105"/>
          <w:sz w:val="18"/>
        </w:rPr>
        <w:t>Dougie Belmore (by phone)</w:t>
      </w:r>
    </w:p>
    <w:p>
      <w:pPr>
        <w:spacing w:before="43"/>
        <w:ind w:left="1067" w:right="0" w:firstLine="0"/>
        <w:jc w:val="left"/>
        <w:rPr>
          <w:sz w:val="18"/>
        </w:rPr>
      </w:pPr>
      <w:r>
        <w:rPr>
          <w:b/>
          <w:w w:val="105"/>
          <w:sz w:val="18"/>
        </w:rPr>
        <w:t>HSBC: </w:t>
      </w:r>
      <w:r>
        <w:rPr>
          <w:w w:val="105"/>
          <w:sz w:val="18"/>
        </w:rPr>
        <w:t>Sue Yarham</w:t>
      </w:r>
    </w:p>
    <w:p>
      <w:pPr>
        <w:spacing w:before="40"/>
        <w:ind w:left="1067" w:right="0" w:firstLine="0"/>
        <w:jc w:val="left"/>
        <w:rPr>
          <w:sz w:val="18"/>
        </w:rPr>
      </w:pPr>
      <w:r>
        <w:rPr>
          <w:b/>
          <w:w w:val="105"/>
          <w:sz w:val="18"/>
        </w:rPr>
        <w:t>Royal Bank of Scotland: </w:t>
      </w:r>
      <w:r>
        <w:rPr>
          <w:w w:val="105"/>
          <w:sz w:val="18"/>
        </w:rPr>
        <w:t>Richard Talbot</w:t>
      </w:r>
    </w:p>
    <w:p>
      <w:pPr>
        <w:spacing w:before="43"/>
        <w:ind w:left="1067" w:right="0" w:firstLine="0"/>
        <w:jc w:val="left"/>
        <w:rPr>
          <w:sz w:val="18"/>
        </w:rPr>
      </w:pPr>
      <w:r>
        <w:rPr>
          <w:b/>
          <w:w w:val="105"/>
          <w:sz w:val="18"/>
        </w:rPr>
        <w:t>Santander: </w:t>
      </w:r>
      <w:r>
        <w:rPr>
          <w:w w:val="105"/>
          <w:sz w:val="18"/>
        </w:rPr>
        <w:t>Robert White</w:t>
      </w:r>
    </w:p>
    <w:p>
      <w:pPr>
        <w:spacing w:before="43"/>
        <w:ind w:left="1067" w:right="0" w:firstLine="0"/>
        <w:jc w:val="left"/>
        <w:rPr>
          <w:sz w:val="18"/>
        </w:rPr>
      </w:pPr>
      <w:r>
        <w:rPr>
          <w:b/>
          <w:w w:val="105"/>
          <w:sz w:val="18"/>
        </w:rPr>
        <w:t>HM Treasury: </w:t>
      </w:r>
      <w:r>
        <w:rPr>
          <w:w w:val="105"/>
          <w:sz w:val="18"/>
        </w:rPr>
        <w:t>Mario Pisani</w:t>
      </w:r>
    </w:p>
    <w:p>
      <w:pPr>
        <w:pStyle w:val="BodyText"/>
        <w:rPr>
          <w:sz w:val="20"/>
        </w:rPr>
      </w:pPr>
    </w:p>
    <w:p>
      <w:pPr>
        <w:pStyle w:val="BodyText"/>
        <w:spacing w:before="7"/>
        <w:rPr>
          <w:sz w:val="26"/>
        </w:rPr>
      </w:pPr>
    </w:p>
    <w:p>
      <w:pPr>
        <w:spacing w:before="1"/>
        <w:ind w:left="1014" w:right="0" w:firstLine="0"/>
        <w:jc w:val="left"/>
        <w:rPr>
          <w:sz w:val="18"/>
        </w:rPr>
      </w:pPr>
      <w:r>
        <w:rPr>
          <w:b/>
          <w:w w:val="105"/>
          <w:sz w:val="18"/>
        </w:rPr>
        <w:t>KPMG: </w:t>
      </w:r>
      <w:r>
        <w:rPr>
          <w:w w:val="105"/>
          <w:sz w:val="18"/>
        </w:rPr>
        <w:t>Simon Walker (by phone)</w:t>
      </w:r>
    </w:p>
    <w:p>
      <w:pPr>
        <w:pStyle w:val="BodyText"/>
        <w:rPr>
          <w:sz w:val="20"/>
        </w:rPr>
      </w:pPr>
    </w:p>
    <w:p>
      <w:pPr>
        <w:pStyle w:val="BodyText"/>
        <w:spacing w:before="11"/>
        <w:rPr>
          <w:sz w:val="23"/>
        </w:rPr>
      </w:pPr>
    </w:p>
    <w:p>
      <w:pPr>
        <w:pStyle w:val="BodyText"/>
        <w:spacing w:line="292" w:lineRule="auto"/>
        <w:ind w:left="1014" w:right="27" w:hanging="898"/>
      </w:pPr>
      <w:r>
        <w:rPr>
          <w:w w:val="105"/>
        </w:rPr>
        <w:t>Apologies: Mark McLintock (Bank of England), Russell Hancock (Post Office), Kevin McMullan (Danske Bank), John Garrett (First Trust Bank), Julie Fitzgibbon (Bank of Ireland)</w:t>
      </w:r>
    </w:p>
    <w:p>
      <w:pPr>
        <w:pStyle w:val="BodyText"/>
        <w:rPr>
          <w:sz w:val="20"/>
        </w:rPr>
      </w:pPr>
    </w:p>
    <w:p>
      <w:pPr>
        <w:pStyle w:val="BodyText"/>
        <w:rPr>
          <w:sz w:val="20"/>
        </w:rPr>
      </w:pPr>
    </w:p>
    <w:p>
      <w:pPr>
        <w:pStyle w:val="BodyText"/>
        <w:spacing w:before="4"/>
      </w:pPr>
    </w:p>
    <w:p>
      <w:pPr>
        <w:pStyle w:val="Heading1"/>
        <w:ind w:left="215" w:firstLine="0"/>
      </w:pPr>
      <w:r>
        <w:rPr>
          <w:w w:val="105"/>
        </w:rPr>
        <w:t>Item</w:t>
      </w:r>
    </w:p>
    <w:p>
      <w:pPr>
        <w:pStyle w:val="BodyText"/>
        <w:rPr>
          <w:b/>
          <w:sz w:val="20"/>
        </w:rPr>
      </w:pPr>
    </w:p>
    <w:p>
      <w:pPr>
        <w:pStyle w:val="BodyText"/>
        <w:spacing w:before="3"/>
        <w:rPr>
          <w:b/>
          <w:sz w:val="21"/>
        </w:rPr>
      </w:pPr>
    </w:p>
    <w:p>
      <w:pPr>
        <w:pStyle w:val="ListParagraph"/>
        <w:numPr>
          <w:ilvl w:val="0"/>
          <w:numId w:val="1"/>
        </w:numPr>
        <w:tabs>
          <w:tab w:pos="1115" w:val="left" w:leader="none"/>
          <w:tab w:pos="1116" w:val="left" w:leader="none"/>
        </w:tabs>
        <w:spacing w:line="240" w:lineRule="auto" w:before="0" w:after="0"/>
        <w:ind w:left="1115" w:right="0" w:hanging="901"/>
        <w:jc w:val="left"/>
        <w:rPr>
          <w:b/>
          <w:sz w:val="18"/>
        </w:rPr>
      </w:pPr>
      <w:r>
        <w:rPr>
          <w:b/>
          <w:w w:val="105"/>
          <w:sz w:val="18"/>
        </w:rPr>
        <w:t>Standing agenda</w:t>
      </w:r>
      <w:r>
        <w:rPr>
          <w:b/>
          <w:spacing w:val="-1"/>
          <w:w w:val="105"/>
          <w:sz w:val="18"/>
        </w:rPr>
        <w:t> </w:t>
      </w:r>
      <w:r>
        <w:rPr>
          <w:b/>
          <w:w w:val="105"/>
          <w:sz w:val="18"/>
        </w:rPr>
        <w:t>items</w:t>
      </w:r>
    </w:p>
    <w:p>
      <w:pPr>
        <w:pStyle w:val="BodyText"/>
        <w:spacing w:before="6"/>
        <w:rPr>
          <w:b/>
          <w:sz w:val="19"/>
        </w:rPr>
      </w:pPr>
    </w:p>
    <w:p>
      <w:pPr>
        <w:pStyle w:val="ListParagraph"/>
        <w:numPr>
          <w:ilvl w:val="1"/>
          <w:numId w:val="1"/>
        </w:numPr>
        <w:tabs>
          <w:tab w:pos="1446" w:val="left" w:leader="none"/>
          <w:tab w:pos="1447" w:val="left" w:leader="none"/>
        </w:tabs>
        <w:spacing w:line="240" w:lineRule="auto" w:before="1" w:after="0"/>
        <w:ind w:left="1446" w:right="0" w:hanging="340"/>
        <w:jc w:val="left"/>
        <w:rPr>
          <w:b/>
          <w:sz w:val="18"/>
        </w:rPr>
      </w:pPr>
      <w:r>
        <w:rPr>
          <w:b/>
          <w:w w:val="105"/>
          <w:sz w:val="18"/>
        </w:rPr>
        <w:t>October 2019</w:t>
      </w:r>
      <w:r>
        <w:rPr>
          <w:b/>
          <w:spacing w:val="-4"/>
          <w:w w:val="105"/>
          <w:sz w:val="18"/>
        </w:rPr>
        <w:t> </w:t>
      </w:r>
      <w:r>
        <w:rPr>
          <w:b/>
          <w:w w:val="105"/>
          <w:sz w:val="18"/>
        </w:rPr>
        <w:t>minutes:</w:t>
      </w:r>
    </w:p>
    <w:p>
      <w:pPr>
        <w:pStyle w:val="BodyText"/>
        <w:spacing w:before="6"/>
        <w:rPr>
          <w:b/>
          <w:sz w:val="19"/>
        </w:rPr>
      </w:pPr>
    </w:p>
    <w:p>
      <w:pPr>
        <w:pStyle w:val="BodyText"/>
        <w:ind w:left="1115"/>
      </w:pPr>
      <w:r>
        <w:rPr>
          <w:w w:val="105"/>
        </w:rPr>
        <w:t>The group agreed the October 2019 minutes, and approved their publication.</w:t>
      </w:r>
    </w:p>
    <w:p>
      <w:pPr>
        <w:pStyle w:val="BodyText"/>
        <w:spacing w:before="7"/>
        <w:rPr>
          <w:sz w:val="19"/>
        </w:rPr>
      </w:pPr>
    </w:p>
    <w:p>
      <w:pPr>
        <w:pStyle w:val="Heading1"/>
        <w:numPr>
          <w:ilvl w:val="1"/>
          <w:numId w:val="1"/>
        </w:numPr>
        <w:tabs>
          <w:tab w:pos="1446" w:val="left" w:leader="none"/>
          <w:tab w:pos="1447" w:val="left" w:leader="none"/>
        </w:tabs>
        <w:spacing w:line="240" w:lineRule="auto" w:before="0" w:after="0"/>
        <w:ind w:left="1446" w:right="0" w:hanging="340"/>
        <w:jc w:val="left"/>
      </w:pPr>
      <w:r>
        <w:rPr>
          <w:w w:val="105"/>
        </w:rPr>
        <w:t>Sharing information on stakeholder</w:t>
      </w:r>
      <w:r>
        <w:rPr>
          <w:spacing w:val="-4"/>
          <w:w w:val="105"/>
        </w:rPr>
        <w:t> </w:t>
      </w:r>
      <w:r>
        <w:rPr>
          <w:w w:val="105"/>
        </w:rPr>
        <w:t>engagement:</w:t>
      </w:r>
    </w:p>
    <w:p>
      <w:pPr>
        <w:pStyle w:val="BodyText"/>
        <w:spacing w:before="9"/>
        <w:rPr>
          <w:b/>
          <w:sz w:val="19"/>
        </w:rPr>
      </w:pPr>
    </w:p>
    <w:p>
      <w:pPr>
        <w:pStyle w:val="BodyText"/>
        <w:ind w:left="1115"/>
      </w:pPr>
      <w:r>
        <w:rPr>
          <w:w w:val="105"/>
        </w:rPr>
        <w:t>No updates were noted.</w:t>
      </w:r>
    </w:p>
    <w:p>
      <w:pPr>
        <w:pStyle w:val="BodyText"/>
        <w:rPr>
          <w:sz w:val="20"/>
        </w:rPr>
      </w:pPr>
    </w:p>
    <w:p>
      <w:pPr>
        <w:pStyle w:val="BodyText"/>
        <w:rPr>
          <w:sz w:val="20"/>
        </w:rPr>
      </w:pPr>
    </w:p>
    <w:p>
      <w:pPr>
        <w:pStyle w:val="BodyText"/>
        <w:spacing w:before="1"/>
        <w:rPr>
          <w:sz w:val="17"/>
        </w:rPr>
      </w:pPr>
    </w:p>
    <w:p>
      <w:pPr>
        <w:pStyle w:val="Heading1"/>
        <w:numPr>
          <w:ilvl w:val="0"/>
          <w:numId w:val="1"/>
        </w:numPr>
        <w:tabs>
          <w:tab w:pos="1115" w:val="left" w:leader="none"/>
          <w:tab w:pos="1116" w:val="left" w:leader="none"/>
        </w:tabs>
        <w:spacing w:line="240" w:lineRule="auto" w:before="0" w:after="0"/>
        <w:ind w:left="1115" w:right="0" w:hanging="901"/>
        <w:jc w:val="left"/>
      </w:pPr>
      <w:r>
        <w:rPr>
          <w:w w:val="105"/>
        </w:rPr>
        <w:t>Project progress</w:t>
      </w:r>
    </w:p>
    <w:p>
      <w:pPr>
        <w:pStyle w:val="BodyText"/>
        <w:spacing w:before="7"/>
        <w:rPr>
          <w:b/>
          <w:sz w:val="19"/>
        </w:rPr>
      </w:pPr>
    </w:p>
    <w:p>
      <w:pPr>
        <w:pStyle w:val="BodyText"/>
        <w:spacing w:line="249" w:lineRule="auto"/>
        <w:ind w:left="1115" w:right="958"/>
      </w:pPr>
      <w:r>
        <w:rPr>
          <w:w w:val="105"/>
        </w:rPr>
        <w:t>KPMG provided a progress report on their work plan for developing the future cash distribution model, The following points were covered:</w:t>
      </w:r>
    </w:p>
    <w:p>
      <w:pPr>
        <w:pStyle w:val="BodyText"/>
        <w:spacing w:before="10"/>
      </w:pPr>
    </w:p>
    <w:p>
      <w:pPr>
        <w:pStyle w:val="ListParagraph"/>
        <w:numPr>
          <w:ilvl w:val="0"/>
          <w:numId w:val="2"/>
        </w:numPr>
        <w:tabs>
          <w:tab w:pos="1792" w:val="left" w:leader="none"/>
        </w:tabs>
        <w:spacing w:line="252" w:lineRule="auto" w:before="0" w:after="0"/>
        <w:ind w:left="1792" w:right="1528" w:hanging="339"/>
        <w:jc w:val="both"/>
        <w:rPr>
          <w:sz w:val="18"/>
        </w:rPr>
      </w:pPr>
      <w:r>
        <w:rPr>
          <w:w w:val="105"/>
          <w:sz w:val="18"/>
        </w:rPr>
        <w:t>The ISG had agreed that the new model should include both banknotes and UK coin, rather than having separate notes and coin solutions. WDSG members took note of this</w:t>
      </w:r>
      <w:r>
        <w:rPr>
          <w:spacing w:val="-3"/>
          <w:w w:val="105"/>
          <w:sz w:val="18"/>
        </w:rPr>
        <w:t> </w:t>
      </w:r>
      <w:r>
        <w:rPr>
          <w:w w:val="105"/>
          <w:sz w:val="18"/>
        </w:rPr>
        <w:t>decision.</w:t>
      </w:r>
    </w:p>
    <w:p>
      <w:pPr>
        <w:spacing w:after="0" w:line="252" w:lineRule="auto"/>
        <w:jc w:val="both"/>
        <w:rPr>
          <w:sz w:val="18"/>
        </w:rPr>
        <w:sectPr>
          <w:type w:val="continuous"/>
          <w:pgSz w:w="12240" w:h="15840"/>
          <w:pgMar w:top="1500" w:bottom="280" w:left="860" w:right="880"/>
        </w:sectPr>
      </w:pPr>
    </w:p>
    <w:p>
      <w:pPr>
        <w:pStyle w:val="BodyText"/>
        <w:spacing w:before="76"/>
        <w:ind w:right="826"/>
        <w:jc w:val="right"/>
      </w:pPr>
      <w:r>
        <w:rPr>
          <w:w w:val="103"/>
        </w:rPr>
        <w:t>2</w:t>
      </w:r>
    </w:p>
    <w:p>
      <w:pPr>
        <w:pStyle w:val="BodyText"/>
        <w:spacing w:before="7"/>
        <w:rPr>
          <w:sz w:val="19"/>
        </w:rPr>
      </w:pPr>
    </w:p>
    <w:p>
      <w:pPr>
        <w:pStyle w:val="ListParagraph"/>
        <w:numPr>
          <w:ilvl w:val="0"/>
          <w:numId w:val="2"/>
        </w:numPr>
        <w:tabs>
          <w:tab w:pos="1792" w:val="left" w:leader="none"/>
        </w:tabs>
        <w:spacing w:line="249" w:lineRule="auto" w:before="101" w:after="0"/>
        <w:ind w:left="1792" w:right="1526" w:hanging="339"/>
        <w:jc w:val="both"/>
        <w:rPr>
          <w:sz w:val="18"/>
        </w:rPr>
      </w:pPr>
      <w:r>
        <w:rPr>
          <w:w w:val="105"/>
          <w:sz w:val="18"/>
        </w:rPr>
        <w:t>The</w:t>
      </w:r>
      <w:r>
        <w:rPr>
          <w:spacing w:val="-16"/>
          <w:w w:val="105"/>
          <w:sz w:val="18"/>
        </w:rPr>
        <w:t> </w:t>
      </w:r>
      <w:r>
        <w:rPr>
          <w:w w:val="105"/>
          <w:sz w:val="18"/>
        </w:rPr>
        <w:t>ISG</w:t>
      </w:r>
      <w:r>
        <w:rPr>
          <w:spacing w:val="-16"/>
          <w:w w:val="105"/>
          <w:sz w:val="18"/>
        </w:rPr>
        <w:t> </w:t>
      </w:r>
      <w:r>
        <w:rPr>
          <w:w w:val="105"/>
          <w:sz w:val="18"/>
        </w:rPr>
        <w:t>had</w:t>
      </w:r>
      <w:r>
        <w:rPr>
          <w:spacing w:val="-16"/>
          <w:w w:val="105"/>
          <w:sz w:val="18"/>
        </w:rPr>
        <w:t> </w:t>
      </w:r>
      <w:r>
        <w:rPr>
          <w:w w:val="105"/>
          <w:sz w:val="18"/>
        </w:rPr>
        <w:t>developed</w:t>
      </w:r>
      <w:r>
        <w:rPr>
          <w:spacing w:val="-18"/>
          <w:w w:val="105"/>
          <w:sz w:val="18"/>
        </w:rPr>
        <w:t> </w:t>
      </w:r>
      <w:r>
        <w:rPr>
          <w:w w:val="105"/>
          <w:sz w:val="18"/>
        </w:rPr>
        <w:t>a</w:t>
      </w:r>
      <w:r>
        <w:rPr>
          <w:spacing w:val="-16"/>
          <w:w w:val="105"/>
          <w:sz w:val="18"/>
        </w:rPr>
        <w:t> </w:t>
      </w:r>
      <w:r>
        <w:rPr>
          <w:w w:val="105"/>
          <w:sz w:val="18"/>
        </w:rPr>
        <w:t>series</w:t>
      </w:r>
      <w:r>
        <w:rPr>
          <w:spacing w:val="-18"/>
          <w:w w:val="105"/>
          <w:sz w:val="18"/>
        </w:rPr>
        <w:t> </w:t>
      </w:r>
      <w:r>
        <w:rPr>
          <w:w w:val="105"/>
          <w:sz w:val="18"/>
        </w:rPr>
        <w:t>of</w:t>
      </w:r>
      <w:r>
        <w:rPr>
          <w:spacing w:val="-16"/>
          <w:w w:val="105"/>
          <w:sz w:val="18"/>
        </w:rPr>
        <w:t> </w:t>
      </w:r>
      <w:r>
        <w:rPr>
          <w:w w:val="105"/>
          <w:sz w:val="18"/>
        </w:rPr>
        <w:t>design</w:t>
      </w:r>
      <w:r>
        <w:rPr>
          <w:spacing w:val="-18"/>
          <w:w w:val="105"/>
          <w:sz w:val="18"/>
        </w:rPr>
        <w:t> </w:t>
      </w:r>
      <w:r>
        <w:rPr>
          <w:w w:val="105"/>
          <w:sz w:val="18"/>
        </w:rPr>
        <w:t>principles</w:t>
      </w:r>
      <w:r>
        <w:rPr>
          <w:spacing w:val="-18"/>
          <w:w w:val="105"/>
          <w:sz w:val="18"/>
        </w:rPr>
        <w:t> </w:t>
      </w:r>
      <w:r>
        <w:rPr>
          <w:w w:val="105"/>
          <w:sz w:val="18"/>
        </w:rPr>
        <w:t>to</w:t>
      </w:r>
      <w:r>
        <w:rPr>
          <w:spacing w:val="-12"/>
          <w:w w:val="105"/>
          <w:sz w:val="18"/>
        </w:rPr>
        <w:t> </w:t>
      </w:r>
      <w:r>
        <w:rPr>
          <w:w w:val="105"/>
          <w:sz w:val="18"/>
        </w:rPr>
        <w:t>sit</w:t>
      </w:r>
      <w:r>
        <w:rPr>
          <w:spacing w:val="-16"/>
          <w:w w:val="105"/>
          <w:sz w:val="18"/>
        </w:rPr>
        <w:t> </w:t>
      </w:r>
      <w:r>
        <w:rPr>
          <w:w w:val="105"/>
          <w:sz w:val="18"/>
        </w:rPr>
        <w:t>alongside</w:t>
      </w:r>
      <w:r>
        <w:rPr>
          <w:spacing w:val="-18"/>
          <w:w w:val="105"/>
          <w:sz w:val="18"/>
        </w:rPr>
        <w:t> </w:t>
      </w:r>
      <w:r>
        <w:rPr>
          <w:w w:val="105"/>
          <w:sz w:val="18"/>
        </w:rPr>
        <w:t>the</w:t>
      </w:r>
      <w:r>
        <w:rPr>
          <w:spacing w:val="-19"/>
          <w:w w:val="105"/>
          <w:sz w:val="18"/>
        </w:rPr>
        <w:t> </w:t>
      </w:r>
      <w:r>
        <w:rPr>
          <w:w w:val="105"/>
          <w:sz w:val="18"/>
        </w:rPr>
        <w:t>WDSG</w:t>
      </w:r>
      <w:r>
        <w:rPr>
          <w:spacing w:val="-16"/>
          <w:w w:val="105"/>
          <w:sz w:val="18"/>
        </w:rPr>
        <w:t> </w:t>
      </w:r>
      <w:r>
        <w:rPr>
          <w:w w:val="105"/>
          <w:sz w:val="18"/>
        </w:rPr>
        <w:t>success criteria.</w:t>
      </w:r>
    </w:p>
    <w:p>
      <w:pPr>
        <w:pStyle w:val="BodyText"/>
        <w:spacing w:before="1"/>
        <w:rPr>
          <w:sz w:val="19"/>
        </w:rPr>
      </w:pPr>
    </w:p>
    <w:p>
      <w:pPr>
        <w:pStyle w:val="ListParagraph"/>
        <w:numPr>
          <w:ilvl w:val="0"/>
          <w:numId w:val="2"/>
        </w:numPr>
        <w:tabs>
          <w:tab w:pos="1792" w:val="left" w:leader="none"/>
        </w:tabs>
        <w:spacing w:line="249" w:lineRule="auto" w:before="0" w:after="0"/>
        <w:ind w:left="1792" w:right="1531" w:hanging="339"/>
        <w:jc w:val="both"/>
        <w:rPr>
          <w:sz w:val="18"/>
        </w:rPr>
      </w:pPr>
      <w:r>
        <w:rPr>
          <w:w w:val="105"/>
          <w:sz w:val="18"/>
        </w:rPr>
        <w:t>The ISG had suggested supplementing the WDSG success criteria with additional criteria under the objective of ‘Deliverable’. Members agreed to incorporate two new ‘Deliverability’</w:t>
      </w:r>
      <w:r>
        <w:rPr>
          <w:spacing w:val="-2"/>
          <w:w w:val="105"/>
          <w:sz w:val="18"/>
        </w:rPr>
        <w:t> </w:t>
      </w:r>
      <w:r>
        <w:rPr>
          <w:w w:val="105"/>
          <w:sz w:val="18"/>
        </w:rPr>
        <w:t>objectives.</w:t>
      </w:r>
    </w:p>
    <w:p>
      <w:pPr>
        <w:pStyle w:val="BodyText"/>
        <w:rPr>
          <w:sz w:val="19"/>
        </w:rPr>
      </w:pPr>
    </w:p>
    <w:p>
      <w:pPr>
        <w:pStyle w:val="ListParagraph"/>
        <w:numPr>
          <w:ilvl w:val="0"/>
          <w:numId w:val="2"/>
        </w:numPr>
        <w:tabs>
          <w:tab w:pos="1792" w:val="left" w:leader="none"/>
        </w:tabs>
        <w:spacing w:line="249" w:lineRule="auto" w:before="0" w:after="0"/>
        <w:ind w:left="1792" w:right="1526" w:hanging="339"/>
        <w:jc w:val="both"/>
        <w:rPr>
          <w:sz w:val="18"/>
        </w:rPr>
      </w:pPr>
      <w:r>
        <w:rPr>
          <w:w w:val="105"/>
          <w:sz w:val="18"/>
        </w:rPr>
        <w:t>The ISG had continued to narrow down potential models for infrastructure ownership and</w:t>
      </w:r>
      <w:r>
        <w:rPr>
          <w:spacing w:val="-9"/>
          <w:w w:val="105"/>
          <w:sz w:val="18"/>
        </w:rPr>
        <w:t> </w:t>
      </w:r>
      <w:r>
        <w:rPr>
          <w:w w:val="105"/>
          <w:sz w:val="18"/>
        </w:rPr>
        <w:t>operation.</w:t>
      </w:r>
      <w:r>
        <w:rPr>
          <w:spacing w:val="38"/>
          <w:w w:val="105"/>
          <w:sz w:val="18"/>
        </w:rPr>
        <w:t> </w:t>
      </w:r>
      <w:r>
        <w:rPr>
          <w:w w:val="105"/>
          <w:sz w:val="18"/>
        </w:rPr>
        <w:t>A</w:t>
      </w:r>
      <w:r>
        <w:rPr>
          <w:spacing w:val="-9"/>
          <w:w w:val="105"/>
          <w:sz w:val="18"/>
        </w:rPr>
        <w:t> </w:t>
      </w:r>
      <w:r>
        <w:rPr>
          <w:w w:val="105"/>
          <w:sz w:val="18"/>
        </w:rPr>
        <w:t>successful</w:t>
      </w:r>
      <w:r>
        <w:rPr>
          <w:spacing w:val="-7"/>
          <w:w w:val="105"/>
          <w:sz w:val="18"/>
        </w:rPr>
        <w:t> </w:t>
      </w:r>
      <w:r>
        <w:rPr>
          <w:w w:val="105"/>
          <w:sz w:val="18"/>
        </w:rPr>
        <w:t>ISG</w:t>
      </w:r>
      <w:r>
        <w:rPr>
          <w:spacing w:val="-5"/>
          <w:w w:val="105"/>
          <w:sz w:val="18"/>
        </w:rPr>
        <w:t> </w:t>
      </w:r>
      <w:r>
        <w:rPr>
          <w:w w:val="105"/>
          <w:sz w:val="18"/>
        </w:rPr>
        <w:t>meeting</w:t>
      </w:r>
      <w:r>
        <w:rPr>
          <w:spacing w:val="-8"/>
          <w:w w:val="105"/>
          <w:sz w:val="18"/>
        </w:rPr>
        <w:t> </w:t>
      </w:r>
      <w:r>
        <w:rPr>
          <w:w w:val="105"/>
          <w:sz w:val="18"/>
        </w:rPr>
        <w:t>had</w:t>
      </w:r>
      <w:r>
        <w:rPr>
          <w:spacing w:val="-8"/>
          <w:w w:val="105"/>
          <w:sz w:val="18"/>
        </w:rPr>
        <w:t> </w:t>
      </w:r>
      <w:r>
        <w:rPr>
          <w:w w:val="105"/>
          <w:sz w:val="18"/>
        </w:rPr>
        <w:t>been</w:t>
      </w:r>
      <w:r>
        <w:rPr>
          <w:spacing w:val="-9"/>
          <w:w w:val="105"/>
          <w:sz w:val="18"/>
        </w:rPr>
        <w:t> </w:t>
      </w:r>
      <w:r>
        <w:rPr>
          <w:w w:val="105"/>
          <w:sz w:val="18"/>
        </w:rPr>
        <w:t>held</w:t>
      </w:r>
      <w:r>
        <w:rPr>
          <w:spacing w:val="-8"/>
          <w:w w:val="105"/>
          <w:sz w:val="18"/>
        </w:rPr>
        <w:t> </w:t>
      </w:r>
      <w:r>
        <w:rPr>
          <w:w w:val="105"/>
          <w:sz w:val="18"/>
        </w:rPr>
        <w:t>the</w:t>
      </w:r>
      <w:r>
        <w:rPr>
          <w:spacing w:val="-8"/>
          <w:w w:val="105"/>
          <w:sz w:val="18"/>
        </w:rPr>
        <w:t> </w:t>
      </w:r>
      <w:r>
        <w:rPr>
          <w:w w:val="105"/>
          <w:sz w:val="18"/>
        </w:rPr>
        <w:t>previous</w:t>
      </w:r>
      <w:r>
        <w:rPr>
          <w:spacing w:val="-9"/>
          <w:w w:val="105"/>
          <w:sz w:val="18"/>
        </w:rPr>
        <w:t> </w:t>
      </w:r>
      <w:r>
        <w:rPr>
          <w:w w:val="105"/>
          <w:sz w:val="18"/>
        </w:rPr>
        <w:t>week,</w:t>
      </w:r>
      <w:r>
        <w:rPr>
          <w:spacing w:val="-7"/>
          <w:w w:val="105"/>
          <w:sz w:val="18"/>
        </w:rPr>
        <w:t> </w:t>
      </w:r>
      <w:r>
        <w:rPr>
          <w:w w:val="105"/>
          <w:sz w:val="18"/>
        </w:rPr>
        <w:t>which</w:t>
      </w:r>
      <w:r>
        <w:rPr>
          <w:spacing w:val="-8"/>
          <w:w w:val="105"/>
          <w:sz w:val="18"/>
        </w:rPr>
        <w:t> </w:t>
      </w:r>
      <w:r>
        <w:rPr>
          <w:w w:val="105"/>
          <w:sz w:val="18"/>
        </w:rPr>
        <w:t>had helped</w:t>
      </w:r>
      <w:r>
        <w:rPr>
          <w:spacing w:val="-9"/>
          <w:w w:val="105"/>
          <w:sz w:val="18"/>
        </w:rPr>
        <w:t> </w:t>
      </w:r>
      <w:r>
        <w:rPr>
          <w:w w:val="105"/>
          <w:sz w:val="18"/>
        </w:rPr>
        <w:t>to</w:t>
      </w:r>
      <w:r>
        <w:rPr>
          <w:spacing w:val="-8"/>
          <w:w w:val="105"/>
          <w:sz w:val="18"/>
        </w:rPr>
        <w:t> </w:t>
      </w:r>
      <w:r>
        <w:rPr>
          <w:w w:val="105"/>
          <w:sz w:val="18"/>
        </w:rPr>
        <w:t>flush</w:t>
      </w:r>
      <w:r>
        <w:rPr>
          <w:spacing w:val="-8"/>
          <w:w w:val="105"/>
          <w:sz w:val="18"/>
        </w:rPr>
        <w:t> </w:t>
      </w:r>
      <w:r>
        <w:rPr>
          <w:w w:val="105"/>
          <w:sz w:val="18"/>
        </w:rPr>
        <w:t>out</w:t>
      </w:r>
      <w:r>
        <w:rPr>
          <w:spacing w:val="-5"/>
          <w:w w:val="105"/>
          <w:sz w:val="18"/>
        </w:rPr>
        <w:t> </w:t>
      </w:r>
      <w:r>
        <w:rPr>
          <w:w w:val="105"/>
          <w:sz w:val="18"/>
        </w:rPr>
        <w:t>initial</w:t>
      </w:r>
      <w:r>
        <w:rPr>
          <w:spacing w:val="-8"/>
          <w:w w:val="105"/>
          <w:sz w:val="18"/>
        </w:rPr>
        <w:t> </w:t>
      </w:r>
      <w:r>
        <w:rPr>
          <w:w w:val="105"/>
          <w:sz w:val="18"/>
        </w:rPr>
        <w:t>pros</w:t>
      </w:r>
      <w:r>
        <w:rPr>
          <w:spacing w:val="-7"/>
          <w:w w:val="105"/>
          <w:sz w:val="18"/>
        </w:rPr>
        <w:t> </w:t>
      </w:r>
      <w:r>
        <w:rPr>
          <w:w w:val="105"/>
          <w:sz w:val="18"/>
        </w:rPr>
        <w:t>and</w:t>
      </w:r>
      <w:r>
        <w:rPr>
          <w:spacing w:val="-4"/>
          <w:w w:val="105"/>
          <w:sz w:val="18"/>
        </w:rPr>
        <w:t> </w:t>
      </w:r>
      <w:r>
        <w:rPr>
          <w:w w:val="105"/>
          <w:sz w:val="18"/>
        </w:rPr>
        <w:t>cons</w:t>
      </w:r>
      <w:r>
        <w:rPr>
          <w:spacing w:val="-9"/>
          <w:w w:val="105"/>
          <w:sz w:val="18"/>
        </w:rPr>
        <w:t> </w:t>
      </w:r>
      <w:r>
        <w:rPr>
          <w:w w:val="105"/>
          <w:sz w:val="18"/>
        </w:rPr>
        <w:t>associated</w:t>
      </w:r>
      <w:r>
        <w:rPr>
          <w:spacing w:val="-9"/>
          <w:w w:val="105"/>
          <w:sz w:val="18"/>
        </w:rPr>
        <w:t> </w:t>
      </w:r>
      <w:r>
        <w:rPr>
          <w:w w:val="105"/>
          <w:sz w:val="18"/>
        </w:rPr>
        <w:t>with</w:t>
      </w:r>
      <w:r>
        <w:rPr>
          <w:spacing w:val="-8"/>
          <w:w w:val="105"/>
          <w:sz w:val="18"/>
        </w:rPr>
        <w:t> </w:t>
      </w:r>
      <w:r>
        <w:rPr>
          <w:w w:val="105"/>
          <w:sz w:val="18"/>
        </w:rPr>
        <w:t>different</w:t>
      </w:r>
      <w:r>
        <w:rPr>
          <w:spacing w:val="-5"/>
          <w:w w:val="105"/>
          <w:sz w:val="18"/>
        </w:rPr>
        <w:t> </w:t>
      </w:r>
      <w:r>
        <w:rPr>
          <w:w w:val="105"/>
          <w:sz w:val="18"/>
        </w:rPr>
        <w:t>operational</w:t>
      </w:r>
      <w:r>
        <w:rPr>
          <w:spacing w:val="-11"/>
          <w:w w:val="105"/>
          <w:sz w:val="18"/>
        </w:rPr>
        <w:t> </w:t>
      </w:r>
      <w:r>
        <w:rPr>
          <w:w w:val="105"/>
          <w:sz w:val="18"/>
        </w:rPr>
        <w:t>models.</w:t>
      </w:r>
      <w:r>
        <w:rPr>
          <w:spacing w:val="37"/>
          <w:w w:val="105"/>
          <w:sz w:val="18"/>
        </w:rPr>
        <w:t> </w:t>
      </w:r>
      <w:r>
        <w:rPr>
          <w:w w:val="105"/>
          <w:sz w:val="18"/>
        </w:rPr>
        <w:t>It was noted, however, that the models under consideration would need to be analysed alongside aggregated operational and financial data received from ISG participants before their full feasibility could be established. It was agreed that this should be the next</w:t>
      </w:r>
      <w:r>
        <w:rPr>
          <w:spacing w:val="-6"/>
          <w:w w:val="105"/>
          <w:sz w:val="18"/>
        </w:rPr>
        <w:t> </w:t>
      </w:r>
      <w:r>
        <w:rPr>
          <w:w w:val="105"/>
          <w:sz w:val="18"/>
        </w:rPr>
        <w:t>stage</w:t>
      </w:r>
      <w:r>
        <w:rPr>
          <w:spacing w:val="-5"/>
          <w:w w:val="105"/>
          <w:sz w:val="18"/>
        </w:rPr>
        <w:t> </w:t>
      </w:r>
      <w:r>
        <w:rPr>
          <w:w w:val="105"/>
          <w:sz w:val="18"/>
        </w:rPr>
        <w:t>of</w:t>
      </w:r>
      <w:r>
        <w:rPr>
          <w:spacing w:val="-2"/>
          <w:w w:val="105"/>
          <w:sz w:val="18"/>
        </w:rPr>
        <w:t> </w:t>
      </w:r>
      <w:r>
        <w:rPr>
          <w:w w:val="105"/>
          <w:sz w:val="18"/>
        </w:rPr>
        <w:t>the</w:t>
      </w:r>
      <w:r>
        <w:rPr>
          <w:spacing w:val="-5"/>
          <w:w w:val="105"/>
          <w:sz w:val="18"/>
        </w:rPr>
        <w:t> </w:t>
      </w:r>
      <w:r>
        <w:rPr>
          <w:w w:val="105"/>
          <w:sz w:val="18"/>
        </w:rPr>
        <w:t>work,</w:t>
      </w:r>
      <w:r>
        <w:rPr>
          <w:spacing w:val="-2"/>
          <w:w w:val="105"/>
          <w:sz w:val="18"/>
        </w:rPr>
        <w:t> </w:t>
      </w:r>
      <w:r>
        <w:rPr>
          <w:w w:val="105"/>
          <w:sz w:val="18"/>
        </w:rPr>
        <w:t>with</w:t>
      </w:r>
      <w:r>
        <w:rPr>
          <w:spacing w:val="-3"/>
          <w:w w:val="105"/>
          <w:sz w:val="18"/>
        </w:rPr>
        <w:t> </w:t>
      </w:r>
      <w:r>
        <w:rPr>
          <w:w w:val="105"/>
          <w:sz w:val="18"/>
        </w:rPr>
        <w:t>initial</w:t>
      </w:r>
      <w:r>
        <w:rPr>
          <w:spacing w:val="-5"/>
          <w:w w:val="105"/>
          <w:sz w:val="18"/>
        </w:rPr>
        <w:t> </w:t>
      </w:r>
      <w:r>
        <w:rPr>
          <w:w w:val="105"/>
          <w:sz w:val="18"/>
        </w:rPr>
        <w:t>results</w:t>
      </w:r>
      <w:r>
        <w:rPr>
          <w:spacing w:val="-4"/>
          <w:w w:val="105"/>
          <w:sz w:val="18"/>
        </w:rPr>
        <w:t> </w:t>
      </w:r>
      <w:r>
        <w:rPr>
          <w:w w:val="105"/>
          <w:sz w:val="18"/>
        </w:rPr>
        <w:t>presented</w:t>
      </w:r>
      <w:r>
        <w:rPr>
          <w:spacing w:val="-6"/>
          <w:w w:val="105"/>
          <w:sz w:val="18"/>
        </w:rPr>
        <w:t> </w:t>
      </w:r>
      <w:r>
        <w:rPr>
          <w:w w:val="105"/>
          <w:sz w:val="18"/>
        </w:rPr>
        <w:t>to</w:t>
      </w:r>
      <w:r>
        <w:rPr>
          <w:spacing w:val="-2"/>
          <w:w w:val="105"/>
          <w:sz w:val="18"/>
        </w:rPr>
        <w:t> </w:t>
      </w:r>
      <w:r>
        <w:rPr>
          <w:w w:val="105"/>
          <w:sz w:val="18"/>
        </w:rPr>
        <w:t>December’s</w:t>
      </w:r>
      <w:r>
        <w:rPr>
          <w:spacing w:val="-9"/>
          <w:w w:val="105"/>
          <w:sz w:val="18"/>
        </w:rPr>
        <w:t> </w:t>
      </w:r>
      <w:r>
        <w:rPr>
          <w:w w:val="105"/>
          <w:sz w:val="18"/>
        </w:rPr>
        <w:t>WDSG</w:t>
      </w:r>
      <w:r>
        <w:rPr>
          <w:spacing w:val="-2"/>
          <w:w w:val="105"/>
          <w:sz w:val="18"/>
        </w:rPr>
        <w:t> </w:t>
      </w:r>
      <w:r>
        <w:rPr>
          <w:w w:val="105"/>
          <w:sz w:val="18"/>
        </w:rPr>
        <w:t>meeting.</w:t>
      </w:r>
    </w:p>
    <w:p>
      <w:pPr>
        <w:pStyle w:val="BodyText"/>
        <w:spacing w:before="5"/>
        <w:rPr>
          <w:sz w:val="19"/>
        </w:rPr>
      </w:pPr>
    </w:p>
    <w:p>
      <w:pPr>
        <w:pStyle w:val="ListParagraph"/>
        <w:numPr>
          <w:ilvl w:val="0"/>
          <w:numId w:val="2"/>
        </w:numPr>
        <w:tabs>
          <w:tab w:pos="1792" w:val="left" w:leader="none"/>
        </w:tabs>
        <w:spacing w:line="240" w:lineRule="auto" w:before="0" w:after="0"/>
        <w:ind w:left="1791" w:right="0" w:hanging="339"/>
        <w:jc w:val="left"/>
        <w:rPr>
          <w:sz w:val="18"/>
        </w:rPr>
      </w:pPr>
      <w:r>
        <w:rPr>
          <w:w w:val="105"/>
          <w:sz w:val="18"/>
        </w:rPr>
        <w:t>Bilateral stakeholder engagement continues alongside ISG discussions.</w:t>
      </w:r>
    </w:p>
    <w:p>
      <w:pPr>
        <w:pStyle w:val="BodyText"/>
        <w:rPr>
          <w:sz w:val="20"/>
        </w:rPr>
      </w:pPr>
    </w:p>
    <w:p>
      <w:pPr>
        <w:pStyle w:val="BodyText"/>
        <w:spacing w:before="5"/>
        <w:rPr>
          <w:sz w:val="28"/>
        </w:rPr>
      </w:pPr>
    </w:p>
    <w:p>
      <w:pPr>
        <w:pStyle w:val="Heading1"/>
        <w:numPr>
          <w:ilvl w:val="0"/>
          <w:numId w:val="3"/>
        </w:numPr>
        <w:tabs>
          <w:tab w:pos="1115" w:val="left" w:leader="none"/>
          <w:tab w:pos="1116" w:val="left" w:leader="none"/>
        </w:tabs>
        <w:spacing w:line="240" w:lineRule="auto" w:before="100" w:after="0"/>
        <w:ind w:left="1115" w:right="0" w:hanging="901"/>
        <w:jc w:val="left"/>
      </w:pPr>
      <w:r>
        <w:rPr>
          <w:w w:val="105"/>
        </w:rPr>
        <w:t>Industry forum at Bank of England on 18 Nov</w:t>
      </w:r>
      <w:r>
        <w:rPr>
          <w:spacing w:val="-8"/>
          <w:w w:val="105"/>
        </w:rPr>
        <w:t> </w:t>
      </w:r>
      <w:r>
        <w:rPr>
          <w:w w:val="105"/>
        </w:rPr>
        <w:t>2019</w:t>
      </w:r>
    </w:p>
    <w:p>
      <w:pPr>
        <w:pStyle w:val="BodyText"/>
        <w:spacing w:before="6"/>
        <w:rPr>
          <w:b/>
          <w:sz w:val="19"/>
        </w:rPr>
      </w:pPr>
    </w:p>
    <w:p>
      <w:pPr>
        <w:pStyle w:val="BodyText"/>
        <w:spacing w:before="1"/>
        <w:ind w:left="1115"/>
      </w:pPr>
      <w:r>
        <w:rPr>
          <w:w w:val="105"/>
        </w:rPr>
        <w:t>Members reviewed plans for the forum event.</w:t>
      </w:r>
    </w:p>
    <w:p>
      <w:pPr>
        <w:pStyle w:val="BodyText"/>
        <w:spacing w:before="6"/>
        <w:rPr>
          <w:sz w:val="19"/>
        </w:rPr>
      </w:pPr>
    </w:p>
    <w:p>
      <w:pPr>
        <w:pStyle w:val="BodyText"/>
        <w:spacing w:line="249" w:lineRule="auto"/>
        <w:ind w:left="1115" w:right="1654"/>
      </w:pPr>
      <w:r>
        <w:rPr>
          <w:w w:val="105"/>
        </w:rPr>
        <w:t>Members agreed that in the interest of transparency, the indicative success criteria would be presented.</w:t>
      </w:r>
    </w:p>
    <w:p>
      <w:pPr>
        <w:pStyle w:val="BodyText"/>
        <w:spacing w:before="1"/>
        <w:rPr>
          <w:sz w:val="19"/>
        </w:rPr>
      </w:pPr>
    </w:p>
    <w:p>
      <w:pPr>
        <w:pStyle w:val="BodyText"/>
        <w:spacing w:line="249" w:lineRule="auto" w:before="1"/>
        <w:ind w:left="1115" w:right="1800"/>
      </w:pPr>
      <w:r>
        <w:rPr>
          <w:w w:val="105"/>
        </w:rPr>
        <w:t>Members agreed the slide decks should highlight that the overall objective of the work is to support ongoing access to cash.</w:t>
      </w:r>
    </w:p>
    <w:p>
      <w:pPr>
        <w:pStyle w:val="BodyText"/>
        <w:spacing w:before="7"/>
      </w:pPr>
    </w:p>
    <w:p>
      <w:pPr>
        <w:pStyle w:val="BodyText"/>
        <w:spacing w:line="254" w:lineRule="auto" w:before="1"/>
        <w:ind w:left="1115" w:right="1654"/>
      </w:pPr>
      <w:r>
        <w:rPr>
          <w:w w:val="105"/>
        </w:rPr>
        <w:t>Members agreed that it was important for the Forum to be a joint presentation from the Bank and industry.</w:t>
      </w:r>
    </w:p>
    <w:p>
      <w:pPr>
        <w:pStyle w:val="BodyText"/>
        <w:rPr>
          <w:sz w:val="20"/>
        </w:rPr>
      </w:pPr>
    </w:p>
    <w:p>
      <w:pPr>
        <w:pStyle w:val="BodyText"/>
        <w:rPr>
          <w:sz w:val="20"/>
        </w:rPr>
      </w:pPr>
    </w:p>
    <w:p>
      <w:pPr>
        <w:pStyle w:val="BodyText"/>
        <w:spacing w:before="11"/>
        <w:rPr>
          <w:sz w:val="15"/>
        </w:rPr>
      </w:pPr>
    </w:p>
    <w:p>
      <w:pPr>
        <w:pStyle w:val="Heading1"/>
        <w:numPr>
          <w:ilvl w:val="0"/>
          <w:numId w:val="3"/>
        </w:numPr>
        <w:tabs>
          <w:tab w:pos="1115" w:val="left" w:leader="none"/>
          <w:tab w:pos="1116" w:val="left" w:leader="none"/>
        </w:tabs>
        <w:spacing w:line="240" w:lineRule="auto" w:before="0" w:after="0"/>
        <w:ind w:left="1115" w:right="0" w:hanging="901"/>
        <w:jc w:val="left"/>
      </w:pPr>
      <w:r>
        <w:rPr>
          <w:w w:val="105"/>
        </w:rPr>
        <w:t>Review outstanding</w:t>
      </w:r>
      <w:r>
        <w:rPr>
          <w:spacing w:val="6"/>
          <w:w w:val="105"/>
        </w:rPr>
        <w:t> </w:t>
      </w:r>
      <w:r>
        <w:rPr>
          <w:w w:val="105"/>
        </w:rPr>
        <w:t>actions</w:t>
      </w:r>
    </w:p>
    <w:p>
      <w:pPr>
        <w:pStyle w:val="BodyText"/>
        <w:spacing w:before="6"/>
        <w:rPr>
          <w:b/>
          <w:sz w:val="19"/>
        </w:rPr>
      </w:pPr>
    </w:p>
    <w:p>
      <w:pPr>
        <w:pStyle w:val="BodyText"/>
        <w:ind w:left="1115"/>
      </w:pPr>
      <w:r>
        <w:rPr>
          <w:w w:val="105"/>
        </w:rPr>
        <w:t>Actions were reviewed and closed where applicable.</w:t>
      </w:r>
    </w:p>
    <w:p>
      <w:pPr>
        <w:pStyle w:val="BodyText"/>
        <w:rPr>
          <w:sz w:val="20"/>
        </w:rPr>
      </w:pPr>
    </w:p>
    <w:p>
      <w:pPr>
        <w:pStyle w:val="BodyText"/>
        <w:rPr>
          <w:sz w:val="20"/>
        </w:rPr>
      </w:pPr>
    </w:p>
    <w:p>
      <w:pPr>
        <w:pStyle w:val="BodyText"/>
        <w:spacing w:before="2"/>
        <w:rPr>
          <w:sz w:val="17"/>
        </w:rPr>
      </w:pPr>
    </w:p>
    <w:p>
      <w:pPr>
        <w:pStyle w:val="Heading1"/>
        <w:numPr>
          <w:ilvl w:val="0"/>
          <w:numId w:val="3"/>
        </w:numPr>
        <w:tabs>
          <w:tab w:pos="1115" w:val="left" w:leader="none"/>
          <w:tab w:pos="1116" w:val="left" w:leader="none"/>
        </w:tabs>
        <w:spacing w:line="240" w:lineRule="auto" w:before="0" w:after="0"/>
        <w:ind w:left="1115" w:right="0" w:hanging="901"/>
        <w:jc w:val="left"/>
      </w:pPr>
      <w:r>
        <w:rPr>
          <w:w w:val="105"/>
        </w:rPr>
        <w:t>AOB</w:t>
      </w:r>
    </w:p>
    <w:p>
      <w:pPr>
        <w:pStyle w:val="BodyText"/>
        <w:spacing w:before="9"/>
        <w:rPr>
          <w:b/>
          <w:sz w:val="19"/>
        </w:rPr>
      </w:pPr>
    </w:p>
    <w:p>
      <w:pPr>
        <w:pStyle w:val="BodyText"/>
        <w:ind w:left="1115"/>
        <w:rPr>
          <w:i/>
        </w:rPr>
      </w:pPr>
      <w:r>
        <w:rPr>
          <w:w w:val="105"/>
        </w:rPr>
        <w:t>None</w:t>
      </w:r>
      <w:r>
        <w:rPr>
          <w:i/>
          <w:w w:val="105"/>
        </w:rPr>
        <w:t>.</w:t>
      </w:r>
    </w:p>
    <w:sectPr>
      <w:pgSz w:w="12240" w:h="15840"/>
      <w:pgMar w:top="460" w:bottom="280" w:left="8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3"/>
      <w:numFmt w:val="decimal"/>
      <w:lvlText w:val="%1."/>
      <w:lvlJc w:val="left"/>
      <w:pPr>
        <w:ind w:left="1115" w:hanging="900"/>
        <w:jc w:val="left"/>
      </w:pPr>
      <w:rPr>
        <w:rFonts w:hint="default" w:ascii="Arial" w:hAnsi="Arial" w:eastAsia="Arial" w:cs="Arial"/>
        <w:b/>
        <w:bCs/>
        <w:spacing w:val="-2"/>
        <w:w w:val="103"/>
        <w:sz w:val="18"/>
        <w:szCs w:val="18"/>
      </w:rPr>
    </w:lvl>
    <w:lvl w:ilvl="1">
      <w:start w:val="0"/>
      <w:numFmt w:val="bullet"/>
      <w:lvlText w:val="•"/>
      <w:lvlJc w:val="left"/>
      <w:pPr>
        <w:ind w:left="2058" w:hanging="900"/>
      </w:pPr>
      <w:rPr>
        <w:rFonts w:hint="default"/>
      </w:rPr>
    </w:lvl>
    <w:lvl w:ilvl="2">
      <w:start w:val="0"/>
      <w:numFmt w:val="bullet"/>
      <w:lvlText w:val="•"/>
      <w:lvlJc w:val="left"/>
      <w:pPr>
        <w:ind w:left="2996" w:hanging="900"/>
      </w:pPr>
      <w:rPr>
        <w:rFonts w:hint="default"/>
      </w:rPr>
    </w:lvl>
    <w:lvl w:ilvl="3">
      <w:start w:val="0"/>
      <w:numFmt w:val="bullet"/>
      <w:lvlText w:val="•"/>
      <w:lvlJc w:val="left"/>
      <w:pPr>
        <w:ind w:left="3934" w:hanging="900"/>
      </w:pPr>
      <w:rPr>
        <w:rFonts w:hint="default"/>
      </w:rPr>
    </w:lvl>
    <w:lvl w:ilvl="4">
      <w:start w:val="0"/>
      <w:numFmt w:val="bullet"/>
      <w:lvlText w:val="•"/>
      <w:lvlJc w:val="left"/>
      <w:pPr>
        <w:ind w:left="4872" w:hanging="900"/>
      </w:pPr>
      <w:rPr>
        <w:rFonts w:hint="default"/>
      </w:rPr>
    </w:lvl>
    <w:lvl w:ilvl="5">
      <w:start w:val="0"/>
      <w:numFmt w:val="bullet"/>
      <w:lvlText w:val="•"/>
      <w:lvlJc w:val="left"/>
      <w:pPr>
        <w:ind w:left="5810" w:hanging="900"/>
      </w:pPr>
      <w:rPr>
        <w:rFonts w:hint="default"/>
      </w:rPr>
    </w:lvl>
    <w:lvl w:ilvl="6">
      <w:start w:val="0"/>
      <w:numFmt w:val="bullet"/>
      <w:lvlText w:val="•"/>
      <w:lvlJc w:val="left"/>
      <w:pPr>
        <w:ind w:left="6748" w:hanging="900"/>
      </w:pPr>
      <w:rPr>
        <w:rFonts w:hint="default"/>
      </w:rPr>
    </w:lvl>
    <w:lvl w:ilvl="7">
      <w:start w:val="0"/>
      <w:numFmt w:val="bullet"/>
      <w:lvlText w:val="•"/>
      <w:lvlJc w:val="left"/>
      <w:pPr>
        <w:ind w:left="7686" w:hanging="900"/>
      </w:pPr>
      <w:rPr>
        <w:rFonts w:hint="default"/>
      </w:rPr>
    </w:lvl>
    <w:lvl w:ilvl="8">
      <w:start w:val="0"/>
      <w:numFmt w:val="bullet"/>
      <w:lvlText w:val="•"/>
      <w:lvlJc w:val="left"/>
      <w:pPr>
        <w:ind w:left="8624" w:hanging="900"/>
      </w:pPr>
      <w:rPr>
        <w:rFonts w:hint="default"/>
      </w:rPr>
    </w:lvl>
  </w:abstractNum>
  <w:abstractNum w:abstractNumId="1">
    <w:multiLevelType w:val="hybridMultilevel"/>
    <w:lvl w:ilvl="0">
      <w:start w:val="1"/>
      <w:numFmt w:val="decimal"/>
      <w:lvlText w:val="%1."/>
      <w:lvlJc w:val="left"/>
      <w:pPr>
        <w:ind w:left="1792" w:hanging="339"/>
        <w:jc w:val="left"/>
      </w:pPr>
      <w:rPr>
        <w:rFonts w:hint="default" w:ascii="Arial" w:hAnsi="Arial" w:eastAsia="Arial" w:cs="Arial"/>
        <w:spacing w:val="0"/>
        <w:w w:val="103"/>
        <w:sz w:val="18"/>
        <w:szCs w:val="18"/>
      </w:rPr>
    </w:lvl>
    <w:lvl w:ilvl="1">
      <w:start w:val="0"/>
      <w:numFmt w:val="bullet"/>
      <w:lvlText w:val="•"/>
      <w:lvlJc w:val="left"/>
      <w:pPr>
        <w:ind w:left="2670" w:hanging="339"/>
      </w:pPr>
      <w:rPr>
        <w:rFonts w:hint="default"/>
      </w:rPr>
    </w:lvl>
    <w:lvl w:ilvl="2">
      <w:start w:val="0"/>
      <w:numFmt w:val="bullet"/>
      <w:lvlText w:val="•"/>
      <w:lvlJc w:val="left"/>
      <w:pPr>
        <w:ind w:left="3540" w:hanging="339"/>
      </w:pPr>
      <w:rPr>
        <w:rFonts w:hint="default"/>
      </w:rPr>
    </w:lvl>
    <w:lvl w:ilvl="3">
      <w:start w:val="0"/>
      <w:numFmt w:val="bullet"/>
      <w:lvlText w:val="•"/>
      <w:lvlJc w:val="left"/>
      <w:pPr>
        <w:ind w:left="4410" w:hanging="339"/>
      </w:pPr>
      <w:rPr>
        <w:rFonts w:hint="default"/>
      </w:rPr>
    </w:lvl>
    <w:lvl w:ilvl="4">
      <w:start w:val="0"/>
      <w:numFmt w:val="bullet"/>
      <w:lvlText w:val="•"/>
      <w:lvlJc w:val="left"/>
      <w:pPr>
        <w:ind w:left="5280" w:hanging="339"/>
      </w:pPr>
      <w:rPr>
        <w:rFonts w:hint="default"/>
      </w:rPr>
    </w:lvl>
    <w:lvl w:ilvl="5">
      <w:start w:val="0"/>
      <w:numFmt w:val="bullet"/>
      <w:lvlText w:val="•"/>
      <w:lvlJc w:val="left"/>
      <w:pPr>
        <w:ind w:left="6150" w:hanging="339"/>
      </w:pPr>
      <w:rPr>
        <w:rFonts w:hint="default"/>
      </w:rPr>
    </w:lvl>
    <w:lvl w:ilvl="6">
      <w:start w:val="0"/>
      <w:numFmt w:val="bullet"/>
      <w:lvlText w:val="•"/>
      <w:lvlJc w:val="left"/>
      <w:pPr>
        <w:ind w:left="7020" w:hanging="339"/>
      </w:pPr>
      <w:rPr>
        <w:rFonts w:hint="default"/>
      </w:rPr>
    </w:lvl>
    <w:lvl w:ilvl="7">
      <w:start w:val="0"/>
      <w:numFmt w:val="bullet"/>
      <w:lvlText w:val="•"/>
      <w:lvlJc w:val="left"/>
      <w:pPr>
        <w:ind w:left="7890" w:hanging="339"/>
      </w:pPr>
      <w:rPr>
        <w:rFonts w:hint="default"/>
      </w:rPr>
    </w:lvl>
    <w:lvl w:ilvl="8">
      <w:start w:val="0"/>
      <w:numFmt w:val="bullet"/>
      <w:lvlText w:val="•"/>
      <w:lvlJc w:val="left"/>
      <w:pPr>
        <w:ind w:left="8760" w:hanging="339"/>
      </w:pPr>
      <w:rPr>
        <w:rFonts w:hint="default"/>
      </w:rPr>
    </w:lvl>
  </w:abstractNum>
  <w:abstractNum w:abstractNumId="0">
    <w:multiLevelType w:val="hybridMultilevel"/>
    <w:lvl w:ilvl="0">
      <w:start w:val="1"/>
      <w:numFmt w:val="decimal"/>
      <w:lvlText w:val="%1."/>
      <w:lvlJc w:val="left"/>
      <w:pPr>
        <w:ind w:left="1115" w:hanging="900"/>
        <w:jc w:val="left"/>
      </w:pPr>
      <w:rPr>
        <w:rFonts w:hint="default" w:ascii="Arial" w:hAnsi="Arial" w:eastAsia="Arial" w:cs="Arial"/>
        <w:b/>
        <w:bCs/>
        <w:spacing w:val="-1"/>
        <w:w w:val="103"/>
        <w:sz w:val="18"/>
        <w:szCs w:val="18"/>
      </w:rPr>
    </w:lvl>
    <w:lvl w:ilvl="1">
      <w:start w:val="0"/>
      <w:numFmt w:val="bullet"/>
      <w:lvlText w:val="-"/>
      <w:lvlJc w:val="left"/>
      <w:pPr>
        <w:ind w:left="1446" w:hanging="339"/>
      </w:pPr>
      <w:rPr>
        <w:rFonts w:hint="default" w:ascii="Arial" w:hAnsi="Arial" w:eastAsia="Arial" w:cs="Arial"/>
        <w:w w:val="103"/>
        <w:sz w:val="18"/>
        <w:szCs w:val="18"/>
      </w:rPr>
    </w:lvl>
    <w:lvl w:ilvl="2">
      <w:start w:val="0"/>
      <w:numFmt w:val="bullet"/>
      <w:lvlText w:val="•"/>
      <w:lvlJc w:val="left"/>
      <w:pPr>
        <w:ind w:left="2446" w:hanging="339"/>
      </w:pPr>
      <w:rPr>
        <w:rFonts w:hint="default"/>
      </w:rPr>
    </w:lvl>
    <w:lvl w:ilvl="3">
      <w:start w:val="0"/>
      <w:numFmt w:val="bullet"/>
      <w:lvlText w:val="•"/>
      <w:lvlJc w:val="left"/>
      <w:pPr>
        <w:ind w:left="3453" w:hanging="339"/>
      </w:pPr>
      <w:rPr>
        <w:rFonts w:hint="default"/>
      </w:rPr>
    </w:lvl>
    <w:lvl w:ilvl="4">
      <w:start w:val="0"/>
      <w:numFmt w:val="bullet"/>
      <w:lvlText w:val="•"/>
      <w:lvlJc w:val="left"/>
      <w:pPr>
        <w:ind w:left="4460" w:hanging="339"/>
      </w:pPr>
      <w:rPr>
        <w:rFonts w:hint="default"/>
      </w:rPr>
    </w:lvl>
    <w:lvl w:ilvl="5">
      <w:start w:val="0"/>
      <w:numFmt w:val="bullet"/>
      <w:lvlText w:val="•"/>
      <w:lvlJc w:val="left"/>
      <w:pPr>
        <w:ind w:left="5466" w:hanging="339"/>
      </w:pPr>
      <w:rPr>
        <w:rFonts w:hint="default"/>
      </w:rPr>
    </w:lvl>
    <w:lvl w:ilvl="6">
      <w:start w:val="0"/>
      <w:numFmt w:val="bullet"/>
      <w:lvlText w:val="•"/>
      <w:lvlJc w:val="left"/>
      <w:pPr>
        <w:ind w:left="6473" w:hanging="339"/>
      </w:pPr>
      <w:rPr>
        <w:rFonts w:hint="default"/>
      </w:rPr>
    </w:lvl>
    <w:lvl w:ilvl="7">
      <w:start w:val="0"/>
      <w:numFmt w:val="bullet"/>
      <w:lvlText w:val="•"/>
      <w:lvlJc w:val="left"/>
      <w:pPr>
        <w:ind w:left="7480" w:hanging="339"/>
      </w:pPr>
      <w:rPr>
        <w:rFonts w:hint="default"/>
      </w:rPr>
    </w:lvl>
    <w:lvl w:ilvl="8">
      <w:start w:val="0"/>
      <w:numFmt w:val="bullet"/>
      <w:lvlText w:val="•"/>
      <w:lvlJc w:val="left"/>
      <w:pPr>
        <w:ind w:left="8486" w:hanging="339"/>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ind w:left="1115" w:hanging="901"/>
      <w:outlineLvl w:val="1"/>
    </w:pPr>
    <w:rPr>
      <w:rFonts w:ascii="Arial" w:hAnsi="Arial" w:eastAsia="Arial" w:cs="Arial"/>
      <w:b/>
      <w:bCs/>
      <w:sz w:val="18"/>
      <w:szCs w:val="18"/>
    </w:rPr>
  </w:style>
  <w:style w:styleId="ListParagraph" w:type="paragraph">
    <w:name w:val="List Paragraph"/>
    <w:basedOn w:val="Normal"/>
    <w:uiPriority w:val="1"/>
    <w:qFormat/>
    <w:pPr>
      <w:ind w:left="1115" w:hanging="90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650721</dc:creator>
  <dc:title>Microsoft Word - 10976940_2</dc:title>
  <dcterms:created xsi:type="dcterms:W3CDTF">2020-06-01T02:22:05Z</dcterms:created>
  <dcterms:modified xsi:type="dcterms:W3CDTF">2020-06-01T02:22:05Z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2019-12-17T00:00:00Z</vt:filetime>
  </property>
  <property fmtid="{D5CDD505-2E9C-101B-9397-08002B2CF9AE}" pid="3" name="LastSaved">
    <vt:filetime>2020-06-01T00:00:00Z</vt:filetime>
  </property>
</Properties>
</file>