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881" w:right="795"/>
        <w:jc w:val="center"/>
      </w:pPr>
      <w:r>
        <w:rPr/>
        <w:t>Minutes of the Meeting of the Working Group on Sterling Risk-Free Reference Rates Wednesday 2 November 2016</w:t>
      </w:r>
    </w:p>
    <w:p>
      <w:pPr>
        <w:spacing w:before="4"/>
        <w:ind w:left="880" w:right="795" w:firstLine="0"/>
        <w:jc w:val="center"/>
        <w:rPr>
          <w:b/>
          <w:sz w:val="20"/>
        </w:rPr>
      </w:pPr>
      <w:r>
        <w:rPr>
          <w:b/>
          <w:sz w:val="20"/>
        </w:rPr>
        <w:t>Barclays’ offices – Canary Wharf</w:t>
      </w:r>
    </w:p>
    <w:p>
      <w:pPr>
        <w:pStyle w:val="BodyText"/>
        <w:spacing w:before="11"/>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309" w:firstLine="0"/>
        <w:jc w:val="left"/>
        <w:rPr>
          <w:sz w:val="20"/>
        </w:rPr>
      </w:pPr>
      <w:r>
        <w:rPr>
          <w:sz w:val="20"/>
        </w:rPr>
        <w:t>The Chairman reminded all members of the Group of their responsibilities in relation to</w:t>
      </w:r>
      <w:r>
        <w:rPr>
          <w:spacing w:val="-27"/>
          <w:sz w:val="20"/>
        </w:rPr>
        <w:t> </w:t>
      </w:r>
      <w:r>
        <w:rPr>
          <w:sz w:val="20"/>
        </w:rPr>
        <w:t>compliance with competition law and the importance of taking their own independent competition law</w:t>
      </w:r>
      <w:r>
        <w:rPr>
          <w:spacing w:val="-22"/>
          <w:sz w:val="20"/>
        </w:rPr>
        <w:t> </w:t>
      </w:r>
      <w:r>
        <w:rPr>
          <w:sz w:val="20"/>
        </w:rPr>
        <w:t>advice.</w:t>
      </w:r>
    </w:p>
    <w:p>
      <w:pPr>
        <w:pStyle w:val="Heading1"/>
        <w:spacing w:before="116"/>
      </w:pPr>
      <w:r>
        <w:rPr/>
        <w:t>Minutes of previous meeting</w:t>
      </w:r>
    </w:p>
    <w:p>
      <w:pPr>
        <w:pStyle w:val="BodyText"/>
        <w:spacing w:before="8"/>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14 October were</w:t>
      </w:r>
      <w:r>
        <w:rPr>
          <w:spacing w:val="-5"/>
          <w:sz w:val="20"/>
        </w:rPr>
        <w:t> </w:t>
      </w:r>
      <w:r>
        <w:rPr>
          <w:sz w:val="20"/>
        </w:rPr>
        <w:t>approved.</w:t>
      </w:r>
    </w:p>
    <w:p>
      <w:pPr>
        <w:pStyle w:val="BodyText"/>
        <w:spacing w:before="3"/>
      </w:pPr>
    </w:p>
    <w:p>
      <w:pPr>
        <w:pStyle w:val="Heading1"/>
        <w:spacing w:before="1"/>
      </w:pPr>
      <w:r>
        <w:rPr/>
        <w:t>Update from potential secured benchmark providers</w:t>
      </w:r>
    </w:p>
    <w:p>
      <w:pPr>
        <w:pStyle w:val="BodyText"/>
        <w:spacing w:before="5"/>
        <w:rPr>
          <w:b/>
        </w:rPr>
      </w:pPr>
    </w:p>
    <w:p>
      <w:pPr>
        <w:pStyle w:val="ListParagraph"/>
        <w:numPr>
          <w:ilvl w:val="0"/>
          <w:numId w:val="1"/>
        </w:numPr>
        <w:tabs>
          <w:tab w:pos="627" w:val="left" w:leader="none"/>
          <w:tab w:pos="628" w:val="left" w:leader="none"/>
        </w:tabs>
        <w:spacing w:line="360" w:lineRule="auto" w:before="0" w:after="0"/>
        <w:ind w:left="200" w:right="252" w:firstLine="0"/>
        <w:jc w:val="left"/>
        <w:rPr>
          <w:sz w:val="20"/>
        </w:rPr>
      </w:pPr>
      <w:r>
        <w:rPr>
          <w:sz w:val="20"/>
        </w:rPr>
        <w:t>Representatives of the LSE Group and Euroclear UK &amp; Ireland presented information on their proposed Sterling Secured Overnight Executed Transactions (£ SONET) benchmark, which is expected to be launched in Q1 2017. The full presentation is available on the FTSE webpages.</w:t>
      </w:r>
      <w:r>
        <w:rPr>
          <w:sz w:val="20"/>
          <w:vertAlign w:val="superscript"/>
        </w:rPr>
        <w:t>1</w:t>
      </w:r>
      <w:r>
        <w:rPr>
          <w:sz w:val="20"/>
          <w:vertAlign w:val="baseline"/>
        </w:rPr>
        <w:t> The methodology of the benchmark was proposed as the volume weighted median of the interest rates</w:t>
      </w:r>
      <w:r>
        <w:rPr>
          <w:spacing w:val="-8"/>
          <w:sz w:val="20"/>
          <w:vertAlign w:val="baseline"/>
        </w:rPr>
        <w:t> </w:t>
      </w:r>
      <w:r>
        <w:rPr>
          <w:sz w:val="20"/>
          <w:vertAlign w:val="baseline"/>
        </w:rPr>
        <w:t>on:</w:t>
      </w:r>
    </w:p>
    <w:p>
      <w:pPr>
        <w:pStyle w:val="ListParagraph"/>
        <w:numPr>
          <w:ilvl w:val="1"/>
          <w:numId w:val="1"/>
        </w:numPr>
        <w:tabs>
          <w:tab w:pos="1193" w:val="left" w:leader="none"/>
          <w:tab w:pos="1194" w:val="left" w:leader="none"/>
        </w:tabs>
        <w:spacing w:line="240" w:lineRule="auto" w:before="122" w:after="0"/>
        <w:ind w:left="1194" w:right="0" w:hanging="360"/>
        <w:jc w:val="left"/>
        <w:rPr>
          <w:sz w:val="20"/>
        </w:rPr>
      </w:pPr>
      <w:r>
        <w:rPr>
          <w:sz w:val="20"/>
        </w:rPr>
        <w:t>Sterling wholesale repo transactions secured against UK government</w:t>
      </w:r>
      <w:r>
        <w:rPr>
          <w:spacing w:val="-1"/>
          <w:sz w:val="20"/>
        </w:rPr>
        <w:t> </w:t>
      </w:r>
      <w:r>
        <w:rPr>
          <w:sz w:val="20"/>
        </w:rPr>
        <w:t>securities;</w:t>
      </w:r>
    </w:p>
    <w:p>
      <w:pPr>
        <w:pStyle w:val="ListParagraph"/>
        <w:numPr>
          <w:ilvl w:val="1"/>
          <w:numId w:val="1"/>
        </w:numPr>
        <w:tabs>
          <w:tab w:pos="1193" w:val="left" w:leader="none"/>
          <w:tab w:pos="1194" w:val="left" w:leader="none"/>
        </w:tabs>
        <w:spacing w:line="240" w:lineRule="auto" w:before="115" w:after="0"/>
        <w:ind w:left="1194" w:right="0" w:hanging="360"/>
        <w:jc w:val="left"/>
        <w:rPr>
          <w:sz w:val="20"/>
        </w:rPr>
      </w:pPr>
      <w:r>
        <w:rPr>
          <w:sz w:val="20"/>
        </w:rPr>
        <w:t>With one business day</w:t>
      </w:r>
      <w:r>
        <w:rPr>
          <w:spacing w:val="-7"/>
          <w:sz w:val="20"/>
        </w:rPr>
        <w:t> </w:t>
      </w:r>
      <w:r>
        <w:rPr>
          <w:sz w:val="20"/>
        </w:rPr>
        <w:t>maturity;</w:t>
      </w:r>
    </w:p>
    <w:p>
      <w:pPr>
        <w:pStyle w:val="ListParagraph"/>
        <w:numPr>
          <w:ilvl w:val="1"/>
          <w:numId w:val="1"/>
        </w:numPr>
        <w:tabs>
          <w:tab w:pos="1193" w:val="left" w:leader="none"/>
          <w:tab w:pos="1194" w:val="left" w:leader="none"/>
        </w:tabs>
        <w:spacing w:line="240" w:lineRule="auto" w:before="112" w:after="0"/>
        <w:ind w:left="1194" w:right="0" w:hanging="360"/>
        <w:jc w:val="left"/>
        <w:rPr>
          <w:sz w:val="20"/>
        </w:rPr>
      </w:pPr>
      <w:r>
        <w:rPr>
          <w:sz w:val="20"/>
        </w:rPr>
        <w:t>Settled Overnight (T+0) or tom-next (T+1), but in all cases settled on the day used in</w:t>
      </w:r>
      <w:r>
        <w:rPr>
          <w:spacing w:val="-15"/>
          <w:sz w:val="20"/>
        </w:rPr>
        <w:t> </w:t>
      </w:r>
      <w:r>
        <w:rPr>
          <w:sz w:val="20"/>
        </w:rPr>
        <w:t>the</w:t>
      </w:r>
    </w:p>
    <w:p>
      <w:pPr>
        <w:pStyle w:val="BodyText"/>
        <w:spacing w:before="112"/>
        <w:ind w:left="1194"/>
      </w:pPr>
      <w:r>
        <w:rPr/>
        <w:t>£SONET index calculation;</w:t>
      </w:r>
    </w:p>
    <w:p>
      <w:pPr>
        <w:pStyle w:val="ListParagraph"/>
        <w:numPr>
          <w:ilvl w:val="1"/>
          <w:numId w:val="1"/>
        </w:numPr>
        <w:tabs>
          <w:tab w:pos="1193" w:val="left" w:leader="none"/>
          <w:tab w:pos="1194" w:val="left" w:leader="none"/>
        </w:tabs>
        <w:spacing w:line="240" w:lineRule="auto" w:before="117" w:after="0"/>
        <w:ind w:left="1194" w:right="0" w:hanging="360"/>
        <w:jc w:val="left"/>
        <w:rPr>
          <w:sz w:val="20"/>
        </w:rPr>
      </w:pPr>
      <w:r>
        <w:rPr>
          <w:sz w:val="20"/>
        </w:rPr>
        <w:t>Either cleared through LCH Repoclear, or uncleared and settled through CREST using</w:t>
      </w:r>
      <w:r>
        <w:rPr>
          <w:spacing w:val="-9"/>
          <w:sz w:val="20"/>
        </w:rPr>
        <w:t> </w:t>
      </w:r>
      <w:r>
        <w:rPr>
          <w:sz w:val="20"/>
        </w:rPr>
        <w:t>DBV;</w:t>
      </w:r>
    </w:p>
    <w:p>
      <w:pPr>
        <w:pStyle w:val="ListParagraph"/>
        <w:numPr>
          <w:ilvl w:val="1"/>
          <w:numId w:val="1"/>
        </w:numPr>
        <w:tabs>
          <w:tab w:pos="1193" w:val="left" w:leader="none"/>
          <w:tab w:pos="1194" w:val="left" w:leader="none"/>
        </w:tabs>
        <w:spacing w:line="240" w:lineRule="auto" w:before="115" w:after="0"/>
        <w:ind w:left="1194" w:right="0" w:hanging="360"/>
        <w:jc w:val="left"/>
        <w:rPr>
          <w:sz w:val="20"/>
        </w:rPr>
      </w:pPr>
      <w:r>
        <w:rPr>
          <w:sz w:val="20"/>
        </w:rPr>
        <w:t>Executed between 00:00 hours and 18:00 hours UK time;</w:t>
      </w:r>
      <w:r>
        <w:rPr>
          <w:spacing w:val="2"/>
          <w:sz w:val="20"/>
        </w:rPr>
        <w:t> </w:t>
      </w:r>
      <w:r>
        <w:rPr>
          <w:sz w:val="20"/>
        </w:rPr>
        <w:t>and</w:t>
      </w:r>
    </w:p>
    <w:p>
      <w:pPr>
        <w:pStyle w:val="ListParagraph"/>
        <w:numPr>
          <w:ilvl w:val="1"/>
          <w:numId w:val="1"/>
        </w:numPr>
        <w:tabs>
          <w:tab w:pos="1191" w:val="left" w:leader="none"/>
          <w:tab w:pos="1192" w:val="left" w:leader="none"/>
        </w:tabs>
        <w:spacing w:line="240" w:lineRule="auto" w:before="112" w:after="0"/>
        <w:ind w:left="1191" w:right="0" w:hanging="356"/>
        <w:jc w:val="left"/>
        <w:rPr>
          <w:sz w:val="20"/>
        </w:rPr>
      </w:pPr>
      <w:r>
        <w:rPr>
          <w:sz w:val="20"/>
        </w:rPr>
        <w:t>With no minimum transaction size.</w:t>
      </w:r>
    </w:p>
    <w:p>
      <w:pPr>
        <w:pStyle w:val="BodyText"/>
        <w:spacing w:before="2"/>
      </w:pPr>
    </w:p>
    <w:p>
      <w:pPr>
        <w:pStyle w:val="ListParagraph"/>
        <w:numPr>
          <w:ilvl w:val="0"/>
          <w:numId w:val="1"/>
        </w:numPr>
        <w:tabs>
          <w:tab w:pos="627" w:val="left" w:leader="none"/>
          <w:tab w:pos="628" w:val="left" w:leader="none"/>
        </w:tabs>
        <w:spacing w:line="360" w:lineRule="auto" w:before="0" w:after="0"/>
        <w:ind w:left="200" w:right="294" w:firstLine="0"/>
        <w:jc w:val="left"/>
        <w:rPr>
          <w:sz w:val="20"/>
        </w:rPr>
      </w:pPr>
      <w:r>
        <w:rPr>
          <w:sz w:val="20"/>
        </w:rPr>
        <w:t>During the period 1 July to 16 September, the proposed benchmark had captured an average daily transaction volume of £56bn, covering an estimated 70% of the gilt repo market. The remaining 30% of the market comprised uncleared gilt-specific repo settled through Euroclear, and triparty transactions. The presenters suggested that it may be possible to consider including uncleared gilt-specific repo transactions from 2017. Members stressed that such a change would need to be carefully signalled to users in advance, since the rate distribution for gilt-specific transactions may differ, with a resultant impact on the calculated</w:t>
      </w:r>
      <w:r>
        <w:rPr>
          <w:spacing w:val="-4"/>
          <w:sz w:val="20"/>
        </w:rPr>
        <w:t> </w:t>
      </w:r>
      <w:r>
        <w:rPr>
          <w:sz w:val="20"/>
        </w:rPr>
        <w:t>rate.</w:t>
      </w:r>
    </w:p>
    <w:p>
      <w:pPr>
        <w:pStyle w:val="ListParagraph"/>
        <w:numPr>
          <w:ilvl w:val="0"/>
          <w:numId w:val="1"/>
        </w:numPr>
        <w:tabs>
          <w:tab w:pos="627" w:val="left" w:leader="none"/>
          <w:tab w:pos="628" w:val="left" w:leader="none"/>
        </w:tabs>
        <w:spacing w:line="360" w:lineRule="auto" w:before="120" w:after="0"/>
        <w:ind w:left="200" w:right="163" w:firstLine="0"/>
        <w:jc w:val="left"/>
        <w:rPr>
          <w:sz w:val="20"/>
        </w:rPr>
      </w:pPr>
      <w:r>
        <w:rPr>
          <w:sz w:val="20"/>
        </w:rPr>
        <w:t>There was some discussion of whether the median rate was the appropriate averaging methodology for a secured rate which includes both gilt-specific repo and general collateral repo. The ‘specialness’ of some gilt-specific repo transactions tended to negatively skew the distribution of transacted rates. The Group had previously discussed how different calculation methodologies could be used to counter this effect, while maintaining high and robust</w:t>
      </w:r>
      <w:r>
        <w:rPr>
          <w:spacing w:val="-3"/>
          <w:sz w:val="20"/>
        </w:rPr>
        <w:t> </w:t>
      </w:r>
      <w:r>
        <w:rPr>
          <w:sz w:val="20"/>
        </w:rPr>
        <w:t>volumes.</w:t>
      </w:r>
      <w:r>
        <w:rPr>
          <w:sz w:val="20"/>
          <w:vertAlign w:val="superscript"/>
        </w:rPr>
        <w:t>2</w:t>
      </w:r>
    </w:p>
    <w:p>
      <w:pPr>
        <w:pStyle w:val="ListParagraph"/>
        <w:numPr>
          <w:ilvl w:val="0"/>
          <w:numId w:val="1"/>
        </w:numPr>
        <w:tabs>
          <w:tab w:pos="627" w:val="left" w:leader="none"/>
          <w:tab w:pos="628" w:val="left" w:leader="none"/>
        </w:tabs>
        <w:spacing w:line="360" w:lineRule="auto" w:before="121" w:after="0"/>
        <w:ind w:left="200" w:right="262" w:firstLine="0"/>
        <w:jc w:val="left"/>
        <w:rPr>
          <w:sz w:val="20"/>
        </w:rPr>
      </w:pPr>
      <w:r>
        <w:rPr/>
        <w:pict>
          <v:shape style="position:absolute;margin-left:72.024002pt;margin-top:78.905869pt;width:144.050pt;height:.1pt;mso-position-horizontal-relative:page;mso-position-vertical-relative:paragraph;z-index:-251658240;mso-wrap-distance-left:0;mso-wrap-distance-right:0" coordorigin="1440,1578" coordsize="2881,0" path="m1440,1578l4321,1578e" filled="false" stroked="true" strokeweight=".72003pt" strokecolor="#000000">
            <v:path arrowok="t"/>
            <v:stroke dashstyle="solid"/>
            <w10:wrap type="topAndBottom"/>
          </v:shape>
        </w:pict>
      </w:r>
      <w:r>
        <w:rPr>
          <w:sz w:val="20"/>
        </w:rPr>
        <w:t>The benchmark would be incorporated into the existing benchmark governance structure of FTSE- Russell (part of LSE Group). The LSE Group had performed limited outreach amongst potential users of the benchmark, and planned to discuss the methodology with a new Advisory Committee – with representation from users, the sell-side, and platform operators, among others – prior to finalisation.</w:t>
      </w:r>
      <w:r>
        <w:rPr>
          <w:spacing w:val="-18"/>
          <w:sz w:val="20"/>
        </w:rPr>
        <w:t> </w:t>
      </w:r>
      <w:r>
        <w:rPr>
          <w:sz w:val="20"/>
        </w:rPr>
        <w:t>It</w:t>
      </w:r>
    </w:p>
    <w:p>
      <w:pPr>
        <w:spacing w:line="225" w:lineRule="exact" w:before="36"/>
        <w:ind w:left="200" w:right="0" w:firstLine="0"/>
        <w:jc w:val="left"/>
        <w:rPr>
          <w:sz w:val="18"/>
        </w:rPr>
      </w:pPr>
      <w:r>
        <w:rPr>
          <w:position w:val="9"/>
          <w:sz w:val="12"/>
        </w:rPr>
        <w:t>1 </w:t>
      </w:r>
      <w:r>
        <w:rPr>
          <w:sz w:val="18"/>
        </w:rPr>
        <w:t>See </w:t>
      </w:r>
      <w:hyperlink r:id="rId5">
        <w:r>
          <w:rPr>
            <w:color w:val="0000FF"/>
            <w:sz w:val="18"/>
            <w:u w:val="single" w:color="0000FF"/>
          </w:rPr>
          <w:t>http://www.ftserussell.com/research-insights/SONET</w:t>
        </w:r>
      </w:hyperlink>
    </w:p>
    <w:p>
      <w:pPr>
        <w:spacing w:line="225" w:lineRule="exact" w:before="0"/>
        <w:ind w:left="200" w:right="0" w:firstLine="0"/>
        <w:jc w:val="left"/>
        <w:rPr>
          <w:sz w:val="18"/>
        </w:rPr>
      </w:pPr>
      <w:r>
        <w:rPr>
          <w:position w:val="9"/>
          <w:sz w:val="12"/>
        </w:rPr>
        <w:t>2 </w:t>
      </w:r>
      <w:hyperlink r:id="rId6">
        <w:r>
          <w:rPr>
            <w:color w:val="0000FF"/>
            <w:sz w:val="18"/>
            <w:u w:val="single" w:color="0000FF"/>
          </w:rPr>
          <w:t>http://www.bankofengland.co.uk/markets/Documents/sterlingoperations/rfr/minutes14jul15.pdf</w:t>
        </w:r>
      </w:hyperlink>
    </w:p>
    <w:p>
      <w:pPr>
        <w:spacing w:after="0" w:line="225" w:lineRule="exact"/>
        <w:jc w:val="left"/>
        <w:rPr>
          <w:sz w:val="18"/>
        </w:rPr>
        <w:sectPr>
          <w:type w:val="continuous"/>
          <w:pgSz w:w="11910" w:h="16840"/>
          <w:pgMar w:top="1180" w:bottom="280" w:left="1240" w:right="1020"/>
        </w:sectPr>
      </w:pPr>
    </w:p>
    <w:p>
      <w:pPr>
        <w:pStyle w:val="BodyText"/>
        <w:spacing w:line="357" w:lineRule="auto" w:before="75"/>
        <w:ind w:left="200" w:right="792"/>
      </w:pPr>
      <w:r>
        <w:rPr/>
        <w:t>was agreed that any further comments from Group members would be fed back to the LSE Group through the sub-group for secured rates.</w:t>
      </w:r>
    </w:p>
    <w:p>
      <w:pPr>
        <w:pStyle w:val="ListParagraph"/>
        <w:numPr>
          <w:ilvl w:val="0"/>
          <w:numId w:val="1"/>
        </w:numPr>
        <w:tabs>
          <w:tab w:pos="627" w:val="left" w:leader="none"/>
          <w:tab w:pos="628" w:val="left" w:leader="none"/>
        </w:tabs>
        <w:spacing w:line="360" w:lineRule="auto" w:before="124" w:after="0"/>
        <w:ind w:left="200" w:right="444" w:firstLine="0"/>
        <w:jc w:val="left"/>
        <w:rPr>
          <w:sz w:val="20"/>
        </w:rPr>
      </w:pPr>
      <w:r>
        <w:rPr>
          <w:sz w:val="20"/>
        </w:rPr>
        <w:t>ICAP Information Services provided a written update on their Sterling Repo Index Rate (£RIR), which was reported at the meeting. £RIR data are provided by Brokertec and are estimated to</w:t>
      </w:r>
      <w:r>
        <w:rPr>
          <w:spacing w:val="-28"/>
          <w:sz w:val="20"/>
        </w:rPr>
        <w:t> </w:t>
      </w:r>
      <w:r>
        <w:rPr>
          <w:sz w:val="20"/>
        </w:rPr>
        <w:t>capture 80% of the electronically traded, centrally cleared, dealer to dealer sterling repo market. ICAP were in dialogue with other potential data providers. ICAP had also commenced discussions with a number of exchanges regarding initial interest to create a sterling futures contract referencing the</w:t>
      </w:r>
      <w:r>
        <w:rPr>
          <w:spacing w:val="-11"/>
          <w:sz w:val="20"/>
        </w:rPr>
        <w:t> </w:t>
      </w:r>
      <w:r>
        <w:rPr>
          <w:sz w:val="20"/>
        </w:rPr>
        <w:t>£RIR.</w:t>
      </w:r>
    </w:p>
    <w:p>
      <w:pPr>
        <w:pStyle w:val="ListParagraph"/>
        <w:numPr>
          <w:ilvl w:val="0"/>
          <w:numId w:val="1"/>
        </w:numPr>
        <w:tabs>
          <w:tab w:pos="627" w:val="left" w:leader="none"/>
          <w:tab w:pos="628" w:val="left" w:leader="none"/>
        </w:tabs>
        <w:spacing w:line="360" w:lineRule="auto" w:before="121" w:after="0"/>
        <w:ind w:left="200" w:right="885" w:firstLine="0"/>
        <w:jc w:val="left"/>
        <w:rPr>
          <w:sz w:val="20"/>
        </w:rPr>
      </w:pPr>
      <w:r>
        <w:rPr>
          <w:sz w:val="20"/>
        </w:rPr>
        <w:t>No further update was forthcoming from the remaining firms which had expressed interest</w:t>
      </w:r>
      <w:r>
        <w:rPr>
          <w:spacing w:val="-23"/>
          <w:sz w:val="20"/>
        </w:rPr>
        <w:t> </w:t>
      </w:r>
      <w:r>
        <w:rPr>
          <w:sz w:val="20"/>
        </w:rPr>
        <w:t>in producing a secured</w:t>
      </w:r>
      <w:r>
        <w:rPr>
          <w:spacing w:val="-2"/>
          <w:sz w:val="20"/>
        </w:rPr>
        <w:t> </w:t>
      </w:r>
      <w:r>
        <w:rPr>
          <w:sz w:val="20"/>
        </w:rPr>
        <w:t>rate.</w:t>
      </w:r>
    </w:p>
    <w:p>
      <w:pPr>
        <w:pStyle w:val="Heading1"/>
        <w:spacing w:before="116"/>
      </w:pPr>
      <w:r>
        <w:rPr/>
        <w:t>OIS transition discussion</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93" w:firstLine="0"/>
        <w:jc w:val="left"/>
        <w:rPr>
          <w:sz w:val="20"/>
        </w:rPr>
      </w:pPr>
      <w:r>
        <w:rPr>
          <w:sz w:val="20"/>
        </w:rPr>
        <w:t>A potential OIS transition strategy – to implement a secured rate as the reference rate in the sterling OIS market – had been developed collaboratively between the Bank, LCH.Clearnet</w:t>
      </w:r>
      <w:r>
        <w:rPr>
          <w:sz w:val="20"/>
          <w:vertAlign w:val="superscript"/>
        </w:rPr>
        <w:t>3</w:t>
      </w:r>
      <w:r>
        <w:rPr>
          <w:sz w:val="20"/>
          <w:vertAlign w:val="baseline"/>
        </w:rPr>
        <w:t>, ISDA and the Chair’s office, taking on board feedback from Group members at the August meeting. It was noted that detailed further work would be required to implement this plan, but this would be deferred until after the provisional RFR recommendation had been made. At this point, feedback was being sought from the Group on the approach proposed; this would be published once finalised in early</w:t>
      </w:r>
      <w:r>
        <w:rPr>
          <w:spacing w:val="-2"/>
          <w:sz w:val="20"/>
          <w:vertAlign w:val="baseline"/>
        </w:rPr>
        <w:t> </w:t>
      </w:r>
      <w:r>
        <w:rPr>
          <w:sz w:val="20"/>
          <w:vertAlign w:val="baseline"/>
        </w:rPr>
        <w:t>2017.</w:t>
      </w:r>
    </w:p>
    <w:p>
      <w:pPr>
        <w:pStyle w:val="ListParagraph"/>
        <w:numPr>
          <w:ilvl w:val="0"/>
          <w:numId w:val="1"/>
        </w:numPr>
        <w:tabs>
          <w:tab w:pos="627" w:val="left" w:leader="none"/>
          <w:tab w:pos="628" w:val="left" w:leader="none"/>
        </w:tabs>
        <w:spacing w:line="360" w:lineRule="auto" w:before="120" w:after="0"/>
        <w:ind w:left="200" w:right="249" w:firstLine="0"/>
        <w:jc w:val="left"/>
        <w:rPr>
          <w:sz w:val="20"/>
        </w:rPr>
      </w:pPr>
      <w:r>
        <w:rPr>
          <w:sz w:val="20"/>
        </w:rPr>
        <w:t>The proposal was for a coordinated and consensual OIS transition, requiring a mutually interdependent set of commitments amongst key stakeholders. It was explained that a consensus would need to be reached on each element of the plan in advance of initiating transition,</w:t>
      </w:r>
      <w:r>
        <w:rPr>
          <w:spacing w:val="-8"/>
          <w:sz w:val="20"/>
        </w:rPr>
        <w:t> </w:t>
      </w:r>
      <w:r>
        <w:rPr>
          <w:sz w:val="20"/>
        </w:rPr>
        <w:t>including:</w:t>
      </w:r>
    </w:p>
    <w:p>
      <w:pPr>
        <w:pStyle w:val="ListParagraph"/>
        <w:numPr>
          <w:ilvl w:val="0"/>
          <w:numId w:val="2"/>
        </w:numPr>
        <w:tabs>
          <w:tab w:pos="1193" w:val="left" w:leader="none"/>
          <w:tab w:pos="1194" w:val="left" w:leader="none"/>
        </w:tabs>
        <w:spacing w:line="357" w:lineRule="auto" w:before="122" w:after="0"/>
        <w:ind w:left="1194" w:right="198" w:hanging="360"/>
        <w:jc w:val="left"/>
        <w:rPr>
          <w:sz w:val="20"/>
        </w:rPr>
      </w:pPr>
      <w:r>
        <w:rPr>
          <w:sz w:val="20"/>
        </w:rPr>
        <w:t>a consensus to aggregate liquidity in OIS which reference the RFR from a designated point</w:t>
      </w:r>
      <w:r>
        <w:rPr>
          <w:spacing w:val="-26"/>
          <w:sz w:val="20"/>
        </w:rPr>
        <w:t> </w:t>
      </w:r>
      <w:r>
        <w:rPr>
          <w:sz w:val="20"/>
        </w:rPr>
        <w:t>in time;</w:t>
      </w:r>
    </w:p>
    <w:p>
      <w:pPr>
        <w:pStyle w:val="ListParagraph"/>
        <w:numPr>
          <w:ilvl w:val="0"/>
          <w:numId w:val="2"/>
        </w:numPr>
        <w:tabs>
          <w:tab w:pos="1193" w:val="left" w:leader="none"/>
          <w:tab w:pos="1194" w:val="left" w:leader="none"/>
        </w:tabs>
        <w:spacing w:line="240" w:lineRule="auto" w:before="3" w:after="0"/>
        <w:ind w:left="1194" w:right="0" w:hanging="360"/>
        <w:jc w:val="left"/>
        <w:rPr>
          <w:sz w:val="20"/>
        </w:rPr>
      </w:pPr>
      <w:r>
        <w:rPr>
          <w:sz w:val="20"/>
        </w:rPr>
        <w:t>a process/timeline for securing clearing eligibility for RFR referenced</w:t>
      </w:r>
      <w:r>
        <w:rPr>
          <w:spacing w:val="-15"/>
          <w:sz w:val="20"/>
        </w:rPr>
        <w:t> </w:t>
      </w:r>
      <w:r>
        <w:rPr>
          <w:sz w:val="20"/>
        </w:rPr>
        <w:t>contracts;</w:t>
      </w:r>
    </w:p>
    <w:p>
      <w:pPr>
        <w:pStyle w:val="ListParagraph"/>
        <w:numPr>
          <w:ilvl w:val="0"/>
          <w:numId w:val="2"/>
        </w:numPr>
        <w:tabs>
          <w:tab w:pos="1194" w:val="left" w:leader="none"/>
        </w:tabs>
        <w:spacing w:line="360" w:lineRule="auto" w:before="116" w:after="0"/>
        <w:ind w:left="1194" w:right="212" w:hanging="360"/>
        <w:jc w:val="left"/>
        <w:rPr>
          <w:sz w:val="20"/>
        </w:rPr>
      </w:pPr>
      <w:r>
        <w:rPr>
          <w:sz w:val="20"/>
        </w:rPr>
        <w:t>a process for implementing a change in the PAI rate and discounting methodology at clearing houses at the same point in</w:t>
      </w:r>
      <w:r>
        <w:rPr>
          <w:spacing w:val="2"/>
          <w:sz w:val="20"/>
        </w:rPr>
        <w:t> </w:t>
      </w:r>
      <w:r>
        <w:rPr>
          <w:sz w:val="20"/>
        </w:rPr>
        <w:t>time;</w:t>
      </w:r>
    </w:p>
    <w:p>
      <w:pPr>
        <w:pStyle w:val="ListParagraph"/>
        <w:numPr>
          <w:ilvl w:val="0"/>
          <w:numId w:val="2"/>
        </w:numPr>
        <w:tabs>
          <w:tab w:pos="1194" w:val="left" w:leader="none"/>
        </w:tabs>
        <w:spacing w:line="229" w:lineRule="exact" w:before="0" w:after="0"/>
        <w:ind w:left="1194" w:right="0" w:hanging="360"/>
        <w:jc w:val="left"/>
        <w:rPr>
          <w:sz w:val="20"/>
        </w:rPr>
      </w:pPr>
      <w:r>
        <w:rPr>
          <w:sz w:val="20"/>
        </w:rPr>
        <w:t>a protocol process for amending legacy bilateral swap contracts and CSAs;</w:t>
      </w:r>
      <w:r>
        <w:rPr>
          <w:spacing w:val="-14"/>
          <w:sz w:val="20"/>
        </w:rPr>
        <w:t> </w:t>
      </w:r>
      <w:r>
        <w:rPr>
          <w:sz w:val="20"/>
        </w:rPr>
        <w:t>and</w:t>
      </w:r>
    </w:p>
    <w:p>
      <w:pPr>
        <w:pStyle w:val="ListParagraph"/>
        <w:numPr>
          <w:ilvl w:val="0"/>
          <w:numId w:val="2"/>
        </w:numPr>
        <w:tabs>
          <w:tab w:pos="1194" w:val="left" w:leader="none"/>
        </w:tabs>
        <w:spacing w:line="240" w:lineRule="auto" w:before="116" w:after="0"/>
        <w:ind w:left="1194" w:right="0" w:hanging="360"/>
        <w:jc w:val="left"/>
        <w:rPr>
          <w:sz w:val="20"/>
        </w:rPr>
      </w:pPr>
      <w:r>
        <w:rPr>
          <w:sz w:val="20"/>
        </w:rPr>
        <w:t>a process to facilitate the “bulk” transition of the reset rate for legacy cleared</w:t>
      </w:r>
      <w:r>
        <w:rPr>
          <w:spacing w:val="-28"/>
          <w:sz w:val="20"/>
        </w:rPr>
        <w:t> </w:t>
      </w:r>
      <w:r>
        <w:rPr>
          <w:sz w:val="20"/>
        </w:rPr>
        <w:t>OIS.</w:t>
      </w:r>
    </w:p>
    <w:p>
      <w:pPr>
        <w:pStyle w:val="BodyText"/>
        <w:spacing w:before="5"/>
      </w:pPr>
    </w:p>
    <w:p>
      <w:pPr>
        <w:pStyle w:val="ListParagraph"/>
        <w:numPr>
          <w:ilvl w:val="0"/>
          <w:numId w:val="1"/>
        </w:numPr>
        <w:tabs>
          <w:tab w:pos="627" w:val="left" w:leader="none"/>
          <w:tab w:pos="628" w:val="left" w:leader="none"/>
        </w:tabs>
        <w:spacing w:line="360" w:lineRule="auto" w:before="1" w:after="0"/>
        <w:ind w:left="200" w:right="126" w:firstLine="0"/>
        <w:jc w:val="left"/>
        <w:rPr>
          <w:sz w:val="20"/>
        </w:rPr>
      </w:pPr>
      <w:r>
        <w:rPr>
          <w:sz w:val="20"/>
        </w:rPr>
        <w:t>The Group discussed the risks involved in this transition strategy, and actions which could be taken to prevent the process resulting in a bifurcated market or an aggregate increase in basis risk. Specifically, some members noted that simultaneous agreement to implement the latter three elements would likely be required, to ensure success. It was recognised that the illustrative timeline for the transition strategy outlined indicated that in a best case scenario, completion of transition would likely be January 2021, following a three-year notice period. Members were asked to provide feedback on the strategy, via the Bank.</w:t>
      </w:r>
    </w:p>
    <w:p>
      <w:pPr>
        <w:pStyle w:val="Heading1"/>
        <w:spacing w:before="117"/>
      </w:pPr>
      <w:r>
        <w:rPr/>
        <w:t>Presentation on EU Benchmark Regulation</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16" w:firstLine="0"/>
        <w:jc w:val="left"/>
        <w:rPr>
          <w:sz w:val="20"/>
        </w:rPr>
      </w:pPr>
      <w:r>
        <w:rPr/>
        <w:pict>
          <v:shape style="position:absolute;margin-left:72.024002pt;margin-top:54.855869pt;width:144.050pt;height:.1pt;mso-position-horizontal-relative:page;mso-position-vertical-relative:paragraph;z-index:-251657216;mso-wrap-distance-left:0;mso-wrap-distance-right:0" coordorigin="1440,1097" coordsize="2881,0" path="m1440,1097l4321,1097e" filled="false" stroked="true" strokeweight=".72003pt" strokecolor="#000000">
            <v:path arrowok="t"/>
            <v:stroke dashstyle="solid"/>
            <w10:wrap type="topAndBottom"/>
          </v:shape>
        </w:pict>
      </w:r>
      <w:r>
        <w:rPr>
          <w:sz w:val="20"/>
        </w:rPr>
        <w:t>Following the discussion in the preceding meeting on the need for clear and transparent process</w:t>
      </w:r>
      <w:r>
        <w:rPr>
          <w:spacing w:val="-27"/>
          <w:sz w:val="20"/>
        </w:rPr>
        <w:t> </w:t>
      </w:r>
      <w:r>
        <w:rPr>
          <w:sz w:val="20"/>
        </w:rPr>
        <w:t>and governance around the evolution of a benchmark, the FCA had been asked to provide a broad overview of the EU Benchmark Regulation (EU BMR). FCA talked through the timeline for the implementation</w:t>
      </w:r>
      <w:r>
        <w:rPr>
          <w:spacing w:val="-21"/>
          <w:sz w:val="20"/>
        </w:rPr>
        <w:t> </w:t>
      </w:r>
      <w:r>
        <w:rPr>
          <w:sz w:val="20"/>
        </w:rPr>
        <w:t>of</w:t>
      </w:r>
    </w:p>
    <w:p>
      <w:pPr>
        <w:spacing w:before="36"/>
        <w:ind w:left="200" w:right="0" w:firstLine="0"/>
        <w:jc w:val="left"/>
        <w:rPr>
          <w:sz w:val="18"/>
        </w:rPr>
      </w:pPr>
      <w:r>
        <w:rPr>
          <w:position w:val="9"/>
          <w:sz w:val="12"/>
        </w:rPr>
        <w:t>3 </w:t>
      </w:r>
      <w:r>
        <w:rPr>
          <w:sz w:val="18"/>
        </w:rPr>
        <w:t>as the largest central clearing counterparty in the cleared sterling swap market; the Bank had also discussed the proposal with CME Clearing Europe.</w:t>
      </w:r>
    </w:p>
    <w:p>
      <w:pPr>
        <w:spacing w:after="0"/>
        <w:jc w:val="left"/>
        <w:rPr>
          <w:sz w:val="18"/>
        </w:rPr>
        <w:sectPr>
          <w:pgSz w:w="11910" w:h="16840"/>
          <w:pgMar w:top="1180" w:bottom="280" w:left="1240" w:right="1020"/>
        </w:sectPr>
      </w:pPr>
    </w:p>
    <w:p>
      <w:pPr>
        <w:pStyle w:val="BodyText"/>
        <w:spacing w:line="360" w:lineRule="auto" w:before="75"/>
        <w:ind w:left="200" w:right="146"/>
      </w:pPr>
      <w:r>
        <w:rPr/>
        <w:t>the BMR, explaining that it entered into force in June 2016 and will apply in full from January 2018, with a subsequent 24 month transition period during which existing benchmarks may continue to be published and used without authorisation.</w:t>
      </w:r>
    </w:p>
    <w:p>
      <w:pPr>
        <w:pStyle w:val="ListParagraph"/>
        <w:numPr>
          <w:ilvl w:val="0"/>
          <w:numId w:val="1"/>
        </w:numPr>
        <w:tabs>
          <w:tab w:pos="627" w:val="left" w:leader="none"/>
          <w:tab w:pos="628" w:val="left" w:leader="none"/>
        </w:tabs>
        <w:spacing w:line="360" w:lineRule="auto" w:before="120" w:after="0"/>
        <w:ind w:left="200" w:right="119" w:firstLine="0"/>
        <w:jc w:val="left"/>
        <w:rPr>
          <w:sz w:val="20"/>
        </w:rPr>
      </w:pPr>
      <w:r>
        <w:rPr>
          <w:sz w:val="20"/>
        </w:rPr>
        <w:t>FCA explained that the regulation set out transparency requirements for administrators with their users: consulting on changes; publishing key features of the benchmark; and change and cessation plans for all benchmarks. Users themselves would in turn be required to ensure that their referenced benchmarks are authorised in the EU and that they have contingency arrangements to deal with cessation.</w:t>
      </w:r>
    </w:p>
    <w:p>
      <w:pPr>
        <w:pStyle w:val="ListParagraph"/>
        <w:numPr>
          <w:ilvl w:val="0"/>
          <w:numId w:val="1"/>
        </w:numPr>
        <w:tabs>
          <w:tab w:pos="627" w:val="left" w:leader="none"/>
          <w:tab w:pos="628" w:val="left" w:leader="none"/>
        </w:tabs>
        <w:spacing w:line="357" w:lineRule="auto" w:before="121" w:after="0"/>
        <w:ind w:left="200" w:right="448" w:firstLine="0"/>
        <w:jc w:val="left"/>
        <w:rPr>
          <w:sz w:val="20"/>
        </w:rPr>
      </w:pPr>
      <w:r>
        <w:rPr>
          <w:sz w:val="20"/>
        </w:rPr>
        <w:t>The FCA encouraged Group members to feed any comments on ESMA draft technical standards under the benchmarks regulation</w:t>
      </w:r>
      <w:r>
        <w:rPr>
          <w:sz w:val="20"/>
          <w:vertAlign w:val="superscript"/>
        </w:rPr>
        <w:t>4</w:t>
      </w:r>
      <w:r>
        <w:rPr>
          <w:sz w:val="20"/>
          <w:vertAlign w:val="baseline"/>
        </w:rPr>
        <w:t> into their consultation, which ends 2 December</w:t>
      </w:r>
      <w:r>
        <w:rPr>
          <w:spacing w:val="-10"/>
          <w:sz w:val="20"/>
          <w:vertAlign w:val="baseline"/>
        </w:rPr>
        <w:t> </w:t>
      </w:r>
      <w:r>
        <w:rPr>
          <w:sz w:val="20"/>
          <w:vertAlign w:val="baseline"/>
        </w:rPr>
        <w:t>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2"/>
        </w:rPr>
      </w:pPr>
      <w:r>
        <w:rPr/>
        <w:pict>
          <v:shape style="position:absolute;margin-left:72.024002pt;margin-top:15.483582pt;width:144.050pt;height:.1pt;mso-position-horizontal-relative:page;mso-position-vertical-relative:paragraph;z-index:-251656192;mso-wrap-distance-left:0;mso-wrap-distance-right:0" coordorigin="1440,310" coordsize="2881,0" path="m1440,310l4321,310e" filled="false" stroked="true" strokeweight=".72003pt" strokecolor="#000000">
            <v:path arrowok="t"/>
            <v:stroke dashstyle="solid"/>
            <w10:wrap type="topAndBottom"/>
          </v:shape>
        </w:pict>
      </w:r>
    </w:p>
    <w:p>
      <w:pPr>
        <w:spacing w:before="39"/>
        <w:ind w:left="200" w:right="0" w:firstLine="0"/>
        <w:jc w:val="left"/>
        <w:rPr>
          <w:sz w:val="18"/>
        </w:rPr>
      </w:pPr>
      <w:r>
        <w:rPr>
          <w:position w:val="9"/>
          <w:sz w:val="12"/>
        </w:rPr>
        <w:t>4 </w:t>
      </w:r>
      <w:hyperlink r:id="rId7">
        <w:r>
          <w:rPr>
            <w:color w:val="0000FF"/>
            <w:sz w:val="18"/>
            <w:u w:val="single" w:color="0000FF"/>
          </w:rPr>
          <w:t>www.esma.europa.eu/system/files_force/library/2016-1406.pdf?download=1</w:t>
        </w:r>
      </w:hyperlink>
    </w:p>
    <w:p>
      <w:pPr>
        <w:spacing w:after="0"/>
        <w:jc w:val="left"/>
        <w:rPr>
          <w:sz w:val="18"/>
        </w:rPr>
        <w:sectPr>
          <w:pgSz w:w="11910" w:h="16840"/>
          <w:pgMar w:top="1180" w:bottom="280" w:left="1240" w:right="1020"/>
        </w:sectPr>
      </w:pPr>
    </w:p>
    <w:p>
      <w:pPr>
        <w:pStyle w:val="Heading1"/>
        <w:spacing w:before="75"/>
      </w:pPr>
      <w:r>
        <w:rPr/>
        <w:t>Private sector</w:t>
      </w:r>
      <w:r>
        <w:rPr>
          <w:spacing w:val="-11"/>
        </w:rPr>
        <w:t> </w:t>
      </w:r>
      <w:r>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5278"/>
      </w:tblGrid>
      <w:tr>
        <w:trPr>
          <w:trHeight w:val="262" w:hRule="atLeast"/>
        </w:trPr>
        <w:tc>
          <w:tcPr>
            <w:tcW w:w="2703" w:type="dxa"/>
          </w:tcPr>
          <w:p>
            <w:pPr>
              <w:pStyle w:val="TableParagraph"/>
              <w:spacing w:line="225" w:lineRule="exact" w:before="0"/>
              <w:rPr>
                <w:sz w:val="20"/>
              </w:rPr>
            </w:pPr>
            <w:r>
              <w:rPr>
                <w:sz w:val="20"/>
              </w:rPr>
              <w:t>Nick Saggers</w:t>
            </w:r>
          </w:p>
        </w:tc>
        <w:tc>
          <w:tcPr>
            <w:tcW w:w="5278" w:type="dxa"/>
          </w:tcPr>
          <w:p>
            <w:pPr>
              <w:pStyle w:val="TableParagraph"/>
              <w:spacing w:line="223" w:lineRule="exact" w:before="0"/>
              <w:ind w:left="473"/>
              <w:rPr>
                <w:b/>
                <w:sz w:val="20"/>
              </w:rPr>
            </w:pPr>
            <w:r>
              <w:rPr>
                <w:b/>
                <w:sz w:val="20"/>
              </w:rPr>
              <w:t>Bank of America-Merrill Lynch</w:t>
            </w:r>
          </w:p>
        </w:tc>
      </w:tr>
      <w:tr>
        <w:trPr>
          <w:trHeight w:val="300" w:hRule="atLeast"/>
        </w:trPr>
        <w:tc>
          <w:tcPr>
            <w:tcW w:w="2703" w:type="dxa"/>
          </w:tcPr>
          <w:p>
            <w:pPr>
              <w:pStyle w:val="TableParagraph"/>
              <w:spacing w:before="32"/>
              <w:rPr>
                <w:sz w:val="20"/>
              </w:rPr>
            </w:pPr>
            <w:r>
              <w:rPr>
                <w:sz w:val="20"/>
              </w:rPr>
              <w:t>Francois Jourdain</w:t>
            </w:r>
          </w:p>
        </w:tc>
        <w:tc>
          <w:tcPr>
            <w:tcW w:w="5278" w:type="dxa"/>
          </w:tcPr>
          <w:p>
            <w:pPr>
              <w:pStyle w:val="TableParagraph"/>
              <w:ind w:left="473"/>
              <w:rPr>
                <w:b/>
                <w:sz w:val="20"/>
              </w:rPr>
            </w:pPr>
            <w:r>
              <w:rPr>
                <w:b/>
                <w:sz w:val="20"/>
              </w:rPr>
              <w:t>Barclays (Chairman)</w:t>
            </w:r>
          </w:p>
        </w:tc>
      </w:tr>
      <w:tr>
        <w:trPr>
          <w:trHeight w:val="300" w:hRule="atLeast"/>
        </w:trPr>
        <w:tc>
          <w:tcPr>
            <w:tcW w:w="2703" w:type="dxa"/>
          </w:tcPr>
          <w:p>
            <w:pPr>
              <w:pStyle w:val="TableParagraph"/>
              <w:spacing w:before="32"/>
              <w:rPr>
                <w:sz w:val="20"/>
              </w:rPr>
            </w:pPr>
            <w:r>
              <w:rPr>
                <w:sz w:val="20"/>
              </w:rPr>
              <w:t>Andreas Giannopoulos</w:t>
            </w:r>
          </w:p>
        </w:tc>
        <w:tc>
          <w:tcPr>
            <w:tcW w:w="5278"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Tejonidhi Kashyap</w:t>
            </w:r>
          </w:p>
        </w:tc>
        <w:tc>
          <w:tcPr>
            <w:tcW w:w="5278" w:type="dxa"/>
          </w:tcPr>
          <w:p>
            <w:pPr>
              <w:pStyle w:val="TableParagraph"/>
              <w:ind w:left="473"/>
              <w:rPr>
                <w:b/>
                <w:sz w:val="20"/>
              </w:rPr>
            </w:pPr>
            <w:r>
              <w:rPr>
                <w:b/>
                <w:sz w:val="20"/>
              </w:rPr>
              <w:t>Barclays (Chair’s office)</w:t>
            </w:r>
          </w:p>
        </w:tc>
      </w:tr>
      <w:tr>
        <w:trPr>
          <w:trHeight w:val="300" w:hRule="atLeast"/>
        </w:trPr>
        <w:tc>
          <w:tcPr>
            <w:tcW w:w="2703" w:type="dxa"/>
          </w:tcPr>
          <w:p>
            <w:pPr>
              <w:pStyle w:val="TableParagraph"/>
              <w:spacing w:before="32"/>
              <w:rPr>
                <w:sz w:val="20"/>
              </w:rPr>
            </w:pPr>
            <w:r>
              <w:rPr>
                <w:sz w:val="20"/>
              </w:rPr>
              <w:t>Mike Manna</w:t>
            </w:r>
          </w:p>
        </w:tc>
        <w:tc>
          <w:tcPr>
            <w:tcW w:w="5278" w:type="dxa"/>
          </w:tcPr>
          <w:p>
            <w:pPr>
              <w:pStyle w:val="TableParagraph"/>
              <w:ind w:left="473"/>
              <w:rPr>
                <w:b/>
                <w:sz w:val="20"/>
              </w:rPr>
            </w:pPr>
            <w:r>
              <w:rPr>
                <w:b/>
                <w:sz w:val="20"/>
              </w:rPr>
              <w:t>Barclays</w:t>
            </w:r>
          </w:p>
        </w:tc>
      </w:tr>
      <w:tr>
        <w:trPr>
          <w:trHeight w:val="300" w:hRule="atLeast"/>
        </w:trPr>
        <w:tc>
          <w:tcPr>
            <w:tcW w:w="2703" w:type="dxa"/>
          </w:tcPr>
          <w:p>
            <w:pPr>
              <w:pStyle w:val="TableParagraph"/>
              <w:spacing w:before="32"/>
              <w:rPr>
                <w:sz w:val="20"/>
              </w:rPr>
            </w:pPr>
            <w:r>
              <w:rPr>
                <w:sz w:val="20"/>
              </w:rPr>
              <w:t>Adrian Averre</w:t>
            </w:r>
          </w:p>
        </w:tc>
        <w:tc>
          <w:tcPr>
            <w:tcW w:w="5278" w:type="dxa"/>
          </w:tcPr>
          <w:p>
            <w:pPr>
              <w:pStyle w:val="TableParagraph"/>
              <w:ind w:left="473"/>
              <w:rPr>
                <w:b/>
                <w:sz w:val="20"/>
              </w:rPr>
            </w:pPr>
            <w:r>
              <w:rPr>
                <w:b/>
                <w:sz w:val="20"/>
              </w:rPr>
              <w:t>BNP Paribas</w:t>
            </w:r>
          </w:p>
        </w:tc>
      </w:tr>
      <w:tr>
        <w:trPr>
          <w:trHeight w:val="300" w:hRule="atLeast"/>
        </w:trPr>
        <w:tc>
          <w:tcPr>
            <w:tcW w:w="2703" w:type="dxa"/>
          </w:tcPr>
          <w:p>
            <w:pPr>
              <w:pStyle w:val="TableParagraph"/>
              <w:spacing w:before="32"/>
              <w:rPr>
                <w:sz w:val="20"/>
              </w:rPr>
            </w:pPr>
            <w:r>
              <w:rPr>
                <w:sz w:val="20"/>
              </w:rPr>
              <w:t>Alain Verdickt</w:t>
            </w:r>
          </w:p>
        </w:tc>
        <w:tc>
          <w:tcPr>
            <w:tcW w:w="5278" w:type="dxa"/>
          </w:tcPr>
          <w:p>
            <w:pPr>
              <w:pStyle w:val="TableParagraph"/>
              <w:ind w:left="473"/>
              <w:rPr>
                <w:b/>
                <w:sz w:val="20"/>
              </w:rPr>
            </w:pPr>
            <w:r>
              <w:rPr>
                <w:b/>
                <w:sz w:val="20"/>
              </w:rPr>
              <w:t>Citigroup</w:t>
            </w:r>
          </w:p>
        </w:tc>
      </w:tr>
      <w:tr>
        <w:trPr>
          <w:trHeight w:val="300" w:hRule="atLeast"/>
        </w:trPr>
        <w:tc>
          <w:tcPr>
            <w:tcW w:w="2703" w:type="dxa"/>
          </w:tcPr>
          <w:p>
            <w:pPr>
              <w:pStyle w:val="TableParagraph"/>
              <w:spacing w:before="32"/>
              <w:rPr>
                <w:sz w:val="20"/>
              </w:rPr>
            </w:pPr>
            <w:r>
              <w:rPr>
                <w:sz w:val="20"/>
              </w:rPr>
              <w:t>Stephen Randall</w:t>
            </w:r>
          </w:p>
        </w:tc>
        <w:tc>
          <w:tcPr>
            <w:tcW w:w="5278" w:type="dxa"/>
          </w:tcPr>
          <w:p>
            <w:pPr>
              <w:pStyle w:val="TableParagraph"/>
              <w:ind w:left="473"/>
              <w:rPr>
                <w:b/>
                <w:sz w:val="20"/>
              </w:rPr>
            </w:pPr>
            <w:r>
              <w:rPr>
                <w:b/>
                <w:sz w:val="20"/>
              </w:rPr>
              <w:t>Citigroup</w:t>
            </w:r>
          </w:p>
        </w:tc>
      </w:tr>
      <w:tr>
        <w:trPr>
          <w:trHeight w:val="300" w:hRule="atLeast"/>
        </w:trPr>
        <w:tc>
          <w:tcPr>
            <w:tcW w:w="2703" w:type="dxa"/>
          </w:tcPr>
          <w:p>
            <w:pPr>
              <w:pStyle w:val="TableParagraph"/>
              <w:spacing w:before="32"/>
              <w:rPr>
                <w:sz w:val="20"/>
              </w:rPr>
            </w:pPr>
            <w:r>
              <w:rPr>
                <w:sz w:val="20"/>
              </w:rPr>
              <w:t>Arif Merali</w:t>
            </w:r>
          </w:p>
        </w:tc>
        <w:tc>
          <w:tcPr>
            <w:tcW w:w="5278" w:type="dxa"/>
          </w:tcPr>
          <w:p>
            <w:pPr>
              <w:pStyle w:val="TableParagraph"/>
              <w:ind w:left="473"/>
              <w:rPr>
                <w:b/>
                <w:sz w:val="20"/>
              </w:rPr>
            </w:pPr>
            <w:r>
              <w:rPr>
                <w:b/>
                <w:sz w:val="20"/>
              </w:rPr>
              <w:t>Credit Suisse</w:t>
            </w:r>
          </w:p>
        </w:tc>
      </w:tr>
      <w:tr>
        <w:trPr>
          <w:trHeight w:val="300" w:hRule="atLeast"/>
        </w:trPr>
        <w:tc>
          <w:tcPr>
            <w:tcW w:w="2703" w:type="dxa"/>
          </w:tcPr>
          <w:p>
            <w:pPr>
              <w:pStyle w:val="TableParagraph"/>
              <w:spacing w:before="32"/>
              <w:rPr>
                <w:sz w:val="20"/>
              </w:rPr>
            </w:pPr>
            <w:r>
              <w:rPr>
                <w:sz w:val="20"/>
              </w:rPr>
              <w:t>John Hilty</w:t>
            </w:r>
          </w:p>
        </w:tc>
        <w:tc>
          <w:tcPr>
            <w:tcW w:w="5278"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Ryan Sbarra</w:t>
            </w:r>
          </w:p>
        </w:tc>
        <w:tc>
          <w:tcPr>
            <w:tcW w:w="5278" w:type="dxa"/>
          </w:tcPr>
          <w:p>
            <w:pPr>
              <w:pStyle w:val="TableParagraph"/>
              <w:ind w:left="473"/>
              <w:rPr>
                <w:b/>
                <w:sz w:val="20"/>
              </w:rPr>
            </w:pPr>
            <w:r>
              <w:rPr>
                <w:b/>
                <w:sz w:val="20"/>
              </w:rPr>
              <w:t>Deutsche Bank</w:t>
            </w:r>
          </w:p>
        </w:tc>
      </w:tr>
      <w:tr>
        <w:trPr>
          <w:trHeight w:val="300" w:hRule="atLeast"/>
        </w:trPr>
        <w:tc>
          <w:tcPr>
            <w:tcW w:w="2703" w:type="dxa"/>
          </w:tcPr>
          <w:p>
            <w:pPr>
              <w:pStyle w:val="TableParagraph"/>
              <w:spacing w:before="32"/>
              <w:rPr>
                <w:sz w:val="20"/>
              </w:rPr>
            </w:pPr>
            <w:r>
              <w:rPr>
                <w:sz w:val="20"/>
              </w:rPr>
              <w:t>Michael Graham</w:t>
            </w:r>
          </w:p>
        </w:tc>
        <w:tc>
          <w:tcPr>
            <w:tcW w:w="5278"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2"/>
              <w:rPr>
                <w:sz w:val="20"/>
              </w:rPr>
            </w:pPr>
            <w:r>
              <w:rPr>
                <w:sz w:val="20"/>
              </w:rPr>
              <w:t>Nikhil Choraria</w:t>
            </w:r>
          </w:p>
        </w:tc>
        <w:tc>
          <w:tcPr>
            <w:tcW w:w="5278" w:type="dxa"/>
          </w:tcPr>
          <w:p>
            <w:pPr>
              <w:pStyle w:val="TableParagraph"/>
              <w:ind w:left="473"/>
              <w:rPr>
                <w:b/>
                <w:sz w:val="20"/>
              </w:rPr>
            </w:pPr>
            <w:r>
              <w:rPr>
                <w:b/>
                <w:sz w:val="20"/>
              </w:rPr>
              <w:t>Goldman Sachs</w:t>
            </w:r>
          </w:p>
        </w:tc>
      </w:tr>
      <w:tr>
        <w:trPr>
          <w:trHeight w:val="300" w:hRule="atLeast"/>
        </w:trPr>
        <w:tc>
          <w:tcPr>
            <w:tcW w:w="2703" w:type="dxa"/>
          </w:tcPr>
          <w:p>
            <w:pPr>
              <w:pStyle w:val="TableParagraph"/>
              <w:spacing w:before="33"/>
              <w:rPr>
                <w:sz w:val="20"/>
              </w:rPr>
            </w:pPr>
            <w:r>
              <w:rPr>
                <w:sz w:val="20"/>
              </w:rPr>
              <w:t>Christophe Rivoire</w:t>
            </w:r>
          </w:p>
        </w:tc>
        <w:tc>
          <w:tcPr>
            <w:tcW w:w="5278" w:type="dxa"/>
          </w:tcPr>
          <w:p>
            <w:pPr>
              <w:pStyle w:val="TableParagraph"/>
              <w:ind w:left="473"/>
              <w:rPr>
                <w:b/>
                <w:sz w:val="20"/>
              </w:rPr>
            </w:pPr>
            <w:r>
              <w:rPr>
                <w:b/>
                <w:sz w:val="20"/>
              </w:rPr>
              <w:t>HSBC</w:t>
            </w:r>
          </w:p>
        </w:tc>
      </w:tr>
      <w:tr>
        <w:trPr>
          <w:trHeight w:val="300" w:hRule="atLeast"/>
        </w:trPr>
        <w:tc>
          <w:tcPr>
            <w:tcW w:w="2703" w:type="dxa"/>
          </w:tcPr>
          <w:p>
            <w:pPr>
              <w:pStyle w:val="TableParagraph"/>
              <w:spacing w:before="32"/>
              <w:rPr>
                <w:sz w:val="20"/>
              </w:rPr>
            </w:pPr>
            <w:r>
              <w:rPr>
                <w:sz w:val="20"/>
              </w:rPr>
              <w:t>Kari Hallgrimsson</w:t>
            </w:r>
          </w:p>
        </w:tc>
        <w:tc>
          <w:tcPr>
            <w:tcW w:w="5278" w:type="dxa"/>
          </w:tcPr>
          <w:p>
            <w:pPr>
              <w:pStyle w:val="TableParagraph"/>
              <w:ind w:left="473"/>
              <w:rPr>
                <w:b/>
                <w:sz w:val="20"/>
              </w:rPr>
            </w:pPr>
            <w:r>
              <w:rPr>
                <w:b/>
                <w:sz w:val="20"/>
              </w:rPr>
              <w:t>JP Morgan</w:t>
            </w:r>
          </w:p>
        </w:tc>
      </w:tr>
      <w:tr>
        <w:trPr>
          <w:trHeight w:val="300" w:hRule="atLeast"/>
        </w:trPr>
        <w:tc>
          <w:tcPr>
            <w:tcW w:w="2703" w:type="dxa"/>
          </w:tcPr>
          <w:p>
            <w:pPr>
              <w:pStyle w:val="TableParagraph"/>
              <w:spacing w:before="32"/>
              <w:rPr>
                <w:sz w:val="20"/>
              </w:rPr>
            </w:pPr>
            <w:r>
              <w:rPr>
                <w:sz w:val="20"/>
              </w:rPr>
              <w:t>Christophe Coutte</w:t>
            </w:r>
          </w:p>
        </w:tc>
        <w:tc>
          <w:tcPr>
            <w:tcW w:w="5278" w:type="dxa"/>
          </w:tcPr>
          <w:p>
            <w:pPr>
              <w:pStyle w:val="TableParagraph"/>
              <w:ind w:left="473"/>
              <w:rPr>
                <w:b/>
                <w:sz w:val="20"/>
              </w:rPr>
            </w:pPr>
            <w:r>
              <w:rPr>
                <w:b/>
                <w:sz w:val="20"/>
              </w:rPr>
              <w:t>Lloyds</w:t>
            </w:r>
          </w:p>
        </w:tc>
      </w:tr>
      <w:tr>
        <w:trPr>
          <w:trHeight w:val="300" w:hRule="atLeast"/>
        </w:trPr>
        <w:tc>
          <w:tcPr>
            <w:tcW w:w="2703" w:type="dxa"/>
          </w:tcPr>
          <w:p>
            <w:pPr>
              <w:pStyle w:val="TableParagraph"/>
              <w:spacing w:before="32"/>
              <w:rPr>
                <w:sz w:val="20"/>
              </w:rPr>
            </w:pPr>
            <w:r>
              <w:rPr>
                <w:sz w:val="20"/>
              </w:rPr>
              <w:t>Freddie Napier</w:t>
            </w:r>
          </w:p>
        </w:tc>
        <w:tc>
          <w:tcPr>
            <w:tcW w:w="5278" w:type="dxa"/>
          </w:tcPr>
          <w:p>
            <w:pPr>
              <w:pStyle w:val="TableParagraph"/>
              <w:ind w:left="473"/>
              <w:rPr>
                <w:b/>
                <w:sz w:val="20"/>
              </w:rPr>
            </w:pPr>
            <w:r>
              <w:rPr>
                <w:b/>
                <w:sz w:val="20"/>
              </w:rPr>
              <w:t>Morgan Stanley</w:t>
            </w:r>
          </w:p>
        </w:tc>
      </w:tr>
      <w:tr>
        <w:trPr>
          <w:trHeight w:val="300" w:hRule="atLeast"/>
        </w:trPr>
        <w:tc>
          <w:tcPr>
            <w:tcW w:w="2703" w:type="dxa"/>
          </w:tcPr>
          <w:p>
            <w:pPr>
              <w:pStyle w:val="TableParagraph"/>
              <w:spacing w:before="32"/>
              <w:rPr>
                <w:sz w:val="20"/>
              </w:rPr>
            </w:pPr>
            <w:r>
              <w:rPr>
                <w:sz w:val="20"/>
              </w:rPr>
              <w:t>Mike Curtis</w:t>
            </w:r>
          </w:p>
        </w:tc>
        <w:tc>
          <w:tcPr>
            <w:tcW w:w="5278" w:type="dxa"/>
          </w:tcPr>
          <w:p>
            <w:pPr>
              <w:pStyle w:val="TableParagraph"/>
              <w:ind w:left="473"/>
              <w:rPr>
                <w:b/>
                <w:sz w:val="20"/>
              </w:rPr>
            </w:pPr>
            <w:r>
              <w:rPr>
                <w:b/>
                <w:sz w:val="20"/>
              </w:rPr>
              <w:t>Nomura</w:t>
            </w:r>
          </w:p>
        </w:tc>
      </w:tr>
      <w:tr>
        <w:trPr>
          <w:trHeight w:val="300" w:hRule="atLeast"/>
        </w:trPr>
        <w:tc>
          <w:tcPr>
            <w:tcW w:w="2703" w:type="dxa"/>
          </w:tcPr>
          <w:p>
            <w:pPr>
              <w:pStyle w:val="TableParagraph"/>
              <w:spacing w:before="32"/>
              <w:rPr>
                <w:sz w:val="20"/>
              </w:rPr>
            </w:pPr>
            <w:r>
              <w:rPr>
                <w:sz w:val="20"/>
              </w:rPr>
              <w:t>David Bradley</w:t>
            </w:r>
          </w:p>
        </w:tc>
        <w:tc>
          <w:tcPr>
            <w:tcW w:w="5278" w:type="dxa"/>
          </w:tcPr>
          <w:p>
            <w:pPr>
              <w:pStyle w:val="TableParagraph"/>
              <w:ind w:left="473"/>
              <w:rPr>
                <w:b/>
                <w:sz w:val="20"/>
              </w:rPr>
            </w:pPr>
            <w:r>
              <w:rPr>
                <w:b/>
                <w:sz w:val="20"/>
              </w:rPr>
              <w:t>Royal Bank of Scotland</w:t>
            </w:r>
          </w:p>
        </w:tc>
      </w:tr>
      <w:tr>
        <w:trPr>
          <w:trHeight w:val="300" w:hRule="atLeast"/>
        </w:trPr>
        <w:tc>
          <w:tcPr>
            <w:tcW w:w="2703" w:type="dxa"/>
          </w:tcPr>
          <w:p>
            <w:pPr>
              <w:pStyle w:val="TableParagraph"/>
              <w:spacing w:before="32"/>
              <w:rPr>
                <w:sz w:val="20"/>
              </w:rPr>
            </w:pPr>
            <w:r>
              <w:rPr>
                <w:sz w:val="20"/>
              </w:rPr>
              <w:t>Andrew Cross</w:t>
            </w:r>
          </w:p>
        </w:tc>
        <w:tc>
          <w:tcPr>
            <w:tcW w:w="5278" w:type="dxa"/>
          </w:tcPr>
          <w:p>
            <w:pPr>
              <w:pStyle w:val="TableParagraph"/>
              <w:ind w:left="473"/>
              <w:rPr>
                <w:b/>
                <w:sz w:val="20"/>
              </w:rPr>
            </w:pPr>
            <w:r>
              <w:rPr>
                <w:b/>
                <w:sz w:val="20"/>
              </w:rPr>
              <w:t>Santander</w:t>
            </w:r>
          </w:p>
        </w:tc>
      </w:tr>
      <w:tr>
        <w:trPr>
          <w:trHeight w:val="300" w:hRule="atLeast"/>
        </w:trPr>
        <w:tc>
          <w:tcPr>
            <w:tcW w:w="2703" w:type="dxa"/>
          </w:tcPr>
          <w:p>
            <w:pPr>
              <w:pStyle w:val="TableParagraph"/>
              <w:spacing w:before="32"/>
              <w:rPr>
                <w:sz w:val="20"/>
              </w:rPr>
            </w:pPr>
            <w:r>
              <w:rPr>
                <w:sz w:val="20"/>
              </w:rPr>
              <w:t>Stephane Cuny</w:t>
            </w:r>
          </w:p>
        </w:tc>
        <w:tc>
          <w:tcPr>
            <w:tcW w:w="5278" w:type="dxa"/>
          </w:tcPr>
          <w:p>
            <w:pPr>
              <w:pStyle w:val="TableParagraph"/>
              <w:ind w:left="473"/>
              <w:rPr>
                <w:b/>
                <w:sz w:val="20"/>
              </w:rPr>
            </w:pPr>
            <w:r>
              <w:rPr>
                <w:b/>
                <w:sz w:val="20"/>
              </w:rPr>
              <w:t>Société Générale</w:t>
            </w:r>
          </w:p>
        </w:tc>
      </w:tr>
      <w:tr>
        <w:trPr>
          <w:trHeight w:val="300" w:hRule="atLeast"/>
        </w:trPr>
        <w:tc>
          <w:tcPr>
            <w:tcW w:w="2703" w:type="dxa"/>
          </w:tcPr>
          <w:p>
            <w:pPr>
              <w:pStyle w:val="TableParagraph"/>
              <w:spacing w:before="32"/>
              <w:rPr>
                <w:sz w:val="20"/>
              </w:rPr>
            </w:pPr>
            <w:r>
              <w:rPr>
                <w:sz w:val="20"/>
              </w:rPr>
              <w:t>Chirag Dave</w:t>
            </w:r>
          </w:p>
        </w:tc>
        <w:tc>
          <w:tcPr>
            <w:tcW w:w="5278" w:type="dxa"/>
          </w:tcPr>
          <w:p>
            <w:pPr>
              <w:pStyle w:val="TableParagraph"/>
              <w:ind w:left="473"/>
              <w:rPr>
                <w:b/>
                <w:sz w:val="20"/>
              </w:rPr>
            </w:pPr>
            <w:r>
              <w:rPr>
                <w:b/>
                <w:sz w:val="20"/>
              </w:rPr>
              <w:t>UBS</w:t>
            </w:r>
          </w:p>
        </w:tc>
      </w:tr>
      <w:tr>
        <w:trPr>
          <w:trHeight w:val="300" w:hRule="atLeast"/>
        </w:trPr>
        <w:tc>
          <w:tcPr>
            <w:tcW w:w="2703" w:type="dxa"/>
          </w:tcPr>
          <w:p>
            <w:pPr>
              <w:pStyle w:val="TableParagraph"/>
              <w:spacing w:before="32"/>
              <w:rPr>
                <w:sz w:val="20"/>
              </w:rPr>
            </w:pPr>
            <w:r>
              <w:rPr>
                <w:sz w:val="20"/>
              </w:rPr>
              <w:t>Phil Whitehurst</w:t>
            </w:r>
          </w:p>
        </w:tc>
        <w:tc>
          <w:tcPr>
            <w:tcW w:w="5278" w:type="dxa"/>
          </w:tcPr>
          <w:p>
            <w:pPr>
              <w:pStyle w:val="TableParagraph"/>
              <w:ind w:left="473"/>
              <w:rPr>
                <w:b/>
                <w:sz w:val="20"/>
              </w:rPr>
            </w:pPr>
            <w:r>
              <w:rPr>
                <w:b/>
                <w:sz w:val="20"/>
              </w:rPr>
              <w:t>LCH.Clearnet (Observer)</w:t>
            </w:r>
          </w:p>
        </w:tc>
      </w:tr>
      <w:tr>
        <w:trPr>
          <w:trHeight w:val="300" w:hRule="atLeast"/>
        </w:trPr>
        <w:tc>
          <w:tcPr>
            <w:tcW w:w="2703" w:type="dxa"/>
          </w:tcPr>
          <w:p>
            <w:pPr>
              <w:pStyle w:val="TableParagraph"/>
              <w:spacing w:before="32"/>
              <w:rPr>
                <w:sz w:val="20"/>
              </w:rPr>
            </w:pPr>
            <w:r>
              <w:rPr>
                <w:sz w:val="20"/>
              </w:rPr>
              <w:t>Michael Davie</w:t>
            </w:r>
          </w:p>
        </w:tc>
        <w:tc>
          <w:tcPr>
            <w:tcW w:w="5278" w:type="dxa"/>
          </w:tcPr>
          <w:p>
            <w:pPr>
              <w:pStyle w:val="TableParagraph"/>
              <w:ind w:left="473"/>
              <w:rPr>
                <w:b/>
                <w:sz w:val="20"/>
              </w:rPr>
            </w:pPr>
            <w:r>
              <w:rPr>
                <w:b/>
                <w:sz w:val="20"/>
              </w:rPr>
              <w:t>LSE Group (Guest, only for their presentation)</w:t>
            </w:r>
          </w:p>
        </w:tc>
      </w:tr>
      <w:tr>
        <w:trPr>
          <w:trHeight w:val="300" w:hRule="atLeast"/>
        </w:trPr>
        <w:tc>
          <w:tcPr>
            <w:tcW w:w="2703" w:type="dxa"/>
          </w:tcPr>
          <w:p>
            <w:pPr>
              <w:pStyle w:val="TableParagraph"/>
              <w:spacing w:before="32"/>
              <w:rPr>
                <w:sz w:val="20"/>
              </w:rPr>
            </w:pPr>
            <w:r>
              <w:rPr>
                <w:sz w:val="20"/>
              </w:rPr>
              <w:t>Oliver Huggins</w:t>
            </w:r>
          </w:p>
        </w:tc>
        <w:tc>
          <w:tcPr>
            <w:tcW w:w="5278" w:type="dxa"/>
          </w:tcPr>
          <w:p>
            <w:pPr>
              <w:pStyle w:val="TableParagraph"/>
              <w:ind w:left="473"/>
              <w:rPr>
                <w:b/>
                <w:sz w:val="20"/>
              </w:rPr>
            </w:pPr>
            <w:r>
              <w:rPr>
                <w:b/>
                <w:sz w:val="20"/>
              </w:rPr>
              <w:t>LSE Group (Guest, only for their presentation)</w:t>
            </w:r>
          </w:p>
        </w:tc>
      </w:tr>
      <w:tr>
        <w:trPr>
          <w:trHeight w:val="300" w:hRule="atLeast"/>
        </w:trPr>
        <w:tc>
          <w:tcPr>
            <w:tcW w:w="2703" w:type="dxa"/>
          </w:tcPr>
          <w:p>
            <w:pPr>
              <w:pStyle w:val="TableParagraph"/>
              <w:spacing w:before="33"/>
              <w:rPr>
                <w:sz w:val="20"/>
              </w:rPr>
            </w:pPr>
            <w:r>
              <w:rPr>
                <w:sz w:val="20"/>
              </w:rPr>
              <w:t>Chris Woods</w:t>
            </w:r>
          </w:p>
        </w:tc>
        <w:tc>
          <w:tcPr>
            <w:tcW w:w="5278" w:type="dxa"/>
          </w:tcPr>
          <w:p>
            <w:pPr>
              <w:pStyle w:val="TableParagraph"/>
              <w:ind w:left="473"/>
              <w:rPr>
                <w:b/>
                <w:sz w:val="20"/>
              </w:rPr>
            </w:pPr>
            <w:r>
              <w:rPr>
                <w:b/>
                <w:sz w:val="20"/>
              </w:rPr>
              <w:t>LSE Group (Guest, only for their presentation)</w:t>
            </w:r>
          </w:p>
        </w:tc>
      </w:tr>
      <w:tr>
        <w:trPr>
          <w:trHeight w:val="300" w:hRule="atLeast"/>
        </w:trPr>
        <w:tc>
          <w:tcPr>
            <w:tcW w:w="2703" w:type="dxa"/>
          </w:tcPr>
          <w:p>
            <w:pPr>
              <w:pStyle w:val="TableParagraph"/>
              <w:spacing w:before="32"/>
              <w:rPr>
                <w:sz w:val="20"/>
              </w:rPr>
            </w:pPr>
            <w:r>
              <w:rPr>
                <w:sz w:val="20"/>
              </w:rPr>
              <w:t>Anoushka Babbar</w:t>
            </w:r>
          </w:p>
        </w:tc>
        <w:tc>
          <w:tcPr>
            <w:tcW w:w="5278" w:type="dxa"/>
          </w:tcPr>
          <w:p>
            <w:pPr>
              <w:pStyle w:val="TableParagraph"/>
              <w:ind w:left="473"/>
              <w:rPr>
                <w:b/>
                <w:sz w:val="20"/>
              </w:rPr>
            </w:pPr>
            <w:r>
              <w:rPr>
                <w:b/>
                <w:sz w:val="20"/>
              </w:rPr>
              <w:t>LSE Group (Guest, only for their presentation)</w:t>
            </w:r>
          </w:p>
        </w:tc>
      </w:tr>
      <w:tr>
        <w:trPr>
          <w:trHeight w:val="300" w:hRule="atLeast"/>
        </w:trPr>
        <w:tc>
          <w:tcPr>
            <w:tcW w:w="2703" w:type="dxa"/>
          </w:tcPr>
          <w:p>
            <w:pPr>
              <w:pStyle w:val="TableParagraph"/>
              <w:spacing w:before="32"/>
              <w:rPr>
                <w:sz w:val="20"/>
              </w:rPr>
            </w:pPr>
            <w:r>
              <w:rPr>
                <w:sz w:val="20"/>
              </w:rPr>
              <w:t>Paul Avis</w:t>
            </w:r>
          </w:p>
        </w:tc>
        <w:tc>
          <w:tcPr>
            <w:tcW w:w="5278" w:type="dxa"/>
          </w:tcPr>
          <w:p>
            <w:pPr>
              <w:pStyle w:val="TableParagraph"/>
              <w:ind w:left="473"/>
              <w:rPr>
                <w:b/>
                <w:sz w:val="20"/>
              </w:rPr>
            </w:pPr>
            <w:r>
              <w:rPr>
                <w:b/>
                <w:sz w:val="20"/>
              </w:rPr>
              <w:t>LSE Group (Guest, only for their presentation)</w:t>
            </w:r>
          </w:p>
        </w:tc>
      </w:tr>
      <w:tr>
        <w:trPr>
          <w:trHeight w:val="300" w:hRule="atLeast"/>
        </w:trPr>
        <w:tc>
          <w:tcPr>
            <w:tcW w:w="2703" w:type="dxa"/>
          </w:tcPr>
          <w:p>
            <w:pPr>
              <w:pStyle w:val="TableParagraph"/>
              <w:spacing w:before="32"/>
              <w:rPr>
                <w:sz w:val="20"/>
              </w:rPr>
            </w:pPr>
            <w:r>
              <w:rPr>
                <w:sz w:val="20"/>
              </w:rPr>
              <w:t>Paul Elkins</w:t>
            </w:r>
          </w:p>
        </w:tc>
        <w:tc>
          <w:tcPr>
            <w:tcW w:w="5278" w:type="dxa"/>
          </w:tcPr>
          <w:p>
            <w:pPr>
              <w:pStyle w:val="TableParagraph"/>
              <w:ind w:left="473"/>
              <w:rPr>
                <w:b/>
                <w:sz w:val="20"/>
              </w:rPr>
            </w:pPr>
            <w:r>
              <w:rPr>
                <w:b/>
                <w:sz w:val="20"/>
              </w:rPr>
              <w:t>LCH.Clearnet (Guest, only for their presentation)</w:t>
            </w:r>
          </w:p>
        </w:tc>
      </w:tr>
      <w:tr>
        <w:trPr>
          <w:trHeight w:val="262" w:hRule="atLeast"/>
        </w:trPr>
        <w:tc>
          <w:tcPr>
            <w:tcW w:w="2703" w:type="dxa"/>
          </w:tcPr>
          <w:p>
            <w:pPr>
              <w:pStyle w:val="TableParagraph"/>
              <w:spacing w:line="210" w:lineRule="exact" w:before="32"/>
              <w:rPr>
                <w:sz w:val="20"/>
              </w:rPr>
            </w:pPr>
            <w:r>
              <w:rPr>
                <w:sz w:val="20"/>
              </w:rPr>
              <w:t>Angus Scott</w:t>
            </w:r>
          </w:p>
        </w:tc>
        <w:tc>
          <w:tcPr>
            <w:tcW w:w="5278" w:type="dxa"/>
          </w:tcPr>
          <w:p>
            <w:pPr>
              <w:pStyle w:val="TableParagraph"/>
              <w:spacing w:line="212" w:lineRule="exact"/>
              <w:ind w:left="473"/>
              <w:rPr>
                <w:b/>
                <w:sz w:val="20"/>
              </w:rPr>
            </w:pPr>
            <w:r>
              <w:rPr>
                <w:b/>
                <w:sz w:val="20"/>
              </w:rPr>
              <w:t>Euroclear (Guest, only for their presentation)</w:t>
            </w:r>
          </w:p>
        </w:tc>
      </w:tr>
    </w:tbl>
    <w:p>
      <w:pPr>
        <w:pStyle w:val="BodyText"/>
        <w:rPr>
          <w:b/>
          <w:sz w:val="22"/>
        </w:rPr>
      </w:pPr>
    </w:p>
    <w:p>
      <w:pPr>
        <w:pStyle w:val="BodyText"/>
        <w:spacing w:before="5"/>
        <w:rPr>
          <w:b/>
          <w:sz w:val="21"/>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4" w:hRule="atLeast"/>
        </w:trPr>
        <w:tc>
          <w:tcPr>
            <w:tcW w:w="2580" w:type="dxa"/>
          </w:tcPr>
          <w:p>
            <w:pPr>
              <w:pStyle w:val="TableParagraph"/>
              <w:spacing w:line="225" w:lineRule="exact" w:before="0"/>
              <w:rPr>
                <w:sz w:val="20"/>
              </w:rPr>
            </w:pPr>
            <w:r>
              <w:rPr>
                <w:sz w:val="20"/>
              </w:rPr>
              <w:t>Tim Taylor</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Will Parry</w:t>
            </w:r>
          </w:p>
        </w:tc>
        <w:tc>
          <w:tcPr>
            <w:tcW w:w="3657" w:type="dxa"/>
          </w:tcPr>
          <w:p>
            <w:pPr>
              <w:pStyle w:val="TableParagraph"/>
              <w:spacing w:before="32"/>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Rob Harris</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Sakshi Gupta</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David Geen</w:t>
            </w:r>
          </w:p>
        </w:tc>
        <w:tc>
          <w:tcPr>
            <w:tcW w:w="3657" w:type="dxa"/>
          </w:tcPr>
          <w:p>
            <w:pPr>
              <w:pStyle w:val="TableParagraph"/>
              <w:spacing w:before="33"/>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57" w:type="dxa"/>
          </w:tcPr>
          <w:p>
            <w:pPr>
              <w:pStyle w:val="TableParagraph"/>
              <w:spacing w:before="31"/>
              <w:ind w:left="781"/>
              <w:rPr>
                <w:b/>
                <w:sz w:val="20"/>
              </w:rPr>
            </w:pPr>
            <w:r>
              <w:rPr>
                <w:b/>
                <w:sz w:val="20"/>
              </w:rPr>
              <w:t>Financial Conduct Authority</w:t>
            </w:r>
          </w:p>
        </w:tc>
      </w:tr>
      <w:tr>
        <w:trPr>
          <w:trHeight w:val="302" w:hRule="atLeast"/>
        </w:trPr>
        <w:tc>
          <w:tcPr>
            <w:tcW w:w="2580" w:type="dxa"/>
          </w:tcPr>
          <w:p>
            <w:pPr>
              <w:pStyle w:val="TableParagraph"/>
              <w:spacing w:before="34"/>
              <w:rPr>
                <w:sz w:val="20"/>
              </w:rPr>
            </w:pPr>
            <w:r>
              <w:rPr>
                <w:sz w:val="20"/>
              </w:rPr>
              <w:t>Heather Pilley</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180" w:bottom="280" w:left="12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194" w:hanging="360"/>
        <w:jc w:val="left"/>
      </w:pPr>
      <w:rPr>
        <w:rFonts w:hint="default" w:ascii="Arial" w:hAnsi="Arial" w:eastAsia="Arial" w:cs="Arial"/>
        <w:spacing w:val="-2"/>
        <w:w w:val="99"/>
        <w:sz w:val="20"/>
        <w:szCs w:val="20"/>
        <w:lang w:val="en-gb" w:eastAsia="en-gb" w:bidi="en-gb"/>
      </w:rPr>
    </w:lvl>
    <w:lvl w:ilvl="1">
      <w:start w:val="0"/>
      <w:numFmt w:val="bullet"/>
      <w:lvlText w:val="•"/>
      <w:lvlJc w:val="left"/>
      <w:pPr>
        <w:ind w:left="2044" w:hanging="360"/>
      </w:pPr>
      <w:rPr>
        <w:rFonts w:hint="default"/>
        <w:lang w:val="en-gb" w:eastAsia="en-gb" w:bidi="en-gb"/>
      </w:rPr>
    </w:lvl>
    <w:lvl w:ilvl="2">
      <w:start w:val="0"/>
      <w:numFmt w:val="bullet"/>
      <w:lvlText w:val="•"/>
      <w:lvlJc w:val="left"/>
      <w:pPr>
        <w:ind w:left="2889" w:hanging="360"/>
      </w:pPr>
      <w:rPr>
        <w:rFonts w:hint="default"/>
        <w:lang w:val="en-gb" w:eastAsia="en-gb" w:bidi="en-gb"/>
      </w:rPr>
    </w:lvl>
    <w:lvl w:ilvl="3">
      <w:start w:val="0"/>
      <w:numFmt w:val="bullet"/>
      <w:lvlText w:val="•"/>
      <w:lvlJc w:val="left"/>
      <w:pPr>
        <w:ind w:left="3733" w:hanging="360"/>
      </w:pPr>
      <w:rPr>
        <w:rFonts w:hint="default"/>
        <w:lang w:val="en-gb" w:eastAsia="en-gb" w:bidi="en-gb"/>
      </w:rPr>
    </w:lvl>
    <w:lvl w:ilvl="4">
      <w:start w:val="0"/>
      <w:numFmt w:val="bullet"/>
      <w:lvlText w:val="•"/>
      <w:lvlJc w:val="left"/>
      <w:pPr>
        <w:ind w:left="4578" w:hanging="360"/>
      </w:pPr>
      <w:rPr>
        <w:rFonts w:hint="default"/>
        <w:lang w:val="en-gb" w:eastAsia="en-gb" w:bidi="en-gb"/>
      </w:rPr>
    </w:lvl>
    <w:lvl w:ilvl="5">
      <w:start w:val="0"/>
      <w:numFmt w:val="bullet"/>
      <w:lvlText w:val="•"/>
      <w:lvlJc w:val="left"/>
      <w:pPr>
        <w:ind w:left="5423" w:hanging="360"/>
      </w:pPr>
      <w:rPr>
        <w:rFonts w:hint="default"/>
        <w:lang w:val="en-gb" w:eastAsia="en-gb" w:bidi="en-gb"/>
      </w:rPr>
    </w:lvl>
    <w:lvl w:ilvl="6">
      <w:start w:val="0"/>
      <w:numFmt w:val="bullet"/>
      <w:lvlText w:val="•"/>
      <w:lvlJc w:val="left"/>
      <w:pPr>
        <w:ind w:left="6267" w:hanging="360"/>
      </w:pPr>
      <w:rPr>
        <w:rFonts w:hint="default"/>
        <w:lang w:val="en-gb" w:eastAsia="en-gb" w:bidi="en-gb"/>
      </w:rPr>
    </w:lvl>
    <w:lvl w:ilvl="7">
      <w:start w:val="0"/>
      <w:numFmt w:val="bullet"/>
      <w:lvlText w:val="•"/>
      <w:lvlJc w:val="left"/>
      <w:pPr>
        <w:ind w:left="7112" w:hanging="360"/>
      </w:pPr>
      <w:rPr>
        <w:rFonts w:hint="default"/>
        <w:lang w:val="en-gb" w:eastAsia="en-gb" w:bidi="en-gb"/>
      </w:rPr>
    </w:lvl>
    <w:lvl w:ilvl="8">
      <w:start w:val="0"/>
      <w:numFmt w:val="bullet"/>
      <w:lvlText w:val="•"/>
      <w:lvlJc w:val="left"/>
      <w:pPr>
        <w:ind w:left="7957" w:hanging="360"/>
      </w:pPr>
      <w:rPr>
        <w:rFonts w:hint="default"/>
        <w:lang w:val="en-gb" w:eastAsia="en-gb" w:bidi="en-gb"/>
      </w:rPr>
    </w:lvl>
  </w:abstractNum>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94" w:hanging="360"/>
      </w:pPr>
      <w:rPr>
        <w:rFonts w:hint="default" w:ascii="Symbol" w:hAnsi="Symbol" w:eastAsia="Symbol" w:cs="Symbol"/>
        <w:w w:val="99"/>
        <w:sz w:val="20"/>
        <w:szCs w:val="20"/>
        <w:lang w:val="en-gb" w:eastAsia="en-gb" w:bidi="en-gb"/>
      </w:rPr>
    </w:lvl>
    <w:lvl w:ilvl="2">
      <w:start w:val="0"/>
      <w:numFmt w:val="bullet"/>
      <w:lvlText w:val="•"/>
      <w:lvlJc w:val="left"/>
      <w:pPr>
        <w:ind w:left="2138" w:hanging="360"/>
      </w:pPr>
      <w:rPr>
        <w:rFonts w:hint="default"/>
        <w:lang w:val="en-gb" w:eastAsia="en-gb" w:bidi="en-gb"/>
      </w:rPr>
    </w:lvl>
    <w:lvl w:ilvl="3">
      <w:start w:val="0"/>
      <w:numFmt w:val="bullet"/>
      <w:lvlText w:val="•"/>
      <w:lvlJc w:val="left"/>
      <w:pPr>
        <w:ind w:left="3076" w:hanging="360"/>
      </w:pPr>
      <w:rPr>
        <w:rFonts w:hint="default"/>
        <w:lang w:val="en-gb" w:eastAsia="en-gb" w:bidi="en-gb"/>
      </w:rPr>
    </w:lvl>
    <w:lvl w:ilvl="4">
      <w:start w:val="0"/>
      <w:numFmt w:val="bullet"/>
      <w:lvlText w:val="•"/>
      <w:lvlJc w:val="left"/>
      <w:pPr>
        <w:ind w:left="4015" w:hanging="360"/>
      </w:pPr>
      <w:rPr>
        <w:rFonts w:hint="default"/>
        <w:lang w:val="en-gb" w:eastAsia="en-gb" w:bidi="en-gb"/>
      </w:rPr>
    </w:lvl>
    <w:lvl w:ilvl="5">
      <w:start w:val="0"/>
      <w:numFmt w:val="bullet"/>
      <w:lvlText w:val="•"/>
      <w:lvlJc w:val="left"/>
      <w:pPr>
        <w:ind w:left="4953" w:hanging="360"/>
      </w:pPr>
      <w:rPr>
        <w:rFonts w:hint="default"/>
        <w:lang w:val="en-gb" w:eastAsia="en-gb" w:bidi="en-gb"/>
      </w:rPr>
    </w:lvl>
    <w:lvl w:ilvl="6">
      <w:start w:val="0"/>
      <w:numFmt w:val="bullet"/>
      <w:lvlText w:val="•"/>
      <w:lvlJc w:val="left"/>
      <w:pPr>
        <w:ind w:left="5892" w:hanging="360"/>
      </w:pPr>
      <w:rPr>
        <w:rFonts w:hint="default"/>
        <w:lang w:val="en-gb" w:eastAsia="en-gb" w:bidi="en-gb"/>
      </w:rPr>
    </w:lvl>
    <w:lvl w:ilvl="7">
      <w:start w:val="0"/>
      <w:numFmt w:val="bullet"/>
      <w:lvlText w:val="•"/>
      <w:lvlJc w:val="left"/>
      <w:pPr>
        <w:ind w:left="6830" w:hanging="360"/>
      </w:pPr>
      <w:rPr>
        <w:rFonts w:hint="default"/>
        <w:lang w:val="en-gb" w:eastAsia="en-gb" w:bidi="en-gb"/>
      </w:rPr>
    </w:lvl>
    <w:lvl w:ilvl="8">
      <w:start w:val="0"/>
      <w:numFmt w:val="bullet"/>
      <w:lvlText w:val="•"/>
      <w:lvlJc w:val="left"/>
      <w:pPr>
        <w:ind w:left="7769"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tserussell.com/research-insights/SONET" TargetMode="External"/><Relationship Id="rId6" Type="http://schemas.openxmlformats.org/officeDocument/2006/relationships/hyperlink" Target="http://www.bankofengland.co.uk/markets/Documents/sterlingoperations/rfr/minutes14jul15.pdf" TargetMode="External"/><Relationship Id="rId7" Type="http://schemas.openxmlformats.org/officeDocument/2006/relationships/hyperlink" Target="http://www.esma.europa.eu/system/files_force/library/2016-1406.pdf?download=1"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2 November 2016</dc:subject>
  <dc:title>Minutes of the Meeting of the Working Group on Sterling Risk-Free Reference Rates</dc:title>
  <dcterms:created xsi:type="dcterms:W3CDTF">2020-06-01T02:22:14Z</dcterms:created>
  <dcterms:modified xsi:type="dcterms:W3CDTF">2020-06-01T02:22:14Z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2020-06-01T00:00:00Z</vt:filetime>
  </property>
</Properties>
</file>