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auto" w:before="79"/>
        <w:ind w:left="728" w:right="629"/>
        <w:jc w:val="center"/>
      </w:pPr>
      <w:r>
        <w:rPr/>
        <w:t>Minutes of the Meeting of the Working Group on Sterling Risk-Free Reference Rates Wednesday 15 April</w:t>
      </w:r>
    </w:p>
    <w:p>
      <w:pPr>
        <w:spacing w:line="229" w:lineRule="exact" w:before="0"/>
        <w:ind w:left="728" w:right="629" w:firstLine="0"/>
        <w:jc w:val="center"/>
        <w:rPr>
          <w:b/>
          <w:sz w:val="20"/>
        </w:rPr>
      </w:pPr>
      <w:r>
        <w:rPr>
          <w:b/>
          <w:sz w:val="20"/>
        </w:rPr>
        <w:t>Bank of England</w:t>
      </w:r>
    </w:p>
    <w:p>
      <w:pPr>
        <w:pStyle w:val="BodyText"/>
        <w:spacing w:before="4"/>
        <w:rPr>
          <w:b/>
          <w:sz w:val="27"/>
        </w:rPr>
      </w:pPr>
    </w:p>
    <w:p>
      <w:pPr>
        <w:spacing w:before="0"/>
        <w:ind w:left="200" w:right="0" w:firstLine="0"/>
        <w:jc w:val="left"/>
        <w:rPr>
          <w:b/>
          <w:sz w:val="20"/>
        </w:rPr>
      </w:pPr>
      <w:r>
        <w:rPr>
          <w:b/>
          <w:sz w:val="20"/>
        </w:rPr>
        <w:t>Minutes of 18 March 2015 meeting</w:t>
      </w:r>
    </w:p>
    <w:p>
      <w:pPr>
        <w:pStyle w:val="BodyText"/>
        <w:spacing w:before="6"/>
        <w:rPr>
          <w:b/>
          <w:sz w:val="27"/>
        </w:rPr>
      </w:pPr>
    </w:p>
    <w:p>
      <w:pPr>
        <w:pStyle w:val="ListParagraph"/>
        <w:numPr>
          <w:ilvl w:val="0"/>
          <w:numId w:val="1"/>
        </w:numPr>
        <w:tabs>
          <w:tab w:pos="627" w:val="left" w:leader="none"/>
          <w:tab w:pos="628" w:val="left" w:leader="none"/>
        </w:tabs>
        <w:spacing w:line="240" w:lineRule="auto" w:before="1" w:after="0"/>
        <w:ind w:left="627" w:right="0" w:hanging="349"/>
        <w:jc w:val="left"/>
        <w:rPr>
          <w:sz w:val="20"/>
        </w:rPr>
      </w:pPr>
      <w:r>
        <w:rPr>
          <w:sz w:val="20"/>
        </w:rPr>
        <w:t>The minutes of the previous meeting on 18 March 2015 were</w:t>
      </w:r>
      <w:r>
        <w:rPr>
          <w:spacing w:val="1"/>
          <w:sz w:val="20"/>
        </w:rPr>
        <w:t> </w:t>
      </w:r>
      <w:r>
        <w:rPr>
          <w:sz w:val="20"/>
        </w:rPr>
        <w:t>approved.</w:t>
      </w:r>
    </w:p>
    <w:p>
      <w:pPr>
        <w:pStyle w:val="BodyText"/>
        <w:spacing w:before="4"/>
        <w:rPr>
          <w:sz w:val="27"/>
        </w:rPr>
      </w:pPr>
    </w:p>
    <w:p>
      <w:pPr>
        <w:pStyle w:val="Heading1"/>
      </w:pPr>
      <w:r>
        <w:rPr/>
        <w:t>Objectives, success criteria and RFR selection criteria</w:t>
      </w:r>
    </w:p>
    <w:p>
      <w:pPr>
        <w:pStyle w:val="BodyText"/>
        <w:spacing w:before="4"/>
        <w:rPr>
          <w:b/>
          <w:sz w:val="27"/>
        </w:rPr>
      </w:pPr>
    </w:p>
    <w:p>
      <w:pPr>
        <w:pStyle w:val="ListParagraph"/>
        <w:numPr>
          <w:ilvl w:val="0"/>
          <w:numId w:val="1"/>
        </w:numPr>
        <w:tabs>
          <w:tab w:pos="627" w:val="left" w:leader="none"/>
          <w:tab w:pos="628" w:val="left" w:leader="none"/>
        </w:tabs>
        <w:spacing w:line="360" w:lineRule="auto" w:before="0" w:after="0"/>
        <w:ind w:left="279" w:right="122" w:firstLine="0"/>
        <w:jc w:val="left"/>
        <w:rPr>
          <w:sz w:val="20"/>
        </w:rPr>
      </w:pPr>
      <w:r>
        <w:rPr>
          <w:sz w:val="20"/>
        </w:rPr>
        <w:t>The Group’s objective, as Chris Salmon had set out in March, was to identify a suitable near risk- free reference rate for sterling markets, and formulate a transition plan to catalyse a change in market practice so that a significant portion of derivatives contracts reference the new RFR rather than LIBOR. The Group agreed that two success criteria followed from that overall</w:t>
      </w:r>
      <w:r>
        <w:rPr>
          <w:spacing w:val="-19"/>
          <w:sz w:val="20"/>
        </w:rPr>
        <w:t> </w:t>
      </w:r>
      <w:r>
        <w:rPr>
          <w:sz w:val="20"/>
        </w:rPr>
        <w:t>objective:</w:t>
      </w:r>
    </w:p>
    <w:p>
      <w:pPr>
        <w:pStyle w:val="ListParagraph"/>
        <w:numPr>
          <w:ilvl w:val="1"/>
          <w:numId w:val="1"/>
        </w:numPr>
        <w:tabs>
          <w:tab w:pos="1640" w:val="left" w:leader="none"/>
          <w:tab w:pos="1641" w:val="left" w:leader="none"/>
        </w:tabs>
        <w:spacing w:line="350" w:lineRule="auto" w:before="2" w:after="0"/>
        <w:ind w:left="1640" w:right="115" w:hanging="360"/>
        <w:jc w:val="left"/>
        <w:rPr>
          <w:sz w:val="20"/>
        </w:rPr>
      </w:pPr>
      <w:r>
        <w:rPr>
          <w:sz w:val="20"/>
        </w:rPr>
        <w:t>To establish a robust and credible RFR which has broad market support and is widely used as a reference rate, initially in derivatives markets;</w:t>
      </w:r>
      <w:r>
        <w:rPr>
          <w:spacing w:val="-8"/>
          <w:sz w:val="20"/>
        </w:rPr>
        <w:t> </w:t>
      </w:r>
      <w:r>
        <w:rPr>
          <w:sz w:val="20"/>
        </w:rPr>
        <w:t>and</w:t>
      </w:r>
    </w:p>
    <w:p>
      <w:pPr>
        <w:pStyle w:val="ListParagraph"/>
        <w:numPr>
          <w:ilvl w:val="1"/>
          <w:numId w:val="1"/>
        </w:numPr>
        <w:tabs>
          <w:tab w:pos="1633" w:val="left" w:leader="none"/>
          <w:tab w:pos="1634" w:val="left" w:leader="none"/>
        </w:tabs>
        <w:spacing w:line="352" w:lineRule="auto" w:before="10" w:after="0"/>
        <w:ind w:left="1633" w:right="365" w:hanging="356"/>
        <w:jc w:val="left"/>
        <w:rPr>
          <w:sz w:val="20"/>
        </w:rPr>
      </w:pPr>
      <w:r>
        <w:rPr>
          <w:sz w:val="20"/>
        </w:rPr>
        <w:t>To effect a transition away from Libor to the new RFR for relevant products and markets, that meets pre-determined metrics of success, to be agreed by the</w:t>
      </w:r>
      <w:r>
        <w:rPr>
          <w:spacing w:val="-18"/>
          <w:sz w:val="20"/>
        </w:rPr>
        <w:t> </w:t>
      </w:r>
      <w:r>
        <w:rPr>
          <w:sz w:val="20"/>
        </w:rPr>
        <w:t>group.</w:t>
      </w:r>
    </w:p>
    <w:p>
      <w:pPr>
        <w:pStyle w:val="BodyText"/>
        <w:spacing w:before="7"/>
        <w:rPr>
          <w:sz w:val="17"/>
        </w:rPr>
      </w:pPr>
    </w:p>
    <w:p>
      <w:pPr>
        <w:pStyle w:val="BodyText"/>
        <w:spacing w:line="360" w:lineRule="auto"/>
        <w:ind w:left="279" w:right="125"/>
      </w:pPr>
      <w:r>
        <w:rPr/>
        <w:t>The Group noted that these would have to be translated into specific, measurable, criteria later in the process – ahead of transition to the new RFR – and agreed to revisit this question at that point.</w:t>
      </w:r>
    </w:p>
    <w:p>
      <w:pPr>
        <w:pStyle w:val="BodyText"/>
        <w:rPr>
          <w:sz w:val="30"/>
        </w:rPr>
      </w:pPr>
    </w:p>
    <w:p>
      <w:pPr>
        <w:pStyle w:val="ListParagraph"/>
        <w:numPr>
          <w:ilvl w:val="0"/>
          <w:numId w:val="1"/>
        </w:numPr>
        <w:tabs>
          <w:tab w:pos="627" w:val="left" w:leader="none"/>
          <w:tab w:pos="628" w:val="left" w:leader="none"/>
        </w:tabs>
        <w:spacing w:line="360" w:lineRule="auto" w:before="0" w:after="0"/>
        <w:ind w:left="279" w:right="113" w:firstLine="0"/>
        <w:jc w:val="left"/>
        <w:rPr>
          <w:sz w:val="20"/>
        </w:rPr>
      </w:pPr>
      <w:r>
        <w:rPr>
          <w:sz w:val="20"/>
        </w:rPr>
        <w:t>There was a discussion of the criteria that would be relevant in selecting a RFR. It was important to reach agreement on the high-level selection criteria before the Group’s work in exploring potential RFR options began in earnest. These could be revisited, and the various criteria weighed up, once the Group reached the point of making its final decision on the RFR. It was suggested that assessment of RFRs against the agreed criteria would not necessarily be an outright optimisation exercise. For example some criteria might be considered as “hurdles” for the RFR to meet. An initial discussion of selection criteria</w:t>
      </w:r>
      <w:r>
        <w:rPr>
          <w:spacing w:val="-1"/>
          <w:sz w:val="20"/>
        </w:rPr>
        <w:t> </w:t>
      </w:r>
      <w:r>
        <w:rPr>
          <w:sz w:val="20"/>
        </w:rPr>
        <w:t>covered:</w:t>
      </w:r>
    </w:p>
    <w:p>
      <w:pPr>
        <w:pStyle w:val="ListParagraph"/>
        <w:numPr>
          <w:ilvl w:val="1"/>
          <w:numId w:val="1"/>
        </w:numPr>
        <w:tabs>
          <w:tab w:pos="1640" w:val="left" w:leader="none"/>
          <w:tab w:pos="1641" w:val="left" w:leader="none"/>
        </w:tabs>
        <w:spacing w:line="240" w:lineRule="auto" w:before="1" w:after="0"/>
        <w:ind w:left="1640" w:right="0" w:hanging="361"/>
        <w:jc w:val="left"/>
        <w:rPr>
          <w:sz w:val="20"/>
        </w:rPr>
      </w:pPr>
      <w:r>
        <w:rPr>
          <w:sz w:val="20"/>
        </w:rPr>
        <w:t>Conceptual suitability (e.g. proximity to</w:t>
      </w:r>
      <w:r>
        <w:rPr>
          <w:spacing w:val="-8"/>
          <w:sz w:val="20"/>
        </w:rPr>
        <w:t> </w:t>
      </w:r>
      <w:r>
        <w:rPr>
          <w:sz w:val="20"/>
        </w:rPr>
        <w:t>‘risk-free’)</w:t>
      </w:r>
    </w:p>
    <w:p>
      <w:pPr>
        <w:pStyle w:val="ListParagraph"/>
        <w:numPr>
          <w:ilvl w:val="1"/>
          <w:numId w:val="1"/>
        </w:numPr>
        <w:tabs>
          <w:tab w:pos="1640" w:val="left" w:leader="none"/>
          <w:tab w:pos="1641" w:val="left" w:leader="none"/>
        </w:tabs>
        <w:spacing w:line="350" w:lineRule="auto" w:before="115" w:after="0"/>
        <w:ind w:left="1640" w:right="880" w:hanging="360"/>
        <w:jc w:val="left"/>
        <w:rPr>
          <w:sz w:val="20"/>
        </w:rPr>
      </w:pPr>
      <w:r>
        <w:rPr>
          <w:sz w:val="20"/>
        </w:rPr>
        <w:t>Assessment of the proposed RFR against the IOSCO Principles for Financial Benchmarks</w:t>
      </w:r>
    </w:p>
    <w:p>
      <w:pPr>
        <w:pStyle w:val="ListParagraph"/>
        <w:numPr>
          <w:ilvl w:val="1"/>
          <w:numId w:val="1"/>
        </w:numPr>
        <w:tabs>
          <w:tab w:pos="1640" w:val="left" w:leader="none"/>
          <w:tab w:pos="1641" w:val="left" w:leader="none"/>
        </w:tabs>
        <w:spacing w:line="240" w:lineRule="auto" w:before="9" w:after="0"/>
        <w:ind w:left="1640" w:right="0" w:hanging="361"/>
        <w:jc w:val="left"/>
        <w:rPr>
          <w:sz w:val="20"/>
        </w:rPr>
      </w:pPr>
      <w:r>
        <w:rPr>
          <w:sz w:val="20"/>
        </w:rPr>
        <w:t>Ease of</w:t>
      </w:r>
      <w:r>
        <w:rPr>
          <w:spacing w:val="-1"/>
          <w:sz w:val="20"/>
        </w:rPr>
        <w:t> </w:t>
      </w:r>
      <w:r>
        <w:rPr>
          <w:sz w:val="20"/>
        </w:rPr>
        <w:t>implementation</w:t>
      </w:r>
    </w:p>
    <w:p>
      <w:pPr>
        <w:pStyle w:val="ListParagraph"/>
        <w:numPr>
          <w:ilvl w:val="1"/>
          <w:numId w:val="1"/>
        </w:numPr>
        <w:tabs>
          <w:tab w:pos="1640" w:val="left" w:leader="none"/>
          <w:tab w:pos="1641" w:val="left" w:leader="none"/>
        </w:tabs>
        <w:spacing w:line="240" w:lineRule="auto" w:before="113" w:after="0"/>
        <w:ind w:left="1640" w:right="0" w:hanging="361"/>
        <w:jc w:val="left"/>
        <w:rPr>
          <w:sz w:val="20"/>
        </w:rPr>
      </w:pPr>
      <w:r>
        <w:rPr>
          <w:sz w:val="20"/>
        </w:rPr>
        <w:t>Ease of transition away from</w:t>
      </w:r>
      <w:r>
        <w:rPr>
          <w:spacing w:val="-3"/>
          <w:sz w:val="20"/>
        </w:rPr>
        <w:t> </w:t>
      </w:r>
      <w:r>
        <w:rPr>
          <w:sz w:val="20"/>
        </w:rPr>
        <w:t>Libor</w:t>
      </w:r>
    </w:p>
    <w:p>
      <w:pPr>
        <w:pStyle w:val="ListParagraph"/>
        <w:numPr>
          <w:ilvl w:val="1"/>
          <w:numId w:val="1"/>
        </w:numPr>
        <w:tabs>
          <w:tab w:pos="1640" w:val="left" w:leader="none"/>
          <w:tab w:pos="1641" w:val="left" w:leader="none"/>
        </w:tabs>
        <w:spacing w:line="240" w:lineRule="auto" w:before="115" w:after="0"/>
        <w:ind w:left="1640" w:right="0" w:hanging="361"/>
        <w:jc w:val="left"/>
        <w:rPr>
          <w:sz w:val="20"/>
        </w:rPr>
      </w:pPr>
      <w:r>
        <w:rPr>
          <w:sz w:val="20"/>
        </w:rPr>
        <w:t>Issues with adoption by end-users (hedgers, arbitragers, risk takers)</w:t>
      </w:r>
    </w:p>
    <w:p>
      <w:pPr>
        <w:pStyle w:val="ListParagraph"/>
        <w:numPr>
          <w:ilvl w:val="1"/>
          <w:numId w:val="1"/>
        </w:numPr>
        <w:tabs>
          <w:tab w:pos="1640" w:val="left" w:leader="none"/>
          <w:tab w:pos="1641" w:val="left" w:leader="none"/>
        </w:tabs>
        <w:spacing w:line="240" w:lineRule="auto" w:before="113" w:after="0"/>
        <w:ind w:left="1640" w:right="0" w:hanging="361"/>
        <w:jc w:val="left"/>
        <w:rPr>
          <w:sz w:val="20"/>
        </w:rPr>
      </w:pPr>
      <w:r>
        <w:rPr>
          <w:sz w:val="20"/>
        </w:rPr>
        <w:t>Benchmark sustainability</w:t>
      </w:r>
    </w:p>
    <w:p>
      <w:pPr>
        <w:pStyle w:val="ListParagraph"/>
        <w:numPr>
          <w:ilvl w:val="1"/>
          <w:numId w:val="1"/>
        </w:numPr>
        <w:tabs>
          <w:tab w:pos="1640" w:val="left" w:leader="none"/>
          <w:tab w:pos="1641" w:val="left" w:leader="none"/>
        </w:tabs>
        <w:spacing w:line="240" w:lineRule="auto" w:before="113" w:after="0"/>
        <w:ind w:left="1640" w:right="0" w:hanging="361"/>
        <w:jc w:val="left"/>
        <w:rPr>
          <w:sz w:val="20"/>
        </w:rPr>
      </w:pPr>
      <w:r>
        <w:rPr>
          <w:sz w:val="20"/>
        </w:rPr>
        <w:t>Consistency with USD and euro markets</w:t>
      </w:r>
    </w:p>
    <w:p>
      <w:pPr>
        <w:pStyle w:val="BodyText"/>
        <w:rPr>
          <w:sz w:val="24"/>
        </w:rPr>
      </w:pPr>
    </w:p>
    <w:p>
      <w:pPr>
        <w:pStyle w:val="ListParagraph"/>
        <w:numPr>
          <w:ilvl w:val="0"/>
          <w:numId w:val="1"/>
        </w:numPr>
        <w:tabs>
          <w:tab w:pos="627" w:val="left" w:leader="none"/>
          <w:tab w:pos="628" w:val="left" w:leader="none"/>
        </w:tabs>
        <w:spacing w:line="362" w:lineRule="auto" w:before="181" w:after="0"/>
        <w:ind w:left="279" w:right="173" w:firstLine="0"/>
        <w:jc w:val="left"/>
        <w:rPr>
          <w:sz w:val="20"/>
        </w:rPr>
      </w:pPr>
      <w:r>
        <w:rPr>
          <w:sz w:val="20"/>
        </w:rPr>
        <w:t>It was agreed that the Chairman, with support from the Bank, would give further thought to selection criteria and – in light of the discussion made at the meeting – propose a provisional list that the Group would review by written procedure ahead of its next</w:t>
      </w:r>
      <w:r>
        <w:rPr>
          <w:spacing w:val="-7"/>
          <w:sz w:val="20"/>
        </w:rPr>
        <w:t> </w:t>
      </w:r>
      <w:r>
        <w:rPr>
          <w:sz w:val="20"/>
        </w:rPr>
        <w:t>meeting.</w:t>
      </w:r>
    </w:p>
    <w:p>
      <w:pPr>
        <w:spacing w:after="0" w:line="362" w:lineRule="auto"/>
        <w:jc w:val="left"/>
        <w:rPr>
          <w:sz w:val="20"/>
        </w:rPr>
        <w:sectPr>
          <w:type w:val="continuous"/>
          <w:pgSz w:w="11910" w:h="16840"/>
          <w:pgMar w:top="1340" w:bottom="280" w:left="1240" w:right="1340"/>
        </w:sectPr>
      </w:pPr>
    </w:p>
    <w:p>
      <w:pPr>
        <w:pStyle w:val="Heading1"/>
        <w:spacing w:before="79"/>
      </w:pPr>
      <w:r>
        <w:rPr/>
        <w:t>Work plan for the Working Group</w:t>
      </w:r>
    </w:p>
    <w:p>
      <w:pPr>
        <w:pStyle w:val="BodyText"/>
        <w:spacing w:before="4"/>
        <w:rPr>
          <w:b/>
          <w:sz w:val="27"/>
        </w:rPr>
      </w:pPr>
    </w:p>
    <w:p>
      <w:pPr>
        <w:pStyle w:val="ListParagraph"/>
        <w:numPr>
          <w:ilvl w:val="0"/>
          <w:numId w:val="1"/>
        </w:numPr>
        <w:tabs>
          <w:tab w:pos="627" w:val="left" w:leader="none"/>
          <w:tab w:pos="628" w:val="left" w:leader="none"/>
        </w:tabs>
        <w:spacing w:line="360" w:lineRule="auto" w:before="0" w:after="0"/>
        <w:ind w:left="279" w:right="568" w:firstLine="0"/>
        <w:jc w:val="left"/>
        <w:rPr>
          <w:sz w:val="20"/>
        </w:rPr>
      </w:pPr>
      <w:r>
        <w:rPr>
          <w:sz w:val="20"/>
        </w:rPr>
        <w:t>The Chairman introduced a proposed workplan for the Group. It was agreed that four sub- groups would explore RFR options, respectively covering: unsecured rates; secured rates;</w:t>
      </w:r>
      <w:r>
        <w:rPr>
          <w:spacing w:val="-25"/>
          <w:sz w:val="20"/>
        </w:rPr>
        <w:t> </w:t>
      </w:r>
      <w:r>
        <w:rPr>
          <w:sz w:val="20"/>
        </w:rPr>
        <w:t>Bank Rate; and other potential</w:t>
      </w:r>
      <w:r>
        <w:rPr>
          <w:spacing w:val="-2"/>
          <w:sz w:val="20"/>
        </w:rPr>
        <w:t> </w:t>
      </w:r>
      <w:r>
        <w:rPr>
          <w:sz w:val="20"/>
        </w:rPr>
        <w:t>RFRs.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279" w:right="142" w:firstLine="0"/>
        <w:jc w:val="left"/>
        <w:rPr>
          <w:sz w:val="20"/>
        </w:rPr>
      </w:pPr>
      <w:r>
        <w:rPr>
          <w:sz w:val="20"/>
        </w:rPr>
        <w:t>These ‘vertical’ workstreams would begin by evaluating the ‘fundamental’ or innate properties of each candidate benchmark, as distinct from issues relating to implementation and transition. For those RFRs considered viable in the first phase, a second phase would consider implementation and transition issues.</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279" w:right="284" w:firstLine="0"/>
        <w:jc w:val="left"/>
        <w:rPr>
          <w:sz w:val="20"/>
        </w:rPr>
      </w:pPr>
      <w:r>
        <w:rPr>
          <w:sz w:val="20"/>
        </w:rPr>
        <w:t>The early engagement of stakeholders and benchmark users was identified as a key part of the process of creating a successful RFR. It was agreed that, once the first phase of the vertical workstreams was well underway, an outreach programme would begin to engage with external stakeholders and end users. Outreach would be organised into a number of ‘horizontal’ work streams, each targeting particular groups of end-users. Specifically, these would</w:t>
      </w:r>
      <w:r>
        <w:rPr>
          <w:spacing w:val="-10"/>
          <w:sz w:val="20"/>
        </w:rPr>
        <w:t> </w:t>
      </w:r>
      <w:r>
        <w:rPr>
          <w:sz w:val="20"/>
        </w:rPr>
        <w:t>cover:</w:t>
      </w:r>
    </w:p>
    <w:p>
      <w:pPr>
        <w:pStyle w:val="ListParagraph"/>
        <w:numPr>
          <w:ilvl w:val="1"/>
          <w:numId w:val="1"/>
        </w:numPr>
        <w:tabs>
          <w:tab w:pos="1640" w:val="left" w:leader="none"/>
          <w:tab w:pos="1641" w:val="left" w:leader="none"/>
        </w:tabs>
        <w:spacing w:line="240" w:lineRule="auto" w:before="0" w:after="0"/>
        <w:ind w:left="1640" w:right="0" w:hanging="361"/>
        <w:jc w:val="left"/>
        <w:rPr>
          <w:sz w:val="20"/>
        </w:rPr>
      </w:pPr>
      <w:r>
        <w:rPr>
          <w:sz w:val="20"/>
        </w:rPr>
        <w:t>Clearing houses and</w:t>
      </w:r>
      <w:r>
        <w:rPr>
          <w:spacing w:val="1"/>
          <w:sz w:val="20"/>
        </w:rPr>
        <w:t> </w:t>
      </w:r>
      <w:r>
        <w:rPr>
          <w:sz w:val="20"/>
        </w:rPr>
        <w:t>regulators</w:t>
      </w:r>
    </w:p>
    <w:p>
      <w:pPr>
        <w:pStyle w:val="ListParagraph"/>
        <w:numPr>
          <w:ilvl w:val="1"/>
          <w:numId w:val="1"/>
        </w:numPr>
        <w:tabs>
          <w:tab w:pos="1640" w:val="left" w:leader="none"/>
          <w:tab w:pos="1641" w:val="left" w:leader="none"/>
        </w:tabs>
        <w:spacing w:line="240" w:lineRule="auto" w:before="115" w:after="0"/>
        <w:ind w:left="1640" w:right="0" w:hanging="361"/>
        <w:jc w:val="left"/>
        <w:rPr>
          <w:sz w:val="20"/>
        </w:rPr>
      </w:pPr>
      <w:r>
        <w:rPr>
          <w:sz w:val="20"/>
        </w:rPr>
        <w:t>Real money investors, Hedge</w:t>
      </w:r>
      <w:r>
        <w:rPr>
          <w:spacing w:val="-7"/>
          <w:sz w:val="20"/>
        </w:rPr>
        <w:t> </w:t>
      </w:r>
      <w:r>
        <w:rPr>
          <w:sz w:val="20"/>
        </w:rPr>
        <w:t>funds</w:t>
      </w:r>
    </w:p>
    <w:p>
      <w:pPr>
        <w:pStyle w:val="ListParagraph"/>
        <w:numPr>
          <w:ilvl w:val="1"/>
          <w:numId w:val="1"/>
        </w:numPr>
        <w:tabs>
          <w:tab w:pos="1640" w:val="left" w:leader="none"/>
          <w:tab w:pos="1641" w:val="left" w:leader="none"/>
        </w:tabs>
        <w:spacing w:line="240" w:lineRule="auto" w:before="113" w:after="0"/>
        <w:ind w:left="1640" w:right="0" w:hanging="361"/>
        <w:jc w:val="left"/>
        <w:rPr>
          <w:sz w:val="20"/>
        </w:rPr>
      </w:pPr>
      <w:r>
        <w:rPr>
          <w:sz w:val="20"/>
        </w:rPr>
        <w:t>Pension funds, insurance</w:t>
      </w:r>
      <w:r>
        <w:rPr>
          <w:spacing w:val="-4"/>
          <w:sz w:val="20"/>
        </w:rPr>
        <w:t> </w:t>
      </w:r>
      <w:r>
        <w:rPr>
          <w:sz w:val="20"/>
        </w:rPr>
        <w:t>companies</w:t>
      </w:r>
    </w:p>
    <w:p>
      <w:pPr>
        <w:pStyle w:val="ListParagraph"/>
        <w:numPr>
          <w:ilvl w:val="1"/>
          <w:numId w:val="1"/>
        </w:numPr>
        <w:tabs>
          <w:tab w:pos="1640" w:val="left" w:leader="none"/>
          <w:tab w:pos="1641" w:val="left" w:leader="none"/>
        </w:tabs>
        <w:spacing w:line="240" w:lineRule="auto" w:before="112" w:after="0"/>
        <w:ind w:left="1640" w:right="0" w:hanging="361"/>
        <w:jc w:val="left"/>
        <w:rPr>
          <w:sz w:val="20"/>
        </w:rPr>
      </w:pPr>
      <w:r>
        <w:rPr>
          <w:sz w:val="20"/>
        </w:rPr>
        <w:t>Bank</w:t>
      </w:r>
      <w:r>
        <w:rPr>
          <w:spacing w:val="2"/>
          <w:sz w:val="20"/>
        </w:rPr>
        <w:t> </w:t>
      </w:r>
      <w:r>
        <w:rPr>
          <w:sz w:val="20"/>
        </w:rPr>
        <w:t>Treasuries</w:t>
      </w:r>
    </w:p>
    <w:p>
      <w:pPr>
        <w:pStyle w:val="ListParagraph"/>
        <w:numPr>
          <w:ilvl w:val="1"/>
          <w:numId w:val="1"/>
        </w:numPr>
        <w:tabs>
          <w:tab w:pos="1640" w:val="left" w:leader="none"/>
          <w:tab w:pos="1641" w:val="left" w:leader="none"/>
        </w:tabs>
        <w:spacing w:line="240" w:lineRule="auto" w:before="115" w:after="0"/>
        <w:ind w:left="1640" w:right="0" w:hanging="361"/>
        <w:jc w:val="left"/>
        <w:rPr>
          <w:sz w:val="20"/>
        </w:rPr>
      </w:pPr>
      <w:r>
        <w:rPr>
          <w:sz w:val="20"/>
        </w:rPr>
        <w:t>Corporates</w:t>
      </w:r>
    </w:p>
    <w:p>
      <w:pPr>
        <w:pStyle w:val="ListParagraph"/>
        <w:numPr>
          <w:ilvl w:val="1"/>
          <w:numId w:val="1"/>
        </w:numPr>
        <w:tabs>
          <w:tab w:pos="1640" w:val="left" w:leader="none"/>
          <w:tab w:pos="1641" w:val="left" w:leader="none"/>
        </w:tabs>
        <w:spacing w:line="240" w:lineRule="auto" w:before="113" w:after="0"/>
        <w:ind w:left="1640" w:right="0" w:hanging="361"/>
        <w:jc w:val="left"/>
        <w:rPr>
          <w:sz w:val="20"/>
        </w:rPr>
      </w:pPr>
      <w:r>
        <w:rPr>
          <w:sz w:val="20"/>
        </w:rPr>
        <w:t>Supranationals</w:t>
      </w:r>
    </w:p>
    <w:p>
      <w:pPr>
        <w:pStyle w:val="BodyText"/>
        <w:spacing w:line="357" w:lineRule="auto" w:before="114"/>
        <w:ind w:left="279" w:right="470"/>
      </w:pPr>
      <w:r>
        <w:rPr/>
        <w:t>The Group also noted the need to engage with the retail and commercial banking departments of their own institutions.</w:t>
      </w:r>
    </w:p>
    <w:p>
      <w:pPr>
        <w:pStyle w:val="BodyText"/>
        <w:spacing w:before="4"/>
        <w:rPr>
          <w:sz w:val="30"/>
        </w:rPr>
      </w:pPr>
    </w:p>
    <w:p>
      <w:pPr>
        <w:pStyle w:val="ListParagraph"/>
        <w:numPr>
          <w:ilvl w:val="0"/>
          <w:numId w:val="1"/>
        </w:numPr>
        <w:tabs>
          <w:tab w:pos="627" w:val="left" w:leader="none"/>
          <w:tab w:pos="628" w:val="left" w:leader="none"/>
        </w:tabs>
        <w:spacing w:line="360" w:lineRule="auto" w:before="0" w:after="0"/>
        <w:ind w:left="279" w:right="259" w:firstLine="0"/>
        <w:jc w:val="left"/>
        <w:rPr>
          <w:sz w:val="20"/>
        </w:rPr>
      </w:pPr>
      <w:r>
        <w:rPr>
          <w:sz w:val="20"/>
        </w:rPr>
        <w:t>There was a discussion of the proposed timeline for the Group’s work. It was agreed that adoption and transition plans should be in place by the end of the year. Key decisions due over the summer would need to be carefully scheduled to account for Group members’</w:t>
      </w:r>
      <w:r>
        <w:rPr>
          <w:spacing w:val="-9"/>
          <w:sz w:val="20"/>
        </w:rPr>
        <w:t> </w:t>
      </w:r>
      <w:r>
        <w:rPr>
          <w:sz w:val="20"/>
        </w:rPr>
        <w:t>availability.</w:t>
      </w:r>
    </w:p>
    <w:p>
      <w:pPr>
        <w:pStyle w:val="BodyText"/>
        <w:rPr>
          <w:sz w:val="30"/>
        </w:rPr>
      </w:pPr>
    </w:p>
    <w:p>
      <w:pPr>
        <w:pStyle w:val="ListParagraph"/>
        <w:numPr>
          <w:ilvl w:val="0"/>
          <w:numId w:val="1"/>
        </w:numPr>
        <w:tabs>
          <w:tab w:pos="627" w:val="left" w:leader="none"/>
          <w:tab w:pos="628" w:val="left" w:leader="none"/>
        </w:tabs>
        <w:spacing w:line="360" w:lineRule="auto" w:before="0" w:after="0"/>
        <w:ind w:left="279" w:right="114" w:firstLine="0"/>
        <w:jc w:val="left"/>
        <w:rPr>
          <w:sz w:val="20"/>
        </w:rPr>
      </w:pPr>
      <w:r>
        <w:rPr>
          <w:sz w:val="20"/>
        </w:rPr>
        <w:t>The Working Group agreed it would be beneficial to meet once every three weeks or so to review the progress made by the sub-groups, which would meet more frequently. The next full Working Group meeting would be held in the week commencing 11 May 2015, in order to avoid the General Election in the preceding week, with the expectation that the four sub-groups would meet several times in the</w:t>
      </w:r>
      <w:r>
        <w:rPr>
          <w:spacing w:val="-1"/>
          <w:sz w:val="20"/>
        </w:rPr>
        <w:t> </w:t>
      </w:r>
      <w:r>
        <w:rPr>
          <w:sz w:val="20"/>
        </w:rPr>
        <w:t>interim.</w:t>
      </w:r>
    </w:p>
    <w:p>
      <w:pPr>
        <w:spacing w:after="0" w:line="360" w:lineRule="auto"/>
        <w:jc w:val="left"/>
        <w:rPr>
          <w:sz w:val="20"/>
        </w:rPr>
        <w:sectPr>
          <w:pgSz w:w="11910" w:h="16840"/>
          <w:pgMar w:top="1340" w:bottom="280" w:left="1240" w:right="1340"/>
        </w:sectPr>
      </w:pPr>
    </w:p>
    <w:p>
      <w:pPr>
        <w:pStyle w:val="Heading1"/>
        <w:spacing w:before="79"/>
      </w:pPr>
      <w:r>
        <w:rPr/>
        <w:t>Private sector</w:t>
      </w:r>
      <w:r>
        <w:rPr>
          <w:spacing w:val="-12"/>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3756"/>
      </w:tblGrid>
      <w:tr>
        <w:trPr>
          <w:trHeight w:val="262" w:hRule="atLeast"/>
        </w:trPr>
        <w:tc>
          <w:tcPr>
            <w:tcW w:w="2510" w:type="dxa"/>
          </w:tcPr>
          <w:p>
            <w:pPr>
              <w:pStyle w:val="TableParagraph"/>
              <w:spacing w:line="225" w:lineRule="exact" w:before="0"/>
              <w:rPr>
                <w:sz w:val="20"/>
              </w:rPr>
            </w:pPr>
            <w:r>
              <w:rPr>
                <w:sz w:val="20"/>
              </w:rPr>
              <w:t>Nick Saggers</w:t>
            </w:r>
          </w:p>
        </w:tc>
        <w:tc>
          <w:tcPr>
            <w:tcW w:w="3756" w:type="dxa"/>
          </w:tcPr>
          <w:p>
            <w:pPr>
              <w:pStyle w:val="TableParagraph"/>
              <w:spacing w:line="223" w:lineRule="exact" w:before="0"/>
              <w:ind w:left="666"/>
              <w:rPr>
                <w:b/>
                <w:sz w:val="20"/>
              </w:rPr>
            </w:pPr>
            <w:r>
              <w:rPr>
                <w:b/>
                <w:sz w:val="20"/>
              </w:rPr>
              <w:t>Bank of America-Merrill Lynch</w:t>
            </w:r>
          </w:p>
        </w:tc>
      </w:tr>
      <w:tr>
        <w:trPr>
          <w:trHeight w:val="300" w:hRule="atLeast"/>
        </w:trPr>
        <w:tc>
          <w:tcPr>
            <w:tcW w:w="2510" w:type="dxa"/>
          </w:tcPr>
          <w:p>
            <w:pPr>
              <w:pStyle w:val="TableParagraph"/>
              <w:spacing w:before="32"/>
              <w:rPr>
                <w:sz w:val="20"/>
              </w:rPr>
            </w:pPr>
            <w:r>
              <w:rPr>
                <w:sz w:val="20"/>
              </w:rPr>
              <w:t>Francois Jourdain</w:t>
            </w:r>
          </w:p>
        </w:tc>
        <w:tc>
          <w:tcPr>
            <w:tcW w:w="3756" w:type="dxa"/>
          </w:tcPr>
          <w:p>
            <w:pPr>
              <w:pStyle w:val="TableParagraph"/>
              <w:ind w:left="666"/>
              <w:rPr>
                <w:b/>
                <w:sz w:val="20"/>
              </w:rPr>
            </w:pPr>
            <w:r>
              <w:rPr>
                <w:b/>
                <w:sz w:val="20"/>
              </w:rPr>
              <w:t>Barclays (Chairman)</w:t>
            </w:r>
          </w:p>
        </w:tc>
      </w:tr>
      <w:tr>
        <w:trPr>
          <w:trHeight w:val="300" w:hRule="atLeast"/>
        </w:trPr>
        <w:tc>
          <w:tcPr>
            <w:tcW w:w="2510" w:type="dxa"/>
          </w:tcPr>
          <w:p>
            <w:pPr>
              <w:pStyle w:val="TableParagraph"/>
              <w:spacing w:before="32"/>
              <w:rPr>
                <w:sz w:val="20"/>
              </w:rPr>
            </w:pPr>
            <w:r>
              <w:rPr>
                <w:sz w:val="20"/>
              </w:rPr>
              <w:t>Mike Manna</w:t>
            </w:r>
          </w:p>
        </w:tc>
        <w:tc>
          <w:tcPr>
            <w:tcW w:w="3756" w:type="dxa"/>
          </w:tcPr>
          <w:p>
            <w:pPr>
              <w:pStyle w:val="TableParagraph"/>
              <w:ind w:left="666"/>
              <w:rPr>
                <w:b/>
                <w:sz w:val="20"/>
              </w:rPr>
            </w:pPr>
            <w:r>
              <w:rPr>
                <w:b/>
                <w:sz w:val="20"/>
              </w:rPr>
              <w:t>Barclays</w:t>
            </w:r>
          </w:p>
        </w:tc>
      </w:tr>
      <w:tr>
        <w:trPr>
          <w:trHeight w:val="300" w:hRule="atLeast"/>
        </w:trPr>
        <w:tc>
          <w:tcPr>
            <w:tcW w:w="2510" w:type="dxa"/>
          </w:tcPr>
          <w:p>
            <w:pPr>
              <w:pStyle w:val="TableParagraph"/>
              <w:spacing w:before="32"/>
              <w:rPr>
                <w:sz w:val="20"/>
              </w:rPr>
            </w:pPr>
            <w:r>
              <w:rPr>
                <w:sz w:val="20"/>
              </w:rPr>
              <w:t>Mark Smith</w:t>
            </w:r>
          </w:p>
        </w:tc>
        <w:tc>
          <w:tcPr>
            <w:tcW w:w="3756" w:type="dxa"/>
          </w:tcPr>
          <w:p>
            <w:pPr>
              <w:pStyle w:val="TableParagraph"/>
              <w:ind w:left="666"/>
              <w:rPr>
                <w:b/>
                <w:sz w:val="20"/>
              </w:rPr>
            </w:pPr>
            <w:r>
              <w:rPr>
                <w:b/>
                <w:sz w:val="20"/>
              </w:rPr>
              <w:t>Citigroup</w:t>
            </w:r>
          </w:p>
        </w:tc>
      </w:tr>
      <w:tr>
        <w:trPr>
          <w:trHeight w:val="300" w:hRule="atLeast"/>
        </w:trPr>
        <w:tc>
          <w:tcPr>
            <w:tcW w:w="2510" w:type="dxa"/>
          </w:tcPr>
          <w:p>
            <w:pPr>
              <w:pStyle w:val="TableParagraph"/>
              <w:spacing w:before="32"/>
              <w:rPr>
                <w:sz w:val="20"/>
              </w:rPr>
            </w:pPr>
            <w:r>
              <w:rPr>
                <w:sz w:val="20"/>
              </w:rPr>
              <w:t>Alain Verdickt</w:t>
            </w:r>
          </w:p>
        </w:tc>
        <w:tc>
          <w:tcPr>
            <w:tcW w:w="3756" w:type="dxa"/>
          </w:tcPr>
          <w:p>
            <w:pPr>
              <w:pStyle w:val="TableParagraph"/>
              <w:ind w:left="666"/>
              <w:rPr>
                <w:b/>
                <w:sz w:val="20"/>
              </w:rPr>
            </w:pPr>
            <w:r>
              <w:rPr>
                <w:b/>
                <w:sz w:val="20"/>
              </w:rPr>
              <w:t>Citigroup</w:t>
            </w:r>
          </w:p>
        </w:tc>
      </w:tr>
      <w:tr>
        <w:trPr>
          <w:trHeight w:val="300" w:hRule="atLeast"/>
        </w:trPr>
        <w:tc>
          <w:tcPr>
            <w:tcW w:w="2510" w:type="dxa"/>
          </w:tcPr>
          <w:p>
            <w:pPr>
              <w:pStyle w:val="TableParagraph"/>
              <w:spacing w:before="32"/>
              <w:rPr>
                <w:sz w:val="20"/>
              </w:rPr>
            </w:pPr>
            <w:r>
              <w:rPr>
                <w:sz w:val="20"/>
              </w:rPr>
              <w:t>Laurent Curtat</w:t>
            </w:r>
          </w:p>
        </w:tc>
        <w:tc>
          <w:tcPr>
            <w:tcW w:w="3756" w:type="dxa"/>
          </w:tcPr>
          <w:p>
            <w:pPr>
              <w:pStyle w:val="TableParagraph"/>
              <w:ind w:left="666"/>
              <w:rPr>
                <w:b/>
                <w:sz w:val="20"/>
              </w:rPr>
            </w:pPr>
            <w:r>
              <w:rPr>
                <w:b/>
                <w:sz w:val="20"/>
              </w:rPr>
              <w:t>Credit Suisse</w:t>
            </w:r>
          </w:p>
        </w:tc>
      </w:tr>
      <w:tr>
        <w:trPr>
          <w:trHeight w:val="300" w:hRule="atLeast"/>
        </w:trPr>
        <w:tc>
          <w:tcPr>
            <w:tcW w:w="2510" w:type="dxa"/>
          </w:tcPr>
          <w:p>
            <w:pPr>
              <w:pStyle w:val="TableParagraph"/>
              <w:spacing w:before="32"/>
              <w:rPr>
                <w:sz w:val="20"/>
              </w:rPr>
            </w:pPr>
            <w:r>
              <w:rPr>
                <w:sz w:val="20"/>
              </w:rPr>
              <w:t>Adrian Munday</w:t>
            </w:r>
          </w:p>
        </w:tc>
        <w:tc>
          <w:tcPr>
            <w:tcW w:w="3756" w:type="dxa"/>
          </w:tcPr>
          <w:p>
            <w:pPr>
              <w:pStyle w:val="TableParagraph"/>
              <w:ind w:left="666"/>
              <w:rPr>
                <w:b/>
                <w:sz w:val="20"/>
              </w:rPr>
            </w:pPr>
            <w:r>
              <w:rPr>
                <w:b/>
                <w:sz w:val="20"/>
              </w:rPr>
              <w:t>Deutsche Bank</w:t>
            </w:r>
          </w:p>
        </w:tc>
      </w:tr>
      <w:tr>
        <w:trPr>
          <w:trHeight w:val="300" w:hRule="atLeast"/>
        </w:trPr>
        <w:tc>
          <w:tcPr>
            <w:tcW w:w="2510" w:type="dxa"/>
          </w:tcPr>
          <w:p>
            <w:pPr>
              <w:pStyle w:val="TableParagraph"/>
              <w:spacing w:before="32"/>
              <w:rPr>
                <w:sz w:val="20"/>
              </w:rPr>
            </w:pPr>
            <w:r>
              <w:rPr>
                <w:sz w:val="20"/>
              </w:rPr>
              <w:t>Jonathan Hall</w:t>
            </w:r>
          </w:p>
        </w:tc>
        <w:tc>
          <w:tcPr>
            <w:tcW w:w="3756" w:type="dxa"/>
          </w:tcPr>
          <w:p>
            <w:pPr>
              <w:pStyle w:val="TableParagraph"/>
              <w:ind w:left="666"/>
              <w:rPr>
                <w:b/>
                <w:sz w:val="20"/>
              </w:rPr>
            </w:pPr>
            <w:r>
              <w:rPr>
                <w:b/>
                <w:sz w:val="20"/>
              </w:rPr>
              <w:t>Goldman Sachs</w:t>
            </w:r>
          </w:p>
        </w:tc>
      </w:tr>
      <w:tr>
        <w:trPr>
          <w:trHeight w:val="300" w:hRule="atLeast"/>
        </w:trPr>
        <w:tc>
          <w:tcPr>
            <w:tcW w:w="2510" w:type="dxa"/>
          </w:tcPr>
          <w:p>
            <w:pPr>
              <w:pStyle w:val="TableParagraph"/>
              <w:spacing w:before="32"/>
              <w:rPr>
                <w:sz w:val="20"/>
              </w:rPr>
            </w:pPr>
            <w:r>
              <w:rPr>
                <w:sz w:val="20"/>
              </w:rPr>
              <w:t>Christophe Rivoire</w:t>
            </w:r>
          </w:p>
        </w:tc>
        <w:tc>
          <w:tcPr>
            <w:tcW w:w="3756" w:type="dxa"/>
          </w:tcPr>
          <w:p>
            <w:pPr>
              <w:pStyle w:val="TableParagraph"/>
              <w:ind w:left="666"/>
              <w:rPr>
                <w:b/>
                <w:sz w:val="20"/>
              </w:rPr>
            </w:pPr>
            <w:r>
              <w:rPr>
                <w:b/>
                <w:sz w:val="20"/>
              </w:rPr>
              <w:t>HSBC</w:t>
            </w:r>
          </w:p>
        </w:tc>
      </w:tr>
      <w:tr>
        <w:trPr>
          <w:trHeight w:val="300" w:hRule="atLeast"/>
        </w:trPr>
        <w:tc>
          <w:tcPr>
            <w:tcW w:w="2510" w:type="dxa"/>
          </w:tcPr>
          <w:p>
            <w:pPr>
              <w:pStyle w:val="TableParagraph"/>
              <w:spacing w:before="32"/>
              <w:rPr>
                <w:sz w:val="20"/>
              </w:rPr>
            </w:pPr>
            <w:r>
              <w:rPr>
                <w:sz w:val="20"/>
              </w:rPr>
              <w:t>Charles Bristow</w:t>
            </w:r>
          </w:p>
        </w:tc>
        <w:tc>
          <w:tcPr>
            <w:tcW w:w="3756" w:type="dxa"/>
          </w:tcPr>
          <w:p>
            <w:pPr>
              <w:pStyle w:val="TableParagraph"/>
              <w:ind w:left="666"/>
              <w:rPr>
                <w:b/>
                <w:sz w:val="20"/>
              </w:rPr>
            </w:pPr>
            <w:r>
              <w:rPr>
                <w:b/>
                <w:sz w:val="20"/>
              </w:rPr>
              <w:t>JP Morgan Chase</w:t>
            </w:r>
          </w:p>
        </w:tc>
      </w:tr>
      <w:tr>
        <w:trPr>
          <w:trHeight w:val="300" w:hRule="atLeast"/>
        </w:trPr>
        <w:tc>
          <w:tcPr>
            <w:tcW w:w="2510" w:type="dxa"/>
          </w:tcPr>
          <w:p>
            <w:pPr>
              <w:pStyle w:val="TableParagraph"/>
              <w:spacing w:before="32"/>
              <w:rPr>
                <w:sz w:val="20"/>
              </w:rPr>
            </w:pPr>
            <w:r>
              <w:rPr>
                <w:sz w:val="20"/>
              </w:rPr>
              <w:t>Christophe Coutte</w:t>
            </w:r>
          </w:p>
        </w:tc>
        <w:tc>
          <w:tcPr>
            <w:tcW w:w="3756" w:type="dxa"/>
          </w:tcPr>
          <w:p>
            <w:pPr>
              <w:pStyle w:val="TableParagraph"/>
              <w:ind w:left="666"/>
              <w:rPr>
                <w:b/>
                <w:sz w:val="20"/>
              </w:rPr>
            </w:pPr>
            <w:r>
              <w:rPr>
                <w:b/>
                <w:sz w:val="20"/>
              </w:rPr>
              <w:t>Lloyds</w:t>
            </w:r>
          </w:p>
        </w:tc>
      </w:tr>
      <w:tr>
        <w:trPr>
          <w:trHeight w:val="300" w:hRule="atLeast"/>
        </w:trPr>
        <w:tc>
          <w:tcPr>
            <w:tcW w:w="2510" w:type="dxa"/>
          </w:tcPr>
          <w:p>
            <w:pPr>
              <w:pStyle w:val="TableParagraph"/>
              <w:spacing w:before="32"/>
              <w:rPr>
                <w:sz w:val="20"/>
              </w:rPr>
            </w:pPr>
            <w:r>
              <w:rPr>
                <w:sz w:val="20"/>
              </w:rPr>
              <w:t>Richard Moore</w:t>
            </w:r>
          </w:p>
        </w:tc>
        <w:tc>
          <w:tcPr>
            <w:tcW w:w="3756" w:type="dxa"/>
          </w:tcPr>
          <w:p>
            <w:pPr>
              <w:pStyle w:val="TableParagraph"/>
              <w:ind w:left="666"/>
              <w:rPr>
                <w:b/>
                <w:sz w:val="20"/>
              </w:rPr>
            </w:pPr>
            <w:r>
              <w:rPr>
                <w:b/>
                <w:sz w:val="20"/>
              </w:rPr>
              <w:t>Lloyds</w:t>
            </w:r>
          </w:p>
        </w:tc>
      </w:tr>
      <w:tr>
        <w:trPr>
          <w:trHeight w:val="300" w:hRule="atLeast"/>
        </w:trPr>
        <w:tc>
          <w:tcPr>
            <w:tcW w:w="2510" w:type="dxa"/>
          </w:tcPr>
          <w:p>
            <w:pPr>
              <w:pStyle w:val="TableParagraph"/>
              <w:spacing w:before="33"/>
              <w:rPr>
                <w:sz w:val="20"/>
              </w:rPr>
            </w:pPr>
            <w:r>
              <w:rPr>
                <w:sz w:val="20"/>
              </w:rPr>
              <w:t>Ed McAleer</w:t>
            </w:r>
          </w:p>
        </w:tc>
        <w:tc>
          <w:tcPr>
            <w:tcW w:w="3756" w:type="dxa"/>
          </w:tcPr>
          <w:p>
            <w:pPr>
              <w:pStyle w:val="TableParagraph"/>
              <w:ind w:left="666"/>
              <w:rPr>
                <w:b/>
                <w:sz w:val="20"/>
              </w:rPr>
            </w:pPr>
            <w:r>
              <w:rPr>
                <w:b/>
                <w:sz w:val="20"/>
              </w:rPr>
              <w:t>Morgan Stanley</w:t>
            </w:r>
          </w:p>
        </w:tc>
      </w:tr>
      <w:tr>
        <w:trPr>
          <w:trHeight w:val="300" w:hRule="atLeast"/>
        </w:trPr>
        <w:tc>
          <w:tcPr>
            <w:tcW w:w="2510" w:type="dxa"/>
          </w:tcPr>
          <w:p>
            <w:pPr>
              <w:pStyle w:val="TableParagraph"/>
              <w:spacing w:before="32"/>
              <w:rPr>
                <w:sz w:val="20"/>
              </w:rPr>
            </w:pPr>
            <w:r>
              <w:rPr>
                <w:sz w:val="20"/>
              </w:rPr>
              <w:t>Lewis O’Donald</w:t>
            </w:r>
          </w:p>
        </w:tc>
        <w:tc>
          <w:tcPr>
            <w:tcW w:w="3756" w:type="dxa"/>
          </w:tcPr>
          <w:p>
            <w:pPr>
              <w:pStyle w:val="TableParagraph"/>
              <w:ind w:left="666"/>
              <w:rPr>
                <w:b/>
                <w:sz w:val="20"/>
              </w:rPr>
            </w:pPr>
            <w:r>
              <w:rPr>
                <w:b/>
                <w:sz w:val="20"/>
              </w:rPr>
              <w:t>Nomura</w:t>
            </w:r>
          </w:p>
        </w:tc>
      </w:tr>
      <w:tr>
        <w:trPr>
          <w:trHeight w:val="300" w:hRule="atLeast"/>
        </w:trPr>
        <w:tc>
          <w:tcPr>
            <w:tcW w:w="2510" w:type="dxa"/>
          </w:tcPr>
          <w:p>
            <w:pPr>
              <w:pStyle w:val="TableParagraph"/>
              <w:spacing w:before="32"/>
              <w:rPr>
                <w:sz w:val="20"/>
              </w:rPr>
            </w:pPr>
            <w:r>
              <w:rPr>
                <w:sz w:val="20"/>
              </w:rPr>
              <w:t>Tom Heenan</w:t>
            </w:r>
          </w:p>
        </w:tc>
        <w:tc>
          <w:tcPr>
            <w:tcW w:w="3756" w:type="dxa"/>
          </w:tcPr>
          <w:p>
            <w:pPr>
              <w:pStyle w:val="TableParagraph"/>
              <w:ind w:left="666"/>
              <w:rPr>
                <w:b/>
                <w:sz w:val="20"/>
              </w:rPr>
            </w:pPr>
            <w:r>
              <w:rPr>
                <w:b/>
                <w:sz w:val="20"/>
              </w:rPr>
              <w:t>Nomura</w:t>
            </w:r>
          </w:p>
        </w:tc>
      </w:tr>
      <w:tr>
        <w:trPr>
          <w:trHeight w:val="300" w:hRule="atLeast"/>
        </w:trPr>
        <w:tc>
          <w:tcPr>
            <w:tcW w:w="2510" w:type="dxa"/>
          </w:tcPr>
          <w:p>
            <w:pPr>
              <w:pStyle w:val="TableParagraph"/>
              <w:spacing w:before="32"/>
              <w:rPr>
                <w:sz w:val="20"/>
              </w:rPr>
            </w:pPr>
            <w:r>
              <w:rPr>
                <w:sz w:val="20"/>
              </w:rPr>
              <w:t>Peter Nielsen</w:t>
            </w:r>
          </w:p>
        </w:tc>
        <w:tc>
          <w:tcPr>
            <w:tcW w:w="3756" w:type="dxa"/>
          </w:tcPr>
          <w:p>
            <w:pPr>
              <w:pStyle w:val="TableParagraph"/>
              <w:ind w:left="666"/>
              <w:rPr>
                <w:b/>
                <w:sz w:val="20"/>
              </w:rPr>
            </w:pPr>
            <w:r>
              <w:rPr>
                <w:b/>
                <w:sz w:val="20"/>
              </w:rPr>
              <w:t>Royal Bank of Scotland</w:t>
            </w:r>
          </w:p>
        </w:tc>
      </w:tr>
      <w:tr>
        <w:trPr>
          <w:trHeight w:val="300" w:hRule="atLeast"/>
        </w:trPr>
        <w:tc>
          <w:tcPr>
            <w:tcW w:w="2510" w:type="dxa"/>
          </w:tcPr>
          <w:p>
            <w:pPr>
              <w:pStyle w:val="TableParagraph"/>
              <w:spacing w:before="32"/>
              <w:rPr>
                <w:sz w:val="20"/>
              </w:rPr>
            </w:pPr>
            <w:r>
              <w:rPr>
                <w:sz w:val="20"/>
              </w:rPr>
              <w:t>Paul Barnes</w:t>
            </w:r>
          </w:p>
        </w:tc>
        <w:tc>
          <w:tcPr>
            <w:tcW w:w="3756" w:type="dxa"/>
          </w:tcPr>
          <w:p>
            <w:pPr>
              <w:pStyle w:val="TableParagraph"/>
              <w:ind w:left="666"/>
              <w:rPr>
                <w:b/>
                <w:sz w:val="20"/>
              </w:rPr>
            </w:pPr>
            <w:r>
              <w:rPr>
                <w:b/>
                <w:sz w:val="20"/>
              </w:rPr>
              <w:t>Santander UK</w:t>
            </w:r>
          </w:p>
        </w:tc>
      </w:tr>
      <w:tr>
        <w:trPr>
          <w:trHeight w:val="300" w:hRule="atLeast"/>
        </w:trPr>
        <w:tc>
          <w:tcPr>
            <w:tcW w:w="2510" w:type="dxa"/>
          </w:tcPr>
          <w:p>
            <w:pPr>
              <w:pStyle w:val="TableParagraph"/>
              <w:spacing w:before="32"/>
              <w:rPr>
                <w:sz w:val="20"/>
              </w:rPr>
            </w:pPr>
            <w:r>
              <w:rPr>
                <w:sz w:val="20"/>
              </w:rPr>
              <w:t>Stephane Cuny</w:t>
            </w:r>
          </w:p>
        </w:tc>
        <w:tc>
          <w:tcPr>
            <w:tcW w:w="3756" w:type="dxa"/>
          </w:tcPr>
          <w:p>
            <w:pPr>
              <w:pStyle w:val="TableParagraph"/>
              <w:ind w:left="666"/>
              <w:rPr>
                <w:b/>
                <w:sz w:val="20"/>
              </w:rPr>
            </w:pPr>
            <w:r>
              <w:rPr>
                <w:b/>
                <w:sz w:val="20"/>
              </w:rPr>
              <w:t>Société Générale</w:t>
            </w:r>
          </w:p>
        </w:tc>
      </w:tr>
      <w:tr>
        <w:trPr>
          <w:trHeight w:val="300" w:hRule="atLeast"/>
        </w:trPr>
        <w:tc>
          <w:tcPr>
            <w:tcW w:w="2510" w:type="dxa"/>
          </w:tcPr>
          <w:p>
            <w:pPr>
              <w:pStyle w:val="TableParagraph"/>
              <w:spacing w:before="32"/>
              <w:rPr>
                <w:sz w:val="20"/>
              </w:rPr>
            </w:pPr>
            <w:r>
              <w:rPr>
                <w:sz w:val="20"/>
              </w:rPr>
              <w:t>David Ghosh</w:t>
            </w:r>
          </w:p>
        </w:tc>
        <w:tc>
          <w:tcPr>
            <w:tcW w:w="3756" w:type="dxa"/>
          </w:tcPr>
          <w:p>
            <w:pPr>
              <w:pStyle w:val="TableParagraph"/>
              <w:ind w:left="666"/>
              <w:rPr>
                <w:b/>
                <w:sz w:val="20"/>
              </w:rPr>
            </w:pPr>
            <w:r>
              <w:rPr>
                <w:b/>
                <w:sz w:val="20"/>
              </w:rPr>
              <w:t>UBS</w:t>
            </w:r>
          </w:p>
        </w:tc>
      </w:tr>
      <w:tr>
        <w:trPr>
          <w:trHeight w:val="262" w:hRule="atLeast"/>
        </w:trPr>
        <w:tc>
          <w:tcPr>
            <w:tcW w:w="2510" w:type="dxa"/>
          </w:tcPr>
          <w:p>
            <w:pPr>
              <w:pStyle w:val="TableParagraph"/>
              <w:spacing w:line="210" w:lineRule="exact" w:before="32"/>
              <w:rPr>
                <w:sz w:val="20"/>
              </w:rPr>
            </w:pPr>
            <w:r>
              <w:rPr>
                <w:sz w:val="20"/>
              </w:rPr>
              <w:t>David Geen</w:t>
            </w:r>
          </w:p>
        </w:tc>
        <w:tc>
          <w:tcPr>
            <w:tcW w:w="3756" w:type="dxa"/>
          </w:tcPr>
          <w:p>
            <w:pPr>
              <w:pStyle w:val="TableParagraph"/>
              <w:spacing w:line="212" w:lineRule="exact"/>
              <w:ind w:left="666"/>
              <w:rPr>
                <w:b/>
                <w:sz w:val="20"/>
              </w:rPr>
            </w:pPr>
            <w:r>
              <w:rPr>
                <w:b/>
                <w:sz w:val="20"/>
              </w:rPr>
              <w:t>ISDA (Observer only)</w:t>
            </w:r>
          </w:p>
        </w:tc>
      </w:tr>
    </w:tbl>
    <w:p>
      <w:pPr>
        <w:pStyle w:val="BodyText"/>
        <w:rPr>
          <w:b/>
          <w:sz w:val="22"/>
        </w:rPr>
      </w:pPr>
    </w:p>
    <w:p>
      <w:pPr>
        <w:pStyle w:val="BodyText"/>
        <w:spacing w:before="5"/>
        <w:rPr>
          <w:b/>
          <w:sz w:val="21"/>
        </w:rPr>
      </w:pPr>
    </w:p>
    <w:p>
      <w:pPr>
        <w:spacing w:before="0"/>
        <w:ind w:left="200" w:right="0" w:firstLine="0"/>
        <w:jc w:val="left"/>
        <w:rPr>
          <w:b/>
          <w:sz w:val="20"/>
        </w:rPr>
      </w:pPr>
      <w:r>
        <w:rPr>
          <w:b/>
          <w:sz w:val="20"/>
        </w:rPr>
        <w:t>Official sector</w:t>
      </w:r>
      <w:r>
        <w:rPr>
          <w:b/>
          <w:spacing w:val="-12"/>
          <w:sz w:val="20"/>
        </w:rPr>
        <w:t> </w:t>
      </w:r>
      <w:r>
        <w:rPr>
          <w:b/>
          <w:sz w:val="20"/>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3704"/>
      </w:tblGrid>
      <w:tr>
        <w:trPr>
          <w:trHeight w:val="262" w:hRule="atLeast"/>
        </w:trPr>
        <w:tc>
          <w:tcPr>
            <w:tcW w:w="2347" w:type="dxa"/>
          </w:tcPr>
          <w:p>
            <w:pPr>
              <w:pStyle w:val="TableParagraph"/>
              <w:spacing w:line="225" w:lineRule="exact" w:before="0"/>
              <w:rPr>
                <w:sz w:val="20"/>
              </w:rPr>
            </w:pPr>
            <w:r>
              <w:rPr>
                <w:sz w:val="20"/>
              </w:rPr>
              <w:t>Ed Ocampo</w:t>
            </w:r>
          </w:p>
        </w:tc>
        <w:tc>
          <w:tcPr>
            <w:tcW w:w="3704" w:type="dxa"/>
          </w:tcPr>
          <w:p>
            <w:pPr>
              <w:pStyle w:val="TableParagraph"/>
              <w:spacing w:line="223" w:lineRule="exact" w:before="0"/>
              <w:ind w:left="829"/>
              <w:rPr>
                <w:b/>
                <w:sz w:val="20"/>
              </w:rPr>
            </w:pPr>
            <w:r>
              <w:rPr>
                <w:b/>
                <w:sz w:val="20"/>
              </w:rPr>
              <w:t>Bank of England</w:t>
            </w:r>
          </w:p>
        </w:tc>
      </w:tr>
      <w:tr>
        <w:trPr>
          <w:trHeight w:val="300" w:hRule="atLeast"/>
        </w:trPr>
        <w:tc>
          <w:tcPr>
            <w:tcW w:w="2347" w:type="dxa"/>
          </w:tcPr>
          <w:p>
            <w:pPr>
              <w:pStyle w:val="TableParagraph"/>
              <w:spacing w:before="32"/>
              <w:rPr>
                <w:sz w:val="20"/>
              </w:rPr>
            </w:pPr>
            <w:r>
              <w:rPr>
                <w:sz w:val="20"/>
              </w:rPr>
              <w:t>Tim Taylor</w:t>
            </w:r>
          </w:p>
        </w:tc>
        <w:tc>
          <w:tcPr>
            <w:tcW w:w="3704" w:type="dxa"/>
          </w:tcPr>
          <w:p>
            <w:pPr>
              <w:pStyle w:val="TableParagraph"/>
              <w:ind w:left="829"/>
              <w:rPr>
                <w:b/>
                <w:sz w:val="20"/>
              </w:rPr>
            </w:pPr>
            <w:r>
              <w:rPr>
                <w:b/>
                <w:sz w:val="20"/>
              </w:rPr>
              <w:t>Bank of England</w:t>
            </w:r>
          </w:p>
        </w:tc>
      </w:tr>
      <w:tr>
        <w:trPr>
          <w:trHeight w:val="300" w:hRule="atLeast"/>
        </w:trPr>
        <w:tc>
          <w:tcPr>
            <w:tcW w:w="2347" w:type="dxa"/>
          </w:tcPr>
          <w:p>
            <w:pPr>
              <w:pStyle w:val="TableParagraph"/>
              <w:spacing w:before="33"/>
              <w:rPr>
                <w:sz w:val="20"/>
              </w:rPr>
            </w:pPr>
            <w:r>
              <w:rPr>
                <w:sz w:val="20"/>
              </w:rPr>
              <w:t>Will Parry</w:t>
            </w:r>
          </w:p>
        </w:tc>
        <w:tc>
          <w:tcPr>
            <w:tcW w:w="3704" w:type="dxa"/>
          </w:tcPr>
          <w:p>
            <w:pPr>
              <w:pStyle w:val="TableParagraph"/>
              <w:ind w:left="829"/>
              <w:rPr>
                <w:b/>
                <w:sz w:val="20"/>
              </w:rPr>
            </w:pPr>
            <w:r>
              <w:rPr>
                <w:b/>
                <w:sz w:val="20"/>
              </w:rPr>
              <w:t>Bank of England</w:t>
            </w:r>
          </w:p>
        </w:tc>
      </w:tr>
      <w:tr>
        <w:trPr>
          <w:trHeight w:val="262" w:hRule="atLeast"/>
        </w:trPr>
        <w:tc>
          <w:tcPr>
            <w:tcW w:w="2347" w:type="dxa"/>
          </w:tcPr>
          <w:p>
            <w:pPr>
              <w:pStyle w:val="TableParagraph"/>
              <w:spacing w:line="210" w:lineRule="exact" w:before="32"/>
              <w:rPr>
                <w:sz w:val="20"/>
              </w:rPr>
            </w:pPr>
            <w:r>
              <w:rPr>
                <w:sz w:val="20"/>
              </w:rPr>
              <w:t>Carlos Molinas</w:t>
            </w:r>
          </w:p>
        </w:tc>
        <w:tc>
          <w:tcPr>
            <w:tcW w:w="3704" w:type="dxa"/>
          </w:tcPr>
          <w:p>
            <w:pPr>
              <w:pStyle w:val="TableParagraph"/>
              <w:spacing w:line="212" w:lineRule="exact"/>
              <w:ind w:left="829"/>
              <w:rPr>
                <w:b/>
                <w:sz w:val="20"/>
              </w:rPr>
            </w:pPr>
            <w:r>
              <w:rPr>
                <w:b/>
                <w:sz w:val="20"/>
              </w:rPr>
              <w:t>Financial Conduct Authority</w:t>
            </w:r>
          </w:p>
        </w:tc>
      </w:tr>
    </w:tbl>
    <w:sectPr>
      <w:pgSz w:w="11910" w:h="16840"/>
      <w:pgMar w:top="1340" w:bottom="280" w:left="12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27" w:hanging="348"/>
        <w:jc w:val="left"/>
      </w:pPr>
      <w:rPr>
        <w:rFonts w:hint="default" w:ascii="Arial" w:hAnsi="Arial" w:eastAsia="Arial" w:cs="Arial"/>
        <w:w w:val="99"/>
        <w:sz w:val="20"/>
        <w:szCs w:val="20"/>
        <w:lang w:val="en-gb" w:eastAsia="en-gb" w:bidi="en-gb"/>
      </w:rPr>
    </w:lvl>
    <w:lvl w:ilvl="1">
      <w:start w:val="0"/>
      <w:numFmt w:val="bullet"/>
      <w:lvlText w:val=""/>
      <w:lvlJc w:val="left"/>
      <w:pPr>
        <w:ind w:left="1640" w:hanging="360"/>
      </w:pPr>
      <w:rPr>
        <w:rFonts w:hint="default" w:ascii="Symbol" w:hAnsi="Symbol" w:eastAsia="Symbol" w:cs="Symbol"/>
        <w:w w:val="99"/>
        <w:sz w:val="20"/>
        <w:szCs w:val="20"/>
        <w:lang w:val="en-gb" w:eastAsia="en-gb" w:bidi="en-gb"/>
      </w:rPr>
    </w:lvl>
    <w:lvl w:ilvl="2">
      <w:start w:val="0"/>
      <w:numFmt w:val="bullet"/>
      <w:lvlText w:val="•"/>
      <w:lvlJc w:val="left"/>
      <w:pPr>
        <w:ind w:left="2494" w:hanging="360"/>
      </w:pPr>
      <w:rPr>
        <w:rFonts w:hint="default"/>
        <w:lang w:val="en-gb" w:eastAsia="en-gb" w:bidi="en-gb"/>
      </w:rPr>
    </w:lvl>
    <w:lvl w:ilvl="3">
      <w:start w:val="0"/>
      <w:numFmt w:val="bullet"/>
      <w:lvlText w:val="•"/>
      <w:lvlJc w:val="left"/>
      <w:pPr>
        <w:ind w:left="3348" w:hanging="360"/>
      </w:pPr>
      <w:rPr>
        <w:rFonts w:hint="default"/>
        <w:lang w:val="en-gb" w:eastAsia="en-gb" w:bidi="en-gb"/>
      </w:rPr>
    </w:lvl>
    <w:lvl w:ilvl="4">
      <w:start w:val="0"/>
      <w:numFmt w:val="bullet"/>
      <w:lvlText w:val="•"/>
      <w:lvlJc w:val="left"/>
      <w:pPr>
        <w:ind w:left="4202" w:hanging="360"/>
      </w:pPr>
      <w:rPr>
        <w:rFonts w:hint="default"/>
        <w:lang w:val="en-gb" w:eastAsia="en-gb" w:bidi="en-gb"/>
      </w:rPr>
    </w:lvl>
    <w:lvl w:ilvl="5">
      <w:start w:val="0"/>
      <w:numFmt w:val="bullet"/>
      <w:lvlText w:val="•"/>
      <w:lvlJc w:val="left"/>
      <w:pPr>
        <w:ind w:left="5056" w:hanging="360"/>
      </w:pPr>
      <w:rPr>
        <w:rFonts w:hint="default"/>
        <w:lang w:val="en-gb" w:eastAsia="en-gb" w:bidi="en-gb"/>
      </w:rPr>
    </w:lvl>
    <w:lvl w:ilvl="6">
      <w:start w:val="0"/>
      <w:numFmt w:val="bullet"/>
      <w:lvlText w:val="•"/>
      <w:lvlJc w:val="left"/>
      <w:pPr>
        <w:ind w:left="5910" w:hanging="360"/>
      </w:pPr>
      <w:rPr>
        <w:rFonts w:hint="default"/>
        <w:lang w:val="en-gb" w:eastAsia="en-gb" w:bidi="en-gb"/>
      </w:rPr>
    </w:lvl>
    <w:lvl w:ilvl="7">
      <w:start w:val="0"/>
      <w:numFmt w:val="bullet"/>
      <w:lvlText w:val="•"/>
      <w:lvlJc w:val="left"/>
      <w:pPr>
        <w:ind w:left="6764" w:hanging="360"/>
      </w:pPr>
      <w:rPr>
        <w:rFonts w:hint="default"/>
        <w:lang w:val="en-gb" w:eastAsia="en-gb" w:bidi="en-gb"/>
      </w:rPr>
    </w:lvl>
    <w:lvl w:ilvl="8">
      <w:start w:val="0"/>
      <w:numFmt w:val="bullet"/>
      <w:lvlText w:val="•"/>
      <w:lvlJc w:val="left"/>
      <w:pPr>
        <w:ind w:left="761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640" w:hanging="361"/>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 April 2015</dc:subject>
  <dc:title>Minutes of the Meeting of the Working Group on Sterling Risk-Free Reference Rates</dc:title>
  <dcterms:created xsi:type="dcterms:W3CDTF">2020-06-01T02:22:28Z</dcterms:created>
  <dcterms:modified xsi:type="dcterms:W3CDTF">2020-06-01T02:22:28Z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LastSaved">
    <vt:filetime>2020-06-01T00:00:00Z</vt:filetime>
  </property>
</Properties>
</file>