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62" w:lineRule="auto" w:before="73"/>
        <w:ind w:left="881" w:right="795"/>
        <w:jc w:val="center"/>
      </w:pPr>
      <w:r>
        <w:rPr/>
        <w:t>Minutes of the Meeting of the Working Group on Sterling Risk-Free Reference Rates Tuesday 7 April 2017</w:t>
      </w:r>
    </w:p>
    <w:p>
      <w:pPr>
        <w:spacing w:before="4"/>
        <w:ind w:left="881" w:right="793" w:firstLine="0"/>
        <w:jc w:val="center"/>
        <w:rPr>
          <w:b/>
          <w:sz w:val="20"/>
        </w:rPr>
      </w:pPr>
      <w:r>
        <w:rPr>
          <w:b/>
          <w:sz w:val="20"/>
        </w:rPr>
        <w:t>Bank of England offices – Moorgate</w:t>
      </w:r>
    </w:p>
    <w:p>
      <w:pPr>
        <w:pStyle w:val="BodyText"/>
        <w:spacing w:before="11"/>
        <w:rPr>
          <w:b/>
          <w:sz w:val="30"/>
        </w:rPr>
      </w:pPr>
    </w:p>
    <w:p>
      <w:pPr>
        <w:spacing w:before="0"/>
        <w:ind w:left="200" w:right="0" w:firstLine="0"/>
        <w:jc w:val="left"/>
        <w:rPr>
          <w:b/>
          <w:sz w:val="20"/>
        </w:rPr>
      </w:pPr>
      <w:r>
        <w:rPr>
          <w:b/>
          <w:sz w:val="20"/>
        </w:rPr>
        <w:t>Obligations under competition law</w:t>
      </w:r>
    </w:p>
    <w:p>
      <w:pPr>
        <w:pStyle w:val="BodyText"/>
        <w:spacing w:before="8"/>
        <w:rPr>
          <w:b/>
        </w:rPr>
      </w:pPr>
    </w:p>
    <w:p>
      <w:pPr>
        <w:pStyle w:val="ListParagraph"/>
        <w:numPr>
          <w:ilvl w:val="0"/>
          <w:numId w:val="1"/>
        </w:numPr>
        <w:tabs>
          <w:tab w:pos="627" w:val="left" w:leader="none"/>
          <w:tab w:pos="628" w:val="left" w:leader="none"/>
        </w:tabs>
        <w:spacing w:line="360" w:lineRule="auto" w:before="0" w:after="0"/>
        <w:ind w:left="200" w:right="289" w:firstLine="0"/>
        <w:jc w:val="left"/>
        <w:rPr>
          <w:sz w:val="20"/>
        </w:rPr>
      </w:pPr>
      <w:r>
        <w:rPr>
          <w:sz w:val="20"/>
        </w:rPr>
        <w:t>The Chair reminded all members of the Group of their responsibilities in relation to compliance</w:t>
      </w:r>
      <w:r>
        <w:rPr>
          <w:spacing w:val="-34"/>
          <w:sz w:val="20"/>
        </w:rPr>
        <w:t> </w:t>
      </w:r>
      <w:r>
        <w:rPr>
          <w:sz w:val="20"/>
        </w:rPr>
        <w:t>with competition law and the importance of taking their own independent competition law</w:t>
      </w:r>
      <w:r>
        <w:rPr>
          <w:spacing w:val="-17"/>
          <w:sz w:val="20"/>
        </w:rPr>
        <w:t> </w:t>
      </w:r>
      <w:r>
        <w:rPr>
          <w:sz w:val="20"/>
        </w:rPr>
        <w:t>advice.</w:t>
      </w:r>
    </w:p>
    <w:p>
      <w:pPr>
        <w:pStyle w:val="Heading1"/>
        <w:spacing w:before="116"/>
      </w:pPr>
      <w:r>
        <w:rPr/>
        <w:t>Minutes of previous meeting</w:t>
      </w:r>
    </w:p>
    <w:p>
      <w:pPr>
        <w:pStyle w:val="BodyText"/>
        <w:spacing w:before="8"/>
        <w:rPr>
          <w:b/>
        </w:rPr>
      </w:pPr>
    </w:p>
    <w:p>
      <w:pPr>
        <w:pStyle w:val="ListParagraph"/>
        <w:numPr>
          <w:ilvl w:val="0"/>
          <w:numId w:val="1"/>
        </w:numPr>
        <w:tabs>
          <w:tab w:pos="627" w:val="left" w:leader="none"/>
          <w:tab w:pos="628" w:val="left" w:leader="none"/>
        </w:tabs>
        <w:spacing w:line="240" w:lineRule="auto" w:before="0" w:after="0"/>
        <w:ind w:left="627" w:right="0" w:hanging="428"/>
        <w:jc w:val="left"/>
        <w:rPr>
          <w:sz w:val="20"/>
        </w:rPr>
      </w:pPr>
      <w:r>
        <w:rPr>
          <w:sz w:val="20"/>
        </w:rPr>
        <w:t>The minutes of the previous meeting on 28 March were</w:t>
      </w:r>
      <w:r>
        <w:rPr>
          <w:spacing w:val="1"/>
          <w:sz w:val="20"/>
        </w:rPr>
        <w:t> </w:t>
      </w:r>
      <w:r>
        <w:rPr>
          <w:sz w:val="20"/>
        </w:rPr>
        <w:t>approved.</w:t>
      </w:r>
    </w:p>
    <w:p>
      <w:pPr>
        <w:pStyle w:val="BodyText"/>
        <w:spacing w:before="3"/>
      </w:pPr>
    </w:p>
    <w:p>
      <w:pPr>
        <w:pStyle w:val="Heading1"/>
        <w:spacing w:before="1"/>
      </w:pPr>
      <w:r>
        <w:rPr/>
        <w:t>Agreement of voting procedures</w:t>
      </w:r>
    </w:p>
    <w:p>
      <w:pPr>
        <w:pStyle w:val="BodyText"/>
        <w:spacing w:before="5"/>
        <w:rPr>
          <w:b/>
        </w:rPr>
      </w:pPr>
    </w:p>
    <w:p>
      <w:pPr>
        <w:pStyle w:val="ListParagraph"/>
        <w:numPr>
          <w:ilvl w:val="0"/>
          <w:numId w:val="1"/>
        </w:numPr>
        <w:tabs>
          <w:tab w:pos="627" w:val="left" w:leader="none"/>
          <w:tab w:pos="628" w:val="left" w:leader="none"/>
        </w:tabs>
        <w:spacing w:line="362" w:lineRule="auto" w:before="0" w:after="0"/>
        <w:ind w:left="200" w:right="152" w:firstLine="0"/>
        <w:jc w:val="left"/>
        <w:rPr>
          <w:sz w:val="20"/>
        </w:rPr>
      </w:pPr>
      <w:r>
        <w:rPr>
          <w:sz w:val="20"/>
        </w:rPr>
        <w:t>It was agreed that the available candidate RFRs were: SONIA (unsecured), £ SONET (secured) or</w:t>
      </w:r>
      <w:r>
        <w:rPr>
          <w:spacing w:val="-26"/>
          <w:sz w:val="20"/>
        </w:rPr>
        <w:t> </w:t>
      </w:r>
      <w:r>
        <w:rPr>
          <w:sz w:val="20"/>
        </w:rPr>
        <w:t>£ RIR</w:t>
      </w:r>
      <w:r>
        <w:rPr>
          <w:spacing w:val="-2"/>
          <w:sz w:val="20"/>
        </w:rPr>
        <w:t> </w:t>
      </w:r>
      <w:r>
        <w:rPr>
          <w:sz w:val="20"/>
        </w:rPr>
        <w:t>(secured).</w:t>
      </w:r>
    </w:p>
    <w:p>
      <w:pPr>
        <w:pStyle w:val="ListParagraph"/>
        <w:numPr>
          <w:ilvl w:val="0"/>
          <w:numId w:val="1"/>
        </w:numPr>
        <w:tabs>
          <w:tab w:pos="627" w:val="left" w:leader="none"/>
          <w:tab w:pos="628" w:val="left" w:leader="none"/>
        </w:tabs>
        <w:spacing w:line="360" w:lineRule="auto" w:before="117" w:after="0"/>
        <w:ind w:left="200" w:right="302" w:firstLine="0"/>
        <w:jc w:val="left"/>
        <w:rPr>
          <w:sz w:val="20"/>
        </w:rPr>
      </w:pPr>
      <w:r>
        <w:rPr>
          <w:sz w:val="20"/>
        </w:rPr>
        <w:t>The Chair proposed a set of voting procedures, designed to achieve consensus on the preferred RFR, which were agreed. The ultimate objective of the Working Group is to develop a robust</w:t>
      </w:r>
      <w:r>
        <w:rPr>
          <w:spacing w:val="-34"/>
          <w:sz w:val="20"/>
        </w:rPr>
        <w:t> </w:t>
      </w:r>
      <w:r>
        <w:rPr>
          <w:sz w:val="20"/>
        </w:rPr>
        <w:t>alternative to sterling Libor, and to catalyse a safe change in market practice so that a significant portion of derivative and other contracts reference the </w:t>
      </w:r>
      <w:r>
        <w:rPr>
          <w:spacing w:val="2"/>
          <w:sz w:val="20"/>
        </w:rPr>
        <w:t>new </w:t>
      </w:r>
      <w:r>
        <w:rPr>
          <w:sz w:val="20"/>
        </w:rPr>
        <w:t>RFR rather than Libor in a reasonable timeframe. In this context, member firms would be asked which candidate RFR represents best practice for use in derivative and other</w:t>
      </w:r>
      <w:r>
        <w:rPr>
          <w:spacing w:val="-3"/>
          <w:sz w:val="20"/>
        </w:rPr>
        <w:t> </w:t>
      </w:r>
      <w:r>
        <w:rPr>
          <w:sz w:val="20"/>
        </w:rPr>
        <w:t>contracts.</w:t>
      </w:r>
    </w:p>
    <w:p>
      <w:pPr>
        <w:pStyle w:val="ListParagraph"/>
        <w:numPr>
          <w:ilvl w:val="0"/>
          <w:numId w:val="1"/>
        </w:numPr>
        <w:tabs>
          <w:tab w:pos="627" w:val="left" w:leader="none"/>
          <w:tab w:pos="628" w:val="left" w:leader="none"/>
        </w:tabs>
        <w:spacing w:line="360" w:lineRule="auto" w:before="119" w:after="0"/>
        <w:ind w:left="200" w:right="215" w:firstLine="0"/>
        <w:jc w:val="left"/>
        <w:rPr>
          <w:sz w:val="20"/>
        </w:rPr>
      </w:pPr>
      <w:r>
        <w:rPr>
          <w:sz w:val="20"/>
        </w:rPr>
        <w:t>Member firms’ votes would be submitted confidentially to the Bank of England following the meeting and the outcome published as an addendum to these</w:t>
      </w:r>
      <w:r>
        <w:rPr>
          <w:spacing w:val="2"/>
          <w:sz w:val="20"/>
        </w:rPr>
        <w:t> </w:t>
      </w:r>
      <w:r>
        <w:rPr>
          <w:sz w:val="20"/>
        </w:rPr>
        <w:t>Minutes.</w:t>
      </w:r>
    </w:p>
    <w:p>
      <w:pPr>
        <w:pStyle w:val="Heading1"/>
        <w:spacing w:before="119"/>
      </w:pPr>
      <w:r>
        <w:rPr/>
        <w:t>Confirmation of selection criteria</w:t>
      </w:r>
    </w:p>
    <w:p>
      <w:pPr>
        <w:pStyle w:val="BodyText"/>
        <w:spacing w:before="9"/>
        <w:rPr>
          <w:b/>
        </w:rPr>
      </w:pPr>
    </w:p>
    <w:p>
      <w:pPr>
        <w:pStyle w:val="ListParagraph"/>
        <w:numPr>
          <w:ilvl w:val="0"/>
          <w:numId w:val="1"/>
        </w:numPr>
        <w:tabs>
          <w:tab w:pos="627" w:val="left" w:leader="none"/>
          <w:tab w:pos="628" w:val="left" w:leader="none"/>
        </w:tabs>
        <w:spacing w:line="240" w:lineRule="auto" w:before="0" w:after="0"/>
        <w:ind w:left="627" w:right="0" w:hanging="428"/>
        <w:jc w:val="left"/>
        <w:rPr>
          <w:sz w:val="20"/>
        </w:rPr>
      </w:pPr>
      <w:r>
        <w:rPr>
          <w:sz w:val="20"/>
        </w:rPr>
        <w:t>The Group reviewed the RFR selection criteria and no amendments were</w:t>
      </w:r>
      <w:r>
        <w:rPr>
          <w:spacing w:val="-9"/>
          <w:sz w:val="20"/>
        </w:rPr>
        <w:t> </w:t>
      </w:r>
      <w:r>
        <w:rPr>
          <w:sz w:val="20"/>
        </w:rPr>
        <w:t>proposed.</w:t>
      </w:r>
      <w:r>
        <w:rPr>
          <w:sz w:val="20"/>
          <w:vertAlign w:val="superscript"/>
        </w:rPr>
        <w:t>1</w:t>
      </w:r>
    </w:p>
    <w:p>
      <w:pPr>
        <w:pStyle w:val="Heading1"/>
        <w:spacing w:before="231"/>
      </w:pPr>
      <w:r>
        <w:rPr/>
        <w:t>Advocacy session and debate</w:t>
      </w:r>
    </w:p>
    <w:p>
      <w:pPr>
        <w:pStyle w:val="BodyText"/>
        <w:spacing w:before="7"/>
        <w:rPr>
          <w:b/>
        </w:rPr>
      </w:pPr>
    </w:p>
    <w:p>
      <w:pPr>
        <w:pStyle w:val="ListParagraph"/>
        <w:numPr>
          <w:ilvl w:val="0"/>
          <w:numId w:val="1"/>
        </w:numPr>
        <w:tabs>
          <w:tab w:pos="627" w:val="left" w:leader="none"/>
          <w:tab w:pos="628" w:val="left" w:leader="none"/>
        </w:tabs>
        <w:spacing w:line="360" w:lineRule="auto" w:before="1" w:after="0"/>
        <w:ind w:left="200" w:right="180" w:firstLine="0"/>
        <w:jc w:val="left"/>
        <w:rPr>
          <w:sz w:val="20"/>
        </w:rPr>
      </w:pPr>
      <w:r>
        <w:rPr>
          <w:sz w:val="20"/>
        </w:rPr>
        <w:t>The secured and unsecured rate sub-Groups presented their concluding remarks on the respective candidate RFRs. Broadly speaking, all three options were considered viable candidate RFRs.</w:t>
      </w:r>
      <w:r>
        <w:rPr>
          <w:spacing w:val="-31"/>
          <w:sz w:val="20"/>
        </w:rPr>
        <w:t> </w:t>
      </w:r>
      <w:r>
        <w:rPr>
          <w:sz w:val="20"/>
        </w:rPr>
        <w:t>Discussion of their relative merits focused in particular on the following selection</w:t>
      </w:r>
      <w:r>
        <w:rPr>
          <w:spacing w:val="-4"/>
          <w:sz w:val="20"/>
        </w:rPr>
        <w:t> </w:t>
      </w:r>
      <w:r>
        <w:rPr>
          <w:sz w:val="20"/>
        </w:rPr>
        <w:t>criteria.</w:t>
      </w:r>
    </w:p>
    <w:p>
      <w:pPr>
        <w:pStyle w:val="ListParagraph"/>
        <w:numPr>
          <w:ilvl w:val="1"/>
          <w:numId w:val="1"/>
        </w:numPr>
        <w:tabs>
          <w:tab w:pos="908" w:val="left" w:leader="none"/>
          <w:tab w:pos="909" w:val="left" w:leader="none"/>
        </w:tabs>
        <w:spacing w:line="357" w:lineRule="auto" w:before="120" w:after="0"/>
        <w:ind w:left="908" w:right="117" w:hanging="360"/>
        <w:jc w:val="left"/>
        <w:rPr>
          <w:sz w:val="20"/>
        </w:rPr>
      </w:pPr>
      <w:r>
        <w:rPr>
          <w:sz w:val="20"/>
          <w:u w:val="single"/>
        </w:rPr>
        <w:t>Sufficient and reliable market data:</w:t>
      </w:r>
      <w:r>
        <w:rPr>
          <w:sz w:val="20"/>
        </w:rPr>
        <w:t> The secured rate sub-Group highlighted that daily volumes for the secured RFR candidates have been high in recent months, demonstrating robustness of the underlying market and hence the benchmarks. £ RIR volumes are lower than £ SONET volumes (average since 1 July 2016: £26.7bn vs. £58.8bn, respectively) because £ SONET comprises transactions conducted on other electronic repo trading platforms in addition to Brokertec, as well as uncleared DBV transactions settled through CREST. A few members of the Group noted</w:t>
      </w:r>
      <w:r>
        <w:rPr>
          <w:spacing w:val="-18"/>
          <w:sz w:val="20"/>
        </w:rPr>
        <w:t> </w:t>
      </w:r>
      <w:r>
        <w:rPr>
          <w:sz w:val="20"/>
        </w:rPr>
        <w:t>that</w:t>
      </w:r>
    </w:p>
    <w:p>
      <w:pPr>
        <w:pStyle w:val="BodyText"/>
        <w:spacing w:line="360" w:lineRule="auto" w:before="4"/>
        <w:ind w:left="908" w:right="183"/>
      </w:pPr>
      <w:r>
        <w:rPr/>
        <w:t>£ SONET might capture gilt-for-GC collateral swap transactions (due to the manner of settlement), which are not outright repo transactions and as such may be less indicative of repo rates.</w:t>
      </w:r>
    </w:p>
    <w:p>
      <w:pPr>
        <w:pStyle w:val="BodyText"/>
      </w:pPr>
    </w:p>
    <w:p>
      <w:pPr>
        <w:pStyle w:val="BodyText"/>
      </w:pPr>
    </w:p>
    <w:p>
      <w:pPr>
        <w:pStyle w:val="BodyText"/>
        <w:spacing w:before="2"/>
        <w:rPr>
          <w:sz w:val="15"/>
        </w:rPr>
      </w:pPr>
      <w:r>
        <w:rPr/>
        <w:pict>
          <v:shape style="position:absolute;margin-left:72.024002pt;margin-top:11.110731pt;width:144.050pt;height:.1pt;mso-position-horizontal-relative:page;mso-position-vertical-relative:paragraph;z-index:-251658240;mso-wrap-distance-left:0;mso-wrap-distance-right:0" coordorigin="1440,222" coordsize="2881,0" path="m1440,222l4321,222e" filled="false" stroked="true" strokeweight=".72003pt" strokecolor="#000000">
            <v:path arrowok="t"/>
            <v:stroke dashstyle="solid"/>
            <w10:wrap type="topAndBottom"/>
          </v:shape>
        </w:pict>
      </w:r>
    </w:p>
    <w:p>
      <w:pPr>
        <w:spacing w:before="39"/>
        <w:ind w:left="200" w:right="0" w:firstLine="0"/>
        <w:jc w:val="left"/>
        <w:rPr>
          <w:sz w:val="18"/>
        </w:rPr>
      </w:pPr>
      <w:r>
        <w:rPr>
          <w:position w:val="9"/>
          <w:sz w:val="12"/>
        </w:rPr>
        <w:t>1 </w:t>
      </w:r>
      <w:r>
        <w:rPr>
          <w:sz w:val="18"/>
        </w:rPr>
        <w:t>See </w:t>
      </w:r>
      <w:hyperlink r:id="rId5">
        <w:r>
          <w:rPr>
            <w:color w:val="0000FF"/>
            <w:sz w:val="18"/>
            <w:u w:val="single" w:color="0000FF"/>
          </w:rPr>
          <w:t>www.bankofengland.co.uk/markets/Documents/sterlingoperations/rfr/rfrselection.pdf</w:t>
        </w:r>
      </w:hyperlink>
    </w:p>
    <w:p>
      <w:pPr>
        <w:spacing w:after="0"/>
        <w:jc w:val="left"/>
        <w:rPr>
          <w:sz w:val="18"/>
        </w:rPr>
        <w:sectPr>
          <w:type w:val="continuous"/>
          <w:pgSz w:w="11910" w:h="16840"/>
          <w:pgMar w:top="1180" w:bottom="280" w:left="1240" w:right="1020"/>
        </w:sectPr>
      </w:pPr>
    </w:p>
    <w:p>
      <w:pPr>
        <w:pStyle w:val="BodyText"/>
        <w:spacing w:line="360" w:lineRule="auto" w:before="75"/>
        <w:ind w:left="908" w:right="183"/>
      </w:pPr>
      <w:r>
        <w:rPr/>
        <w:t>The unsecured sub-Group argued that reformed SONIA was likely to be similarly robust, since daily volumes have recently been around four times that for current SONIA – averaging £39.4bn, since 1 July 2016.</w:t>
      </w:r>
    </w:p>
    <w:p>
      <w:pPr>
        <w:pStyle w:val="ListParagraph"/>
        <w:numPr>
          <w:ilvl w:val="1"/>
          <w:numId w:val="1"/>
        </w:numPr>
        <w:tabs>
          <w:tab w:pos="908" w:val="left" w:leader="none"/>
          <w:tab w:pos="909" w:val="left" w:leader="none"/>
        </w:tabs>
        <w:spacing w:line="355" w:lineRule="auto" w:before="121" w:after="0"/>
        <w:ind w:left="908" w:right="153" w:hanging="360"/>
        <w:jc w:val="left"/>
        <w:rPr>
          <w:sz w:val="20"/>
        </w:rPr>
      </w:pPr>
      <w:r>
        <w:rPr>
          <w:sz w:val="20"/>
          <w:u w:val="single"/>
        </w:rPr>
        <w:t>Robustness to changes in market structure:</w:t>
      </w:r>
      <w:r>
        <w:rPr>
          <w:sz w:val="20"/>
        </w:rPr>
        <w:t> The secured sub-Group observed that FTSE-Russell had demonstrated strong willingness to evolve or expand the data inputs to £ SONET, to ensure the measure captured as many relevant transactions as</w:t>
      </w:r>
      <w:r>
        <w:rPr>
          <w:spacing w:val="-10"/>
          <w:sz w:val="20"/>
        </w:rPr>
        <w:t> </w:t>
      </w:r>
      <w:r>
        <w:rPr>
          <w:sz w:val="20"/>
        </w:rPr>
        <w:t>possible.</w:t>
      </w:r>
    </w:p>
    <w:p>
      <w:pPr>
        <w:pStyle w:val="BodyText"/>
        <w:spacing w:line="360" w:lineRule="auto" w:before="125"/>
        <w:ind w:left="908" w:right="381"/>
        <w:jc w:val="both"/>
      </w:pPr>
      <w:r>
        <w:rPr/>
        <w:t>The unsecured sub-Group noted that the Bank had outlined a detailed process for evolution of SONIA, which would provide reassurance to users that the rate would continue to exist even in the event that the unsecured market experiences structural change.</w:t>
      </w:r>
    </w:p>
    <w:p>
      <w:pPr>
        <w:pStyle w:val="ListParagraph"/>
        <w:numPr>
          <w:ilvl w:val="1"/>
          <w:numId w:val="1"/>
        </w:numPr>
        <w:tabs>
          <w:tab w:pos="908" w:val="left" w:leader="none"/>
          <w:tab w:pos="909" w:val="left" w:leader="none"/>
        </w:tabs>
        <w:spacing w:line="357" w:lineRule="auto" w:before="120" w:after="0"/>
        <w:ind w:left="908" w:right="133" w:hanging="360"/>
        <w:jc w:val="left"/>
        <w:rPr>
          <w:sz w:val="20"/>
        </w:rPr>
      </w:pPr>
      <w:r>
        <w:rPr>
          <w:sz w:val="20"/>
          <w:u w:val="single"/>
        </w:rPr>
        <w:t>Appropriate governance and commercial sustainability:</w:t>
      </w:r>
      <w:r>
        <w:rPr>
          <w:sz w:val="20"/>
        </w:rPr>
        <w:t> The secured sub-Group noted that FTSE- Russell’s proposed governance arrangements for £ SONET were well developed. The Group expected that the Bank’s governance procedures would be similarly effective and noted that a public sector administrator would be less likely to be affected by conflicts of interest that might arise for commercial</w:t>
      </w:r>
      <w:r>
        <w:rPr>
          <w:spacing w:val="-3"/>
          <w:sz w:val="20"/>
        </w:rPr>
        <w:t> </w:t>
      </w:r>
      <w:r>
        <w:rPr>
          <w:sz w:val="20"/>
        </w:rPr>
        <w:t>administrators.</w:t>
      </w:r>
    </w:p>
    <w:p>
      <w:pPr>
        <w:pStyle w:val="ListParagraph"/>
        <w:numPr>
          <w:ilvl w:val="1"/>
          <w:numId w:val="1"/>
        </w:numPr>
        <w:tabs>
          <w:tab w:pos="908" w:val="left" w:leader="none"/>
          <w:tab w:pos="909" w:val="left" w:leader="none"/>
        </w:tabs>
        <w:spacing w:line="357" w:lineRule="auto" w:before="122" w:after="0"/>
        <w:ind w:left="908" w:right="159" w:hanging="360"/>
        <w:jc w:val="left"/>
        <w:rPr>
          <w:sz w:val="20"/>
        </w:rPr>
      </w:pPr>
      <w:r>
        <w:rPr>
          <w:sz w:val="20"/>
          <w:u w:val="single"/>
        </w:rPr>
        <w:t>Sensitivity to market conditions and policy rates:</w:t>
      </w:r>
      <w:r>
        <w:rPr>
          <w:sz w:val="20"/>
        </w:rPr>
        <w:t> Some Group members argued that the gilt repo market has a broad and diverse set of participants, with activity on both sides of the market. This is demonstrated by movements in rates at month-end dates, as well as rate increases around</w:t>
      </w:r>
      <w:r>
        <w:rPr>
          <w:spacing w:val="-29"/>
          <w:sz w:val="20"/>
        </w:rPr>
        <w:t> </w:t>
      </w:r>
      <w:r>
        <w:rPr>
          <w:sz w:val="20"/>
        </w:rPr>
        <w:t>the UK’s referendum of EU membership and falls in average rates in late-2016 in response to collateral availability. The Group debated whether this responsiveness in rates would be a desirable feature for all potential users of an RFR seeking a ‘general measure of interest</w:t>
      </w:r>
      <w:r>
        <w:rPr>
          <w:spacing w:val="-30"/>
          <w:sz w:val="20"/>
        </w:rPr>
        <w:t> </w:t>
      </w:r>
      <w:r>
        <w:rPr>
          <w:sz w:val="20"/>
        </w:rPr>
        <w:t>rates’.</w:t>
      </w:r>
    </w:p>
    <w:p>
      <w:pPr>
        <w:pStyle w:val="BodyText"/>
        <w:spacing w:line="360" w:lineRule="auto" w:before="124"/>
        <w:ind w:left="908" w:right="113"/>
      </w:pPr>
      <w:r>
        <w:rPr/>
        <w:t>Some members argued that reformed SONIA’s proximity to, and correlation with, Bank Rate would ensure its applicability as an RFR. Other members argued that unsecured overnight deposits did not represent a relevant funding source for many market participants, and hence use of SONIA as a hedging tool may not be that relevant.</w:t>
      </w:r>
    </w:p>
    <w:p>
      <w:pPr>
        <w:pStyle w:val="ListParagraph"/>
        <w:numPr>
          <w:ilvl w:val="1"/>
          <w:numId w:val="1"/>
        </w:numPr>
        <w:tabs>
          <w:tab w:pos="908" w:val="left" w:leader="none"/>
          <w:tab w:pos="909" w:val="left" w:leader="none"/>
        </w:tabs>
        <w:spacing w:line="357" w:lineRule="auto" w:before="122" w:after="0"/>
        <w:ind w:left="908" w:right="267" w:hanging="360"/>
        <w:jc w:val="left"/>
        <w:rPr>
          <w:sz w:val="20"/>
        </w:rPr>
      </w:pPr>
      <w:r>
        <w:rPr>
          <w:sz w:val="20"/>
          <w:u w:val="single"/>
        </w:rPr>
        <w:t>Ease of understanding:</w:t>
      </w:r>
      <w:r>
        <w:rPr>
          <w:sz w:val="20"/>
        </w:rPr>
        <w:t> It was also noted that SONIA, as an unsecured rate, was easier to understand conceptually and movements in the rate were simpler to explain since they were not affected by extraneous factors, unlike the secured rate candidates which were affected by the supply of and demand for</w:t>
      </w:r>
      <w:r>
        <w:rPr>
          <w:spacing w:val="-7"/>
          <w:sz w:val="20"/>
        </w:rPr>
        <w:t> </w:t>
      </w:r>
      <w:r>
        <w:rPr>
          <w:sz w:val="20"/>
        </w:rPr>
        <w:t>collateral.</w:t>
      </w:r>
    </w:p>
    <w:p>
      <w:pPr>
        <w:pStyle w:val="ListParagraph"/>
        <w:numPr>
          <w:ilvl w:val="1"/>
          <w:numId w:val="1"/>
        </w:numPr>
        <w:tabs>
          <w:tab w:pos="908" w:val="left" w:leader="none"/>
          <w:tab w:pos="909" w:val="left" w:leader="none"/>
        </w:tabs>
        <w:spacing w:line="357" w:lineRule="auto" w:before="121" w:after="0"/>
        <w:ind w:left="908" w:right="402" w:hanging="360"/>
        <w:jc w:val="left"/>
        <w:rPr>
          <w:sz w:val="20"/>
        </w:rPr>
      </w:pPr>
      <w:r>
        <w:rPr>
          <w:sz w:val="20"/>
          <w:u w:val="single"/>
        </w:rPr>
        <w:t>Ease of transition:</w:t>
      </w:r>
      <w:r>
        <w:rPr>
          <w:sz w:val="20"/>
        </w:rPr>
        <w:t> Group members noted that recommending SONIA as an RFR would not require an OIS transition. By comparison, a voluntary transition of the OIS market to a secured rate would be required, and was thought only likely to succeed if there was near-unanimous support from market participants. Some felt that this level of support would not be</w:t>
      </w:r>
      <w:r>
        <w:rPr>
          <w:spacing w:val="-24"/>
          <w:sz w:val="20"/>
        </w:rPr>
        <w:t> </w:t>
      </w:r>
      <w:r>
        <w:rPr>
          <w:sz w:val="20"/>
        </w:rPr>
        <w:t>achievable.</w:t>
      </w:r>
    </w:p>
    <w:p>
      <w:pPr>
        <w:pStyle w:val="ListParagraph"/>
        <w:numPr>
          <w:ilvl w:val="1"/>
          <w:numId w:val="1"/>
        </w:numPr>
        <w:tabs>
          <w:tab w:pos="908" w:val="left" w:leader="none"/>
          <w:tab w:pos="909" w:val="left" w:leader="none"/>
        </w:tabs>
        <w:spacing w:line="357" w:lineRule="auto" w:before="120" w:after="0"/>
        <w:ind w:left="908" w:right="150" w:hanging="360"/>
        <w:jc w:val="left"/>
        <w:rPr>
          <w:sz w:val="20"/>
        </w:rPr>
      </w:pPr>
      <w:r>
        <w:rPr>
          <w:sz w:val="20"/>
          <w:u w:val="single"/>
        </w:rPr>
        <w:t>Same day availability:</w:t>
      </w:r>
      <w:r>
        <w:rPr>
          <w:sz w:val="20"/>
        </w:rPr>
        <w:t> Reformed SONIA will be published at 09:00 the day after that to which the rate pertains, which would impact or delay settlement of sterling OIS and/or collateral remuneration payments. It was noted that there was precedent for this and the operational</w:t>
      </w:r>
      <w:r>
        <w:rPr>
          <w:spacing w:val="-30"/>
          <w:sz w:val="20"/>
        </w:rPr>
        <w:t> </w:t>
      </w:r>
      <w:r>
        <w:rPr>
          <w:sz w:val="20"/>
        </w:rPr>
        <w:t>issues were manageable. By comparison, £ SONET will be published at 21:00 on the same day and while this may be better, some members noted that might still be too late to feed into relevant systems, with similar operational issues to SONIA. £ RIR is published on the same day at</w:t>
      </w:r>
      <w:r>
        <w:rPr>
          <w:spacing w:val="-17"/>
          <w:sz w:val="20"/>
        </w:rPr>
        <w:t> </w:t>
      </w:r>
      <w:r>
        <w:rPr>
          <w:sz w:val="20"/>
        </w:rPr>
        <w:t>18:00.</w:t>
      </w:r>
    </w:p>
    <w:p>
      <w:pPr>
        <w:spacing w:after="0" w:line="357" w:lineRule="auto"/>
        <w:jc w:val="left"/>
        <w:rPr>
          <w:sz w:val="20"/>
        </w:rPr>
        <w:sectPr>
          <w:pgSz w:w="11910" w:h="16840"/>
          <w:pgMar w:top="1180" w:bottom="280" w:left="1240" w:right="1020"/>
        </w:sectPr>
      </w:pPr>
    </w:p>
    <w:p>
      <w:pPr>
        <w:pStyle w:val="ListParagraph"/>
        <w:numPr>
          <w:ilvl w:val="0"/>
          <w:numId w:val="1"/>
        </w:numPr>
        <w:tabs>
          <w:tab w:pos="627" w:val="left" w:leader="none"/>
          <w:tab w:pos="628" w:val="left" w:leader="none"/>
        </w:tabs>
        <w:spacing w:line="360" w:lineRule="auto" w:before="75" w:after="0"/>
        <w:ind w:left="200" w:right="193" w:firstLine="0"/>
        <w:jc w:val="left"/>
        <w:rPr>
          <w:sz w:val="20"/>
        </w:rPr>
      </w:pPr>
      <w:r>
        <w:rPr>
          <w:sz w:val="20"/>
        </w:rPr>
        <w:t>In forming their individual assessments of the candidate RFRs, and voting for their preferred RFR, member institutions would place different weights on these arguments, and the relative importance of</w:t>
      </w:r>
      <w:r>
        <w:rPr>
          <w:spacing w:val="-35"/>
          <w:sz w:val="20"/>
        </w:rPr>
        <w:t> </w:t>
      </w:r>
      <w:r>
        <w:rPr>
          <w:sz w:val="20"/>
        </w:rPr>
        <w:t>the various selection</w:t>
      </w:r>
      <w:r>
        <w:rPr>
          <w:spacing w:val="-2"/>
          <w:sz w:val="20"/>
        </w:rPr>
        <w:t> </w:t>
      </w:r>
      <w:r>
        <w:rPr>
          <w:sz w:val="20"/>
        </w:rPr>
        <w:t>criteria.</w:t>
      </w:r>
    </w:p>
    <w:p>
      <w:pPr>
        <w:pStyle w:val="ListParagraph"/>
        <w:numPr>
          <w:ilvl w:val="0"/>
          <w:numId w:val="1"/>
        </w:numPr>
        <w:tabs>
          <w:tab w:pos="627" w:val="left" w:leader="none"/>
          <w:tab w:pos="628" w:val="left" w:leader="none"/>
        </w:tabs>
        <w:spacing w:line="360" w:lineRule="auto" w:before="120" w:after="0"/>
        <w:ind w:left="200" w:right="381" w:firstLine="0"/>
        <w:jc w:val="left"/>
        <w:rPr>
          <w:sz w:val="20"/>
        </w:rPr>
      </w:pPr>
      <w:r>
        <w:rPr>
          <w:sz w:val="20"/>
        </w:rPr>
        <w:t>The Chair concluded the session by thanking the Group for their engagement in the debate. He noted that the important work done to develop and reform each of the candidate rates has already enhanced the transparency and resilience of sterling money markets, with material benefits for a</w:t>
      </w:r>
      <w:r>
        <w:rPr>
          <w:spacing w:val="-30"/>
          <w:sz w:val="20"/>
        </w:rPr>
        <w:t> </w:t>
      </w:r>
      <w:r>
        <w:rPr>
          <w:sz w:val="20"/>
        </w:rPr>
        <w:t>broad spectrum of market participants.</w:t>
      </w:r>
    </w:p>
    <w:p>
      <w:pPr>
        <w:pStyle w:val="Heading1"/>
        <w:spacing w:before="118"/>
      </w:pPr>
      <w:r>
        <w:rPr/>
        <w:t>Addendum: Outcome of the vote – the Group’s recommended Sterling RFR</w:t>
      </w:r>
    </w:p>
    <w:p>
      <w:pPr>
        <w:pStyle w:val="BodyText"/>
        <w:spacing w:before="8"/>
        <w:rPr>
          <w:b/>
        </w:rPr>
      </w:pPr>
    </w:p>
    <w:p>
      <w:pPr>
        <w:pStyle w:val="ListParagraph"/>
        <w:numPr>
          <w:ilvl w:val="0"/>
          <w:numId w:val="1"/>
        </w:numPr>
        <w:tabs>
          <w:tab w:pos="627" w:val="left" w:leader="none"/>
          <w:tab w:pos="628" w:val="left" w:leader="none"/>
        </w:tabs>
        <w:spacing w:line="357" w:lineRule="auto" w:before="0" w:after="0"/>
        <w:ind w:left="200" w:right="141" w:firstLine="0"/>
        <w:jc w:val="left"/>
        <w:rPr>
          <w:sz w:val="20"/>
        </w:rPr>
      </w:pPr>
      <w:r>
        <w:rPr>
          <w:sz w:val="20"/>
        </w:rPr>
        <w:t>Following the meeting, by written procedure, members agreed to recommend SONIA as the RFR for sterling markets, by more than the two-thirds supermajority required by the Group’s Terms of</w:t>
      </w:r>
      <w:r>
        <w:rPr>
          <w:spacing w:val="-28"/>
          <w:sz w:val="20"/>
        </w:rPr>
        <w:t> </w:t>
      </w:r>
      <w:r>
        <w:rPr>
          <w:sz w:val="20"/>
        </w:rPr>
        <w:t>Reference.</w:t>
      </w:r>
      <w:r>
        <w:rPr>
          <w:sz w:val="20"/>
          <w:vertAlign w:val="superscript"/>
        </w:rPr>
        <w:t>2</w:t>
      </w:r>
    </w:p>
    <w:p>
      <w:pPr>
        <w:pStyle w:val="ListParagraph"/>
        <w:numPr>
          <w:ilvl w:val="0"/>
          <w:numId w:val="1"/>
        </w:numPr>
        <w:tabs>
          <w:tab w:pos="627" w:val="left" w:leader="none"/>
          <w:tab w:pos="628" w:val="left" w:leader="none"/>
        </w:tabs>
        <w:spacing w:line="362" w:lineRule="auto" w:before="123" w:after="0"/>
        <w:ind w:left="200" w:right="591" w:firstLine="0"/>
        <w:jc w:val="left"/>
        <w:rPr>
          <w:sz w:val="20"/>
        </w:rPr>
      </w:pPr>
      <w:r>
        <w:rPr>
          <w:sz w:val="20"/>
        </w:rPr>
        <w:t>This recommendation, together with the Group’s proposed steps toward an implementation and adoption plan, would be subject to a broad market consultation to be held in the middle of</w:t>
      </w:r>
      <w:r>
        <w:rPr>
          <w:spacing w:val="-18"/>
          <w:sz w:val="20"/>
        </w:rPr>
        <w:t> </w:t>
      </w:r>
      <w:r>
        <w:rPr>
          <w:sz w:val="20"/>
        </w:rPr>
        <w:t>2017.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1"/>
        </w:rPr>
      </w:pPr>
      <w:r>
        <w:rPr/>
        <w:pict>
          <v:shape style="position:absolute;margin-left:72.024002pt;margin-top:14.603114pt;width:144.050pt;height:.1pt;mso-position-horizontal-relative:page;mso-position-vertical-relative:paragraph;z-index:-251657216;mso-wrap-distance-left:0;mso-wrap-distance-right:0" coordorigin="1440,292" coordsize="2881,0" path="m1440,292l4321,292e" filled="false" stroked="true" strokeweight=".72003pt" strokecolor="#000000">
            <v:path arrowok="t"/>
            <v:stroke dashstyle="solid"/>
            <w10:wrap type="topAndBottom"/>
          </v:shape>
        </w:pict>
      </w:r>
    </w:p>
    <w:p>
      <w:pPr>
        <w:spacing w:before="39"/>
        <w:ind w:left="200" w:right="0" w:firstLine="0"/>
        <w:jc w:val="left"/>
        <w:rPr>
          <w:sz w:val="18"/>
        </w:rPr>
      </w:pPr>
      <w:r>
        <w:rPr>
          <w:position w:val="9"/>
          <w:sz w:val="12"/>
        </w:rPr>
        <w:t>2 </w:t>
      </w:r>
      <w:r>
        <w:rPr>
          <w:sz w:val="18"/>
        </w:rPr>
        <w:t>See </w:t>
      </w:r>
      <w:hyperlink r:id="rId6">
        <w:r>
          <w:rPr>
            <w:color w:val="0000FF"/>
            <w:sz w:val="18"/>
            <w:u w:val="single" w:color="0000FF"/>
          </w:rPr>
          <w:t>www.bankofengland.co.uk/markets/Documents/sterlingoperations/rfr/tor.pdf</w:t>
        </w:r>
      </w:hyperlink>
    </w:p>
    <w:p>
      <w:pPr>
        <w:spacing w:after="0"/>
        <w:jc w:val="left"/>
        <w:rPr>
          <w:sz w:val="18"/>
        </w:rPr>
        <w:sectPr>
          <w:pgSz w:w="11910" w:h="16840"/>
          <w:pgMar w:top="1180" w:bottom="280" w:left="1240" w:right="1020"/>
        </w:sectPr>
      </w:pPr>
    </w:p>
    <w:p>
      <w:pPr>
        <w:pStyle w:val="Heading1"/>
        <w:spacing w:before="75"/>
      </w:pPr>
      <w:r>
        <w:rPr/>
        <w:t>Private sector</w:t>
      </w:r>
      <w:r>
        <w:rPr>
          <w:spacing w:val="-11"/>
        </w:rPr>
        <w:t> </w:t>
      </w:r>
      <w:r>
        <w:rPr/>
        <w:t>attendees</w:t>
      </w:r>
    </w:p>
    <w:p>
      <w:pPr>
        <w:pStyle w:val="BodyText"/>
        <w:spacing w:before="10"/>
        <w:rPr>
          <w:b/>
          <w:sz w:val="23"/>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6"/>
        <w:gridCol w:w="3238"/>
      </w:tblGrid>
      <w:tr>
        <w:trPr>
          <w:trHeight w:val="262" w:hRule="atLeast"/>
        </w:trPr>
        <w:tc>
          <w:tcPr>
            <w:tcW w:w="2566" w:type="dxa"/>
          </w:tcPr>
          <w:p>
            <w:pPr>
              <w:pStyle w:val="TableParagraph"/>
              <w:spacing w:line="225" w:lineRule="exact" w:before="0"/>
              <w:rPr>
                <w:sz w:val="20"/>
              </w:rPr>
            </w:pPr>
            <w:r>
              <w:rPr>
                <w:sz w:val="20"/>
              </w:rPr>
              <w:t>Nick Saggers</w:t>
            </w:r>
          </w:p>
        </w:tc>
        <w:tc>
          <w:tcPr>
            <w:tcW w:w="3238" w:type="dxa"/>
          </w:tcPr>
          <w:p>
            <w:pPr>
              <w:pStyle w:val="TableParagraph"/>
              <w:spacing w:line="223" w:lineRule="exact" w:before="0"/>
              <w:ind w:left="754"/>
              <w:rPr>
                <w:b/>
                <w:sz w:val="20"/>
              </w:rPr>
            </w:pPr>
            <w:r>
              <w:rPr>
                <w:b/>
                <w:sz w:val="20"/>
              </w:rPr>
              <w:t>BAML</w:t>
            </w:r>
          </w:p>
        </w:tc>
      </w:tr>
      <w:tr>
        <w:trPr>
          <w:trHeight w:val="300" w:hRule="atLeast"/>
        </w:trPr>
        <w:tc>
          <w:tcPr>
            <w:tcW w:w="2566" w:type="dxa"/>
          </w:tcPr>
          <w:p>
            <w:pPr>
              <w:pStyle w:val="TableParagraph"/>
              <w:rPr>
                <w:sz w:val="20"/>
              </w:rPr>
            </w:pPr>
            <w:r>
              <w:rPr>
                <w:sz w:val="20"/>
              </w:rPr>
              <w:t>Francois Jourdain</w:t>
            </w:r>
          </w:p>
        </w:tc>
        <w:tc>
          <w:tcPr>
            <w:tcW w:w="3238" w:type="dxa"/>
          </w:tcPr>
          <w:p>
            <w:pPr>
              <w:pStyle w:val="TableParagraph"/>
              <w:spacing w:before="30"/>
              <w:ind w:left="754"/>
              <w:rPr>
                <w:b/>
                <w:sz w:val="20"/>
              </w:rPr>
            </w:pPr>
            <w:r>
              <w:rPr>
                <w:b/>
                <w:sz w:val="20"/>
              </w:rPr>
              <w:t>Barclays (Chair)</w:t>
            </w:r>
          </w:p>
        </w:tc>
      </w:tr>
      <w:tr>
        <w:trPr>
          <w:trHeight w:val="300" w:hRule="atLeast"/>
        </w:trPr>
        <w:tc>
          <w:tcPr>
            <w:tcW w:w="2566" w:type="dxa"/>
          </w:tcPr>
          <w:p>
            <w:pPr>
              <w:pStyle w:val="TableParagraph"/>
              <w:rPr>
                <w:sz w:val="20"/>
              </w:rPr>
            </w:pPr>
            <w:r>
              <w:rPr>
                <w:sz w:val="20"/>
              </w:rPr>
              <w:t>Farah Mansoor</w:t>
            </w:r>
          </w:p>
        </w:tc>
        <w:tc>
          <w:tcPr>
            <w:tcW w:w="3238" w:type="dxa"/>
          </w:tcPr>
          <w:p>
            <w:pPr>
              <w:pStyle w:val="TableParagraph"/>
              <w:spacing w:before="30"/>
              <w:ind w:left="754"/>
              <w:rPr>
                <w:b/>
                <w:sz w:val="20"/>
              </w:rPr>
            </w:pPr>
            <w:r>
              <w:rPr>
                <w:b/>
                <w:sz w:val="20"/>
              </w:rPr>
              <w:t>Barclays (Chair’s office)</w:t>
            </w:r>
          </w:p>
        </w:tc>
      </w:tr>
      <w:tr>
        <w:trPr>
          <w:trHeight w:val="300" w:hRule="atLeast"/>
        </w:trPr>
        <w:tc>
          <w:tcPr>
            <w:tcW w:w="2566" w:type="dxa"/>
          </w:tcPr>
          <w:p>
            <w:pPr>
              <w:pStyle w:val="TableParagraph"/>
              <w:rPr>
                <w:sz w:val="20"/>
              </w:rPr>
            </w:pPr>
            <w:r>
              <w:rPr>
                <w:sz w:val="20"/>
              </w:rPr>
              <w:t>Mike Manna</w:t>
            </w:r>
          </w:p>
        </w:tc>
        <w:tc>
          <w:tcPr>
            <w:tcW w:w="3238" w:type="dxa"/>
          </w:tcPr>
          <w:p>
            <w:pPr>
              <w:pStyle w:val="TableParagraph"/>
              <w:spacing w:before="30"/>
              <w:ind w:left="754"/>
              <w:rPr>
                <w:b/>
                <w:sz w:val="20"/>
              </w:rPr>
            </w:pPr>
            <w:r>
              <w:rPr>
                <w:b/>
                <w:sz w:val="20"/>
              </w:rPr>
              <w:t>Barclays</w:t>
            </w:r>
          </w:p>
        </w:tc>
      </w:tr>
      <w:tr>
        <w:trPr>
          <w:trHeight w:val="300" w:hRule="atLeast"/>
        </w:trPr>
        <w:tc>
          <w:tcPr>
            <w:tcW w:w="2566" w:type="dxa"/>
          </w:tcPr>
          <w:p>
            <w:pPr>
              <w:pStyle w:val="TableParagraph"/>
              <w:rPr>
                <w:sz w:val="20"/>
              </w:rPr>
            </w:pPr>
            <w:r>
              <w:rPr>
                <w:sz w:val="20"/>
              </w:rPr>
              <w:t>Stephen Randall</w:t>
            </w:r>
          </w:p>
        </w:tc>
        <w:tc>
          <w:tcPr>
            <w:tcW w:w="3238" w:type="dxa"/>
          </w:tcPr>
          <w:p>
            <w:pPr>
              <w:pStyle w:val="TableParagraph"/>
              <w:spacing w:before="30"/>
              <w:ind w:left="754"/>
              <w:rPr>
                <w:b/>
                <w:sz w:val="20"/>
              </w:rPr>
            </w:pPr>
            <w:r>
              <w:rPr>
                <w:b/>
                <w:sz w:val="20"/>
              </w:rPr>
              <w:t>Citigroup</w:t>
            </w:r>
          </w:p>
        </w:tc>
      </w:tr>
      <w:tr>
        <w:trPr>
          <w:trHeight w:val="300" w:hRule="atLeast"/>
        </w:trPr>
        <w:tc>
          <w:tcPr>
            <w:tcW w:w="2566" w:type="dxa"/>
          </w:tcPr>
          <w:p>
            <w:pPr>
              <w:pStyle w:val="TableParagraph"/>
              <w:rPr>
                <w:sz w:val="20"/>
              </w:rPr>
            </w:pPr>
            <w:r>
              <w:rPr>
                <w:sz w:val="20"/>
              </w:rPr>
              <w:t>Arif Merali</w:t>
            </w:r>
          </w:p>
        </w:tc>
        <w:tc>
          <w:tcPr>
            <w:tcW w:w="3238" w:type="dxa"/>
          </w:tcPr>
          <w:p>
            <w:pPr>
              <w:pStyle w:val="TableParagraph"/>
              <w:spacing w:before="30"/>
              <w:ind w:left="754"/>
              <w:rPr>
                <w:b/>
                <w:sz w:val="20"/>
              </w:rPr>
            </w:pPr>
            <w:r>
              <w:rPr>
                <w:b/>
                <w:sz w:val="20"/>
              </w:rPr>
              <w:t>Credit Suisse</w:t>
            </w:r>
          </w:p>
        </w:tc>
      </w:tr>
      <w:tr>
        <w:trPr>
          <w:trHeight w:val="300" w:hRule="atLeast"/>
        </w:trPr>
        <w:tc>
          <w:tcPr>
            <w:tcW w:w="2566" w:type="dxa"/>
          </w:tcPr>
          <w:p>
            <w:pPr>
              <w:pStyle w:val="TableParagraph"/>
              <w:rPr>
                <w:sz w:val="20"/>
              </w:rPr>
            </w:pPr>
            <w:r>
              <w:rPr>
                <w:sz w:val="20"/>
              </w:rPr>
              <w:t>John Hilty</w:t>
            </w:r>
          </w:p>
        </w:tc>
        <w:tc>
          <w:tcPr>
            <w:tcW w:w="3238" w:type="dxa"/>
          </w:tcPr>
          <w:p>
            <w:pPr>
              <w:pStyle w:val="TableParagraph"/>
              <w:spacing w:before="30"/>
              <w:ind w:left="754"/>
              <w:rPr>
                <w:b/>
                <w:sz w:val="20"/>
              </w:rPr>
            </w:pPr>
            <w:r>
              <w:rPr>
                <w:b/>
                <w:sz w:val="20"/>
              </w:rPr>
              <w:t>Deutsche Bank</w:t>
            </w:r>
          </w:p>
        </w:tc>
      </w:tr>
      <w:tr>
        <w:trPr>
          <w:trHeight w:val="300" w:hRule="atLeast"/>
        </w:trPr>
        <w:tc>
          <w:tcPr>
            <w:tcW w:w="2566" w:type="dxa"/>
          </w:tcPr>
          <w:p>
            <w:pPr>
              <w:pStyle w:val="TableParagraph"/>
              <w:rPr>
                <w:sz w:val="20"/>
              </w:rPr>
            </w:pPr>
            <w:r>
              <w:rPr>
                <w:sz w:val="20"/>
              </w:rPr>
              <w:t>Juergen Feil</w:t>
            </w:r>
          </w:p>
        </w:tc>
        <w:tc>
          <w:tcPr>
            <w:tcW w:w="3238" w:type="dxa"/>
          </w:tcPr>
          <w:p>
            <w:pPr>
              <w:pStyle w:val="TableParagraph"/>
              <w:spacing w:before="30"/>
              <w:ind w:left="754"/>
              <w:rPr>
                <w:b/>
                <w:sz w:val="20"/>
              </w:rPr>
            </w:pPr>
            <w:r>
              <w:rPr>
                <w:b/>
                <w:sz w:val="20"/>
              </w:rPr>
              <w:t>Deutsche Bank</w:t>
            </w:r>
          </w:p>
        </w:tc>
      </w:tr>
      <w:tr>
        <w:trPr>
          <w:trHeight w:val="300" w:hRule="atLeast"/>
        </w:trPr>
        <w:tc>
          <w:tcPr>
            <w:tcW w:w="2566" w:type="dxa"/>
          </w:tcPr>
          <w:p>
            <w:pPr>
              <w:pStyle w:val="TableParagraph"/>
              <w:rPr>
                <w:sz w:val="20"/>
              </w:rPr>
            </w:pPr>
            <w:r>
              <w:rPr>
                <w:sz w:val="20"/>
              </w:rPr>
              <w:t>Nikhil Choraria</w:t>
            </w:r>
          </w:p>
        </w:tc>
        <w:tc>
          <w:tcPr>
            <w:tcW w:w="3238" w:type="dxa"/>
          </w:tcPr>
          <w:p>
            <w:pPr>
              <w:pStyle w:val="TableParagraph"/>
              <w:spacing w:before="30"/>
              <w:ind w:left="754"/>
              <w:rPr>
                <w:b/>
                <w:sz w:val="20"/>
              </w:rPr>
            </w:pPr>
            <w:r>
              <w:rPr>
                <w:b/>
                <w:sz w:val="20"/>
              </w:rPr>
              <w:t>Goldman Sachs</w:t>
            </w:r>
          </w:p>
        </w:tc>
      </w:tr>
      <w:tr>
        <w:trPr>
          <w:trHeight w:val="300" w:hRule="atLeast"/>
        </w:trPr>
        <w:tc>
          <w:tcPr>
            <w:tcW w:w="2566" w:type="dxa"/>
          </w:tcPr>
          <w:p>
            <w:pPr>
              <w:pStyle w:val="TableParagraph"/>
              <w:rPr>
                <w:sz w:val="20"/>
              </w:rPr>
            </w:pPr>
            <w:r>
              <w:rPr>
                <w:sz w:val="20"/>
              </w:rPr>
              <w:t>Michael Graham</w:t>
            </w:r>
          </w:p>
        </w:tc>
        <w:tc>
          <w:tcPr>
            <w:tcW w:w="3238" w:type="dxa"/>
          </w:tcPr>
          <w:p>
            <w:pPr>
              <w:pStyle w:val="TableParagraph"/>
              <w:spacing w:before="30"/>
              <w:ind w:left="754"/>
              <w:rPr>
                <w:b/>
                <w:sz w:val="20"/>
              </w:rPr>
            </w:pPr>
            <w:r>
              <w:rPr>
                <w:b/>
                <w:sz w:val="20"/>
              </w:rPr>
              <w:t>Goldman Sachs</w:t>
            </w:r>
          </w:p>
        </w:tc>
      </w:tr>
      <w:tr>
        <w:trPr>
          <w:trHeight w:val="300" w:hRule="atLeast"/>
        </w:trPr>
        <w:tc>
          <w:tcPr>
            <w:tcW w:w="2566" w:type="dxa"/>
          </w:tcPr>
          <w:p>
            <w:pPr>
              <w:pStyle w:val="TableParagraph"/>
              <w:rPr>
                <w:sz w:val="20"/>
              </w:rPr>
            </w:pPr>
            <w:r>
              <w:rPr>
                <w:sz w:val="20"/>
              </w:rPr>
              <w:t>Glenn Handley</w:t>
            </w:r>
          </w:p>
        </w:tc>
        <w:tc>
          <w:tcPr>
            <w:tcW w:w="3238" w:type="dxa"/>
          </w:tcPr>
          <w:p>
            <w:pPr>
              <w:pStyle w:val="TableParagraph"/>
              <w:spacing w:before="30"/>
              <w:ind w:left="754"/>
              <w:rPr>
                <w:b/>
                <w:sz w:val="20"/>
              </w:rPr>
            </w:pPr>
            <w:r>
              <w:rPr>
                <w:b/>
                <w:sz w:val="20"/>
              </w:rPr>
              <w:t>HSBC</w:t>
            </w:r>
          </w:p>
        </w:tc>
      </w:tr>
      <w:tr>
        <w:trPr>
          <w:trHeight w:val="300" w:hRule="atLeast"/>
        </w:trPr>
        <w:tc>
          <w:tcPr>
            <w:tcW w:w="2566" w:type="dxa"/>
          </w:tcPr>
          <w:p>
            <w:pPr>
              <w:pStyle w:val="TableParagraph"/>
              <w:rPr>
                <w:sz w:val="20"/>
              </w:rPr>
            </w:pPr>
            <w:r>
              <w:rPr>
                <w:sz w:val="20"/>
              </w:rPr>
              <w:t>Kari Hallgrimsson</w:t>
            </w:r>
          </w:p>
        </w:tc>
        <w:tc>
          <w:tcPr>
            <w:tcW w:w="3238" w:type="dxa"/>
          </w:tcPr>
          <w:p>
            <w:pPr>
              <w:pStyle w:val="TableParagraph"/>
              <w:spacing w:before="30"/>
              <w:ind w:left="754"/>
              <w:rPr>
                <w:b/>
                <w:sz w:val="20"/>
              </w:rPr>
            </w:pPr>
            <w:r>
              <w:rPr>
                <w:b/>
                <w:sz w:val="20"/>
              </w:rPr>
              <w:t>JP Morgan</w:t>
            </w:r>
          </w:p>
        </w:tc>
      </w:tr>
      <w:tr>
        <w:trPr>
          <w:trHeight w:val="300" w:hRule="atLeast"/>
        </w:trPr>
        <w:tc>
          <w:tcPr>
            <w:tcW w:w="2566" w:type="dxa"/>
          </w:tcPr>
          <w:p>
            <w:pPr>
              <w:pStyle w:val="TableParagraph"/>
              <w:rPr>
                <w:sz w:val="20"/>
              </w:rPr>
            </w:pPr>
            <w:r>
              <w:rPr>
                <w:sz w:val="20"/>
              </w:rPr>
              <w:t>Ian Fox</w:t>
            </w:r>
          </w:p>
        </w:tc>
        <w:tc>
          <w:tcPr>
            <w:tcW w:w="3238" w:type="dxa"/>
          </w:tcPr>
          <w:p>
            <w:pPr>
              <w:pStyle w:val="TableParagraph"/>
              <w:spacing w:before="30"/>
              <w:ind w:left="754"/>
              <w:rPr>
                <w:b/>
                <w:sz w:val="20"/>
              </w:rPr>
            </w:pPr>
            <w:r>
              <w:rPr>
                <w:b/>
                <w:sz w:val="20"/>
              </w:rPr>
              <w:t>Lloyds</w:t>
            </w:r>
          </w:p>
        </w:tc>
      </w:tr>
      <w:tr>
        <w:trPr>
          <w:trHeight w:val="300" w:hRule="atLeast"/>
        </w:trPr>
        <w:tc>
          <w:tcPr>
            <w:tcW w:w="2566" w:type="dxa"/>
          </w:tcPr>
          <w:p>
            <w:pPr>
              <w:pStyle w:val="TableParagraph"/>
              <w:spacing w:before="33"/>
              <w:rPr>
                <w:sz w:val="20"/>
              </w:rPr>
            </w:pPr>
            <w:r>
              <w:rPr>
                <w:sz w:val="20"/>
              </w:rPr>
              <w:t>Freddie Napier</w:t>
            </w:r>
          </w:p>
        </w:tc>
        <w:tc>
          <w:tcPr>
            <w:tcW w:w="3238" w:type="dxa"/>
          </w:tcPr>
          <w:p>
            <w:pPr>
              <w:pStyle w:val="TableParagraph"/>
              <w:spacing w:before="30"/>
              <w:ind w:left="754"/>
              <w:rPr>
                <w:b/>
                <w:sz w:val="20"/>
              </w:rPr>
            </w:pPr>
            <w:r>
              <w:rPr>
                <w:b/>
                <w:sz w:val="20"/>
              </w:rPr>
              <w:t>Morgan Stanley</w:t>
            </w:r>
          </w:p>
        </w:tc>
      </w:tr>
      <w:tr>
        <w:trPr>
          <w:trHeight w:val="300" w:hRule="atLeast"/>
        </w:trPr>
        <w:tc>
          <w:tcPr>
            <w:tcW w:w="2566" w:type="dxa"/>
          </w:tcPr>
          <w:p>
            <w:pPr>
              <w:pStyle w:val="TableParagraph"/>
              <w:rPr>
                <w:sz w:val="20"/>
              </w:rPr>
            </w:pPr>
            <w:r>
              <w:rPr>
                <w:sz w:val="20"/>
              </w:rPr>
              <w:t>Mike Curtis</w:t>
            </w:r>
          </w:p>
        </w:tc>
        <w:tc>
          <w:tcPr>
            <w:tcW w:w="3238" w:type="dxa"/>
          </w:tcPr>
          <w:p>
            <w:pPr>
              <w:pStyle w:val="TableParagraph"/>
              <w:spacing w:before="30"/>
              <w:ind w:left="754"/>
              <w:rPr>
                <w:b/>
                <w:sz w:val="20"/>
              </w:rPr>
            </w:pPr>
            <w:r>
              <w:rPr>
                <w:b/>
                <w:sz w:val="20"/>
              </w:rPr>
              <w:t>Nomura</w:t>
            </w:r>
          </w:p>
        </w:tc>
      </w:tr>
      <w:tr>
        <w:trPr>
          <w:trHeight w:val="300" w:hRule="atLeast"/>
        </w:trPr>
        <w:tc>
          <w:tcPr>
            <w:tcW w:w="2566" w:type="dxa"/>
          </w:tcPr>
          <w:p>
            <w:pPr>
              <w:pStyle w:val="TableParagraph"/>
              <w:rPr>
                <w:sz w:val="20"/>
              </w:rPr>
            </w:pPr>
            <w:r>
              <w:rPr>
                <w:sz w:val="20"/>
              </w:rPr>
              <w:t>Simon Wilson</w:t>
            </w:r>
          </w:p>
        </w:tc>
        <w:tc>
          <w:tcPr>
            <w:tcW w:w="3238" w:type="dxa"/>
          </w:tcPr>
          <w:p>
            <w:pPr>
              <w:pStyle w:val="TableParagraph"/>
              <w:spacing w:before="30"/>
              <w:ind w:left="754"/>
              <w:rPr>
                <w:b/>
                <w:sz w:val="20"/>
              </w:rPr>
            </w:pPr>
            <w:r>
              <w:rPr>
                <w:b/>
                <w:sz w:val="20"/>
              </w:rPr>
              <w:t>RBS</w:t>
            </w:r>
          </w:p>
        </w:tc>
      </w:tr>
      <w:tr>
        <w:trPr>
          <w:trHeight w:val="300" w:hRule="atLeast"/>
        </w:trPr>
        <w:tc>
          <w:tcPr>
            <w:tcW w:w="2566" w:type="dxa"/>
          </w:tcPr>
          <w:p>
            <w:pPr>
              <w:pStyle w:val="TableParagraph"/>
              <w:rPr>
                <w:sz w:val="20"/>
              </w:rPr>
            </w:pPr>
            <w:r>
              <w:rPr>
                <w:sz w:val="20"/>
              </w:rPr>
              <w:t>Mark Thommason</w:t>
            </w:r>
          </w:p>
        </w:tc>
        <w:tc>
          <w:tcPr>
            <w:tcW w:w="3238" w:type="dxa"/>
          </w:tcPr>
          <w:p>
            <w:pPr>
              <w:pStyle w:val="TableParagraph"/>
              <w:spacing w:before="30"/>
              <w:ind w:left="754"/>
              <w:rPr>
                <w:b/>
                <w:sz w:val="20"/>
              </w:rPr>
            </w:pPr>
            <w:r>
              <w:rPr>
                <w:b/>
                <w:sz w:val="20"/>
              </w:rPr>
              <w:t>RBS</w:t>
            </w:r>
          </w:p>
        </w:tc>
      </w:tr>
      <w:tr>
        <w:trPr>
          <w:trHeight w:val="300" w:hRule="atLeast"/>
        </w:trPr>
        <w:tc>
          <w:tcPr>
            <w:tcW w:w="2566" w:type="dxa"/>
          </w:tcPr>
          <w:p>
            <w:pPr>
              <w:pStyle w:val="TableParagraph"/>
              <w:rPr>
                <w:sz w:val="20"/>
              </w:rPr>
            </w:pPr>
            <w:r>
              <w:rPr>
                <w:sz w:val="20"/>
              </w:rPr>
              <w:t>Paul Barnes</w:t>
            </w:r>
          </w:p>
        </w:tc>
        <w:tc>
          <w:tcPr>
            <w:tcW w:w="3238" w:type="dxa"/>
          </w:tcPr>
          <w:p>
            <w:pPr>
              <w:pStyle w:val="TableParagraph"/>
              <w:spacing w:before="30"/>
              <w:ind w:left="754"/>
              <w:rPr>
                <w:b/>
                <w:sz w:val="20"/>
              </w:rPr>
            </w:pPr>
            <w:r>
              <w:rPr>
                <w:b/>
                <w:sz w:val="20"/>
              </w:rPr>
              <w:t>Santander</w:t>
            </w:r>
          </w:p>
        </w:tc>
      </w:tr>
      <w:tr>
        <w:trPr>
          <w:trHeight w:val="300" w:hRule="atLeast"/>
        </w:trPr>
        <w:tc>
          <w:tcPr>
            <w:tcW w:w="2566" w:type="dxa"/>
          </w:tcPr>
          <w:p>
            <w:pPr>
              <w:pStyle w:val="TableParagraph"/>
              <w:rPr>
                <w:sz w:val="20"/>
              </w:rPr>
            </w:pPr>
            <w:r>
              <w:rPr>
                <w:sz w:val="20"/>
              </w:rPr>
              <w:t>Chirag Dave</w:t>
            </w:r>
          </w:p>
        </w:tc>
        <w:tc>
          <w:tcPr>
            <w:tcW w:w="3238" w:type="dxa"/>
          </w:tcPr>
          <w:p>
            <w:pPr>
              <w:pStyle w:val="TableParagraph"/>
              <w:spacing w:before="30"/>
              <w:ind w:left="754"/>
              <w:rPr>
                <w:b/>
                <w:sz w:val="20"/>
              </w:rPr>
            </w:pPr>
            <w:r>
              <w:rPr>
                <w:b/>
                <w:sz w:val="20"/>
              </w:rPr>
              <w:t>UBS</w:t>
            </w:r>
          </w:p>
        </w:tc>
      </w:tr>
      <w:tr>
        <w:trPr>
          <w:trHeight w:val="300" w:hRule="atLeast"/>
        </w:trPr>
        <w:tc>
          <w:tcPr>
            <w:tcW w:w="2566" w:type="dxa"/>
          </w:tcPr>
          <w:p>
            <w:pPr>
              <w:pStyle w:val="TableParagraph"/>
              <w:rPr>
                <w:sz w:val="20"/>
              </w:rPr>
            </w:pPr>
            <w:r>
              <w:rPr>
                <w:sz w:val="20"/>
              </w:rPr>
              <w:t>Phil Whitehurst</w:t>
            </w:r>
          </w:p>
        </w:tc>
        <w:tc>
          <w:tcPr>
            <w:tcW w:w="3238" w:type="dxa"/>
          </w:tcPr>
          <w:p>
            <w:pPr>
              <w:pStyle w:val="TableParagraph"/>
              <w:spacing w:before="30"/>
              <w:ind w:left="754"/>
              <w:rPr>
                <w:b/>
                <w:sz w:val="20"/>
              </w:rPr>
            </w:pPr>
            <w:r>
              <w:rPr>
                <w:b/>
                <w:sz w:val="20"/>
              </w:rPr>
              <w:t>LCH ltd (Observer)</w:t>
            </w:r>
          </w:p>
        </w:tc>
      </w:tr>
      <w:tr>
        <w:trPr>
          <w:trHeight w:val="262" w:hRule="atLeast"/>
        </w:trPr>
        <w:tc>
          <w:tcPr>
            <w:tcW w:w="2566" w:type="dxa"/>
          </w:tcPr>
          <w:p>
            <w:pPr>
              <w:pStyle w:val="TableParagraph"/>
              <w:spacing w:line="210" w:lineRule="exact"/>
              <w:rPr>
                <w:sz w:val="20"/>
              </w:rPr>
            </w:pPr>
            <w:r>
              <w:rPr>
                <w:sz w:val="20"/>
              </w:rPr>
              <w:t>Rick Sandilands</w:t>
            </w:r>
          </w:p>
        </w:tc>
        <w:tc>
          <w:tcPr>
            <w:tcW w:w="3238" w:type="dxa"/>
          </w:tcPr>
          <w:p>
            <w:pPr>
              <w:pStyle w:val="TableParagraph"/>
              <w:spacing w:line="212" w:lineRule="exact" w:before="30"/>
              <w:ind w:left="754"/>
              <w:rPr>
                <w:b/>
                <w:sz w:val="20"/>
              </w:rPr>
            </w:pPr>
            <w:r>
              <w:rPr>
                <w:b/>
                <w:sz w:val="20"/>
              </w:rPr>
              <w:t>ISDA (Observer)</w:t>
            </w:r>
          </w:p>
        </w:tc>
      </w:tr>
    </w:tbl>
    <w:p>
      <w:pPr>
        <w:pStyle w:val="BodyText"/>
        <w:rPr>
          <w:b/>
          <w:sz w:val="22"/>
        </w:rPr>
      </w:pPr>
    </w:p>
    <w:p>
      <w:pPr>
        <w:pStyle w:val="BodyText"/>
        <w:rPr>
          <w:b/>
          <w:sz w:val="22"/>
        </w:rPr>
      </w:pPr>
    </w:p>
    <w:p>
      <w:pPr>
        <w:pStyle w:val="BodyText"/>
        <w:spacing w:before="6"/>
        <w:rPr>
          <w:b/>
          <w:sz w:val="25"/>
        </w:rPr>
      </w:pPr>
    </w:p>
    <w:p>
      <w:pPr>
        <w:spacing w:before="0"/>
        <w:ind w:left="200" w:right="0" w:firstLine="0"/>
        <w:jc w:val="left"/>
        <w:rPr>
          <w:b/>
          <w:sz w:val="20"/>
        </w:rPr>
      </w:pPr>
      <w:r>
        <w:rPr>
          <w:b/>
          <w:sz w:val="20"/>
        </w:rPr>
        <w:t>Official sector</w:t>
      </w:r>
      <w:r>
        <w:rPr>
          <w:b/>
          <w:spacing w:val="-9"/>
          <w:sz w:val="20"/>
        </w:rPr>
        <w:t> </w:t>
      </w:r>
      <w:r>
        <w:rPr>
          <w:b/>
          <w:sz w:val="20"/>
        </w:rPr>
        <w:t>attendees</w:t>
      </w:r>
    </w:p>
    <w:p>
      <w:pPr>
        <w:pStyle w:val="BodyText"/>
        <w:spacing w:before="10"/>
        <w:rPr>
          <w:b/>
          <w:sz w:val="23"/>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0"/>
        <w:gridCol w:w="3658"/>
      </w:tblGrid>
      <w:tr>
        <w:trPr>
          <w:trHeight w:val="264" w:hRule="atLeast"/>
        </w:trPr>
        <w:tc>
          <w:tcPr>
            <w:tcW w:w="2580" w:type="dxa"/>
          </w:tcPr>
          <w:p>
            <w:pPr>
              <w:pStyle w:val="TableParagraph"/>
              <w:spacing w:line="225" w:lineRule="exact" w:before="0"/>
              <w:rPr>
                <w:sz w:val="20"/>
              </w:rPr>
            </w:pPr>
            <w:r>
              <w:rPr>
                <w:sz w:val="20"/>
              </w:rPr>
              <w:t>Will Parry</w:t>
            </w:r>
          </w:p>
        </w:tc>
        <w:tc>
          <w:tcPr>
            <w:tcW w:w="3658" w:type="dxa"/>
          </w:tcPr>
          <w:p>
            <w:pPr>
              <w:pStyle w:val="TableParagraph"/>
              <w:spacing w:line="223" w:lineRule="exact" w:before="0"/>
              <w:ind w:left="781"/>
              <w:rPr>
                <w:b/>
                <w:sz w:val="20"/>
              </w:rPr>
            </w:pPr>
            <w:r>
              <w:rPr>
                <w:b/>
                <w:sz w:val="20"/>
              </w:rPr>
              <w:t>Bank of England</w:t>
            </w:r>
          </w:p>
        </w:tc>
      </w:tr>
      <w:tr>
        <w:trPr>
          <w:trHeight w:val="303" w:hRule="atLeast"/>
        </w:trPr>
        <w:tc>
          <w:tcPr>
            <w:tcW w:w="2580" w:type="dxa"/>
          </w:tcPr>
          <w:p>
            <w:pPr>
              <w:pStyle w:val="TableParagraph"/>
              <w:spacing w:before="35"/>
              <w:rPr>
                <w:sz w:val="20"/>
              </w:rPr>
            </w:pPr>
            <w:r>
              <w:rPr>
                <w:sz w:val="20"/>
              </w:rPr>
              <w:t>Ed Ocampo</w:t>
            </w:r>
          </w:p>
        </w:tc>
        <w:tc>
          <w:tcPr>
            <w:tcW w:w="3658" w:type="dxa"/>
          </w:tcPr>
          <w:p>
            <w:pPr>
              <w:pStyle w:val="TableParagraph"/>
              <w:ind w:left="781"/>
              <w:rPr>
                <w:b/>
                <w:sz w:val="20"/>
              </w:rPr>
            </w:pPr>
            <w:r>
              <w:rPr>
                <w:b/>
                <w:sz w:val="20"/>
              </w:rPr>
              <w:t>Bank of England</w:t>
            </w:r>
          </w:p>
        </w:tc>
      </w:tr>
      <w:tr>
        <w:trPr>
          <w:trHeight w:val="302" w:hRule="atLeast"/>
        </w:trPr>
        <w:tc>
          <w:tcPr>
            <w:tcW w:w="2580" w:type="dxa"/>
          </w:tcPr>
          <w:p>
            <w:pPr>
              <w:pStyle w:val="TableParagraph"/>
              <w:spacing w:before="34"/>
              <w:rPr>
                <w:sz w:val="20"/>
              </w:rPr>
            </w:pPr>
            <w:r>
              <w:rPr>
                <w:sz w:val="20"/>
              </w:rPr>
              <w:t>Rob Harris</w:t>
            </w:r>
          </w:p>
        </w:tc>
        <w:tc>
          <w:tcPr>
            <w:tcW w:w="3658" w:type="dxa"/>
          </w:tcPr>
          <w:p>
            <w:pPr>
              <w:pStyle w:val="TableParagraph"/>
              <w:spacing w:before="31"/>
              <w:ind w:left="781"/>
              <w:rPr>
                <w:b/>
                <w:sz w:val="20"/>
              </w:rPr>
            </w:pPr>
            <w:r>
              <w:rPr>
                <w:b/>
                <w:sz w:val="20"/>
              </w:rPr>
              <w:t>Bank of England</w:t>
            </w:r>
          </w:p>
        </w:tc>
      </w:tr>
      <w:tr>
        <w:trPr>
          <w:trHeight w:val="302" w:hRule="atLeast"/>
        </w:trPr>
        <w:tc>
          <w:tcPr>
            <w:tcW w:w="2580" w:type="dxa"/>
          </w:tcPr>
          <w:p>
            <w:pPr>
              <w:pStyle w:val="TableParagraph"/>
              <w:spacing w:before="34"/>
              <w:rPr>
                <w:sz w:val="20"/>
              </w:rPr>
            </w:pPr>
            <w:r>
              <w:rPr>
                <w:sz w:val="20"/>
              </w:rPr>
              <w:t>Renée Horrell</w:t>
            </w:r>
          </w:p>
        </w:tc>
        <w:tc>
          <w:tcPr>
            <w:tcW w:w="3658" w:type="dxa"/>
          </w:tcPr>
          <w:p>
            <w:pPr>
              <w:pStyle w:val="TableParagraph"/>
              <w:spacing w:before="31"/>
              <w:ind w:left="781"/>
              <w:rPr>
                <w:b/>
                <w:sz w:val="20"/>
              </w:rPr>
            </w:pPr>
            <w:r>
              <w:rPr>
                <w:b/>
                <w:sz w:val="20"/>
              </w:rPr>
              <w:t>Bank of England</w:t>
            </w:r>
          </w:p>
        </w:tc>
      </w:tr>
      <w:tr>
        <w:trPr>
          <w:trHeight w:val="303" w:hRule="atLeast"/>
        </w:trPr>
        <w:tc>
          <w:tcPr>
            <w:tcW w:w="2580" w:type="dxa"/>
          </w:tcPr>
          <w:p>
            <w:pPr>
              <w:pStyle w:val="TableParagraph"/>
              <w:spacing w:before="34"/>
              <w:rPr>
                <w:sz w:val="20"/>
              </w:rPr>
            </w:pPr>
            <w:r>
              <w:rPr>
                <w:sz w:val="20"/>
              </w:rPr>
              <w:t>Sakshi Gupta</w:t>
            </w:r>
          </w:p>
        </w:tc>
        <w:tc>
          <w:tcPr>
            <w:tcW w:w="3658" w:type="dxa"/>
          </w:tcPr>
          <w:p>
            <w:pPr>
              <w:pStyle w:val="TableParagraph"/>
              <w:spacing w:before="31"/>
              <w:ind w:left="781"/>
              <w:rPr>
                <w:b/>
                <w:sz w:val="20"/>
              </w:rPr>
            </w:pPr>
            <w:r>
              <w:rPr>
                <w:b/>
                <w:sz w:val="20"/>
              </w:rPr>
              <w:t>Bank of England</w:t>
            </w:r>
          </w:p>
        </w:tc>
      </w:tr>
      <w:tr>
        <w:trPr>
          <w:trHeight w:val="303" w:hRule="atLeast"/>
        </w:trPr>
        <w:tc>
          <w:tcPr>
            <w:tcW w:w="2580" w:type="dxa"/>
          </w:tcPr>
          <w:p>
            <w:pPr>
              <w:pStyle w:val="TableParagraph"/>
              <w:spacing w:before="35"/>
              <w:rPr>
                <w:sz w:val="20"/>
              </w:rPr>
            </w:pPr>
            <w:r>
              <w:rPr>
                <w:sz w:val="20"/>
              </w:rPr>
              <w:t>David Geen</w:t>
            </w:r>
          </w:p>
        </w:tc>
        <w:tc>
          <w:tcPr>
            <w:tcW w:w="3658" w:type="dxa"/>
          </w:tcPr>
          <w:p>
            <w:pPr>
              <w:pStyle w:val="TableParagraph"/>
              <w:ind w:left="781"/>
              <w:rPr>
                <w:b/>
                <w:sz w:val="20"/>
              </w:rPr>
            </w:pPr>
            <w:r>
              <w:rPr>
                <w:b/>
                <w:sz w:val="20"/>
              </w:rPr>
              <w:t>Bank of England</w:t>
            </w:r>
          </w:p>
        </w:tc>
      </w:tr>
      <w:tr>
        <w:trPr>
          <w:trHeight w:val="302" w:hRule="atLeast"/>
        </w:trPr>
        <w:tc>
          <w:tcPr>
            <w:tcW w:w="2580" w:type="dxa"/>
          </w:tcPr>
          <w:p>
            <w:pPr>
              <w:pStyle w:val="TableParagraph"/>
              <w:spacing w:before="34"/>
              <w:rPr>
                <w:sz w:val="20"/>
              </w:rPr>
            </w:pPr>
            <w:r>
              <w:rPr>
                <w:sz w:val="20"/>
              </w:rPr>
              <w:t>Richard Grafen</w:t>
            </w:r>
          </w:p>
        </w:tc>
        <w:tc>
          <w:tcPr>
            <w:tcW w:w="3658" w:type="dxa"/>
          </w:tcPr>
          <w:p>
            <w:pPr>
              <w:pStyle w:val="TableParagraph"/>
              <w:spacing w:before="31"/>
              <w:ind w:left="781"/>
              <w:rPr>
                <w:b/>
                <w:sz w:val="20"/>
              </w:rPr>
            </w:pPr>
            <w:r>
              <w:rPr>
                <w:b/>
                <w:sz w:val="20"/>
              </w:rPr>
              <w:t>Financial Conduct Authority</w:t>
            </w:r>
          </w:p>
        </w:tc>
      </w:tr>
      <w:tr>
        <w:trPr>
          <w:trHeight w:val="263" w:hRule="atLeast"/>
        </w:trPr>
        <w:tc>
          <w:tcPr>
            <w:tcW w:w="2580" w:type="dxa"/>
          </w:tcPr>
          <w:p>
            <w:pPr>
              <w:pStyle w:val="TableParagraph"/>
              <w:spacing w:line="210" w:lineRule="exact" w:before="34"/>
              <w:rPr>
                <w:sz w:val="20"/>
              </w:rPr>
            </w:pPr>
            <w:r>
              <w:rPr>
                <w:sz w:val="20"/>
              </w:rPr>
              <w:t>Devid Mazzonetto</w:t>
            </w:r>
          </w:p>
        </w:tc>
        <w:tc>
          <w:tcPr>
            <w:tcW w:w="3658" w:type="dxa"/>
          </w:tcPr>
          <w:p>
            <w:pPr>
              <w:pStyle w:val="TableParagraph"/>
              <w:spacing w:line="212" w:lineRule="exact" w:before="31"/>
              <w:ind w:left="781"/>
              <w:rPr>
                <w:b/>
                <w:sz w:val="20"/>
              </w:rPr>
            </w:pPr>
            <w:r>
              <w:rPr>
                <w:b/>
                <w:sz w:val="20"/>
              </w:rPr>
              <w:t>Financial Conduct Authority</w:t>
            </w:r>
          </w:p>
        </w:tc>
      </w:tr>
    </w:tbl>
    <w:sectPr>
      <w:pgSz w:w="11910" w:h="16840"/>
      <w:pgMar w:top="1180" w:bottom="280" w:left="124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00" w:hanging="428"/>
        <w:jc w:val="left"/>
      </w:pPr>
      <w:rPr>
        <w:rFonts w:hint="default" w:ascii="Arial" w:hAnsi="Arial" w:eastAsia="Arial" w:cs="Arial"/>
        <w:w w:val="99"/>
        <w:sz w:val="20"/>
        <w:szCs w:val="20"/>
        <w:lang w:val="en-gb" w:eastAsia="en-gb" w:bidi="en-gb"/>
      </w:rPr>
    </w:lvl>
    <w:lvl w:ilvl="1">
      <w:start w:val="0"/>
      <w:numFmt w:val="bullet"/>
      <w:lvlText w:val=""/>
      <w:lvlJc w:val="left"/>
      <w:pPr>
        <w:ind w:left="908" w:hanging="360"/>
      </w:pPr>
      <w:rPr>
        <w:rFonts w:hint="default" w:ascii="Symbol" w:hAnsi="Symbol" w:eastAsia="Symbol" w:cs="Symbol"/>
        <w:w w:val="99"/>
        <w:sz w:val="20"/>
        <w:szCs w:val="20"/>
        <w:lang w:val="en-gb" w:eastAsia="en-gb" w:bidi="en-gb"/>
      </w:rPr>
    </w:lvl>
    <w:lvl w:ilvl="2">
      <w:start w:val="0"/>
      <w:numFmt w:val="bullet"/>
      <w:lvlText w:val="•"/>
      <w:lvlJc w:val="left"/>
      <w:pPr>
        <w:ind w:left="1871" w:hanging="360"/>
      </w:pPr>
      <w:rPr>
        <w:rFonts w:hint="default"/>
        <w:lang w:val="en-gb" w:eastAsia="en-gb" w:bidi="en-gb"/>
      </w:rPr>
    </w:lvl>
    <w:lvl w:ilvl="3">
      <w:start w:val="0"/>
      <w:numFmt w:val="bullet"/>
      <w:lvlText w:val="•"/>
      <w:lvlJc w:val="left"/>
      <w:pPr>
        <w:ind w:left="2843" w:hanging="360"/>
      </w:pPr>
      <w:rPr>
        <w:rFonts w:hint="default"/>
        <w:lang w:val="en-gb" w:eastAsia="en-gb" w:bidi="en-gb"/>
      </w:rPr>
    </w:lvl>
    <w:lvl w:ilvl="4">
      <w:start w:val="0"/>
      <w:numFmt w:val="bullet"/>
      <w:lvlText w:val="•"/>
      <w:lvlJc w:val="left"/>
      <w:pPr>
        <w:ind w:left="3815" w:hanging="360"/>
      </w:pPr>
      <w:rPr>
        <w:rFonts w:hint="default"/>
        <w:lang w:val="en-gb" w:eastAsia="en-gb" w:bidi="en-gb"/>
      </w:rPr>
    </w:lvl>
    <w:lvl w:ilvl="5">
      <w:start w:val="0"/>
      <w:numFmt w:val="bullet"/>
      <w:lvlText w:val="•"/>
      <w:lvlJc w:val="left"/>
      <w:pPr>
        <w:ind w:left="4787" w:hanging="360"/>
      </w:pPr>
      <w:rPr>
        <w:rFonts w:hint="default"/>
        <w:lang w:val="en-gb" w:eastAsia="en-gb" w:bidi="en-gb"/>
      </w:rPr>
    </w:lvl>
    <w:lvl w:ilvl="6">
      <w:start w:val="0"/>
      <w:numFmt w:val="bullet"/>
      <w:lvlText w:val="•"/>
      <w:lvlJc w:val="left"/>
      <w:pPr>
        <w:ind w:left="5759" w:hanging="360"/>
      </w:pPr>
      <w:rPr>
        <w:rFonts w:hint="default"/>
        <w:lang w:val="en-gb" w:eastAsia="en-gb" w:bidi="en-gb"/>
      </w:rPr>
    </w:lvl>
    <w:lvl w:ilvl="7">
      <w:start w:val="0"/>
      <w:numFmt w:val="bullet"/>
      <w:lvlText w:val="•"/>
      <w:lvlJc w:val="left"/>
      <w:pPr>
        <w:ind w:left="6730" w:hanging="360"/>
      </w:pPr>
      <w:rPr>
        <w:rFonts w:hint="default"/>
        <w:lang w:val="en-gb" w:eastAsia="en-gb" w:bidi="en-gb"/>
      </w:rPr>
    </w:lvl>
    <w:lvl w:ilvl="8">
      <w:start w:val="0"/>
      <w:numFmt w:val="bullet"/>
      <w:lvlText w:val="•"/>
      <w:lvlJc w:val="left"/>
      <w:pPr>
        <w:ind w:left="7702" w:hanging="36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00"/>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200"/>
    </w:pPr>
    <w:rPr>
      <w:rFonts w:ascii="Arial" w:hAnsi="Arial" w:eastAsia="Arial" w:cs="Arial"/>
      <w:lang w:val="en-gb" w:eastAsia="en-gb" w:bidi="en-gb"/>
    </w:rPr>
  </w:style>
  <w:style w:styleId="TableParagraph" w:type="paragraph">
    <w:name w:val="Table Paragraph"/>
    <w:basedOn w:val="Normal"/>
    <w:uiPriority w:val="1"/>
    <w:qFormat/>
    <w:pPr>
      <w:spacing w:before="32"/>
      <w:ind w:left="200"/>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arkets/Documents/sterlingoperations/rfr/rfrselection.pdf" TargetMode="External"/><Relationship Id="rId6" Type="http://schemas.openxmlformats.org/officeDocument/2006/relationships/hyperlink" Target="http://www.bankofengland.co.uk/markets/Documents/sterlingoperations/rfr/tor.pdf"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Meeting of the Working Group on Sterling Risk-Free Reference Rates - Tuesday 7 April</dc:title>
  <dcterms:created xsi:type="dcterms:W3CDTF">2020-06-01T02:22:35Z</dcterms:created>
  <dcterms:modified xsi:type="dcterms:W3CDTF">2020-06-01T02:22:35Z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2017-04-27T00:00:00Z</vt:filetime>
  </property>
  <property fmtid="{D5CDD505-2E9C-101B-9397-08002B2CF9AE}" pid="3" name="LastSaved">
    <vt:filetime>2020-06-01T00:00:00Z</vt:filetime>
  </property>
</Properties>
</file>