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7" w:lineRule="auto" w:before="76"/>
        <w:ind w:left="881" w:right="775"/>
        <w:jc w:val="center"/>
      </w:pPr>
      <w:r>
        <w:rPr/>
        <w:t>Minutes of the Meeting of the Working Group on Sterling Risk-Free Reference Rates Monday 08 August 2016</w:t>
      </w:r>
    </w:p>
    <w:p>
      <w:pPr>
        <w:spacing w:line="227" w:lineRule="exact" w:before="0"/>
        <w:ind w:left="880" w:right="775" w:firstLine="0"/>
        <w:jc w:val="center"/>
        <w:rPr>
          <w:b/>
          <w:sz w:val="20"/>
        </w:rPr>
      </w:pPr>
      <w:r>
        <w:rPr>
          <w:b/>
          <w:sz w:val="20"/>
        </w:rPr>
        <w:t>Barclays’ offices – Canary Wharf</w:t>
      </w:r>
    </w:p>
    <w:p>
      <w:pPr>
        <w:pStyle w:val="BodyText"/>
        <w:spacing w:before="8"/>
        <w:rPr>
          <w:b/>
          <w:sz w:val="30"/>
        </w:rPr>
      </w:pPr>
    </w:p>
    <w:p>
      <w:pPr>
        <w:spacing w:before="0"/>
        <w:ind w:left="200" w:right="0" w:firstLine="0"/>
        <w:jc w:val="left"/>
        <w:rPr>
          <w:b/>
          <w:sz w:val="20"/>
        </w:rPr>
      </w:pPr>
      <w:r>
        <w:rPr>
          <w:b/>
          <w:sz w:val="20"/>
        </w:rPr>
        <w:t>Minutes of previous meeting</w:t>
      </w:r>
    </w:p>
    <w:p>
      <w:pPr>
        <w:pStyle w:val="BodyText"/>
        <w:spacing w:before="8"/>
        <w:rPr>
          <w:b/>
        </w:rPr>
      </w:pPr>
    </w:p>
    <w:p>
      <w:pPr>
        <w:pStyle w:val="ListParagraph"/>
        <w:numPr>
          <w:ilvl w:val="0"/>
          <w:numId w:val="1"/>
        </w:numPr>
        <w:tabs>
          <w:tab w:pos="627" w:val="left" w:leader="none"/>
          <w:tab w:pos="628" w:val="left" w:leader="none"/>
        </w:tabs>
        <w:spacing w:line="240" w:lineRule="auto" w:before="0" w:after="0"/>
        <w:ind w:left="627" w:right="0" w:hanging="428"/>
        <w:jc w:val="left"/>
        <w:rPr>
          <w:sz w:val="20"/>
        </w:rPr>
      </w:pPr>
      <w:r>
        <w:rPr>
          <w:sz w:val="20"/>
        </w:rPr>
        <w:t>The minutes of the previous meeting on 30 June were</w:t>
      </w:r>
      <w:r>
        <w:rPr>
          <w:spacing w:val="-1"/>
          <w:sz w:val="20"/>
        </w:rPr>
        <w:t> </w:t>
      </w:r>
      <w:r>
        <w:rPr>
          <w:sz w:val="20"/>
        </w:rPr>
        <w:t>approved.</w:t>
      </w:r>
    </w:p>
    <w:p>
      <w:pPr>
        <w:pStyle w:val="BodyText"/>
        <w:spacing w:before="3"/>
      </w:pPr>
    </w:p>
    <w:p>
      <w:pPr>
        <w:pStyle w:val="Heading1"/>
        <w:spacing w:before="1"/>
      </w:pPr>
      <w:r>
        <w:rPr/>
        <w:t>Follow-up on secured benchmark proposal from LSE Group and EUI</w:t>
      </w:r>
    </w:p>
    <w:p>
      <w:pPr>
        <w:pStyle w:val="BodyText"/>
        <w:spacing w:before="7"/>
        <w:rPr>
          <w:b/>
        </w:rPr>
      </w:pPr>
    </w:p>
    <w:p>
      <w:pPr>
        <w:pStyle w:val="ListParagraph"/>
        <w:numPr>
          <w:ilvl w:val="0"/>
          <w:numId w:val="1"/>
        </w:numPr>
        <w:tabs>
          <w:tab w:pos="627" w:val="left" w:leader="none"/>
          <w:tab w:pos="628" w:val="left" w:leader="none"/>
        </w:tabs>
        <w:spacing w:line="360" w:lineRule="auto" w:before="1" w:after="0"/>
        <w:ind w:left="200" w:right="176" w:firstLine="0"/>
        <w:jc w:val="left"/>
        <w:rPr>
          <w:sz w:val="20"/>
        </w:rPr>
      </w:pPr>
      <w:r>
        <w:rPr>
          <w:sz w:val="20"/>
        </w:rPr>
        <w:t>The LSE Group and EUI had provided analysis in response to questions raised at the previous Working Group meeting on their proposed secured benchmark. This analysis was sent to the group in advance of the meeting. This included a 3 month compounded RFR rate, which the group had requested as a key indicator for the benchmark’s application in swap contracts. Members noted that this series was stable and smoothed through the month-end spikes seen in the daily charts. The chart also showed that the 3 month compounded RFR had remained stable during the 2011/12 Eurozone crisis period, while 3 month Libor had increased reflecting bank credit concerns. Members were asked to provide any further feedback / questions ahead of the LSE Group/EUI being invited to present again at a subsequent meeting.</w:t>
      </w:r>
    </w:p>
    <w:p>
      <w:pPr>
        <w:pStyle w:val="Heading1"/>
        <w:spacing w:before="116"/>
      </w:pPr>
      <w:r>
        <w:rPr/>
        <w:t>Update on SMMD data collection</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31" w:firstLine="0"/>
        <w:jc w:val="left"/>
        <w:rPr>
          <w:sz w:val="20"/>
        </w:rPr>
      </w:pPr>
      <w:r>
        <w:rPr>
          <w:sz w:val="20"/>
        </w:rPr>
        <w:t>The Bank of England SMMD data collection had formally begun on 1</w:t>
      </w:r>
      <w:r>
        <w:rPr>
          <w:sz w:val="20"/>
          <w:vertAlign w:val="superscript"/>
        </w:rPr>
        <w:t>st</w:t>
      </w:r>
      <w:r>
        <w:rPr>
          <w:sz w:val="20"/>
          <w:vertAlign w:val="baseline"/>
        </w:rPr>
        <w:t> July, with 34 unsecured and 22 secured reporters sending daily data from that point. The process had been running smoothly, with files received on time and the number of validation errors falling over </w:t>
      </w:r>
      <w:r>
        <w:rPr>
          <w:spacing w:val="2"/>
          <w:sz w:val="20"/>
          <w:vertAlign w:val="baseline"/>
        </w:rPr>
        <w:t>time. </w:t>
      </w:r>
      <w:r>
        <w:rPr>
          <w:sz w:val="20"/>
          <w:vertAlign w:val="baseline"/>
        </w:rPr>
        <w:t>The Bank had been working through data quality issues with the reporters, focusing on the unsecured market initially. The overnight unsecured volumes were broadly consistent with the results of the SMMA survey in November. SONIA reform analysis was ongoing and the Bank confirmed it would not be a position to share this analysis with the Working Group until it had published its public consultation – now expected in early</w:t>
      </w:r>
      <w:r>
        <w:rPr>
          <w:spacing w:val="-14"/>
          <w:sz w:val="20"/>
          <w:vertAlign w:val="baseline"/>
        </w:rPr>
        <w:t> </w:t>
      </w:r>
      <w:r>
        <w:rPr>
          <w:sz w:val="20"/>
          <w:vertAlign w:val="baseline"/>
        </w:rPr>
        <w:t>October.</w:t>
      </w:r>
    </w:p>
    <w:p>
      <w:pPr>
        <w:pStyle w:val="BodyText"/>
        <w:spacing w:before="1"/>
        <w:rPr>
          <w:sz w:val="30"/>
        </w:rPr>
      </w:pPr>
    </w:p>
    <w:p>
      <w:pPr>
        <w:pStyle w:val="ListParagraph"/>
        <w:numPr>
          <w:ilvl w:val="0"/>
          <w:numId w:val="1"/>
        </w:numPr>
        <w:tabs>
          <w:tab w:pos="627" w:val="left" w:leader="none"/>
          <w:tab w:pos="628" w:val="left" w:leader="none"/>
        </w:tabs>
        <w:spacing w:line="360" w:lineRule="auto" w:before="0" w:after="0"/>
        <w:ind w:left="200" w:right="108" w:firstLine="0"/>
        <w:jc w:val="left"/>
        <w:rPr>
          <w:sz w:val="20"/>
        </w:rPr>
      </w:pPr>
      <w:r>
        <w:rPr>
          <w:sz w:val="20"/>
        </w:rPr>
        <w:t>Following the 4 August announcement from the FPC and PRA regarding the exemption of central bank reserves from the leverage ratio with immediate effect, the group discussed the potential impacts on wholesale money market activity. It was generally expected that this change would cause an increase in competition for deposits, potentially resulting in a reduction in rate dispersion and slightly higher SONIA and repo rate</w:t>
      </w:r>
      <w:r>
        <w:rPr>
          <w:spacing w:val="-4"/>
          <w:sz w:val="20"/>
        </w:rPr>
        <w:t> </w:t>
      </w:r>
      <w:r>
        <w:rPr>
          <w:sz w:val="20"/>
        </w:rPr>
        <w:t>fixings.</w:t>
      </w:r>
    </w:p>
    <w:p>
      <w:pPr>
        <w:pStyle w:val="BodyText"/>
        <w:spacing w:before="8"/>
      </w:pPr>
    </w:p>
    <w:p>
      <w:pPr>
        <w:pStyle w:val="Heading1"/>
      </w:pPr>
      <w:r>
        <w:rPr/>
        <w:t>OIS transition strategies</w:t>
      </w:r>
    </w:p>
    <w:p>
      <w:pPr>
        <w:pStyle w:val="BodyText"/>
        <w:spacing w:before="6"/>
        <w:rPr>
          <w:b/>
        </w:rPr>
      </w:pPr>
    </w:p>
    <w:p>
      <w:pPr>
        <w:pStyle w:val="ListParagraph"/>
        <w:numPr>
          <w:ilvl w:val="0"/>
          <w:numId w:val="1"/>
        </w:numPr>
        <w:tabs>
          <w:tab w:pos="627" w:val="left" w:leader="none"/>
          <w:tab w:pos="628" w:val="left" w:leader="none"/>
        </w:tabs>
        <w:spacing w:line="360" w:lineRule="auto" w:before="0" w:after="0"/>
        <w:ind w:left="200" w:right="167" w:firstLine="0"/>
        <w:jc w:val="left"/>
        <w:rPr>
          <w:sz w:val="20"/>
        </w:rPr>
      </w:pPr>
      <w:r>
        <w:rPr>
          <w:sz w:val="20"/>
        </w:rPr>
        <w:t>The Working Group had previously considered both big bang and gradual OIS transition strategies; and had concluded that the former was more viable. However, concerns had been expressed, including by the Bank, about the risks associated with the big bang strategy. The discussion focussed on an intermediate strategy that seeks to avoid the need for SONIA to be discontinued at the point of</w:t>
      </w:r>
      <w:r>
        <w:rPr>
          <w:spacing w:val="-24"/>
          <w:sz w:val="20"/>
        </w:rPr>
        <w:t> </w:t>
      </w:r>
      <w:r>
        <w:rPr>
          <w:sz w:val="20"/>
        </w:rPr>
        <w:t>transition, yet still provides a sufficient impetus to drive</w:t>
      </w:r>
      <w:r>
        <w:rPr>
          <w:spacing w:val="-5"/>
          <w:sz w:val="20"/>
        </w:rPr>
        <w:t> </w:t>
      </w:r>
      <w:r>
        <w:rPr>
          <w:sz w:val="20"/>
        </w:rPr>
        <w:t>transition.</w:t>
      </w:r>
    </w:p>
    <w:p>
      <w:pPr>
        <w:pStyle w:val="BodyText"/>
        <w:spacing w:before="2"/>
        <w:rPr>
          <w:sz w:val="30"/>
        </w:rPr>
      </w:pPr>
    </w:p>
    <w:p>
      <w:pPr>
        <w:pStyle w:val="ListParagraph"/>
        <w:numPr>
          <w:ilvl w:val="0"/>
          <w:numId w:val="1"/>
        </w:numPr>
        <w:tabs>
          <w:tab w:pos="627" w:val="left" w:leader="none"/>
          <w:tab w:pos="628" w:val="left" w:leader="none"/>
        </w:tabs>
        <w:spacing w:line="357" w:lineRule="auto" w:before="0" w:after="0"/>
        <w:ind w:left="200" w:right="399" w:firstLine="0"/>
        <w:jc w:val="left"/>
        <w:rPr>
          <w:sz w:val="20"/>
        </w:rPr>
      </w:pPr>
      <w:r>
        <w:rPr>
          <w:sz w:val="20"/>
        </w:rPr>
        <w:t>In particular, members discussed how a consensual, point-in-time transition of the overnight</w:t>
      </w:r>
      <w:r>
        <w:rPr>
          <w:spacing w:val="-28"/>
          <w:sz w:val="20"/>
        </w:rPr>
        <w:t> </w:t>
      </w:r>
      <w:r>
        <w:rPr>
          <w:sz w:val="20"/>
        </w:rPr>
        <w:t>reset rate in both cleared and bilateral swap markets could be designed to overcome the circularity</w:t>
      </w:r>
      <w:r>
        <w:rPr>
          <w:spacing w:val="-22"/>
          <w:sz w:val="20"/>
        </w:rPr>
        <w:t> </w:t>
      </w:r>
      <w:r>
        <w:rPr>
          <w:sz w:val="20"/>
        </w:rPr>
        <w:t>that</w:t>
      </w:r>
    </w:p>
    <w:p>
      <w:pPr>
        <w:spacing w:after="0" w:line="357" w:lineRule="auto"/>
        <w:jc w:val="left"/>
        <w:rPr>
          <w:sz w:val="20"/>
        </w:rPr>
        <w:sectPr>
          <w:type w:val="continuous"/>
          <w:pgSz w:w="11910" w:h="16840"/>
          <w:pgMar w:top="1340" w:bottom="280" w:left="1240" w:right="1040"/>
        </w:sectPr>
      </w:pPr>
    </w:p>
    <w:p>
      <w:pPr>
        <w:pStyle w:val="BodyText"/>
        <w:spacing w:line="360" w:lineRule="auto" w:before="79"/>
        <w:ind w:left="200" w:right="453"/>
        <w:jc w:val="both"/>
      </w:pPr>
      <w:r>
        <w:rPr/>
        <w:t>clearing eligibility requires liquidity, but liquidity hinges on dealers’ ability to clear contracts. The group concluded that this would require a set of mutually interdependent commitments amongst OIS market stakeholders:</w:t>
      </w:r>
    </w:p>
    <w:p>
      <w:pPr>
        <w:pStyle w:val="ListParagraph"/>
        <w:numPr>
          <w:ilvl w:val="1"/>
          <w:numId w:val="1"/>
        </w:numPr>
        <w:tabs>
          <w:tab w:pos="1640" w:val="left" w:leader="none"/>
          <w:tab w:pos="1641" w:val="left" w:leader="none"/>
        </w:tabs>
        <w:spacing w:line="244" w:lineRule="exact" w:before="0" w:after="0"/>
        <w:ind w:left="1640" w:right="0" w:hanging="361"/>
        <w:jc w:val="left"/>
        <w:rPr>
          <w:sz w:val="20"/>
        </w:rPr>
      </w:pPr>
      <w:r>
        <w:rPr>
          <w:sz w:val="20"/>
        </w:rPr>
        <w:t>a process/timeline for clearing</w:t>
      </w:r>
      <w:r>
        <w:rPr>
          <w:spacing w:val="-5"/>
          <w:sz w:val="20"/>
        </w:rPr>
        <w:t> </w:t>
      </w:r>
      <w:r>
        <w:rPr>
          <w:sz w:val="20"/>
        </w:rPr>
        <w:t>approval;</w:t>
      </w:r>
    </w:p>
    <w:p>
      <w:pPr>
        <w:pStyle w:val="ListParagraph"/>
        <w:numPr>
          <w:ilvl w:val="1"/>
          <w:numId w:val="1"/>
        </w:numPr>
        <w:tabs>
          <w:tab w:pos="1640" w:val="left" w:leader="none"/>
          <w:tab w:pos="1641" w:val="left" w:leader="none"/>
        </w:tabs>
        <w:spacing w:line="240" w:lineRule="auto" w:before="103" w:after="0"/>
        <w:ind w:left="1640" w:right="0" w:hanging="361"/>
        <w:jc w:val="left"/>
        <w:rPr>
          <w:sz w:val="20"/>
        </w:rPr>
      </w:pPr>
      <w:r>
        <w:rPr>
          <w:sz w:val="20"/>
        </w:rPr>
        <w:t>a protocol process for amending legacy bilateral swap contracts and</w:t>
      </w:r>
      <w:r>
        <w:rPr>
          <w:spacing w:val="-5"/>
          <w:sz w:val="20"/>
        </w:rPr>
        <w:t> </w:t>
      </w:r>
      <w:r>
        <w:rPr>
          <w:sz w:val="20"/>
        </w:rPr>
        <w:t>CSA’s;</w:t>
      </w:r>
    </w:p>
    <w:p>
      <w:pPr>
        <w:pStyle w:val="ListParagraph"/>
        <w:numPr>
          <w:ilvl w:val="1"/>
          <w:numId w:val="1"/>
        </w:numPr>
        <w:tabs>
          <w:tab w:pos="1640" w:val="left" w:leader="none"/>
          <w:tab w:pos="1641" w:val="left" w:leader="none"/>
        </w:tabs>
        <w:spacing w:line="240" w:lineRule="auto" w:before="104" w:after="0"/>
        <w:ind w:left="1640" w:right="0" w:hanging="361"/>
        <w:jc w:val="left"/>
        <w:rPr>
          <w:sz w:val="20"/>
        </w:rPr>
      </w:pPr>
      <w:r>
        <w:rPr>
          <w:sz w:val="20"/>
        </w:rPr>
        <w:t>a process for changing the reset rate on legacy cleared contracts;</w:t>
      </w:r>
      <w:r>
        <w:rPr>
          <w:spacing w:val="-12"/>
          <w:sz w:val="20"/>
        </w:rPr>
        <w:t> </w:t>
      </w:r>
      <w:r>
        <w:rPr>
          <w:sz w:val="20"/>
        </w:rPr>
        <w:t>and</w:t>
      </w:r>
    </w:p>
    <w:p>
      <w:pPr>
        <w:pStyle w:val="ListParagraph"/>
        <w:numPr>
          <w:ilvl w:val="1"/>
          <w:numId w:val="1"/>
        </w:numPr>
        <w:tabs>
          <w:tab w:pos="1640" w:val="left" w:leader="none"/>
          <w:tab w:pos="1641" w:val="left" w:leader="none"/>
        </w:tabs>
        <w:spacing w:line="240" w:lineRule="auto" w:before="104" w:after="0"/>
        <w:ind w:left="1640" w:right="0" w:hanging="361"/>
        <w:jc w:val="left"/>
        <w:rPr>
          <w:sz w:val="20"/>
        </w:rPr>
      </w:pPr>
      <w:r>
        <w:rPr>
          <w:sz w:val="20"/>
        </w:rPr>
        <w:t>a process for changing the clearing house PAI</w:t>
      </w:r>
      <w:r>
        <w:rPr>
          <w:spacing w:val="-5"/>
          <w:sz w:val="20"/>
        </w:rPr>
        <w:t> </w:t>
      </w:r>
      <w:r>
        <w:rPr>
          <w:sz w:val="20"/>
        </w:rPr>
        <w:t>rate.</w:t>
      </w:r>
    </w:p>
    <w:p>
      <w:pPr>
        <w:pStyle w:val="BodyText"/>
        <w:rPr>
          <w:sz w:val="22"/>
        </w:rPr>
      </w:pPr>
    </w:p>
    <w:p>
      <w:pPr>
        <w:pStyle w:val="ListParagraph"/>
        <w:numPr>
          <w:ilvl w:val="0"/>
          <w:numId w:val="1"/>
        </w:numPr>
        <w:tabs>
          <w:tab w:pos="627" w:val="left" w:leader="none"/>
          <w:tab w:pos="628" w:val="left" w:leader="none"/>
        </w:tabs>
        <w:spacing w:line="357" w:lineRule="auto" w:before="197" w:after="0"/>
        <w:ind w:left="200" w:right="704" w:firstLine="0"/>
        <w:jc w:val="left"/>
        <w:rPr>
          <w:sz w:val="20"/>
        </w:rPr>
      </w:pPr>
      <w:r>
        <w:rPr>
          <w:sz w:val="20"/>
        </w:rPr>
        <w:t>LCH and the Bank would continue to develop these plans in collaboration with Working Group members.</w:t>
      </w:r>
    </w:p>
    <w:p>
      <w:pPr>
        <w:pStyle w:val="BodyText"/>
        <w:spacing w:before="11"/>
      </w:pPr>
    </w:p>
    <w:p>
      <w:pPr>
        <w:pStyle w:val="Heading1"/>
        <w:jc w:val="both"/>
      </w:pPr>
      <w:r>
        <w:rPr/>
        <w:t>RFR adoption workstream update</w:t>
      </w:r>
    </w:p>
    <w:p>
      <w:pPr>
        <w:pStyle w:val="BodyText"/>
        <w:spacing w:before="9"/>
        <w:rPr>
          <w:b/>
        </w:rPr>
      </w:pPr>
    </w:p>
    <w:p>
      <w:pPr>
        <w:pStyle w:val="ListParagraph"/>
        <w:numPr>
          <w:ilvl w:val="0"/>
          <w:numId w:val="1"/>
        </w:numPr>
        <w:tabs>
          <w:tab w:pos="627" w:val="left" w:leader="none"/>
          <w:tab w:pos="628" w:val="left" w:leader="none"/>
        </w:tabs>
        <w:spacing w:line="360" w:lineRule="auto" w:before="0" w:after="0"/>
        <w:ind w:left="200" w:right="270" w:firstLine="0"/>
        <w:jc w:val="left"/>
        <w:rPr>
          <w:sz w:val="20"/>
        </w:rPr>
      </w:pPr>
      <w:r>
        <w:rPr>
          <w:sz w:val="20"/>
        </w:rPr>
        <w:t>In order to communicate the advantages of a sterling RFR as an alternative to LIBOR, </w:t>
      </w:r>
      <w:r>
        <w:rPr>
          <w:spacing w:val="2"/>
          <w:sz w:val="20"/>
        </w:rPr>
        <w:t>the </w:t>
      </w:r>
      <w:r>
        <w:rPr>
          <w:sz w:val="20"/>
        </w:rPr>
        <w:t>RFR adoption sub-group had produced a draft document outlining the benefits to the wider market. Members provided some initial feedback and agreed to provide the sub-group any further points in order that the document could be finalised and published on the Working Group’s</w:t>
      </w:r>
      <w:r>
        <w:rPr>
          <w:spacing w:val="-7"/>
          <w:sz w:val="20"/>
        </w:rPr>
        <w:t> </w:t>
      </w:r>
      <w:r>
        <w:rPr>
          <w:sz w:val="20"/>
        </w:rPr>
        <w:t>webpage.</w:t>
      </w:r>
    </w:p>
    <w:p>
      <w:pPr>
        <w:pStyle w:val="BodyText"/>
        <w:spacing w:before="7"/>
      </w:pPr>
    </w:p>
    <w:p>
      <w:pPr>
        <w:pStyle w:val="Heading1"/>
        <w:jc w:val="both"/>
      </w:pPr>
      <w:r>
        <w:rPr/>
        <w:t>Discussion of responses to ARRC consultation</w:t>
      </w:r>
    </w:p>
    <w:p>
      <w:pPr>
        <w:pStyle w:val="BodyText"/>
        <w:spacing w:before="8"/>
        <w:rPr>
          <w:b/>
        </w:rPr>
      </w:pPr>
    </w:p>
    <w:p>
      <w:pPr>
        <w:pStyle w:val="ListParagraph"/>
        <w:numPr>
          <w:ilvl w:val="0"/>
          <w:numId w:val="2"/>
        </w:numPr>
        <w:tabs>
          <w:tab w:pos="627" w:val="left" w:leader="none"/>
          <w:tab w:pos="628" w:val="left" w:leader="none"/>
        </w:tabs>
        <w:spacing w:line="360" w:lineRule="auto" w:before="0" w:after="0"/>
        <w:ind w:left="200" w:right="112" w:firstLine="0"/>
        <w:jc w:val="left"/>
        <w:rPr>
          <w:sz w:val="20"/>
        </w:rPr>
      </w:pPr>
      <w:r>
        <w:rPr>
          <w:sz w:val="20"/>
        </w:rPr>
        <w:t>The Working Group noted that US equivalent of the Working Group, the Alternative Reference</w:t>
      </w:r>
      <w:r>
        <w:rPr>
          <w:spacing w:val="-27"/>
          <w:sz w:val="20"/>
        </w:rPr>
        <w:t> </w:t>
      </w:r>
      <w:r>
        <w:rPr>
          <w:sz w:val="20"/>
        </w:rPr>
        <w:t>Rates Committee (ARRC), had published the consultation responses it had received to its Interim Report and Consultation.</w:t>
      </w:r>
    </w:p>
    <w:p>
      <w:pPr>
        <w:pStyle w:val="ListParagraph"/>
        <w:numPr>
          <w:ilvl w:val="0"/>
          <w:numId w:val="2"/>
        </w:numPr>
        <w:tabs>
          <w:tab w:pos="627" w:val="left" w:leader="none"/>
          <w:tab w:pos="628" w:val="left" w:leader="none"/>
        </w:tabs>
        <w:spacing w:line="360" w:lineRule="auto" w:before="0" w:after="0"/>
        <w:ind w:left="200" w:right="655" w:firstLine="0"/>
        <w:jc w:val="left"/>
        <w:rPr>
          <w:sz w:val="20"/>
        </w:rPr>
      </w:pPr>
      <w:r>
        <w:rPr>
          <w:sz w:val="20"/>
        </w:rPr>
        <w:t>The Group discussed these responses in the context of its own consultation plans. Members recognised that providing clarity to end-users in the sterling market on the benefits of RFR adoption would be key to gaining support for the new rate. This would be an important component of its consultation</w:t>
      </w:r>
      <w:r>
        <w:rPr>
          <w:spacing w:val="-1"/>
          <w:sz w:val="20"/>
        </w:rPr>
        <w:t> </w:t>
      </w:r>
      <w:r>
        <w:rPr>
          <w:sz w:val="20"/>
        </w:rPr>
        <w:t>plans.</w:t>
      </w:r>
    </w:p>
    <w:p>
      <w:pPr>
        <w:spacing w:after="0" w:line="360" w:lineRule="auto"/>
        <w:jc w:val="left"/>
        <w:rPr>
          <w:sz w:val="20"/>
        </w:rPr>
        <w:sectPr>
          <w:pgSz w:w="11910" w:h="16840"/>
          <w:pgMar w:top="1340" w:bottom="280" w:left="1240" w:right="1040"/>
        </w:sectPr>
      </w:pPr>
    </w:p>
    <w:p>
      <w:pPr>
        <w:pStyle w:val="BodyText"/>
        <w:spacing w:before="5"/>
        <w:rPr>
          <w:sz w:val="18"/>
        </w:rPr>
      </w:pPr>
    </w:p>
    <w:p>
      <w:pPr>
        <w:pStyle w:val="Heading1"/>
        <w:spacing w:before="93"/>
      </w:pPr>
      <w:r>
        <w:rPr/>
        <w:t>Private sector</w:t>
      </w:r>
      <w:r>
        <w:rPr>
          <w:spacing w:val="-11"/>
        </w:rPr>
        <w:t> </w:t>
      </w:r>
      <w:r>
        <w:rPr/>
        <w:t>attendees</w:t>
      </w:r>
    </w:p>
    <w:p>
      <w:pPr>
        <w:pStyle w:val="BodyText"/>
        <w:spacing w:before="9"/>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3"/>
        <w:gridCol w:w="3562"/>
      </w:tblGrid>
      <w:tr>
        <w:trPr>
          <w:trHeight w:val="262" w:hRule="atLeast"/>
        </w:trPr>
        <w:tc>
          <w:tcPr>
            <w:tcW w:w="2703" w:type="dxa"/>
          </w:tcPr>
          <w:p>
            <w:pPr>
              <w:pStyle w:val="TableParagraph"/>
              <w:spacing w:line="225" w:lineRule="exact" w:before="0"/>
              <w:rPr>
                <w:sz w:val="20"/>
              </w:rPr>
            </w:pPr>
            <w:r>
              <w:rPr>
                <w:sz w:val="20"/>
              </w:rPr>
              <w:t>Nick Saggers</w:t>
            </w:r>
          </w:p>
        </w:tc>
        <w:tc>
          <w:tcPr>
            <w:tcW w:w="3562" w:type="dxa"/>
          </w:tcPr>
          <w:p>
            <w:pPr>
              <w:pStyle w:val="TableParagraph"/>
              <w:spacing w:line="223" w:lineRule="exact" w:before="0"/>
              <w:ind w:left="473"/>
              <w:rPr>
                <w:b/>
                <w:sz w:val="20"/>
              </w:rPr>
            </w:pPr>
            <w:r>
              <w:rPr>
                <w:b/>
                <w:sz w:val="20"/>
              </w:rPr>
              <w:t>Bank of America-Merrill Lynch</w:t>
            </w:r>
          </w:p>
        </w:tc>
      </w:tr>
      <w:tr>
        <w:trPr>
          <w:trHeight w:val="300" w:hRule="atLeast"/>
        </w:trPr>
        <w:tc>
          <w:tcPr>
            <w:tcW w:w="2703" w:type="dxa"/>
          </w:tcPr>
          <w:p>
            <w:pPr>
              <w:pStyle w:val="TableParagraph"/>
              <w:rPr>
                <w:sz w:val="20"/>
              </w:rPr>
            </w:pPr>
            <w:r>
              <w:rPr>
                <w:sz w:val="20"/>
              </w:rPr>
              <w:t>Francois Jourdain</w:t>
            </w:r>
          </w:p>
        </w:tc>
        <w:tc>
          <w:tcPr>
            <w:tcW w:w="3562" w:type="dxa"/>
          </w:tcPr>
          <w:p>
            <w:pPr>
              <w:pStyle w:val="TableParagraph"/>
              <w:spacing w:before="30"/>
              <w:ind w:left="473"/>
              <w:rPr>
                <w:b/>
                <w:sz w:val="20"/>
              </w:rPr>
            </w:pPr>
            <w:r>
              <w:rPr>
                <w:b/>
                <w:sz w:val="20"/>
              </w:rPr>
              <w:t>Barclays (Chairman)</w:t>
            </w:r>
          </w:p>
        </w:tc>
      </w:tr>
      <w:tr>
        <w:trPr>
          <w:trHeight w:val="300" w:hRule="atLeast"/>
        </w:trPr>
        <w:tc>
          <w:tcPr>
            <w:tcW w:w="2703" w:type="dxa"/>
          </w:tcPr>
          <w:p>
            <w:pPr>
              <w:pStyle w:val="TableParagraph"/>
              <w:rPr>
                <w:sz w:val="20"/>
              </w:rPr>
            </w:pPr>
            <w:r>
              <w:rPr>
                <w:sz w:val="20"/>
              </w:rPr>
              <w:t>Andreas Giannopoulos</w:t>
            </w:r>
          </w:p>
        </w:tc>
        <w:tc>
          <w:tcPr>
            <w:tcW w:w="3562" w:type="dxa"/>
          </w:tcPr>
          <w:p>
            <w:pPr>
              <w:pStyle w:val="TableParagraph"/>
              <w:spacing w:before="30"/>
              <w:ind w:left="473"/>
              <w:rPr>
                <w:b/>
                <w:sz w:val="20"/>
              </w:rPr>
            </w:pPr>
            <w:r>
              <w:rPr>
                <w:b/>
                <w:sz w:val="20"/>
              </w:rPr>
              <w:t>Barclays (Chair’s office)</w:t>
            </w:r>
          </w:p>
        </w:tc>
      </w:tr>
      <w:tr>
        <w:trPr>
          <w:trHeight w:val="300" w:hRule="atLeast"/>
        </w:trPr>
        <w:tc>
          <w:tcPr>
            <w:tcW w:w="2703" w:type="dxa"/>
          </w:tcPr>
          <w:p>
            <w:pPr>
              <w:pStyle w:val="TableParagraph"/>
              <w:rPr>
                <w:sz w:val="20"/>
              </w:rPr>
            </w:pPr>
            <w:r>
              <w:rPr>
                <w:sz w:val="20"/>
              </w:rPr>
              <w:t>Tejonidhi Kashyap</w:t>
            </w:r>
          </w:p>
        </w:tc>
        <w:tc>
          <w:tcPr>
            <w:tcW w:w="3562" w:type="dxa"/>
          </w:tcPr>
          <w:p>
            <w:pPr>
              <w:pStyle w:val="TableParagraph"/>
              <w:spacing w:before="30"/>
              <w:ind w:left="473"/>
              <w:rPr>
                <w:b/>
                <w:sz w:val="20"/>
              </w:rPr>
            </w:pPr>
            <w:r>
              <w:rPr>
                <w:b/>
                <w:sz w:val="20"/>
              </w:rPr>
              <w:t>Barclays (Chair’s office)</w:t>
            </w:r>
          </w:p>
        </w:tc>
      </w:tr>
      <w:tr>
        <w:trPr>
          <w:trHeight w:val="300" w:hRule="atLeast"/>
        </w:trPr>
        <w:tc>
          <w:tcPr>
            <w:tcW w:w="2703" w:type="dxa"/>
          </w:tcPr>
          <w:p>
            <w:pPr>
              <w:pStyle w:val="TableParagraph"/>
              <w:rPr>
                <w:sz w:val="20"/>
              </w:rPr>
            </w:pPr>
            <w:r>
              <w:rPr>
                <w:sz w:val="20"/>
              </w:rPr>
              <w:t>Jon Desler</w:t>
            </w:r>
          </w:p>
        </w:tc>
        <w:tc>
          <w:tcPr>
            <w:tcW w:w="3562" w:type="dxa"/>
          </w:tcPr>
          <w:p>
            <w:pPr>
              <w:pStyle w:val="TableParagraph"/>
              <w:spacing w:before="30"/>
              <w:ind w:left="473"/>
              <w:rPr>
                <w:b/>
                <w:sz w:val="20"/>
              </w:rPr>
            </w:pPr>
            <w:r>
              <w:rPr>
                <w:b/>
                <w:sz w:val="20"/>
              </w:rPr>
              <w:t>Barclays</w:t>
            </w:r>
          </w:p>
        </w:tc>
      </w:tr>
      <w:tr>
        <w:trPr>
          <w:trHeight w:val="300" w:hRule="atLeast"/>
        </w:trPr>
        <w:tc>
          <w:tcPr>
            <w:tcW w:w="2703" w:type="dxa"/>
          </w:tcPr>
          <w:p>
            <w:pPr>
              <w:pStyle w:val="TableParagraph"/>
              <w:rPr>
                <w:sz w:val="20"/>
              </w:rPr>
            </w:pPr>
            <w:r>
              <w:rPr>
                <w:sz w:val="20"/>
              </w:rPr>
              <w:t>John Hilty</w:t>
            </w:r>
          </w:p>
        </w:tc>
        <w:tc>
          <w:tcPr>
            <w:tcW w:w="3562" w:type="dxa"/>
          </w:tcPr>
          <w:p>
            <w:pPr>
              <w:pStyle w:val="TableParagraph"/>
              <w:spacing w:before="30"/>
              <w:ind w:left="473"/>
              <w:rPr>
                <w:b/>
                <w:sz w:val="20"/>
              </w:rPr>
            </w:pPr>
            <w:r>
              <w:rPr>
                <w:b/>
                <w:sz w:val="20"/>
              </w:rPr>
              <w:t>Deutsche Bank</w:t>
            </w:r>
          </w:p>
        </w:tc>
      </w:tr>
      <w:tr>
        <w:trPr>
          <w:trHeight w:val="300" w:hRule="atLeast"/>
        </w:trPr>
        <w:tc>
          <w:tcPr>
            <w:tcW w:w="2703" w:type="dxa"/>
          </w:tcPr>
          <w:p>
            <w:pPr>
              <w:pStyle w:val="TableParagraph"/>
              <w:rPr>
                <w:sz w:val="20"/>
              </w:rPr>
            </w:pPr>
            <w:r>
              <w:rPr>
                <w:sz w:val="20"/>
              </w:rPr>
              <w:t>Nikhil Choraria</w:t>
            </w:r>
          </w:p>
        </w:tc>
        <w:tc>
          <w:tcPr>
            <w:tcW w:w="3562" w:type="dxa"/>
          </w:tcPr>
          <w:p>
            <w:pPr>
              <w:pStyle w:val="TableParagraph"/>
              <w:spacing w:before="30"/>
              <w:ind w:left="473"/>
              <w:rPr>
                <w:b/>
                <w:sz w:val="20"/>
              </w:rPr>
            </w:pPr>
            <w:r>
              <w:rPr>
                <w:b/>
                <w:sz w:val="20"/>
              </w:rPr>
              <w:t>Goldman Sachs</w:t>
            </w:r>
          </w:p>
        </w:tc>
      </w:tr>
      <w:tr>
        <w:trPr>
          <w:trHeight w:val="300" w:hRule="atLeast"/>
        </w:trPr>
        <w:tc>
          <w:tcPr>
            <w:tcW w:w="2703" w:type="dxa"/>
          </w:tcPr>
          <w:p>
            <w:pPr>
              <w:pStyle w:val="TableParagraph"/>
              <w:rPr>
                <w:sz w:val="20"/>
              </w:rPr>
            </w:pPr>
            <w:r>
              <w:rPr>
                <w:sz w:val="20"/>
              </w:rPr>
              <w:t>Michael Graham</w:t>
            </w:r>
          </w:p>
        </w:tc>
        <w:tc>
          <w:tcPr>
            <w:tcW w:w="3562" w:type="dxa"/>
          </w:tcPr>
          <w:p>
            <w:pPr>
              <w:pStyle w:val="TableParagraph"/>
              <w:spacing w:before="30"/>
              <w:ind w:left="473"/>
              <w:rPr>
                <w:b/>
                <w:sz w:val="20"/>
              </w:rPr>
            </w:pPr>
            <w:r>
              <w:rPr>
                <w:b/>
                <w:sz w:val="20"/>
              </w:rPr>
              <w:t>Goldman Sachs</w:t>
            </w:r>
          </w:p>
        </w:tc>
      </w:tr>
      <w:tr>
        <w:trPr>
          <w:trHeight w:val="300" w:hRule="atLeast"/>
        </w:trPr>
        <w:tc>
          <w:tcPr>
            <w:tcW w:w="2703" w:type="dxa"/>
          </w:tcPr>
          <w:p>
            <w:pPr>
              <w:pStyle w:val="TableParagraph"/>
              <w:rPr>
                <w:sz w:val="20"/>
              </w:rPr>
            </w:pPr>
            <w:r>
              <w:rPr>
                <w:sz w:val="20"/>
              </w:rPr>
              <w:t>Glenn Handley</w:t>
            </w:r>
          </w:p>
        </w:tc>
        <w:tc>
          <w:tcPr>
            <w:tcW w:w="3562" w:type="dxa"/>
          </w:tcPr>
          <w:p>
            <w:pPr>
              <w:pStyle w:val="TableParagraph"/>
              <w:spacing w:before="30"/>
              <w:ind w:left="473"/>
              <w:rPr>
                <w:b/>
                <w:sz w:val="20"/>
              </w:rPr>
            </w:pPr>
            <w:r>
              <w:rPr>
                <w:b/>
                <w:sz w:val="20"/>
              </w:rPr>
              <w:t>HSBC</w:t>
            </w:r>
          </w:p>
        </w:tc>
      </w:tr>
      <w:tr>
        <w:trPr>
          <w:trHeight w:val="300" w:hRule="atLeast"/>
        </w:trPr>
        <w:tc>
          <w:tcPr>
            <w:tcW w:w="2703" w:type="dxa"/>
          </w:tcPr>
          <w:p>
            <w:pPr>
              <w:pStyle w:val="TableParagraph"/>
              <w:rPr>
                <w:sz w:val="20"/>
              </w:rPr>
            </w:pPr>
            <w:r>
              <w:rPr>
                <w:sz w:val="20"/>
              </w:rPr>
              <w:t>Charles Bristow</w:t>
            </w:r>
          </w:p>
        </w:tc>
        <w:tc>
          <w:tcPr>
            <w:tcW w:w="3562" w:type="dxa"/>
          </w:tcPr>
          <w:p>
            <w:pPr>
              <w:pStyle w:val="TableParagraph"/>
              <w:spacing w:before="30"/>
              <w:ind w:left="473"/>
              <w:rPr>
                <w:b/>
                <w:sz w:val="20"/>
              </w:rPr>
            </w:pPr>
            <w:r>
              <w:rPr>
                <w:b/>
                <w:sz w:val="20"/>
              </w:rPr>
              <w:t>JP Morgan</w:t>
            </w:r>
          </w:p>
        </w:tc>
      </w:tr>
      <w:tr>
        <w:trPr>
          <w:trHeight w:val="300" w:hRule="atLeast"/>
        </w:trPr>
        <w:tc>
          <w:tcPr>
            <w:tcW w:w="2703" w:type="dxa"/>
          </w:tcPr>
          <w:p>
            <w:pPr>
              <w:pStyle w:val="TableParagraph"/>
              <w:rPr>
                <w:sz w:val="20"/>
              </w:rPr>
            </w:pPr>
            <w:r>
              <w:rPr>
                <w:sz w:val="20"/>
              </w:rPr>
              <w:t>Ian Fox</w:t>
            </w:r>
          </w:p>
        </w:tc>
        <w:tc>
          <w:tcPr>
            <w:tcW w:w="3562" w:type="dxa"/>
          </w:tcPr>
          <w:p>
            <w:pPr>
              <w:pStyle w:val="TableParagraph"/>
              <w:spacing w:before="30"/>
              <w:ind w:left="473"/>
              <w:rPr>
                <w:b/>
                <w:sz w:val="20"/>
              </w:rPr>
            </w:pPr>
            <w:r>
              <w:rPr>
                <w:b/>
                <w:sz w:val="20"/>
              </w:rPr>
              <w:t>Lloyds</w:t>
            </w:r>
          </w:p>
        </w:tc>
      </w:tr>
      <w:tr>
        <w:trPr>
          <w:trHeight w:val="300" w:hRule="atLeast"/>
        </w:trPr>
        <w:tc>
          <w:tcPr>
            <w:tcW w:w="2703" w:type="dxa"/>
          </w:tcPr>
          <w:p>
            <w:pPr>
              <w:pStyle w:val="TableParagraph"/>
              <w:spacing w:before="33"/>
              <w:rPr>
                <w:sz w:val="20"/>
              </w:rPr>
            </w:pPr>
            <w:r>
              <w:rPr>
                <w:sz w:val="20"/>
              </w:rPr>
              <w:t>Phil Whitehurst</w:t>
            </w:r>
          </w:p>
        </w:tc>
        <w:tc>
          <w:tcPr>
            <w:tcW w:w="3562" w:type="dxa"/>
          </w:tcPr>
          <w:p>
            <w:pPr>
              <w:pStyle w:val="TableParagraph"/>
              <w:spacing w:before="30"/>
              <w:ind w:left="473"/>
              <w:rPr>
                <w:b/>
                <w:sz w:val="20"/>
              </w:rPr>
            </w:pPr>
            <w:r>
              <w:rPr>
                <w:b/>
                <w:sz w:val="20"/>
              </w:rPr>
              <w:t>LCH</w:t>
            </w:r>
          </w:p>
        </w:tc>
      </w:tr>
      <w:tr>
        <w:trPr>
          <w:trHeight w:val="300" w:hRule="atLeast"/>
        </w:trPr>
        <w:tc>
          <w:tcPr>
            <w:tcW w:w="2703" w:type="dxa"/>
          </w:tcPr>
          <w:p>
            <w:pPr>
              <w:pStyle w:val="TableParagraph"/>
              <w:rPr>
                <w:sz w:val="20"/>
              </w:rPr>
            </w:pPr>
            <w:r>
              <w:rPr>
                <w:sz w:val="20"/>
              </w:rPr>
              <w:t>Freddie Napier</w:t>
            </w:r>
          </w:p>
        </w:tc>
        <w:tc>
          <w:tcPr>
            <w:tcW w:w="3562" w:type="dxa"/>
          </w:tcPr>
          <w:p>
            <w:pPr>
              <w:pStyle w:val="TableParagraph"/>
              <w:spacing w:before="30"/>
              <w:ind w:left="473"/>
              <w:rPr>
                <w:b/>
                <w:sz w:val="20"/>
              </w:rPr>
            </w:pPr>
            <w:r>
              <w:rPr>
                <w:b/>
                <w:sz w:val="20"/>
              </w:rPr>
              <w:t>Morgan Stanley</w:t>
            </w:r>
          </w:p>
        </w:tc>
      </w:tr>
      <w:tr>
        <w:trPr>
          <w:trHeight w:val="300" w:hRule="atLeast"/>
        </w:trPr>
        <w:tc>
          <w:tcPr>
            <w:tcW w:w="2703" w:type="dxa"/>
          </w:tcPr>
          <w:p>
            <w:pPr>
              <w:pStyle w:val="TableParagraph"/>
              <w:rPr>
                <w:sz w:val="20"/>
              </w:rPr>
            </w:pPr>
            <w:r>
              <w:rPr>
                <w:sz w:val="20"/>
              </w:rPr>
              <w:t>Mike Curtis</w:t>
            </w:r>
          </w:p>
        </w:tc>
        <w:tc>
          <w:tcPr>
            <w:tcW w:w="3562" w:type="dxa"/>
          </w:tcPr>
          <w:p>
            <w:pPr>
              <w:pStyle w:val="TableParagraph"/>
              <w:spacing w:before="30"/>
              <w:ind w:left="473"/>
              <w:rPr>
                <w:b/>
                <w:sz w:val="20"/>
              </w:rPr>
            </w:pPr>
            <w:r>
              <w:rPr>
                <w:b/>
                <w:sz w:val="20"/>
              </w:rPr>
              <w:t>Nomura</w:t>
            </w:r>
          </w:p>
        </w:tc>
      </w:tr>
      <w:tr>
        <w:trPr>
          <w:trHeight w:val="300" w:hRule="atLeast"/>
        </w:trPr>
        <w:tc>
          <w:tcPr>
            <w:tcW w:w="2703" w:type="dxa"/>
          </w:tcPr>
          <w:p>
            <w:pPr>
              <w:pStyle w:val="TableParagraph"/>
              <w:rPr>
                <w:sz w:val="20"/>
              </w:rPr>
            </w:pPr>
            <w:r>
              <w:rPr>
                <w:sz w:val="20"/>
              </w:rPr>
              <w:t>Toby Stevenson</w:t>
            </w:r>
          </w:p>
        </w:tc>
        <w:tc>
          <w:tcPr>
            <w:tcW w:w="3562" w:type="dxa"/>
          </w:tcPr>
          <w:p>
            <w:pPr>
              <w:pStyle w:val="TableParagraph"/>
              <w:spacing w:before="30"/>
              <w:ind w:left="473"/>
              <w:rPr>
                <w:b/>
                <w:sz w:val="20"/>
              </w:rPr>
            </w:pPr>
            <w:r>
              <w:rPr>
                <w:b/>
                <w:sz w:val="20"/>
              </w:rPr>
              <w:t>Royal Bank of Scotland</w:t>
            </w:r>
          </w:p>
        </w:tc>
      </w:tr>
      <w:tr>
        <w:trPr>
          <w:trHeight w:val="300" w:hRule="atLeast"/>
        </w:trPr>
        <w:tc>
          <w:tcPr>
            <w:tcW w:w="2703" w:type="dxa"/>
          </w:tcPr>
          <w:p>
            <w:pPr>
              <w:pStyle w:val="TableParagraph"/>
              <w:rPr>
                <w:sz w:val="20"/>
              </w:rPr>
            </w:pPr>
            <w:r>
              <w:rPr>
                <w:sz w:val="20"/>
              </w:rPr>
              <w:t>Alan Williams</w:t>
            </w:r>
          </w:p>
        </w:tc>
        <w:tc>
          <w:tcPr>
            <w:tcW w:w="3562" w:type="dxa"/>
          </w:tcPr>
          <w:p>
            <w:pPr>
              <w:pStyle w:val="TableParagraph"/>
              <w:spacing w:before="30"/>
              <w:ind w:left="473"/>
              <w:rPr>
                <w:b/>
                <w:sz w:val="20"/>
              </w:rPr>
            </w:pPr>
            <w:r>
              <w:rPr>
                <w:b/>
                <w:sz w:val="20"/>
              </w:rPr>
              <w:t>Santander</w:t>
            </w:r>
          </w:p>
        </w:tc>
      </w:tr>
      <w:tr>
        <w:trPr>
          <w:trHeight w:val="300" w:hRule="atLeast"/>
        </w:trPr>
        <w:tc>
          <w:tcPr>
            <w:tcW w:w="2703" w:type="dxa"/>
          </w:tcPr>
          <w:p>
            <w:pPr>
              <w:pStyle w:val="TableParagraph"/>
              <w:rPr>
                <w:sz w:val="20"/>
              </w:rPr>
            </w:pPr>
            <w:r>
              <w:rPr>
                <w:sz w:val="20"/>
              </w:rPr>
              <w:t>Stephane Cuny</w:t>
            </w:r>
          </w:p>
        </w:tc>
        <w:tc>
          <w:tcPr>
            <w:tcW w:w="3562" w:type="dxa"/>
          </w:tcPr>
          <w:p>
            <w:pPr>
              <w:pStyle w:val="TableParagraph"/>
              <w:spacing w:before="30"/>
              <w:ind w:left="473"/>
              <w:rPr>
                <w:b/>
                <w:sz w:val="20"/>
              </w:rPr>
            </w:pPr>
            <w:r>
              <w:rPr>
                <w:b/>
                <w:sz w:val="20"/>
              </w:rPr>
              <w:t>Société Générale</w:t>
            </w:r>
          </w:p>
        </w:tc>
      </w:tr>
      <w:tr>
        <w:trPr>
          <w:trHeight w:val="300" w:hRule="atLeast"/>
        </w:trPr>
        <w:tc>
          <w:tcPr>
            <w:tcW w:w="2703" w:type="dxa"/>
          </w:tcPr>
          <w:p>
            <w:pPr>
              <w:pStyle w:val="TableParagraph"/>
              <w:rPr>
                <w:sz w:val="20"/>
              </w:rPr>
            </w:pPr>
            <w:r>
              <w:rPr>
                <w:sz w:val="20"/>
              </w:rPr>
              <w:t>Chirag Dave</w:t>
            </w:r>
          </w:p>
        </w:tc>
        <w:tc>
          <w:tcPr>
            <w:tcW w:w="3562" w:type="dxa"/>
          </w:tcPr>
          <w:p>
            <w:pPr>
              <w:pStyle w:val="TableParagraph"/>
              <w:spacing w:before="30"/>
              <w:ind w:left="473"/>
              <w:rPr>
                <w:b/>
                <w:sz w:val="20"/>
              </w:rPr>
            </w:pPr>
            <w:r>
              <w:rPr>
                <w:b/>
                <w:sz w:val="20"/>
              </w:rPr>
              <w:t>UBS</w:t>
            </w:r>
          </w:p>
        </w:tc>
      </w:tr>
      <w:tr>
        <w:trPr>
          <w:trHeight w:val="300" w:hRule="atLeast"/>
        </w:trPr>
        <w:tc>
          <w:tcPr>
            <w:tcW w:w="2703" w:type="dxa"/>
          </w:tcPr>
          <w:p>
            <w:pPr>
              <w:pStyle w:val="TableParagraph"/>
              <w:rPr>
                <w:sz w:val="20"/>
              </w:rPr>
            </w:pPr>
            <w:r>
              <w:rPr>
                <w:sz w:val="20"/>
              </w:rPr>
              <w:t>Paul Canty</w:t>
            </w:r>
          </w:p>
        </w:tc>
        <w:tc>
          <w:tcPr>
            <w:tcW w:w="3562" w:type="dxa"/>
          </w:tcPr>
          <w:p>
            <w:pPr>
              <w:pStyle w:val="TableParagraph"/>
              <w:spacing w:before="30"/>
              <w:ind w:left="473"/>
              <w:rPr>
                <w:b/>
                <w:sz w:val="20"/>
              </w:rPr>
            </w:pPr>
            <w:r>
              <w:rPr>
                <w:b/>
                <w:sz w:val="20"/>
              </w:rPr>
              <w:t>UBS</w:t>
            </w:r>
          </w:p>
        </w:tc>
      </w:tr>
      <w:tr>
        <w:trPr>
          <w:trHeight w:val="262" w:hRule="atLeast"/>
        </w:trPr>
        <w:tc>
          <w:tcPr>
            <w:tcW w:w="2703" w:type="dxa"/>
          </w:tcPr>
          <w:p>
            <w:pPr>
              <w:pStyle w:val="TableParagraph"/>
              <w:spacing w:line="210" w:lineRule="exact"/>
              <w:rPr>
                <w:sz w:val="20"/>
              </w:rPr>
            </w:pPr>
            <w:r>
              <w:rPr>
                <w:sz w:val="20"/>
              </w:rPr>
              <w:t>Kirsty Taylor</w:t>
            </w:r>
          </w:p>
        </w:tc>
        <w:tc>
          <w:tcPr>
            <w:tcW w:w="3562" w:type="dxa"/>
          </w:tcPr>
          <w:p>
            <w:pPr>
              <w:pStyle w:val="TableParagraph"/>
              <w:spacing w:line="212" w:lineRule="exact" w:before="30"/>
              <w:ind w:left="473"/>
              <w:rPr>
                <w:b/>
                <w:sz w:val="20"/>
              </w:rPr>
            </w:pPr>
            <w:r>
              <w:rPr>
                <w:b/>
                <w:sz w:val="20"/>
              </w:rPr>
              <w:t>ISDA (Observer only)</w:t>
            </w:r>
          </w:p>
        </w:tc>
      </w:tr>
    </w:tbl>
    <w:p>
      <w:pPr>
        <w:pStyle w:val="BodyText"/>
        <w:rPr>
          <w:b/>
          <w:sz w:val="22"/>
        </w:rPr>
      </w:pPr>
    </w:p>
    <w:p>
      <w:pPr>
        <w:pStyle w:val="BodyText"/>
        <w:spacing w:before="5"/>
        <w:rPr>
          <w:b/>
          <w:sz w:val="21"/>
        </w:rPr>
      </w:pPr>
    </w:p>
    <w:p>
      <w:pPr>
        <w:spacing w:before="0"/>
        <w:ind w:left="200" w:right="0" w:firstLine="0"/>
        <w:jc w:val="left"/>
        <w:rPr>
          <w:b/>
          <w:sz w:val="20"/>
        </w:rPr>
      </w:pPr>
      <w:r>
        <w:rPr>
          <w:b/>
          <w:sz w:val="20"/>
        </w:rPr>
        <w:t>Official sector</w:t>
      </w:r>
      <w:r>
        <w:rPr>
          <w:b/>
          <w:spacing w:val="-9"/>
          <w:sz w:val="20"/>
        </w:rPr>
        <w:t> </w:t>
      </w:r>
      <w:r>
        <w:rPr>
          <w:b/>
          <w:sz w:val="20"/>
        </w:rPr>
        <w:t>attendees</w:t>
      </w:r>
    </w:p>
    <w:p>
      <w:pPr>
        <w:pStyle w:val="BodyText"/>
        <w:spacing w:before="10"/>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3657"/>
      </w:tblGrid>
      <w:tr>
        <w:trPr>
          <w:trHeight w:val="264" w:hRule="atLeast"/>
        </w:trPr>
        <w:tc>
          <w:tcPr>
            <w:tcW w:w="2580" w:type="dxa"/>
          </w:tcPr>
          <w:p>
            <w:pPr>
              <w:pStyle w:val="TableParagraph"/>
              <w:spacing w:line="225" w:lineRule="exact" w:before="0"/>
              <w:rPr>
                <w:sz w:val="20"/>
              </w:rPr>
            </w:pPr>
            <w:r>
              <w:rPr>
                <w:sz w:val="20"/>
              </w:rPr>
              <w:t>Ed Ocampo</w:t>
            </w:r>
          </w:p>
        </w:tc>
        <w:tc>
          <w:tcPr>
            <w:tcW w:w="3657" w:type="dxa"/>
          </w:tcPr>
          <w:p>
            <w:pPr>
              <w:pStyle w:val="TableParagraph"/>
              <w:spacing w:line="223" w:lineRule="exact" w:before="0"/>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Tim Taylor</w:t>
            </w:r>
          </w:p>
        </w:tc>
        <w:tc>
          <w:tcPr>
            <w:tcW w:w="3657" w:type="dxa"/>
          </w:tcPr>
          <w:p>
            <w:pPr>
              <w:pStyle w:val="TableParagraph"/>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Will Parry</w:t>
            </w:r>
          </w:p>
        </w:tc>
        <w:tc>
          <w:tcPr>
            <w:tcW w:w="3657" w:type="dxa"/>
          </w:tcPr>
          <w:p>
            <w:pPr>
              <w:pStyle w:val="TableParagraph"/>
              <w:spacing w:before="31"/>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Renée Horrell</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4"/>
              <w:rPr>
                <w:sz w:val="20"/>
              </w:rPr>
            </w:pPr>
            <w:r>
              <w:rPr>
                <w:sz w:val="20"/>
              </w:rPr>
              <w:t>Jan Lasik</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David Geen</w:t>
            </w:r>
          </w:p>
        </w:tc>
        <w:tc>
          <w:tcPr>
            <w:tcW w:w="3657" w:type="dxa"/>
          </w:tcPr>
          <w:p>
            <w:pPr>
              <w:pStyle w:val="TableParagraph"/>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Devid Mazzonetto</w:t>
            </w:r>
          </w:p>
        </w:tc>
        <w:tc>
          <w:tcPr>
            <w:tcW w:w="3657" w:type="dxa"/>
          </w:tcPr>
          <w:p>
            <w:pPr>
              <w:pStyle w:val="TableParagraph"/>
              <w:spacing w:before="31"/>
              <w:ind w:left="781"/>
              <w:rPr>
                <w:b/>
                <w:sz w:val="20"/>
              </w:rPr>
            </w:pPr>
            <w:r>
              <w:rPr>
                <w:b/>
                <w:sz w:val="20"/>
              </w:rPr>
              <w:t>Financial Conduct Authority</w:t>
            </w:r>
          </w:p>
        </w:tc>
      </w:tr>
      <w:tr>
        <w:trPr>
          <w:trHeight w:val="263" w:hRule="atLeast"/>
        </w:trPr>
        <w:tc>
          <w:tcPr>
            <w:tcW w:w="2580" w:type="dxa"/>
          </w:tcPr>
          <w:p>
            <w:pPr>
              <w:pStyle w:val="TableParagraph"/>
              <w:spacing w:line="210" w:lineRule="exact" w:before="34"/>
              <w:rPr>
                <w:sz w:val="20"/>
              </w:rPr>
            </w:pPr>
            <w:r>
              <w:rPr>
                <w:sz w:val="20"/>
              </w:rPr>
              <w:t>Katherine Smits</w:t>
            </w:r>
          </w:p>
        </w:tc>
        <w:tc>
          <w:tcPr>
            <w:tcW w:w="3657" w:type="dxa"/>
          </w:tcPr>
          <w:p>
            <w:pPr>
              <w:pStyle w:val="TableParagraph"/>
              <w:spacing w:line="212" w:lineRule="exact" w:before="31"/>
              <w:ind w:left="781"/>
              <w:rPr>
                <w:b/>
                <w:sz w:val="20"/>
              </w:rPr>
            </w:pPr>
            <w:r>
              <w:rPr>
                <w:b/>
                <w:sz w:val="20"/>
              </w:rPr>
              <w:t>Financial Conduct Authority</w:t>
            </w:r>
          </w:p>
        </w:tc>
      </w:tr>
    </w:tbl>
    <w:sectPr>
      <w:pgSz w:w="11910" w:h="16840"/>
      <w:pgMar w:top="1580" w:bottom="280" w:left="12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8"/>
      <w:numFmt w:val="decimal"/>
      <w:lvlText w:val="%1"/>
      <w:lvlJc w:val="left"/>
      <w:pPr>
        <w:ind w:left="200" w:hanging="428"/>
        <w:jc w:val="left"/>
      </w:pPr>
      <w:rPr>
        <w:rFonts w:hint="default" w:ascii="Arial" w:hAnsi="Arial" w:eastAsia="Arial" w:cs="Arial"/>
        <w:w w:val="99"/>
        <w:sz w:val="20"/>
        <w:szCs w:val="20"/>
        <w:lang w:val="en-gb" w:eastAsia="en-gb" w:bidi="en-gb"/>
      </w:rPr>
    </w:lvl>
    <w:lvl w:ilvl="1">
      <w:start w:val="0"/>
      <w:numFmt w:val="bullet"/>
      <w:lvlText w:val="•"/>
      <w:lvlJc w:val="left"/>
      <w:pPr>
        <w:ind w:left="1142" w:hanging="428"/>
      </w:pPr>
      <w:rPr>
        <w:rFonts w:hint="default"/>
        <w:lang w:val="en-gb" w:eastAsia="en-gb" w:bidi="en-gb"/>
      </w:rPr>
    </w:lvl>
    <w:lvl w:ilvl="2">
      <w:start w:val="0"/>
      <w:numFmt w:val="bullet"/>
      <w:lvlText w:val="•"/>
      <w:lvlJc w:val="left"/>
      <w:pPr>
        <w:ind w:left="2085" w:hanging="428"/>
      </w:pPr>
      <w:rPr>
        <w:rFonts w:hint="default"/>
        <w:lang w:val="en-gb" w:eastAsia="en-gb" w:bidi="en-gb"/>
      </w:rPr>
    </w:lvl>
    <w:lvl w:ilvl="3">
      <w:start w:val="0"/>
      <w:numFmt w:val="bullet"/>
      <w:lvlText w:val="•"/>
      <w:lvlJc w:val="left"/>
      <w:pPr>
        <w:ind w:left="3027" w:hanging="428"/>
      </w:pPr>
      <w:rPr>
        <w:rFonts w:hint="default"/>
        <w:lang w:val="en-gb" w:eastAsia="en-gb" w:bidi="en-gb"/>
      </w:rPr>
    </w:lvl>
    <w:lvl w:ilvl="4">
      <w:start w:val="0"/>
      <w:numFmt w:val="bullet"/>
      <w:lvlText w:val="•"/>
      <w:lvlJc w:val="left"/>
      <w:pPr>
        <w:ind w:left="3970" w:hanging="428"/>
      </w:pPr>
      <w:rPr>
        <w:rFonts w:hint="default"/>
        <w:lang w:val="en-gb" w:eastAsia="en-gb" w:bidi="en-gb"/>
      </w:rPr>
    </w:lvl>
    <w:lvl w:ilvl="5">
      <w:start w:val="0"/>
      <w:numFmt w:val="bullet"/>
      <w:lvlText w:val="•"/>
      <w:lvlJc w:val="left"/>
      <w:pPr>
        <w:ind w:left="4913" w:hanging="428"/>
      </w:pPr>
      <w:rPr>
        <w:rFonts w:hint="default"/>
        <w:lang w:val="en-gb" w:eastAsia="en-gb" w:bidi="en-gb"/>
      </w:rPr>
    </w:lvl>
    <w:lvl w:ilvl="6">
      <w:start w:val="0"/>
      <w:numFmt w:val="bullet"/>
      <w:lvlText w:val="•"/>
      <w:lvlJc w:val="left"/>
      <w:pPr>
        <w:ind w:left="5855" w:hanging="428"/>
      </w:pPr>
      <w:rPr>
        <w:rFonts w:hint="default"/>
        <w:lang w:val="en-gb" w:eastAsia="en-gb" w:bidi="en-gb"/>
      </w:rPr>
    </w:lvl>
    <w:lvl w:ilvl="7">
      <w:start w:val="0"/>
      <w:numFmt w:val="bullet"/>
      <w:lvlText w:val="•"/>
      <w:lvlJc w:val="left"/>
      <w:pPr>
        <w:ind w:left="6798" w:hanging="428"/>
      </w:pPr>
      <w:rPr>
        <w:rFonts w:hint="default"/>
        <w:lang w:val="en-gb" w:eastAsia="en-gb" w:bidi="en-gb"/>
      </w:rPr>
    </w:lvl>
    <w:lvl w:ilvl="8">
      <w:start w:val="0"/>
      <w:numFmt w:val="bullet"/>
      <w:lvlText w:val="•"/>
      <w:lvlJc w:val="left"/>
      <w:pPr>
        <w:ind w:left="7741" w:hanging="428"/>
      </w:pPr>
      <w:rPr>
        <w:rFonts w:hint="default"/>
        <w:lang w:val="en-gb" w:eastAsia="en-gb" w:bidi="en-gb"/>
      </w:rPr>
    </w:lvl>
  </w:abstractNum>
  <w:abstractNum w:abstractNumId="0">
    <w:multiLevelType w:val="hybridMultilevel"/>
    <w:lvl w:ilvl="0">
      <w:start w:val="1"/>
      <w:numFmt w:val="decimal"/>
      <w:lvlText w:val="%1"/>
      <w:lvlJc w:val="left"/>
      <w:pPr>
        <w:ind w:left="627" w:hanging="428"/>
        <w:jc w:val="left"/>
      </w:pPr>
      <w:rPr>
        <w:rFonts w:hint="default" w:ascii="Arial" w:hAnsi="Arial" w:eastAsia="Arial" w:cs="Arial"/>
        <w:w w:val="99"/>
        <w:sz w:val="20"/>
        <w:szCs w:val="20"/>
        <w:lang w:val="en-gb" w:eastAsia="en-gb" w:bidi="en-gb"/>
      </w:rPr>
    </w:lvl>
    <w:lvl w:ilvl="1">
      <w:start w:val="0"/>
      <w:numFmt w:val="bullet"/>
      <w:lvlText w:val="-"/>
      <w:lvlJc w:val="left"/>
      <w:pPr>
        <w:ind w:left="1640" w:hanging="360"/>
      </w:pPr>
      <w:rPr>
        <w:rFonts w:hint="default" w:ascii="Calibri" w:hAnsi="Calibri" w:eastAsia="Calibri" w:cs="Calibri"/>
        <w:w w:val="99"/>
        <w:sz w:val="20"/>
        <w:szCs w:val="20"/>
        <w:lang w:val="en-gb" w:eastAsia="en-gb" w:bidi="en-gb"/>
      </w:rPr>
    </w:lvl>
    <w:lvl w:ilvl="2">
      <w:start w:val="0"/>
      <w:numFmt w:val="bullet"/>
      <w:lvlText w:val="•"/>
      <w:lvlJc w:val="left"/>
      <w:pPr>
        <w:ind w:left="2527" w:hanging="360"/>
      </w:pPr>
      <w:rPr>
        <w:rFonts w:hint="default"/>
        <w:lang w:val="en-gb" w:eastAsia="en-gb" w:bidi="en-gb"/>
      </w:rPr>
    </w:lvl>
    <w:lvl w:ilvl="3">
      <w:start w:val="0"/>
      <w:numFmt w:val="bullet"/>
      <w:lvlText w:val="•"/>
      <w:lvlJc w:val="left"/>
      <w:pPr>
        <w:ind w:left="3414" w:hanging="360"/>
      </w:pPr>
      <w:rPr>
        <w:rFonts w:hint="default"/>
        <w:lang w:val="en-gb" w:eastAsia="en-gb" w:bidi="en-gb"/>
      </w:rPr>
    </w:lvl>
    <w:lvl w:ilvl="4">
      <w:start w:val="0"/>
      <w:numFmt w:val="bullet"/>
      <w:lvlText w:val="•"/>
      <w:lvlJc w:val="left"/>
      <w:pPr>
        <w:ind w:left="4302" w:hanging="360"/>
      </w:pPr>
      <w:rPr>
        <w:rFonts w:hint="default"/>
        <w:lang w:val="en-gb" w:eastAsia="en-gb" w:bidi="en-gb"/>
      </w:rPr>
    </w:lvl>
    <w:lvl w:ilvl="5">
      <w:start w:val="0"/>
      <w:numFmt w:val="bullet"/>
      <w:lvlText w:val="•"/>
      <w:lvlJc w:val="left"/>
      <w:pPr>
        <w:ind w:left="5189" w:hanging="360"/>
      </w:pPr>
      <w:rPr>
        <w:rFonts w:hint="default"/>
        <w:lang w:val="en-gb" w:eastAsia="en-gb" w:bidi="en-gb"/>
      </w:rPr>
    </w:lvl>
    <w:lvl w:ilvl="6">
      <w:start w:val="0"/>
      <w:numFmt w:val="bullet"/>
      <w:lvlText w:val="•"/>
      <w:lvlJc w:val="left"/>
      <w:pPr>
        <w:ind w:left="6076" w:hanging="360"/>
      </w:pPr>
      <w:rPr>
        <w:rFonts w:hint="default"/>
        <w:lang w:val="en-gb" w:eastAsia="en-gb" w:bidi="en-gb"/>
      </w:rPr>
    </w:lvl>
    <w:lvl w:ilvl="7">
      <w:start w:val="0"/>
      <w:numFmt w:val="bullet"/>
      <w:lvlText w:val="•"/>
      <w:lvlJc w:val="left"/>
      <w:pPr>
        <w:ind w:left="6964" w:hanging="360"/>
      </w:pPr>
      <w:rPr>
        <w:rFonts w:hint="default"/>
        <w:lang w:val="en-gb" w:eastAsia="en-gb" w:bidi="en-gb"/>
      </w:rPr>
    </w:lvl>
    <w:lvl w:ilvl="8">
      <w:start w:val="0"/>
      <w:numFmt w:val="bullet"/>
      <w:lvlText w:val="•"/>
      <w:lvlJc w:val="left"/>
      <w:pPr>
        <w:ind w:left="7851"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00"/>
    </w:pPr>
    <w:rPr>
      <w:rFonts w:ascii="Arial" w:hAnsi="Arial" w:eastAsia="Arial" w:cs="Arial"/>
      <w:lang w:val="en-gb" w:eastAsia="en-gb" w:bidi="en-gb"/>
    </w:rPr>
  </w:style>
  <w:style w:styleId="TableParagraph" w:type="paragraph">
    <w:name w:val="Table Paragraph"/>
    <w:basedOn w:val="Normal"/>
    <w:uiPriority w:val="1"/>
    <w:qFormat/>
    <w:pPr>
      <w:spacing w:before="32"/>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 Working Group on Sterling Risk-Free Reference Rates</dc:title>
  <dcterms:created xsi:type="dcterms:W3CDTF">2020-06-01T02:22:38Z</dcterms:created>
  <dcterms:modified xsi:type="dcterms:W3CDTF">2020-06-01T02:22:38Z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LastSaved">
    <vt:filetime>2020-06-01T00:00:00Z</vt:filetime>
  </property>
</Properties>
</file>