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4" w:lineRule="auto" w:before="74"/>
        <w:ind w:left="873" w:right="839"/>
        <w:jc w:val="center"/>
      </w:pPr>
      <w:r>
        <w:rPr/>
        <w:t>Minutes of the Meeting of the Working Group on Sterling Risk-Free Reference Rates Friday 9 December 2016</w:t>
      </w:r>
    </w:p>
    <w:p>
      <w:pPr>
        <w:spacing w:before="1"/>
        <w:ind w:left="869" w:right="839" w:firstLine="0"/>
        <w:jc w:val="center"/>
        <w:rPr>
          <w:b/>
          <w:sz w:val="20"/>
        </w:rPr>
      </w:pPr>
      <w:r>
        <w:rPr>
          <w:b/>
          <w:sz w:val="20"/>
        </w:rPr>
        <w:t>Bank of England offices – Moorgate</w:t>
      </w:r>
    </w:p>
    <w:p>
      <w:pPr>
        <w:pStyle w:val="BodyText"/>
        <w:rPr>
          <w:b/>
          <w:sz w:val="22"/>
        </w:rPr>
      </w:pPr>
    </w:p>
    <w:p>
      <w:pPr>
        <w:pStyle w:val="BodyText"/>
        <w:rPr>
          <w:b/>
          <w:sz w:val="22"/>
        </w:rPr>
      </w:pPr>
    </w:p>
    <w:p>
      <w:pPr>
        <w:pStyle w:val="BodyText"/>
        <w:spacing w:before="4"/>
        <w:rPr>
          <w:b/>
          <w:sz w:val="27"/>
        </w:rPr>
      </w:pPr>
    </w:p>
    <w:p>
      <w:pPr>
        <w:spacing w:before="0"/>
        <w:ind w:left="119" w:right="0" w:firstLine="0"/>
        <w:jc w:val="left"/>
        <w:rPr>
          <w:b/>
          <w:sz w:val="20"/>
        </w:rPr>
      </w:pPr>
      <w:r>
        <w:rPr>
          <w:b/>
          <w:sz w:val="20"/>
        </w:rPr>
        <w:t>Obligations under competition law</w:t>
      </w:r>
    </w:p>
    <w:p>
      <w:pPr>
        <w:pStyle w:val="BodyText"/>
        <w:spacing w:before="3"/>
        <w:rPr>
          <w:b/>
        </w:rPr>
      </w:pPr>
    </w:p>
    <w:p>
      <w:pPr>
        <w:pStyle w:val="ListParagraph"/>
        <w:numPr>
          <w:ilvl w:val="0"/>
          <w:numId w:val="1"/>
        </w:numPr>
        <w:tabs>
          <w:tab w:pos="545" w:val="left" w:leader="none"/>
          <w:tab w:pos="546" w:val="left" w:leader="none"/>
        </w:tabs>
        <w:spacing w:line="360" w:lineRule="auto" w:before="0" w:after="0"/>
        <w:ind w:left="119" w:right="420" w:firstLine="0"/>
        <w:jc w:val="left"/>
        <w:rPr>
          <w:sz w:val="20"/>
        </w:rPr>
      </w:pPr>
      <w:r>
        <w:rPr>
          <w:sz w:val="20"/>
        </w:rPr>
        <w:t>The Chairman reminded all members of the Group of their responsibilities in relation to compliance with competition law and the importance of taking their own independent competition law</w:t>
      </w:r>
      <w:r>
        <w:rPr>
          <w:spacing w:val="-29"/>
          <w:sz w:val="20"/>
        </w:rPr>
        <w:t> </w:t>
      </w:r>
      <w:r>
        <w:rPr>
          <w:sz w:val="20"/>
        </w:rPr>
        <w:t>advice.</w:t>
      </w:r>
    </w:p>
    <w:p>
      <w:pPr>
        <w:pStyle w:val="Heading1"/>
        <w:spacing w:before="121"/>
      </w:pPr>
      <w:r>
        <w:rPr/>
        <w:t>Minutes of previous meeting</w:t>
      </w:r>
    </w:p>
    <w:p>
      <w:pPr>
        <w:pStyle w:val="BodyText"/>
        <w:spacing w:before="4"/>
        <w:rPr>
          <w:b/>
        </w:rPr>
      </w:pPr>
    </w:p>
    <w:p>
      <w:pPr>
        <w:pStyle w:val="ListParagraph"/>
        <w:numPr>
          <w:ilvl w:val="0"/>
          <w:numId w:val="1"/>
        </w:numPr>
        <w:tabs>
          <w:tab w:pos="545" w:val="left" w:leader="none"/>
          <w:tab w:pos="546" w:val="left" w:leader="none"/>
        </w:tabs>
        <w:spacing w:line="240" w:lineRule="auto" w:before="0" w:after="0"/>
        <w:ind w:left="545" w:right="0" w:hanging="427"/>
        <w:jc w:val="left"/>
        <w:rPr>
          <w:sz w:val="20"/>
        </w:rPr>
      </w:pPr>
      <w:r>
        <w:rPr>
          <w:sz w:val="20"/>
        </w:rPr>
        <w:t>The minutes of the previous meeting on 22 November were</w:t>
      </w:r>
      <w:r>
        <w:rPr>
          <w:spacing w:val="-17"/>
          <w:sz w:val="20"/>
        </w:rPr>
        <w:t> </w:t>
      </w:r>
      <w:r>
        <w:rPr>
          <w:sz w:val="20"/>
        </w:rPr>
        <w:t>approved.</w:t>
      </w:r>
    </w:p>
    <w:p>
      <w:pPr>
        <w:pStyle w:val="BodyText"/>
        <w:spacing w:before="6"/>
      </w:pPr>
    </w:p>
    <w:p>
      <w:pPr>
        <w:pStyle w:val="Heading1"/>
        <w:spacing w:before="1"/>
      </w:pPr>
      <w:r>
        <w:rPr/>
        <w:t>Letter from Chris Salmon</w:t>
      </w:r>
    </w:p>
    <w:p>
      <w:pPr>
        <w:pStyle w:val="BodyText"/>
        <w:spacing w:before="3"/>
        <w:rPr>
          <w:b/>
        </w:rPr>
      </w:pPr>
    </w:p>
    <w:p>
      <w:pPr>
        <w:pStyle w:val="ListParagraph"/>
        <w:numPr>
          <w:ilvl w:val="0"/>
          <w:numId w:val="2"/>
        </w:numPr>
        <w:tabs>
          <w:tab w:pos="546" w:val="left" w:leader="none"/>
          <w:tab w:pos="547" w:val="left" w:leader="none"/>
        </w:tabs>
        <w:spacing w:line="360" w:lineRule="auto" w:before="0" w:after="0"/>
        <w:ind w:left="119" w:right="337" w:firstLine="0"/>
        <w:jc w:val="left"/>
        <w:rPr>
          <w:sz w:val="20"/>
        </w:rPr>
      </w:pPr>
      <w:r>
        <w:rPr>
          <w:sz w:val="20"/>
        </w:rPr>
        <w:t>The Group discussed the recent letter from Chris Salmon (Executive Director for Markets, Bank of England).</w:t>
      </w:r>
      <w:r>
        <w:rPr>
          <w:sz w:val="20"/>
          <w:vertAlign w:val="superscript"/>
        </w:rPr>
        <w:t>1</w:t>
      </w:r>
      <w:r>
        <w:rPr>
          <w:sz w:val="20"/>
          <w:vertAlign w:val="baseline"/>
        </w:rPr>
        <w:t> The letter provided guidance on the Bank of England’s expectations for the timeframe for the WG’s recommendation, and suggested that the Group spent a further three months developing its OlS transition plan – as an effective transition plan was a prerequisite if a secured RFR were to be</w:t>
      </w:r>
      <w:r>
        <w:rPr>
          <w:spacing w:val="-26"/>
          <w:sz w:val="20"/>
          <w:vertAlign w:val="baseline"/>
        </w:rPr>
        <w:t> </w:t>
      </w:r>
      <w:r>
        <w:rPr>
          <w:sz w:val="20"/>
          <w:vertAlign w:val="baseline"/>
        </w:rPr>
        <w:t>chosen.</w:t>
      </w:r>
    </w:p>
    <w:p>
      <w:pPr>
        <w:pStyle w:val="BodyText"/>
        <w:spacing w:before="10"/>
      </w:pPr>
    </w:p>
    <w:p>
      <w:pPr>
        <w:pStyle w:val="ListParagraph"/>
        <w:numPr>
          <w:ilvl w:val="0"/>
          <w:numId w:val="2"/>
        </w:numPr>
        <w:tabs>
          <w:tab w:pos="546" w:val="left" w:leader="none"/>
          <w:tab w:pos="547" w:val="left" w:leader="none"/>
        </w:tabs>
        <w:spacing w:line="360" w:lineRule="auto" w:before="0" w:after="0"/>
        <w:ind w:left="119" w:right="158" w:firstLine="0"/>
        <w:jc w:val="left"/>
        <w:rPr>
          <w:sz w:val="20"/>
        </w:rPr>
      </w:pPr>
      <w:r>
        <w:rPr>
          <w:sz w:val="20"/>
        </w:rPr>
        <w:t>The Chair noted that the currently proposed OIS transition plan was not thought by the Group to have a sufficiently high chance of success. Therefore, it was clear that further work would indeed be required to provide the best possible chance that a secured rate could be a viable option for consideration alongside reformed SONIA. If a transition was still seen as not feasible after further work, then reformed SONIA would be the only viable candidate</w:t>
      </w:r>
      <w:r>
        <w:rPr>
          <w:spacing w:val="-8"/>
          <w:sz w:val="20"/>
        </w:rPr>
        <w:t> </w:t>
      </w:r>
      <w:r>
        <w:rPr>
          <w:sz w:val="20"/>
        </w:rPr>
        <w:t>RFR.</w:t>
      </w:r>
    </w:p>
    <w:p>
      <w:pPr>
        <w:pStyle w:val="BodyText"/>
        <w:spacing w:before="10"/>
      </w:pPr>
    </w:p>
    <w:p>
      <w:pPr>
        <w:pStyle w:val="ListParagraph"/>
        <w:numPr>
          <w:ilvl w:val="0"/>
          <w:numId w:val="2"/>
        </w:numPr>
        <w:tabs>
          <w:tab w:pos="546" w:val="left" w:leader="none"/>
          <w:tab w:pos="547" w:val="left" w:leader="none"/>
        </w:tabs>
        <w:spacing w:line="360" w:lineRule="auto" w:before="1" w:after="0"/>
        <w:ind w:left="119" w:right="121" w:firstLine="0"/>
        <w:jc w:val="left"/>
        <w:rPr>
          <w:sz w:val="20"/>
        </w:rPr>
      </w:pPr>
      <w:r>
        <w:rPr>
          <w:sz w:val="20"/>
        </w:rPr>
        <w:t>The Chair noted that the letter had suggested the Bank would be willing to use “it’s convening power if appropriate to help coordinate support for a transition”. In considering an effective transition, the Chair asked the Working Group to consider what action the authorities could take. The Bank reconfirmed that it had no plans to discontinue SONIA, which had previously been suggested as a way to trigger a point-in- time</w:t>
      </w:r>
      <w:r>
        <w:rPr>
          <w:spacing w:val="-2"/>
          <w:sz w:val="20"/>
        </w:rPr>
        <w:t> </w:t>
      </w:r>
      <w:r>
        <w:rPr>
          <w:sz w:val="20"/>
        </w:rPr>
        <w:t>transition.</w:t>
      </w:r>
    </w:p>
    <w:p>
      <w:pPr>
        <w:pStyle w:val="BodyText"/>
        <w:spacing w:before="10"/>
      </w:pPr>
    </w:p>
    <w:p>
      <w:pPr>
        <w:pStyle w:val="Heading1"/>
      </w:pPr>
      <w:r>
        <w:rPr/>
        <w:t>Review of RFR selection criteria</w:t>
      </w:r>
    </w:p>
    <w:p>
      <w:pPr>
        <w:pStyle w:val="BodyText"/>
        <w:spacing w:before="5"/>
        <w:rPr>
          <w:b/>
        </w:rPr>
      </w:pPr>
    </w:p>
    <w:p>
      <w:pPr>
        <w:pStyle w:val="ListParagraph"/>
        <w:numPr>
          <w:ilvl w:val="0"/>
          <w:numId w:val="2"/>
        </w:numPr>
        <w:tabs>
          <w:tab w:pos="546" w:val="left" w:leader="none"/>
          <w:tab w:pos="547" w:val="left" w:leader="none"/>
        </w:tabs>
        <w:spacing w:line="360" w:lineRule="auto" w:before="0" w:after="0"/>
        <w:ind w:left="119" w:right="364" w:firstLine="0"/>
        <w:jc w:val="left"/>
        <w:rPr>
          <w:sz w:val="20"/>
        </w:rPr>
      </w:pPr>
      <w:r>
        <w:rPr>
          <w:sz w:val="20"/>
        </w:rPr>
        <w:t>Following the discussion of selection criteria and the review of candidate RFRs at the 22 November meeting, refinements to the selection criteria were</w:t>
      </w:r>
      <w:r>
        <w:rPr>
          <w:spacing w:val="-12"/>
          <w:sz w:val="20"/>
        </w:rPr>
        <w:t> </w:t>
      </w:r>
      <w:r>
        <w:rPr>
          <w:sz w:val="20"/>
        </w:rPr>
        <w:t>approved.</w:t>
      </w:r>
      <w:r>
        <w:rPr>
          <w:sz w:val="20"/>
          <w:vertAlign w:val="superscript"/>
        </w:rPr>
        <w:t>2</w:t>
      </w:r>
    </w:p>
    <w:p>
      <w:pPr>
        <w:pStyle w:val="BodyText"/>
        <w:spacing w:before="10"/>
      </w:pPr>
    </w:p>
    <w:p>
      <w:pPr>
        <w:pStyle w:val="ListParagraph"/>
        <w:numPr>
          <w:ilvl w:val="0"/>
          <w:numId w:val="2"/>
        </w:numPr>
        <w:tabs>
          <w:tab w:pos="546" w:val="left" w:leader="none"/>
          <w:tab w:pos="547" w:val="left" w:leader="none"/>
        </w:tabs>
        <w:spacing w:line="360" w:lineRule="auto" w:before="0" w:after="0"/>
        <w:ind w:left="119" w:right="255" w:firstLine="0"/>
        <w:jc w:val="left"/>
        <w:rPr>
          <w:sz w:val="20"/>
        </w:rPr>
      </w:pPr>
      <w:r>
        <w:rPr>
          <w:sz w:val="20"/>
        </w:rPr>
        <w:t>The Chair’s office and the Bank presented an initial pass at ‘RAG’ rating the candidate RFRs against those selection criteria. The Group agreed with the proposed ratings, which would be an input into its eventual</w:t>
      </w:r>
      <w:r>
        <w:rPr>
          <w:spacing w:val="-2"/>
          <w:sz w:val="20"/>
        </w:rPr>
        <w:t> </w:t>
      </w:r>
      <w:r>
        <w:rPr>
          <w:sz w:val="20"/>
        </w:rPr>
        <w:t>recommendation.</w:t>
      </w:r>
    </w:p>
    <w:p>
      <w:pPr>
        <w:pStyle w:val="BodyText"/>
        <w:spacing w:before="10"/>
      </w:pPr>
    </w:p>
    <w:p>
      <w:pPr>
        <w:pStyle w:val="Heading1"/>
        <w:spacing w:before="1"/>
      </w:pPr>
      <w:r>
        <w:rPr/>
        <w:t>Open discussion and advocacy of candidate RFRs</w:t>
      </w:r>
    </w:p>
    <w:p>
      <w:pPr>
        <w:pStyle w:val="BodyText"/>
        <w:spacing w:before="3"/>
        <w:rPr>
          <w:b/>
        </w:rPr>
      </w:pPr>
    </w:p>
    <w:p>
      <w:pPr>
        <w:pStyle w:val="ListParagraph"/>
        <w:numPr>
          <w:ilvl w:val="0"/>
          <w:numId w:val="2"/>
        </w:numPr>
        <w:tabs>
          <w:tab w:pos="546" w:val="left" w:leader="none"/>
          <w:tab w:pos="547" w:val="left" w:leader="none"/>
        </w:tabs>
        <w:spacing w:line="360" w:lineRule="auto" w:before="0" w:after="0"/>
        <w:ind w:left="119" w:right="191" w:firstLine="0"/>
        <w:jc w:val="left"/>
        <w:rPr>
          <w:sz w:val="20"/>
        </w:rPr>
      </w:pPr>
      <w:r>
        <w:rPr/>
        <w:pict>
          <v:shape style="position:absolute;margin-left:72pt;margin-top:54.439301pt;width:144pt;height:.1pt;mso-position-horizontal-relative:page;mso-position-vertical-relative:paragraph;z-index:-251658240;mso-wrap-distance-left:0;mso-wrap-distance-right:0" coordorigin="1440,1089" coordsize="2880,0" path="m1440,1089l4320,1089e" filled="false" stroked="true" strokeweight=".72pt" strokecolor="#000000">
            <v:path arrowok="t"/>
            <v:stroke dashstyle="solid"/>
            <w10:wrap type="topAndBottom"/>
          </v:shape>
        </w:pict>
      </w:r>
      <w:r>
        <w:rPr>
          <w:sz w:val="20"/>
        </w:rPr>
        <w:t>Group members discussed their preferences for the RFR. Some Group members expressed a preference for reformed SONIA since it is an established rate which requires no additional OIS transition – meaning that adoption as a Libor alternative could begin immediately. Moreover, some felt the</w:t>
      </w:r>
      <w:r>
        <w:rPr>
          <w:spacing w:val="-36"/>
          <w:sz w:val="20"/>
        </w:rPr>
        <w:t> </w:t>
      </w:r>
      <w:r>
        <w:rPr>
          <w:sz w:val="20"/>
        </w:rPr>
        <w:t>Bank’s</w:t>
      </w:r>
    </w:p>
    <w:p>
      <w:pPr>
        <w:spacing w:line="224" w:lineRule="exact" w:before="35"/>
        <w:ind w:left="120" w:right="0" w:firstLine="0"/>
        <w:jc w:val="left"/>
        <w:rPr>
          <w:sz w:val="18"/>
        </w:rPr>
      </w:pPr>
      <w:r>
        <w:rPr>
          <w:spacing w:val="-1"/>
          <w:position w:val="9"/>
          <w:sz w:val="12"/>
        </w:rPr>
        <w:t>1 </w:t>
      </w:r>
      <w:r>
        <w:rPr>
          <w:spacing w:val="3"/>
          <w:position w:val="9"/>
          <w:sz w:val="12"/>
        </w:rPr>
        <w:t> </w:t>
      </w:r>
      <w:hyperlink r:id="rId5">
        <w:r>
          <w:rPr>
            <w:color w:val="0000FF"/>
            <w:spacing w:val="-1"/>
            <w:sz w:val="18"/>
            <w:u w:val="single" w:color="0000FF"/>
          </w:rPr>
          <w:t>http://www.bankofengland.co.uk/markets/Documents/sterlingoperations/rfr/2016/letter061216.pdf</w:t>
        </w:r>
      </w:hyperlink>
    </w:p>
    <w:p>
      <w:pPr>
        <w:spacing w:line="224" w:lineRule="exact" w:before="0"/>
        <w:ind w:left="120" w:right="0" w:firstLine="0"/>
        <w:jc w:val="left"/>
        <w:rPr>
          <w:sz w:val="18"/>
        </w:rPr>
      </w:pPr>
      <w:r>
        <w:rPr>
          <w:position w:val="9"/>
          <w:sz w:val="12"/>
        </w:rPr>
        <w:t>2 </w:t>
      </w:r>
      <w:hyperlink r:id="rId6">
        <w:r>
          <w:rPr>
            <w:color w:val="0000FF"/>
            <w:sz w:val="18"/>
            <w:u w:val="single" w:color="0000FF"/>
          </w:rPr>
          <w:t>http://www.bankofengland.co.uk/markets/Documents/sterlingoperations/rfr/rfrselection.pdf</w:t>
        </w:r>
      </w:hyperlink>
    </w:p>
    <w:p>
      <w:pPr>
        <w:spacing w:after="0" w:line="224" w:lineRule="exact"/>
        <w:jc w:val="left"/>
        <w:rPr>
          <w:sz w:val="18"/>
        </w:rPr>
        <w:sectPr>
          <w:type w:val="continuous"/>
          <w:pgSz w:w="11910" w:h="16840"/>
          <w:pgMar w:top="1200" w:bottom="280" w:left="1320" w:right="900"/>
        </w:sectPr>
      </w:pPr>
    </w:p>
    <w:p>
      <w:pPr>
        <w:pStyle w:val="BodyText"/>
        <w:spacing w:line="360" w:lineRule="auto" w:before="72"/>
        <w:ind w:left="119" w:right="267"/>
      </w:pPr>
      <w:r>
        <w:rPr/>
        <w:t>proposed definition of SONIA, which allowed for evolution in the event that market functioning in the unsecured deposit market deteriorated, provided insurance against concerns about the future robustness of that market.</w:t>
      </w:r>
    </w:p>
    <w:p>
      <w:pPr>
        <w:pStyle w:val="BodyText"/>
        <w:rPr>
          <w:sz w:val="21"/>
        </w:rPr>
      </w:pPr>
    </w:p>
    <w:p>
      <w:pPr>
        <w:pStyle w:val="ListParagraph"/>
        <w:numPr>
          <w:ilvl w:val="0"/>
          <w:numId w:val="2"/>
        </w:numPr>
        <w:tabs>
          <w:tab w:pos="546" w:val="left" w:leader="none"/>
          <w:tab w:pos="547" w:val="left" w:leader="none"/>
        </w:tabs>
        <w:spacing w:line="360" w:lineRule="auto" w:before="0" w:after="0"/>
        <w:ind w:left="119" w:right="212" w:firstLine="0"/>
        <w:jc w:val="left"/>
        <w:rPr>
          <w:sz w:val="20"/>
        </w:rPr>
      </w:pPr>
      <w:r>
        <w:rPr>
          <w:sz w:val="20"/>
        </w:rPr>
        <w:t>However, many Group members felt that additional work on transition would be warranted, as a secured RFR had a number of attractive features – including higher transaction volumes and a better fit to the needs of some users. It was important that the secured option was explored fully. In any case, it was thought that work on OIS transition issues would be useful for the subsequent phase of work on adoption of the RFR as a LIBOR alternative, where the issues would be</w:t>
      </w:r>
      <w:r>
        <w:rPr>
          <w:spacing w:val="-15"/>
          <w:sz w:val="20"/>
        </w:rPr>
        <w:t> </w:t>
      </w:r>
      <w:r>
        <w:rPr>
          <w:sz w:val="20"/>
        </w:rPr>
        <w:t>similar.</w:t>
      </w:r>
    </w:p>
    <w:p>
      <w:pPr>
        <w:pStyle w:val="BodyText"/>
        <w:spacing w:before="9"/>
      </w:pPr>
    </w:p>
    <w:p>
      <w:pPr>
        <w:pStyle w:val="ListParagraph"/>
        <w:numPr>
          <w:ilvl w:val="0"/>
          <w:numId w:val="2"/>
        </w:numPr>
        <w:tabs>
          <w:tab w:pos="547" w:val="left" w:leader="none"/>
        </w:tabs>
        <w:spacing w:line="360" w:lineRule="auto" w:before="0" w:after="0"/>
        <w:ind w:left="120" w:right="434" w:firstLine="0"/>
        <w:jc w:val="left"/>
        <w:rPr>
          <w:sz w:val="20"/>
        </w:rPr>
      </w:pPr>
      <w:r>
        <w:rPr>
          <w:sz w:val="20"/>
        </w:rPr>
        <w:t>Regarding an OIS transition plan, the Group discussed a number of topics that would need to be considered in greater detail in the coming months. In particular, the Group discussed the merits of a transition which focused only on the flow of new contracts, as opposed to a transition that also aimed to convert the stock of pre-existing swap</w:t>
      </w:r>
      <w:r>
        <w:rPr>
          <w:spacing w:val="-6"/>
          <w:sz w:val="20"/>
        </w:rPr>
        <w:t> </w:t>
      </w:r>
      <w:r>
        <w:rPr>
          <w:sz w:val="20"/>
        </w:rPr>
        <w:t>contracts.</w:t>
      </w:r>
    </w:p>
    <w:p>
      <w:pPr>
        <w:pStyle w:val="BodyText"/>
        <w:spacing w:before="10"/>
      </w:pPr>
    </w:p>
    <w:p>
      <w:pPr>
        <w:pStyle w:val="ListParagraph"/>
        <w:numPr>
          <w:ilvl w:val="0"/>
          <w:numId w:val="2"/>
        </w:numPr>
        <w:tabs>
          <w:tab w:pos="547" w:val="left" w:leader="none"/>
        </w:tabs>
        <w:spacing w:line="360" w:lineRule="auto" w:before="1" w:after="0"/>
        <w:ind w:left="120" w:right="103" w:firstLine="0"/>
        <w:jc w:val="left"/>
        <w:rPr>
          <w:sz w:val="20"/>
        </w:rPr>
      </w:pPr>
      <w:r>
        <w:rPr>
          <w:sz w:val="20"/>
        </w:rPr>
        <w:t>A key advantage of transitioning just the flow of OIS contracts was that it could commence at an earlier point, allowing adoption of the RFR in place of LIBOR to begin much sooner. The Group discussed some ideas in order to make such a transition successful, including the development of ‘clearing pods’ for RFR-linked derivatives, where the RFR is both the reference rate and the discount rate, and where SONIA- and LIBOR-referencing derivatives could be discounted against the RFR.  Once liquidity is well established, the use of the RFR for discounting and PAI could be extended to all trades. A key disadvantage of this approach however, was that it would likely temporarily increase aggregate basis risk (between SONIA, Libor and the secured RFR), which could hamper the development of liquidity and compromise the success of the</w:t>
      </w:r>
      <w:r>
        <w:rPr>
          <w:spacing w:val="-8"/>
          <w:sz w:val="20"/>
        </w:rPr>
        <w:t> </w:t>
      </w:r>
      <w:r>
        <w:rPr>
          <w:sz w:val="20"/>
        </w:rPr>
        <w:t>transition.</w:t>
      </w:r>
    </w:p>
    <w:p>
      <w:pPr>
        <w:pStyle w:val="BodyText"/>
        <w:spacing w:before="9"/>
      </w:pPr>
    </w:p>
    <w:p>
      <w:pPr>
        <w:pStyle w:val="ListParagraph"/>
        <w:numPr>
          <w:ilvl w:val="0"/>
          <w:numId w:val="2"/>
        </w:numPr>
        <w:tabs>
          <w:tab w:pos="547" w:val="left" w:leader="none"/>
        </w:tabs>
        <w:spacing w:line="360" w:lineRule="auto" w:before="0" w:after="0"/>
        <w:ind w:left="120" w:right="197" w:firstLine="0"/>
        <w:jc w:val="left"/>
        <w:rPr>
          <w:sz w:val="20"/>
        </w:rPr>
      </w:pPr>
      <w:r>
        <w:rPr>
          <w:sz w:val="20"/>
        </w:rPr>
        <w:t>As a result, the majority of the Group favoured a transition approach which affected the existing stock of contracts, as well as the flow, since this could support liquidity in RFR-linked instruments and would reduce the risk of fragmentation and basis</w:t>
      </w:r>
      <w:r>
        <w:rPr>
          <w:spacing w:val="-8"/>
          <w:sz w:val="20"/>
        </w:rPr>
        <w:t> </w:t>
      </w:r>
      <w:r>
        <w:rPr>
          <w:sz w:val="20"/>
        </w:rPr>
        <w:t>risk.</w:t>
      </w:r>
    </w:p>
    <w:p>
      <w:pPr>
        <w:pStyle w:val="BodyText"/>
        <w:spacing w:before="11"/>
      </w:pPr>
    </w:p>
    <w:p>
      <w:pPr>
        <w:pStyle w:val="ListParagraph"/>
        <w:numPr>
          <w:ilvl w:val="0"/>
          <w:numId w:val="2"/>
        </w:numPr>
        <w:tabs>
          <w:tab w:pos="547" w:val="left" w:leader="none"/>
        </w:tabs>
        <w:spacing w:line="360" w:lineRule="auto" w:before="0" w:after="0"/>
        <w:ind w:left="120" w:right="116" w:firstLine="0"/>
        <w:jc w:val="left"/>
        <w:rPr>
          <w:sz w:val="20"/>
        </w:rPr>
      </w:pPr>
      <w:r>
        <w:rPr>
          <w:sz w:val="20"/>
        </w:rPr>
        <w:t>A key aspect to be considered in a transition affecting the stock of contracts was the potential for wealth transfer in the event that there was a basis between SONIA and the secured RFR. Therefore, in order to achieve consensus on a transition of the stock, it is likely that market participants would need to either: i) agree that the forward basis between SONIA and the RFR was likely to be negligible or not forecastable; or ii) develop some mechanism to ensure any transfers of wealth are accepted as reasonable by the vast majority of affected market</w:t>
      </w:r>
      <w:r>
        <w:rPr>
          <w:spacing w:val="-8"/>
          <w:sz w:val="20"/>
        </w:rPr>
        <w:t> </w:t>
      </w:r>
      <w:r>
        <w:rPr>
          <w:sz w:val="20"/>
        </w:rPr>
        <w:t>participants.</w:t>
      </w:r>
    </w:p>
    <w:p>
      <w:pPr>
        <w:pStyle w:val="BodyText"/>
        <w:spacing w:before="10"/>
      </w:pPr>
    </w:p>
    <w:p>
      <w:pPr>
        <w:pStyle w:val="ListParagraph"/>
        <w:numPr>
          <w:ilvl w:val="0"/>
          <w:numId w:val="2"/>
        </w:numPr>
        <w:tabs>
          <w:tab w:pos="547" w:val="left" w:leader="none"/>
        </w:tabs>
        <w:spacing w:line="360" w:lineRule="auto" w:before="0" w:after="0"/>
        <w:ind w:left="120" w:right="215" w:firstLine="0"/>
        <w:jc w:val="left"/>
        <w:rPr>
          <w:sz w:val="20"/>
        </w:rPr>
      </w:pPr>
      <w:r>
        <w:rPr>
          <w:sz w:val="20"/>
        </w:rPr>
        <w:t>The transition approach which was most likely to be successful was a consensual, point-in-time switchover, with a sufficient notice period. Most participants felt that this would require near-universal agreement to simultaneously change PAI, discounting rate and reference rate. A long notice period – over which the SONIA-RFR basis is less forecastable, and hence wealth transfer is not known in advance – could encourage</w:t>
      </w:r>
      <w:r>
        <w:rPr>
          <w:spacing w:val="-3"/>
          <w:sz w:val="20"/>
        </w:rPr>
        <w:t> </w:t>
      </w:r>
      <w:r>
        <w:rPr>
          <w:sz w:val="20"/>
        </w:rPr>
        <w:t>transition.</w:t>
      </w:r>
    </w:p>
    <w:p>
      <w:pPr>
        <w:pStyle w:val="BodyText"/>
        <w:spacing w:before="10"/>
      </w:pPr>
    </w:p>
    <w:p>
      <w:pPr>
        <w:pStyle w:val="ListParagraph"/>
        <w:numPr>
          <w:ilvl w:val="0"/>
          <w:numId w:val="2"/>
        </w:numPr>
        <w:tabs>
          <w:tab w:pos="547" w:val="left" w:leader="none"/>
        </w:tabs>
        <w:spacing w:line="360" w:lineRule="auto" w:before="0" w:after="0"/>
        <w:ind w:left="120" w:right="158" w:firstLine="0"/>
        <w:jc w:val="left"/>
        <w:rPr>
          <w:sz w:val="20"/>
        </w:rPr>
      </w:pPr>
      <w:r>
        <w:rPr>
          <w:sz w:val="20"/>
        </w:rPr>
        <w:t>Some suggested there would be a role for cash assets in driving demand for RFR-linked derivatives, for example by referencing corporate lending or securities issuance to the RFR. The Group also noted that favourable capital treatment of RFR-linked exposures could also incentivise</w:t>
      </w:r>
      <w:r>
        <w:rPr>
          <w:spacing w:val="-11"/>
          <w:sz w:val="20"/>
        </w:rPr>
        <w:t> </w:t>
      </w:r>
      <w:r>
        <w:rPr>
          <w:sz w:val="20"/>
        </w:rPr>
        <w:t>transition.</w:t>
      </w:r>
    </w:p>
    <w:p>
      <w:pPr>
        <w:spacing w:after="0" w:line="360" w:lineRule="auto"/>
        <w:jc w:val="left"/>
        <w:rPr>
          <w:sz w:val="20"/>
        </w:rPr>
        <w:sectPr>
          <w:pgSz w:w="11910" w:h="16840"/>
          <w:pgMar w:top="1200" w:bottom="280" w:left="1320" w:right="900"/>
        </w:sectPr>
      </w:pPr>
    </w:p>
    <w:p>
      <w:pPr>
        <w:pStyle w:val="Heading1"/>
        <w:spacing w:before="74"/>
        <w:ind w:left="120"/>
      </w:pPr>
      <w:r>
        <w:rPr/>
        <w:t>Next steps</w:t>
      </w:r>
    </w:p>
    <w:p>
      <w:pPr>
        <w:pStyle w:val="BodyText"/>
        <w:spacing w:before="4"/>
        <w:rPr>
          <w:b/>
        </w:rPr>
      </w:pPr>
    </w:p>
    <w:p>
      <w:pPr>
        <w:pStyle w:val="ListParagraph"/>
        <w:numPr>
          <w:ilvl w:val="0"/>
          <w:numId w:val="2"/>
        </w:numPr>
        <w:tabs>
          <w:tab w:pos="547" w:val="left" w:leader="none"/>
        </w:tabs>
        <w:spacing w:line="360" w:lineRule="auto" w:before="0" w:after="0"/>
        <w:ind w:left="120" w:right="313" w:firstLine="0"/>
        <w:jc w:val="left"/>
        <w:rPr>
          <w:sz w:val="20"/>
        </w:rPr>
      </w:pPr>
      <w:r>
        <w:rPr>
          <w:sz w:val="20"/>
        </w:rPr>
        <w:t>The Bank reiterated it was willing to support whichever rate the Group recommended as the RFR, provided adoption was workable on a reasonable timeframe and with minimal disruption. The Group agreed to focus on transition plans for the next three months, which would also allow further end user outreach on any transition proposals. After three months, if a feasible transition plan could be developed, the Group would choose between a secured RFR and reformed</w:t>
      </w:r>
      <w:r>
        <w:rPr>
          <w:spacing w:val="-13"/>
          <w:sz w:val="20"/>
        </w:rPr>
        <w:t> </w:t>
      </w:r>
      <w:r>
        <w:rPr>
          <w:sz w:val="20"/>
        </w:rPr>
        <w:t>SONIA.</w:t>
      </w:r>
    </w:p>
    <w:p>
      <w:pPr>
        <w:spacing w:after="0" w:line="360" w:lineRule="auto"/>
        <w:jc w:val="left"/>
        <w:rPr>
          <w:sz w:val="20"/>
        </w:rPr>
        <w:sectPr>
          <w:pgSz w:w="11910" w:h="16840"/>
          <w:pgMar w:top="1200" w:bottom="280" w:left="1320" w:right="900"/>
        </w:sectPr>
      </w:pPr>
    </w:p>
    <w:p>
      <w:pPr>
        <w:pStyle w:val="Heading1"/>
        <w:spacing w:before="74"/>
        <w:ind w:left="120"/>
      </w:pPr>
      <w:r>
        <w:rPr/>
        <w:t>Private sector attendees</w:t>
      </w:r>
    </w:p>
    <w:p>
      <w:pPr>
        <w:pStyle w:val="BodyText"/>
        <w:spacing w:before="5"/>
        <w:rPr>
          <w:b/>
          <w:sz w:val="23"/>
        </w:rPr>
      </w:pPr>
    </w:p>
    <w:p>
      <w:pPr>
        <w:tabs>
          <w:tab w:pos="3205" w:val="left" w:leader="none"/>
        </w:tabs>
        <w:spacing w:before="1"/>
        <w:ind w:left="227" w:right="0" w:firstLine="0"/>
        <w:jc w:val="left"/>
        <w:rPr>
          <w:b/>
          <w:sz w:val="20"/>
        </w:rPr>
      </w:pPr>
      <w:r>
        <w:rPr>
          <w:sz w:val="20"/>
        </w:rPr>
        <w:t>Nick</w:t>
      </w:r>
      <w:r>
        <w:rPr>
          <w:spacing w:val="-4"/>
          <w:sz w:val="20"/>
        </w:rPr>
        <w:t> </w:t>
      </w:r>
      <w:r>
        <w:rPr>
          <w:sz w:val="20"/>
        </w:rPr>
        <w:t>Saggers</w:t>
        <w:tab/>
      </w:r>
      <w:r>
        <w:rPr>
          <w:b/>
          <w:sz w:val="20"/>
        </w:rPr>
        <w:t>Bank of America-Merrill</w:t>
      </w:r>
      <w:r>
        <w:rPr>
          <w:b/>
          <w:spacing w:val="-4"/>
          <w:sz w:val="20"/>
        </w:rPr>
        <w:t> </w:t>
      </w:r>
      <w:r>
        <w:rPr>
          <w:b/>
          <w:sz w:val="20"/>
        </w:rPr>
        <w:t>Lynch</w:t>
      </w:r>
    </w:p>
    <w:p>
      <w:pPr>
        <w:tabs>
          <w:tab w:pos="3205" w:val="left" w:leader="none"/>
        </w:tabs>
        <w:spacing w:line="312" w:lineRule="auto" w:before="70"/>
        <w:ind w:left="227" w:right="4189" w:firstLine="0"/>
        <w:jc w:val="left"/>
        <w:rPr>
          <w:b/>
          <w:sz w:val="20"/>
        </w:rPr>
      </w:pPr>
      <w:r>
        <w:rPr>
          <w:sz w:val="20"/>
        </w:rPr>
        <w:t>Francois</w:t>
      </w:r>
      <w:r>
        <w:rPr>
          <w:spacing w:val="-1"/>
          <w:sz w:val="20"/>
        </w:rPr>
        <w:t> </w:t>
      </w:r>
      <w:r>
        <w:rPr>
          <w:sz w:val="20"/>
        </w:rPr>
        <w:t>Jourdain</w:t>
        <w:tab/>
      </w:r>
      <w:r>
        <w:rPr>
          <w:b/>
          <w:sz w:val="20"/>
        </w:rPr>
        <w:t>Barclays (Chairman) </w:t>
      </w:r>
      <w:r>
        <w:rPr>
          <w:sz w:val="20"/>
        </w:rPr>
        <w:t>Andreas</w:t>
      </w:r>
      <w:r>
        <w:rPr>
          <w:spacing w:val="-4"/>
          <w:sz w:val="20"/>
        </w:rPr>
        <w:t> </w:t>
      </w:r>
      <w:r>
        <w:rPr>
          <w:sz w:val="20"/>
        </w:rPr>
        <w:t>Giannopoulos</w:t>
        <w:tab/>
      </w:r>
      <w:r>
        <w:rPr>
          <w:b/>
          <w:sz w:val="20"/>
        </w:rPr>
        <w:t>Barclays (Chair’s office) </w:t>
      </w:r>
      <w:r>
        <w:rPr>
          <w:sz w:val="20"/>
        </w:rPr>
        <w:t>Mike</w:t>
      </w:r>
      <w:r>
        <w:rPr>
          <w:spacing w:val="-3"/>
          <w:sz w:val="20"/>
        </w:rPr>
        <w:t> </w:t>
      </w:r>
      <w:r>
        <w:rPr>
          <w:sz w:val="20"/>
        </w:rPr>
        <w:t>Manna</w:t>
        <w:tab/>
      </w:r>
      <w:r>
        <w:rPr>
          <w:b/>
          <w:sz w:val="20"/>
        </w:rPr>
        <w:t>Barclays</w:t>
      </w:r>
    </w:p>
    <w:p>
      <w:pPr>
        <w:tabs>
          <w:tab w:pos="3205" w:val="left" w:leader="none"/>
        </w:tabs>
        <w:spacing w:before="3"/>
        <w:ind w:left="227" w:right="0" w:firstLine="0"/>
        <w:jc w:val="left"/>
        <w:rPr>
          <w:b/>
          <w:sz w:val="20"/>
        </w:rPr>
      </w:pPr>
      <w:r>
        <w:rPr>
          <w:sz w:val="20"/>
        </w:rPr>
        <w:t>Adrian</w:t>
      </w:r>
      <w:r>
        <w:rPr>
          <w:spacing w:val="-4"/>
          <w:sz w:val="20"/>
        </w:rPr>
        <w:t> </w:t>
      </w:r>
      <w:r>
        <w:rPr>
          <w:sz w:val="20"/>
        </w:rPr>
        <w:t>Averre</w:t>
        <w:tab/>
      </w:r>
      <w:r>
        <w:rPr>
          <w:b/>
          <w:sz w:val="20"/>
        </w:rPr>
        <w:t>BNP</w:t>
      </w:r>
      <w:r>
        <w:rPr>
          <w:b/>
          <w:spacing w:val="-1"/>
          <w:sz w:val="20"/>
        </w:rPr>
        <w:t> </w:t>
      </w:r>
      <w:r>
        <w:rPr>
          <w:b/>
          <w:sz w:val="20"/>
        </w:rPr>
        <w:t>Paribas</w:t>
      </w:r>
    </w:p>
    <w:p>
      <w:pPr>
        <w:tabs>
          <w:tab w:pos="3205" w:val="left" w:leader="none"/>
        </w:tabs>
        <w:spacing w:before="70"/>
        <w:ind w:left="227" w:right="0" w:firstLine="0"/>
        <w:jc w:val="left"/>
        <w:rPr>
          <w:b/>
          <w:sz w:val="20"/>
        </w:rPr>
      </w:pPr>
      <w:r>
        <w:rPr>
          <w:sz w:val="20"/>
        </w:rPr>
        <w:t>Stephen</w:t>
      </w:r>
      <w:r>
        <w:rPr>
          <w:spacing w:val="-5"/>
          <w:sz w:val="20"/>
        </w:rPr>
        <w:t> </w:t>
      </w:r>
      <w:r>
        <w:rPr>
          <w:sz w:val="20"/>
        </w:rPr>
        <w:t>Randall</w:t>
        <w:tab/>
      </w:r>
      <w:r>
        <w:rPr>
          <w:b/>
          <w:sz w:val="20"/>
        </w:rPr>
        <w:t>Citigroup</w:t>
      </w:r>
    </w:p>
    <w:p>
      <w:pPr>
        <w:tabs>
          <w:tab w:pos="3205" w:val="left" w:leader="none"/>
        </w:tabs>
        <w:spacing w:before="70"/>
        <w:ind w:left="227" w:right="0" w:firstLine="0"/>
        <w:jc w:val="left"/>
        <w:rPr>
          <w:b/>
          <w:sz w:val="20"/>
        </w:rPr>
      </w:pPr>
      <w:r>
        <w:rPr>
          <w:sz w:val="20"/>
        </w:rPr>
        <w:t>Alistair</w:t>
      </w:r>
      <w:r>
        <w:rPr>
          <w:spacing w:val="-4"/>
          <w:sz w:val="20"/>
        </w:rPr>
        <w:t> </w:t>
      </w:r>
      <w:r>
        <w:rPr>
          <w:sz w:val="20"/>
        </w:rPr>
        <w:t>Sharp</w:t>
        <w:tab/>
      </w:r>
      <w:r>
        <w:rPr>
          <w:b/>
          <w:sz w:val="20"/>
        </w:rPr>
        <w:t>Credit</w:t>
      </w:r>
      <w:r>
        <w:rPr>
          <w:b/>
          <w:spacing w:val="-1"/>
          <w:sz w:val="20"/>
        </w:rPr>
        <w:t> </w:t>
      </w:r>
      <w:r>
        <w:rPr>
          <w:b/>
          <w:sz w:val="20"/>
        </w:rPr>
        <w:t>Suisse</w:t>
      </w:r>
    </w:p>
    <w:p>
      <w:pPr>
        <w:tabs>
          <w:tab w:pos="3205" w:val="left" w:leader="none"/>
        </w:tabs>
        <w:spacing w:before="70"/>
        <w:ind w:left="227" w:right="0" w:firstLine="0"/>
        <w:jc w:val="left"/>
        <w:rPr>
          <w:b/>
          <w:sz w:val="20"/>
        </w:rPr>
      </w:pPr>
      <w:r>
        <w:rPr>
          <w:sz w:val="20"/>
        </w:rPr>
        <w:t>John</w:t>
      </w:r>
      <w:r>
        <w:rPr>
          <w:spacing w:val="-3"/>
          <w:sz w:val="20"/>
        </w:rPr>
        <w:t> </w:t>
      </w:r>
      <w:r>
        <w:rPr>
          <w:sz w:val="20"/>
        </w:rPr>
        <w:t>Hilty</w:t>
        <w:tab/>
      </w:r>
      <w:r>
        <w:rPr>
          <w:b/>
          <w:sz w:val="20"/>
        </w:rPr>
        <w:t>Deutsche</w:t>
      </w:r>
      <w:r>
        <w:rPr>
          <w:b/>
          <w:spacing w:val="-5"/>
          <w:sz w:val="20"/>
        </w:rPr>
        <w:t> </w:t>
      </w:r>
      <w:r>
        <w:rPr>
          <w:b/>
          <w:sz w:val="20"/>
        </w:rPr>
        <w:t>Bank</w:t>
      </w:r>
    </w:p>
    <w:p>
      <w:pPr>
        <w:tabs>
          <w:tab w:pos="3205" w:val="left" w:leader="none"/>
        </w:tabs>
        <w:spacing w:before="70"/>
        <w:ind w:left="227" w:right="0" w:firstLine="0"/>
        <w:jc w:val="left"/>
        <w:rPr>
          <w:b/>
          <w:sz w:val="20"/>
        </w:rPr>
      </w:pPr>
      <w:r>
        <w:rPr>
          <w:sz w:val="20"/>
        </w:rPr>
        <w:t>Ryan</w:t>
      </w:r>
      <w:r>
        <w:rPr>
          <w:spacing w:val="-2"/>
          <w:sz w:val="20"/>
        </w:rPr>
        <w:t> </w:t>
      </w:r>
      <w:r>
        <w:rPr>
          <w:sz w:val="20"/>
        </w:rPr>
        <w:t>Sbarra</w:t>
        <w:tab/>
      </w:r>
      <w:r>
        <w:rPr>
          <w:b/>
          <w:sz w:val="20"/>
        </w:rPr>
        <w:t>Deutsche</w:t>
      </w:r>
      <w:r>
        <w:rPr>
          <w:b/>
          <w:spacing w:val="-4"/>
          <w:sz w:val="20"/>
        </w:rPr>
        <w:t> </w:t>
      </w:r>
      <w:r>
        <w:rPr>
          <w:b/>
          <w:sz w:val="20"/>
        </w:rPr>
        <w:t>Bank</w:t>
      </w:r>
    </w:p>
    <w:p>
      <w:pPr>
        <w:tabs>
          <w:tab w:pos="3205" w:val="left" w:leader="none"/>
        </w:tabs>
        <w:spacing w:before="70"/>
        <w:ind w:left="227" w:right="0" w:firstLine="0"/>
        <w:jc w:val="left"/>
        <w:rPr>
          <w:b/>
          <w:sz w:val="20"/>
        </w:rPr>
      </w:pPr>
      <w:r>
        <w:rPr>
          <w:sz w:val="20"/>
        </w:rPr>
        <w:t>Michael</w:t>
      </w:r>
      <w:r>
        <w:rPr>
          <w:spacing w:val="-2"/>
          <w:sz w:val="20"/>
        </w:rPr>
        <w:t> </w:t>
      </w:r>
      <w:r>
        <w:rPr>
          <w:sz w:val="20"/>
        </w:rPr>
        <w:t>Graham</w:t>
        <w:tab/>
      </w:r>
      <w:r>
        <w:rPr>
          <w:b/>
          <w:sz w:val="20"/>
        </w:rPr>
        <w:t>Goldman</w:t>
      </w:r>
      <w:r>
        <w:rPr>
          <w:b/>
          <w:spacing w:val="-10"/>
          <w:sz w:val="20"/>
        </w:rPr>
        <w:t> </w:t>
      </w:r>
      <w:r>
        <w:rPr>
          <w:b/>
          <w:sz w:val="20"/>
        </w:rPr>
        <w:t>Sachs</w:t>
      </w:r>
    </w:p>
    <w:p>
      <w:pPr>
        <w:tabs>
          <w:tab w:pos="3205" w:val="left" w:leader="none"/>
        </w:tabs>
        <w:spacing w:before="70"/>
        <w:ind w:left="227" w:right="0" w:firstLine="0"/>
        <w:jc w:val="left"/>
        <w:rPr>
          <w:b/>
          <w:sz w:val="20"/>
        </w:rPr>
      </w:pPr>
      <w:r>
        <w:rPr>
          <w:sz w:val="20"/>
        </w:rPr>
        <w:t>Nikhil</w:t>
      </w:r>
      <w:r>
        <w:rPr>
          <w:spacing w:val="-3"/>
          <w:sz w:val="20"/>
        </w:rPr>
        <w:t> </w:t>
      </w:r>
      <w:r>
        <w:rPr>
          <w:sz w:val="20"/>
        </w:rPr>
        <w:t>Choraria</w:t>
        <w:tab/>
      </w:r>
      <w:r>
        <w:rPr>
          <w:b/>
          <w:sz w:val="20"/>
        </w:rPr>
        <w:t>Goldman</w:t>
      </w:r>
      <w:r>
        <w:rPr>
          <w:b/>
          <w:spacing w:val="-10"/>
          <w:sz w:val="20"/>
        </w:rPr>
        <w:t> </w:t>
      </w:r>
      <w:r>
        <w:rPr>
          <w:b/>
          <w:sz w:val="20"/>
        </w:rPr>
        <w:t>Sachs</w:t>
      </w:r>
    </w:p>
    <w:p>
      <w:pPr>
        <w:pStyle w:val="BodyText"/>
        <w:tabs>
          <w:tab w:pos="3205" w:val="left" w:leader="none"/>
        </w:tabs>
        <w:spacing w:before="70"/>
        <w:ind w:left="227"/>
        <w:rPr>
          <w:b/>
        </w:rPr>
      </w:pPr>
      <w:r>
        <w:rPr/>
        <w:t>Christophe</w:t>
      </w:r>
      <w:r>
        <w:rPr>
          <w:spacing w:val="-2"/>
        </w:rPr>
        <w:t> </w:t>
      </w:r>
      <w:r>
        <w:rPr/>
        <w:t>Rivoire</w:t>
        <w:tab/>
      </w:r>
      <w:r>
        <w:rPr>
          <w:b/>
        </w:rPr>
        <w:t>HSBC</w:t>
      </w:r>
    </w:p>
    <w:p>
      <w:pPr>
        <w:tabs>
          <w:tab w:pos="3205" w:val="left" w:leader="none"/>
        </w:tabs>
        <w:spacing w:before="70"/>
        <w:ind w:left="227" w:right="0" w:firstLine="0"/>
        <w:jc w:val="left"/>
        <w:rPr>
          <w:b/>
          <w:sz w:val="20"/>
        </w:rPr>
      </w:pPr>
      <w:r>
        <w:rPr>
          <w:sz w:val="20"/>
        </w:rPr>
        <w:t>Christophe</w:t>
      </w:r>
      <w:r>
        <w:rPr>
          <w:spacing w:val="-2"/>
          <w:sz w:val="20"/>
        </w:rPr>
        <w:t> </w:t>
      </w:r>
      <w:r>
        <w:rPr>
          <w:sz w:val="20"/>
        </w:rPr>
        <w:t>Coutte</w:t>
        <w:tab/>
      </w:r>
      <w:r>
        <w:rPr>
          <w:b/>
          <w:sz w:val="20"/>
        </w:rPr>
        <w:t>Lloyds</w:t>
      </w:r>
    </w:p>
    <w:p>
      <w:pPr>
        <w:tabs>
          <w:tab w:pos="3205" w:val="left" w:leader="none"/>
        </w:tabs>
        <w:spacing w:before="70"/>
        <w:ind w:left="227" w:right="0" w:firstLine="0"/>
        <w:jc w:val="left"/>
        <w:rPr>
          <w:b/>
          <w:sz w:val="20"/>
        </w:rPr>
      </w:pPr>
      <w:r>
        <w:rPr>
          <w:sz w:val="20"/>
        </w:rPr>
        <w:t>Freddie</w:t>
      </w:r>
      <w:r>
        <w:rPr>
          <w:spacing w:val="-2"/>
          <w:sz w:val="20"/>
        </w:rPr>
        <w:t> </w:t>
      </w:r>
      <w:r>
        <w:rPr>
          <w:sz w:val="20"/>
        </w:rPr>
        <w:t>Napier</w:t>
        <w:tab/>
      </w:r>
      <w:r>
        <w:rPr>
          <w:b/>
          <w:sz w:val="20"/>
        </w:rPr>
        <w:t>Morgan</w:t>
      </w:r>
      <w:r>
        <w:rPr>
          <w:b/>
          <w:spacing w:val="-8"/>
          <w:sz w:val="20"/>
        </w:rPr>
        <w:t> </w:t>
      </w:r>
      <w:r>
        <w:rPr>
          <w:b/>
          <w:sz w:val="20"/>
        </w:rPr>
        <w:t>Stanley</w:t>
      </w:r>
    </w:p>
    <w:p>
      <w:pPr>
        <w:tabs>
          <w:tab w:pos="3205" w:val="left" w:leader="none"/>
        </w:tabs>
        <w:spacing w:before="70"/>
        <w:ind w:left="227" w:right="0" w:firstLine="0"/>
        <w:jc w:val="left"/>
        <w:rPr>
          <w:b/>
          <w:sz w:val="20"/>
        </w:rPr>
      </w:pPr>
      <w:r>
        <w:rPr>
          <w:sz w:val="20"/>
        </w:rPr>
        <w:t>Ciaran</w:t>
      </w:r>
      <w:r>
        <w:rPr>
          <w:spacing w:val="-5"/>
          <w:sz w:val="20"/>
        </w:rPr>
        <w:t> </w:t>
      </w:r>
      <w:r>
        <w:rPr>
          <w:sz w:val="20"/>
        </w:rPr>
        <w:t>O’Flynn</w:t>
        <w:tab/>
      </w:r>
      <w:r>
        <w:rPr>
          <w:b/>
          <w:sz w:val="20"/>
        </w:rPr>
        <w:t>Morgan</w:t>
      </w:r>
      <w:r>
        <w:rPr>
          <w:b/>
          <w:spacing w:val="-8"/>
          <w:sz w:val="20"/>
        </w:rPr>
        <w:t> </w:t>
      </w:r>
      <w:r>
        <w:rPr>
          <w:b/>
          <w:sz w:val="20"/>
        </w:rPr>
        <w:t>Stanley</w:t>
      </w:r>
    </w:p>
    <w:p>
      <w:pPr>
        <w:tabs>
          <w:tab w:pos="3205" w:val="left" w:leader="none"/>
        </w:tabs>
        <w:spacing w:before="70"/>
        <w:ind w:left="227" w:right="0" w:firstLine="0"/>
        <w:jc w:val="left"/>
        <w:rPr>
          <w:b/>
          <w:sz w:val="20"/>
        </w:rPr>
      </w:pPr>
      <w:r>
        <w:rPr>
          <w:sz w:val="20"/>
        </w:rPr>
        <w:t>Guy</w:t>
      </w:r>
      <w:r>
        <w:rPr>
          <w:spacing w:val="-4"/>
          <w:sz w:val="20"/>
        </w:rPr>
        <w:t> </w:t>
      </w:r>
      <w:r>
        <w:rPr>
          <w:sz w:val="20"/>
        </w:rPr>
        <w:t>Winkworth</w:t>
        <w:tab/>
      </w:r>
      <w:r>
        <w:rPr>
          <w:b/>
          <w:sz w:val="20"/>
        </w:rPr>
        <w:t>Morgan</w:t>
      </w:r>
      <w:r>
        <w:rPr>
          <w:b/>
          <w:spacing w:val="-8"/>
          <w:sz w:val="20"/>
        </w:rPr>
        <w:t> </w:t>
      </w:r>
      <w:r>
        <w:rPr>
          <w:b/>
          <w:sz w:val="20"/>
        </w:rPr>
        <w:t>Stanley</w:t>
      </w:r>
    </w:p>
    <w:p>
      <w:pPr>
        <w:tabs>
          <w:tab w:pos="3205" w:val="left" w:leader="none"/>
        </w:tabs>
        <w:spacing w:before="70"/>
        <w:ind w:left="227" w:right="0" w:firstLine="0"/>
        <w:jc w:val="left"/>
        <w:rPr>
          <w:b/>
          <w:sz w:val="20"/>
        </w:rPr>
      </w:pPr>
      <w:r>
        <w:rPr>
          <w:sz w:val="20"/>
        </w:rPr>
        <w:t>Mike</w:t>
      </w:r>
      <w:r>
        <w:rPr>
          <w:spacing w:val="-4"/>
          <w:sz w:val="20"/>
        </w:rPr>
        <w:t> </w:t>
      </w:r>
      <w:r>
        <w:rPr>
          <w:sz w:val="20"/>
        </w:rPr>
        <w:t>Curtis</w:t>
        <w:tab/>
      </w:r>
      <w:r>
        <w:rPr>
          <w:b/>
          <w:sz w:val="20"/>
        </w:rPr>
        <w:t>Nomura</w:t>
      </w:r>
    </w:p>
    <w:p>
      <w:pPr>
        <w:tabs>
          <w:tab w:pos="3205" w:val="left" w:leader="none"/>
        </w:tabs>
        <w:spacing w:before="70"/>
        <w:ind w:left="227" w:right="0" w:firstLine="0"/>
        <w:jc w:val="left"/>
        <w:rPr>
          <w:b/>
          <w:sz w:val="20"/>
        </w:rPr>
      </w:pPr>
      <w:r>
        <w:rPr>
          <w:sz w:val="20"/>
        </w:rPr>
        <w:t>Simon</w:t>
      </w:r>
      <w:r>
        <w:rPr>
          <w:spacing w:val="-1"/>
          <w:sz w:val="20"/>
        </w:rPr>
        <w:t> </w:t>
      </w:r>
      <w:r>
        <w:rPr>
          <w:sz w:val="20"/>
        </w:rPr>
        <w:t>Wilson</w:t>
        <w:tab/>
      </w:r>
      <w:r>
        <w:rPr>
          <w:b/>
          <w:sz w:val="20"/>
        </w:rPr>
        <w:t>Royal Bank of</w:t>
      </w:r>
      <w:r>
        <w:rPr>
          <w:b/>
          <w:spacing w:val="-4"/>
          <w:sz w:val="20"/>
        </w:rPr>
        <w:t> </w:t>
      </w:r>
      <w:r>
        <w:rPr>
          <w:b/>
          <w:sz w:val="20"/>
        </w:rPr>
        <w:t>Scotland</w:t>
      </w:r>
    </w:p>
    <w:p>
      <w:pPr>
        <w:tabs>
          <w:tab w:pos="3205" w:val="left" w:leader="none"/>
        </w:tabs>
        <w:spacing w:before="70"/>
        <w:ind w:left="227" w:right="0" w:firstLine="0"/>
        <w:jc w:val="left"/>
        <w:rPr>
          <w:b/>
          <w:sz w:val="20"/>
        </w:rPr>
      </w:pPr>
      <w:r>
        <w:rPr>
          <w:sz w:val="20"/>
        </w:rPr>
        <w:t>Toby</w:t>
      </w:r>
      <w:r>
        <w:rPr>
          <w:spacing w:val="-4"/>
          <w:sz w:val="20"/>
        </w:rPr>
        <w:t> </w:t>
      </w:r>
      <w:r>
        <w:rPr>
          <w:sz w:val="20"/>
        </w:rPr>
        <w:t>Stevenson</w:t>
        <w:tab/>
      </w:r>
      <w:r>
        <w:rPr>
          <w:b/>
          <w:sz w:val="20"/>
        </w:rPr>
        <w:t>Royal Bank of</w:t>
      </w:r>
      <w:r>
        <w:rPr>
          <w:b/>
          <w:spacing w:val="-4"/>
          <w:sz w:val="20"/>
        </w:rPr>
        <w:t> </w:t>
      </w:r>
      <w:r>
        <w:rPr>
          <w:b/>
          <w:sz w:val="20"/>
        </w:rPr>
        <w:t>Scotland</w:t>
      </w:r>
    </w:p>
    <w:p>
      <w:pPr>
        <w:tabs>
          <w:tab w:pos="3205" w:val="left" w:leader="none"/>
        </w:tabs>
        <w:spacing w:before="70"/>
        <w:ind w:left="227" w:right="0" w:firstLine="0"/>
        <w:jc w:val="left"/>
        <w:rPr>
          <w:b/>
          <w:sz w:val="20"/>
        </w:rPr>
      </w:pPr>
      <w:r>
        <w:rPr>
          <w:sz w:val="20"/>
        </w:rPr>
        <w:t>Paul</w:t>
      </w:r>
      <w:r>
        <w:rPr>
          <w:spacing w:val="-4"/>
          <w:sz w:val="20"/>
        </w:rPr>
        <w:t> </w:t>
      </w:r>
      <w:r>
        <w:rPr>
          <w:sz w:val="20"/>
        </w:rPr>
        <w:t>Barnes</w:t>
        <w:tab/>
      </w:r>
      <w:r>
        <w:rPr>
          <w:b/>
          <w:sz w:val="20"/>
        </w:rPr>
        <w:t>Santander</w:t>
      </w:r>
    </w:p>
    <w:p>
      <w:pPr>
        <w:tabs>
          <w:tab w:pos="3205" w:val="left" w:leader="none"/>
        </w:tabs>
        <w:spacing w:before="70"/>
        <w:ind w:left="227" w:right="0" w:firstLine="0"/>
        <w:jc w:val="left"/>
        <w:rPr>
          <w:b/>
          <w:sz w:val="20"/>
        </w:rPr>
      </w:pPr>
      <w:r>
        <w:rPr>
          <w:sz w:val="20"/>
        </w:rPr>
        <w:t>Stephane</w:t>
      </w:r>
      <w:r>
        <w:rPr>
          <w:spacing w:val="-2"/>
          <w:sz w:val="20"/>
        </w:rPr>
        <w:t> </w:t>
      </w:r>
      <w:r>
        <w:rPr>
          <w:sz w:val="20"/>
        </w:rPr>
        <w:t>Cuny</w:t>
        <w:tab/>
      </w:r>
      <w:r>
        <w:rPr>
          <w:b/>
          <w:sz w:val="20"/>
        </w:rPr>
        <w:t>Société</w:t>
      </w:r>
      <w:r>
        <w:rPr>
          <w:b/>
          <w:spacing w:val="-1"/>
          <w:sz w:val="20"/>
        </w:rPr>
        <w:t> </w:t>
      </w:r>
      <w:r>
        <w:rPr>
          <w:b/>
          <w:sz w:val="20"/>
        </w:rPr>
        <w:t>Générale</w:t>
      </w:r>
    </w:p>
    <w:p>
      <w:pPr>
        <w:pStyle w:val="BodyText"/>
        <w:tabs>
          <w:tab w:pos="3205" w:val="left" w:leader="none"/>
        </w:tabs>
        <w:spacing w:before="70"/>
        <w:ind w:left="227"/>
        <w:rPr>
          <w:b/>
        </w:rPr>
      </w:pPr>
      <w:r>
        <w:rPr/>
        <w:t>Chirag</w:t>
      </w:r>
      <w:r>
        <w:rPr>
          <w:spacing w:val="-3"/>
        </w:rPr>
        <w:t> </w:t>
      </w:r>
      <w:r>
        <w:rPr/>
        <w:t>Dave</w:t>
        <w:tab/>
      </w:r>
      <w:r>
        <w:rPr>
          <w:b/>
        </w:rPr>
        <w:t>UBS</w:t>
      </w:r>
    </w:p>
    <w:p>
      <w:pPr>
        <w:pStyle w:val="BodyText"/>
        <w:rPr>
          <w:b/>
          <w:sz w:val="22"/>
        </w:rPr>
      </w:pPr>
    </w:p>
    <w:p>
      <w:pPr>
        <w:pStyle w:val="BodyText"/>
        <w:rPr>
          <w:b/>
          <w:sz w:val="22"/>
        </w:rPr>
      </w:pPr>
    </w:p>
    <w:p>
      <w:pPr>
        <w:pStyle w:val="BodyText"/>
        <w:rPr>
          <w:b/>
          <w:sz w:val="22"/>
        </w:rPr>
      </w:pPr>
    </w:p>
    <w:p>
      <w:pPr>
        <w:pStyle w:val="BodyText"/>
        <w:spacing w:before="6"/>
        <w:rPr>
          <w:b/>
          <w:sz w:val="29"/>
        </w:rPr>
      </w:pPr>
    </w:p>
    <w:p>
      <w:pPr>
        <w:pStyle w:val="Heading1"/>
        <w:ind w:left="120"/>
      </w:pPr>
      <w:r>
        <w:rPr/>
        <w:t>Official sector attendees</w:t>
      </w:r>
    </w:p>
    <w:p>
      <w:pPr>
        <w:pStyle w:val="BodyText"/>
        <w:spacing w:before="7"/>
        <w:rPr>
          <w:b/>
          <w:sz w:val="23"/>
        </w:rPr>
      </w:pPr>
    </w:p>
    <w:p>
      <w:pPr>
        <w:tabs>
          <w:tab w:pos="3388" w:val="left" w:leader="none"/>
        </w:tabs>
        <w:spacing w:before="0"/>
        <w:ind w:left="227" w:right="0" w:firstLine="0"/>
        <w:jc w:val="left"/>
        <w:rPr>
          <w:b/>
          <w:sz w:val="20"/>
        </w:rPr>
      </w:pPr>
      <w:r>
        <w:rPr>
          <w:sz w:val="20"/>
        </w:rPr>
        <w:t>Tim</w:t>
      </w:r>
      <w:r>
        <w:rPr>
          <w:spacing w:val="-3"/>
          <w:sz w:val="20"/>
        </w:rPr>
        <w:t> </w:t>
      </w:r>
      <w:r>
        <w:rPr>
          <w:sz w:val="20"/>
        </w:rPr>
        <w:t>Taylor</w:t>
        <w:tab/>
      </w:r>
      <w:r>
        <w:rPr>
          <w:b/>
          <w:sz w:val="20"/>
        </w:rPr>
        <w:t>Bank of</w:t>
      </w:r>
      <w:r>
        <w:rPr>
          <w:b/>
          <w:spacing w:val="-10"/>
          <w:sz w:val="20"/>
        </w:rPr>
        <w:t> </w:t>
      </w:r>
      <w:r>
        <w:rPr>
          <w:b/>
          <w:sz w:val="20"/>
        </w:rPr>
        <w:t>England</w:t>
      </w:r>
    </w:p>
    <w:p>
      <w:pPr>
        <w:tabs>
          <w:tab w:pos="3388" w:val="left" w:leader="none"/>
        </w:tabs>
        <w:spacing w:before="73"/>
        <w:ind w:left="227" w:right="0" w:firstLine="0"/>
        <w:jc w:val="left"/>
        <w:rPr>
          <w:b/>
          <w:sz w:val="20"/>
        </w:rPr>
      </w:pPr>
      <w:r>
        <w:rPr>
          <w:sz w:val="20"/>
        </w:rPr>
        <w:t>Will</w:t>
      </w:r>
      <w:r>
        <w:rPr>
          <w:spacing w:val="-1"/>
          <w:sz w:val="20"/>
        </w:rPr>
        <w:t> </w:t>
      </w:r>
      <w:r>
        <w:rPr>
          <w:sz w:val="20"/>
        </w:rPr>
        <w:t>Parry</w:t>
        <w:tab/>
      </w:r>
      <w:r>
        <w:rPr>
          <w:b/>
          <w:sz w:val="20"/>
        </w:rPr>
        <w:t>Bank of</w:t>
      </w:r>
      <w:r>
        <w:rPr>
          <w:b/>
          <w:spacing w:val="-10"/>
          <w:sz w:val="20"/>
        </w:rPr>
        <w:t> </w:t>
      </w:r>
      <w:r>
        <w:rPr>
          <w:b/>
          <w:sz w:val="20"/>
        </w:rPr>
        <w:t>England</w:t>
      </w:r>
    </w:p>
    <w:p>
      <w:pPr>
        <w:tabs>
          <w:tab w:pos="3388" w:val="left" w:leader="none"/>
        </w:tabs>
        <w:spacing w:before="73"/>
        <w:ind w:left="227" w:right="0" w:firstLine="0"/>
        <w:jc w:val="left"/>
        <w:rPr>
          <w:b/>
          <w:sz w:val="20"/>
        </w:rPr>
      </w:pPr>
      <w:r>
        <w:rPr>
          <w:sz w:val="20"/>
        </w:rPr>
        <w:t>Rob</w:t>
      </w:r>
      <w:r>
        <w:rPr>
          <w:spacing w:val="-3"/>
          <w:sz w:val="20"/>
        </w:rPr>
        <w:t> </w:t>
      </w:r>
      <w:r>
        <w:rPr>
          <w:sz w:val="20"/>
        </w:rPr>
        <w:t>Harris</w:t>
        <w:tab/>
      </w:r>
      <w:r>
        <w:rPr>
          <w:b/>
          <w:sz w:val="20"/>
        </w:rPr>
        <w:t>Bank of</w:t>
      </w:r>
      <w:r>
        <w:rPr>
          <w:b/>
          <w:spacing w:val="-10"/>
          <w:sz w:val="20"/>
        </w:rPr>
        <w:t> </w:t>
      </w:r>
      <w:r>
        <w:rPr>
          <w:b/>
          <w:sz w:val="20"/>
        </w:rPr>
        <w:t>England</w:t>
      </w:r>
    </w:p>
    <w:p>
      <w:pPr>
        <w:tabs>
          <w:tab w:pos="3388" w:val="left" w:leader="none"/>
        </w:tabs>
        <w:spacing w:before="73"/>
        <w:ind w:left="227" w:right="0" w:firstLine="0"/>
        <w:jc w:val="left"/>
        <w:rPr>
          <w:b/>
          <w:sz w:val="20"/>
        </w:rPr>
      </w:pPr>
      <w:r>
        <w:rPr>
          <w:sz w:val="20"/>
        </w:rPr>
        <w:t>Renée</w:t>
      </w:r>
      <w:r>
        <w:rPr>
          <w:spacing w:val="-2"/>
          <w:sz w:val="20"/>
        </w:rPr>
        <w:t> </w:t>
      </w:r>
      <w:r>
        <w:rPr>
          <w:sz w:val="20"/>
        </w:rPr>
        <w:t>Horrell</w:t>
        <w:tab/>
      </w:r>
      <w:r>
        <w:rPr>
          <w:b/>
          <w:sz w:val="20"/>
        </w:rPr>
        <w:t>Bank of</w:t>
      </w:r>
      <w:r>
        <w:rPr>
          <w:b/>
          <w:spacing w:val="-10"/>
          <w:sz w:val="20"/>
        </w:rPr>
        <w:t> </w:t>
      </w:r>
      <w:r>
        <w:rPr>
          <w:b/>
          <w:sz w:val="20"/>
        </w:rPr>
        <w:t>England</w:t>
      </w:r>
    </w:p>
    <w:p>
      <w:pPr>
        <w:tabs>
          <w:tab w:pos="3388" w:val="left" w:leader="none"/>
        </w:tabs>
        <w:spacing w:before="73"/>
        <w:ind w:left="227" w:right="0" w:firstLine="0"/>
        <w:jc w:val="left"/>
        <w:rPr>
          <w:b/>
          <w:sz w:val="20"/>
        </w:rPr>
      </w:pPr>
      <w:r>
        <w:rPr>
          <w:sz w:val="20"/>
        </w:rPr>
        <w:t>Jan</w:t>
      </w:r>
      <w:r>
        <w:rPr>
          <w:spacing w:val="-2"/>
          <w:sz w:val="20"/>
        </w:rPr>
        <w:t> </w:t>
      </w:r>
      <w:r>
        <w:rPr>
          <w:sz w:val="20"/>
        </w:rPr>
        <w:t>Lasik</w:t>
        <w:tab/>
      </w:r>
      <w:r>
        <w:rPr>
          <w:b/>
          <w:sz w:val="20"/>
        </w:rPr>
        <w:t>Bank of</w:t>
      </w:r>
      <w:r>
        <w:rPr>
          <w:b/>
          <w:spacing w:val="-10"/>
          <w:sz w:val="20"/>
        </w:rPr>
        <w:t> </w:t>
      </w:r>
      <w:r>
        <w:rPr>
          <w:b/>
          <w:sz w:val="20"/>
        </w:rPr>
        <w:t>England</w:t>
      </w:r>
    </w:p>
    <w:p>
      <w:pPr>
        <w:tabs>
          <w:tab w:pos="3388" w:val="left" w:leader="none"/>
        </w:tabs>
        <w:spacing w:before="73"/>
        <w:ind w:left="227" w:right="0" w:firstLine="0"/>
        <w:jc w:val="left"/>
        <w:rPr>
          <w:b/>
          <w:sz w:val="20"/>
        </w:rPr>
      </w:pPr>
      <w:r>
        <w:rPr>
          <w:sz w:val="20"/>
        </w:rPr>
        <w:t>Ben</w:t>
      </w:r>
      <w:r>
        <w:rPr>
          <w:spacing w:val="-1"/>
          <w:sz w:val="20"/>
        </w:rPr>
        <w:t> </w:t>
      </w:r>
      <w:r>
        <w:rPr>
          <w:sz w:val="20"/>
        </w:rPr>
        <w:t>Morley</w:t>
        <w:tab/>
      </w:r>
      <w:r>
        <w:rPr>
          <w:b/>
          <w:sz w:val="20"/>
        </w:rPr>
        <w:t>Bank of</w:t>
      </w:r>
      <w:r>
        <w:rPr>
          <w:b/>
          <w:spacing w:val="-10"/>
          <w:sz w:val="20"/>
        </w:rPr>
        <w:t> </w:t>
      </w:r>
      <w:r>
        <w:rPr>
          <w:b/>
          <w:sz w:val="20"/>
        </w:rPr>
        <w:t>England</w:t>
      </w:r>
    </w:p>
    <w:p>
      <w:pPr>
        <w:tabs>
          <w:tab w:pos="3388" w:val="left" w:leader="none"/>
        </w:tabs>
        <w:spacing w:before="73"/>
        <w:ind w:left="227" w:right="0" w:firstLine="0"/>
        <w:jc w:val="left"/>
        <w:rPr>
          <w:b/>
          <w:sz w:val="20"/>
        </w:rPr>
      </w:pPr>
      <w:r>
        <w:rPr>
          <w:sz w:val="20"/>
        </w:rPr>
        <w:t>Heather</w:t>
      </w:r>
      <w:r>
        <w:rPr>
          <w:spacing w:val="-4"/>
          <w:sz w:val="20"/>
        </w:rPr>
        <w:t> </w:t>
      </w:r>
      <w:r>
        <w:rPr>
          <w:sz w:val="20"/>
        </w:rPr>
        <w:t>Pilley</w:t>
        <w:tab/>
      </w:r>
      <w:r>
        <w:rPr>
          <w:b/>
          <w:sz w:val="20"/>
        </w:rPr>
        <w:t>Financial Conduct</w:t>
      </w:r>
      <w:r>
        <w:rPr>
          <w:b/>
          <w:spacing w:val="-19"/>
          <w:sz w:val="20"/>
        </w:rPr>
        <w:t> </w:t>
      </w:r>
      <w:r>
        <w:rPr>
          <w:b/>
          <w:sz w:val="20"/>
        </w:rPr>
        <w:t>Authority</w:t>
      </w:r>
    </w:p>
    <w:p>
      <w:pPr>
        <w:tabs>
          <w:tab w:pos="3388" w:val="left" w:leader="none"/>
        </w:tabs>
        <w:spacing w:before="73"/>
        <w:ind w:left="227" w:right="0" w:firstLine="0"/>
        <w:jc w:val="left"/>
        <w:rPr>
          <w:b/>
          <w:sz w:val="20"/>
        </w:rPr>
      </w:pPr>
      <w:r>
        <w:rPr>
          <w:sz w:val="20"/>
        </w:rPr>
        <w:t>Devid</w:t>
      </w:r>
      <w:r>
        <w:rPr>
          <w:spacing w:val="-5"/>
          <w:sz w:val="20"/>
        </w:rPr>
        <w:t> </w:t>
      </w:r>
      <w:r>
        <w:rPr>
          <w:sz w:val="20"/>
        </w:rPr>
        <w:t>Mazzonetto</w:t>
        <w:tab/>
      </w:r>
      <w:r>
        <w:rPr>
          <w:b/>
          <w:sz w:val="20"/>
        </w:rPr>
        <w:t>Financial Conduct</w:t>
      </w:r>
      <w:r>
        <w:rPr>
          <w:b/>
          <w:spacing w:val="-19"/>
          <w:sz w:val="20"/>
        </w:rPr>
        <w:t> </w:t>
      </w:r>
      <w:r>
        <w:rPr>
          <w:b/>
          <w:sz w:val="20"/>
        </w:rPr>
        <w:t>Authority</w:t>
      </w:r>
    </w:p>
    <w:sectPr>
      <w:pgSz w:w="11910" w:h="16840"/>
      <w:pgMar w:top="1200" w:bottom="280" w:left="13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120" w:hanging="427"/>
        <w:jc w:val="left"/>
      </w:pPr>
      <w:rPr>
        <w:rFonts w:hint="default" w:ascii="Arial" w:hAnsi="Arial" w:eastAsia="Arial" w:cs="Arial"/>
        <w:w w:val="100"/>
        <w:sz w:val="20"/>
        <w:szCs w:val="20"/>
      </w:rPr>
    </w:lvl>
    <w:lvl w:ilvl="1">
      <w:start w:val="0"/>
      <w:numFmt w:val="bullet"/>
      <w:lvlText w:val="•"/>
      <w:lvlJc w:val="left"/>
      <w:pPr>
        <w:ind w:left="1076" w:hanging="427"/>
      </w:pPr>
      <w:rPr>
        <w:rFonts w:hint="default"/>
      </w:rPr>
    </w:lvl>
    <w:lvl w:ilvl="2">
      <w:start w:val="0"/>
      <w:numFmt w:val="bullet"/>
      <w:lvlText w:val="•"/>
      <w:lvlJc w:val="left"/>
      <w:pPr>
        <w:ind w:left="2032" w:hanging="427"/>
      </w:pPr>
      <w:rPr>
        <w:rFonts w:hint="default"/>
      </w:rPr>
    </w:lvl>
    <w:lvl w:ilvl="3">
      <w:start w:val="0"/>
      <w:numFmt w:val="bullet"/>
      <w:lvlText w:val="•"/>
      <w:lvlJc w:val="left"/>
      <w:pPr>
        <w:ind w:left="2989" w:hanging="427"/>
      </w:pPr>
      <w:rPr>
        <w:rFonts w:hint="default"/>
      </w:rPr>
    </w:lvl>
    <w:lvl w:ilvl="4">
      <w:start w:val="0"/>
      <w:numFmt w:val="bullet"/>
      <w:lvlText w:val="•"/>
      <w:lvlJc w:val="left"/>
      <w:pPr>
        <w:ind w:left="3945" w:hanging="427"/>
      </w:pPr>
      <w:rPr>
        <w:rFonts w:hint="default"/>
      </w:rPr>
    </w:lvl>
    <w:lvl w:ilvl="5">
      <w:start w:val="0"/>
      <w:numFmt w:val="bullet"/>
      <w:lvlText w:val="•"/>
      <w:lvlJc w:val="left"/>
      <w:pPr>
        <w:ind w:left="4902" w:hanging="427"/>
      </w:pPr>
      <w:rPr>
        <w:rFonts w:hint="default"/>
      </w:rPr>
    </w:lvl>
    <w:lvl w:ilvl="6">
      <w:start w:val="0"/>
      <w:numFmt w:val="bullet"/>
      <w:lvlText w:val="•"/>
      <w:lvlJc w:val="left"/>
      <w:pPr>
        <w:ind w:left="5858" w:hanging="427"/>
      </w:pPr>
      <w:rPr>
        <w:rFonts w:hint="default"/>
      </w:rPr>
    </w:lvl>
    <w:lvl w:ilvl="7">
      <w:start w:val="0"/>
      <w:numFmt w:val="bullet"/>
      <w:lvlText w:val="•"/>
      <w:lvlJc w:val="left"/>
      <w:pPr>
        <w:ind w:left="6815" w:hanging="427"/>
      </w:pPr>
      <w:rPr>
        <w:rFonts w:hint="default"/>
      </w:rPr>
    </w:lvl>
    <w:lvl w:ilvl="8">
      <w:start w:val="0"/>
      <w:numFmt w:val="bullet"/>
      <w:lvlText w:val="•"/>
      <w:lvlJc w:val="left"/>
      <w:pPr>
        <w:ind w:left="7771" w:hanging="427"/>
      </w:pPr>
      <w:rPr>
        <w:rFonts w:hint="default"/>
      </w:rPr>
    </w:lvl>
  </w:abstractNum>
  <w:abstractNum w:abstractNumId="0">
    <w:multiLevelType w:val="hybridMultilevel"/>
    <w:lvl w:ilvl="0">
      <w:start w:val="1"/>
      <w:numFmt w:val="decimal"/>
      <w:lvlText w:val="%1"/>
      <w:lvlJc w:val="left"/>
      <w:pPr>
        <w:ind w:left="120" w:hanging="426"/>
        <w:jc w:val="left"/>
      </w:pPr>
      <w:rPr>
        <w:rFonts w:hint="default" w:ascii="Arial" w:hAnsi="Arial" w:eastAsia="Arial" w:cs="Arial"/>
        <w:w w:val="100"/>
        <w:sz w:val="20"/>
        <w:szCs w:val="20"/>
      </w:rPr>
    </w:lvl>
    <w:lvl w:ilvl="1">
      <w:start w:val="0"/>
      <w:numFmt w:val="bullet"/>
      <w:lvlText w:val="•"/>
      <w:lvlJc w:val="left"/>
      <w:pPr>
        <w:ind w:left="1076" w:hanging="426"/>
      </w:pPr>
      <w:rPr>
        <w:rFonts w:hint="default"/>
      </w:rPr>
    </w:lvl>
    <w:lvl w:ilvl="2">
      <w:start w:val="0"/>
      <w:numFmt w:val="bullet"/>
      <w:lvlText w:val="•"/>
      <w:lvlJc w:val="left"/>
      <w:pPr>
        <w:ind w:left="2032" w:hanging="426"/>
      </w:pPr>
      <w:rPr>
        <w:rFonts w:hint="default"/>
      </w:rPr>
    </w:lvl>
    <w:lvl w:ilvl="3">
      <w:start w:val="0"/>
      <w:numFmt w:val="bullet"/>
      <w:lvlText w:val="•"/>
      <w:lvlJc w:val="left"/>
      <w:pPr>
        <w:ind w:left="2989" w:hanging="426"/>
      </w:pPr>
      <w:rPr>
        <w:rFonts w:hint="default"/>
      </w:rPr>
    </w:lvl>
    <w:lvl w:ilvl="4">
      <w:start w:val="0"/>
      <w:numFmt w:val="bullet"/>
      <w:lvlText w:val="•"/>
      <w:lvlJc w:val="left"/>
      <w:pPr>
        <w:ind w:left="3945" w:hanging="426"/>
      </w:pPr>
      <w:rPr>
        <w:rFonts w:hint="default"/>
      </w:rPr>
    </w:lvl>
    <w:lvl w:ilvl="5">
      <w:start w:val="0"/>
      <w:numFmt w:val="bullet"/>
      <w:lvlText w:val="•"/>
      <w:lvlJc w:val="left"/>
      <w:pPr>
        <w:ind w:left="4902" w:hanging="426"/>
      </w:pPr>
      <w:rPr>
        <w:rFonts w:hint="default"/>
      </w:rPr>
    </w:lvl>
    <w:lvl w:ilvl="6">
      <w:start w:val="0"/>
      <w:numFmt w:val="bullet"/>
      <w:lvlText w:val="•"/>
      <w:lvlJc w:val="left"/>
      <w:pPr>
        <w:ind w:left="5858" w:hanging="426"/>
      </w:pPr>
      <w:rPr>
        <w:rFonts w:hint="default"/>
      </w:rPr>
    </w:lvl>
    <w:lvl w:ilvl="7">
      <w:start w:val="0"/>
      <w:numFmt w:val="bullet"/>
      <w:lvlText w:val="•"/>
      <w:lvlJc w:val="left"/>
      <w:pPr>
        <w:ind w:left="6815" w:hanging="426"/>
      </w:pPr>
      <w:rPr>
        <w:rFonts w:hint="default"/>
      </w:rPr>
    </w:lvl>
    <w:lvl w:ilvl="8">
      <w:start w:val="0"/>
      <w:numFmt w:val="bullet"/>
      <w:lvlText w:val="•"/>
      <w:lvlJc w:val="left"/>
      <w:pPr>
        <w:ind w:left="7771" w:hanging="42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19"/>
      <w:outlineLvl w:val="1"/>
    </w:pPr>
    <w:rPr>
      <w:rFonts w:ascii="Arial" w:hAnsi="Arial" w:eastAsia="Arial" w:cs="Arial"/>
      <w:b/>
      <w:bCs/>
      <w:sz w:val="20"/>
      <w:szCs w:val="20"/>
    </w:rPr>
  </w:style>
  <w:style w:styleId="ListParagraph" w:type="paragraph">
    <w:name w:val="List Paragraph"/>
    <w:basedOn w:val="Normal"/>
    <w:uiPriority w:val="1"/>
    <w:qFormat/>
    <w:pPr>
      <w:ind w:left="119" w:right="15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arkets/Documents/sterlingoperations/rfr/2016/letter061216.pdf" TargetMode="External"/><Relationship Id="rId6" Type="http://schemas.openxmlformats.org/officeDocument/2006/relationships/hyperlink" Target="http://www.bankofengland.co.uk/markets/Documents/sterlingoperations/rfr/rfrselection.pdf"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9 December 2016</dc:subject>
  <dc:title>Minutes - Working Group on Sterling Risk-Free Reference Rates</dc:title>
  <dcterms:created xsi:type="dcterms:W3CDTF">2020-06-01T02:22:52Z</dcterms:created>
  <dcterms:modified xsi:type="dcterms:W3CDTF">2020-06-01T02:22:52Z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2017-02-06T00:00:00Z</vt:filetime>
  </property>
  <property fmtid="{D5CDD505-2E9C-101B-9397-08002B2CF9AE}" pid="3" name="Creator">
    <vt:lpwstr>PScript5.dll Version 5.2.2</vt:lpwstr>
  </property>
  <property fmtid="{D5CDD505-2E9C-101B-9397-08002B2CF9AE}" pid="4" name="LastSaved">
    <vt:filetime>2020-06-01T00:00:00Z</vt:filetime>
  </property>
</Properties>
</file>