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rPr>
          <w:rFonts w:ascii="Times New Roman"/>
          <w:sz w:val="13"/>
        </w:rPr>
      </w:pPr>
    </w:p>
    <w:p>
      <w:pPr>
        <w:pStyle w:val="Heading1"/>
        <w:spacing w:before="89"/>
      </w:pPr>
      <w:r>
        <w:rPr/>
        <w:pict>
          <v:line style="position:absolute;mso-position-horizontal-relative:page;mso-position-vertical-relative:paragraph;z-index:251658240" from="60.25pt,61.627839pt" to="60.25pt,-7.822161pt" stroked="true" strokeweight="2pt" strokecolor="#497dba">
            <v:stroke dashstyle="solid"/>
            <w10:wrap type="none"/>
          </v:line>
        </w:pict>
      </w:r>
      <w:r>
        <w:rPr>
          <w:spacing w:val="7"/>
        </w:rPr>
        <w:t>The </w:t>
      </w:r>
      <w:r>
        <w:rPr>
          <w:spacing w:val="9"/>
        </w:rPr>
        <w:t>Working Group </w:t>
      </w:r>
      <w:r>
        <w:rPr>
          <w:spacing w:val="5"/>
        </w:rPr>
        <w:t>on</w:t>
      </w:r>
    </w:p>
    <w:p>
      <w:pPr>
        <w:spacing w:before="9"/>
        <w:ind w:left="283" w:right="0" w:firstLine="0"/>
        <w:jc w:val="left"/>
        <w:rPr>
          <w:b/>
          <w:sz w:val="32"/>
        </w:rPr>
      </w:pPr>
      <w:r>
        <w:rPr>
          <w:b/>
          <w:sz w:val="32"/>
        </w:rPr>
        <w:t>Sterling Risk-Free Reference Rates</w:t>
      </w:r>
    </w:p>
    <w:p>
      <w:pPr>
        <w:pStyle w:val="BodyText"/>
        <w:ind w:left="0" w:firstLine="0"/>
        <w:rPr>
          <w:b/>
        </w:rPr>
      </w:pPr>
    </w:p>
    <w:p>
      <w:pPr>
        <w:pStyle w:val="BodyText"/>
        <w:spacing w:before="10"/>
        <w:ind w:left="0" w:firstLine="0"/>
        <w:rPr>
          <w:b/>
          <w:sz w:val="23"/>
        </w:rPr>
      </w:pPr>
    </w:p>
    <w:p>
      <w:pPr>
        <w:pStyle w:val="Heading2"/>
        <w:spacing w:line="360" w:lineRule="auto" w:before="93"/>
        <w:ind w:left="1666" w:right="1584"/>
        <w:jc w:val="center"/>
      </w:pPr>
      <w:r>
        <w:rPr/>
        <w:t>Minutes of the Working Group on Sterling Risk-Free Reference Rates Thursday 5</w:t>
      </w:r>
      <w:r>
        <w:rPr>
          <w:position w:val="7"/>
          <w:sz w:val="13"/>
        </w:rPr>
        <w:t>th </w:t>
      </w:r>
      <w:r>
        <w:rPr/>
        <w:t>December 2019</w:t>
      </w:r>
    </w:p>
    <w:p>
      <w:pPr>
        <w:spacing w:before="6"/>
        <w:ind w:left="1664" w:right="1584" w:firstLine="0"/>
        <w:jc w:val="center"/>
        <w:rPr>
          <w:b/>
          <w:sz w:val="20"/>
        </w:rPr>
      </w:pPr>
      <w:r>
        <w:rPr>
          <w:b/>
          <w:sz w:val="20"/>
        </w:rPr>
        <w:t>Bank of England, Threadneedle Street, EC2R 8AH</w:t>
      </w:r>
    </w:p>
    <w:p>
      <w:pPr>
        <w:pStyle w:val="BodyText"/>
        <w:spacing w:before="11"/>
        <w:ind w:left="0" w:firstLine="0"/>
        <w:rPr>
          <w:b/>
          <w:sz w:val="30"/>
        </w:rPr>
      </w:pPr>
    </w:p>
    <w:p>
      <w:pPr>
        <w:spacing w:before="0"/>
        <w:ind w:left="197" w:right="0" w:firstLine="0"/>
        <w:jc w:val="left"/>
        <w:rPr>
          <w:b/>
          <w:sz w:val="20"/>
        </w:rPr>
      </w:pPr>
      <w:r>
        <w:rPr>
          <w:b/>
          <w:sz w:val="20"/>
        </w:rPr>
        <w:t>Agenda</w:t>
      </w:r>
    </w:p>
    <w:p>
      <w:pPr>
        <w:pStyle w:val="ListParagraph"/>
        <w:numPr>
          <w:ilvl w:val="0"/>
          <w:numId w:val="1"/>
        </w:numPr>
        <w:tabs>
          <w:tab w:pos="918" w:val="left" w:leader="none"/>
        </w:tabs>
        <w:spacing w:line="240" w:lineRule="auto" w:before="115" w:after="0"/>
        <w:ind w:left="917" w:right="0" w:hanging="361"/>
        <w:jc w:val="left"/>
        <w:rPr>
          <w:sz w:val="20"/>
        </w:rPr>
      </w:pPr>
      <w:r>
        <w:rPr>
          <w:sz w:val="20"/>
        </w:rPr>
        <w:t>Standing</w:t>
      </w:r>
      <w:r>
        <w:rPr>
          <w:spacing w:val="-1"/>
          <w:sz w:val="20"/>
        </w:rPr>
        <w:t> </w:t>
      </w:r>
      <w:r>
        <w:rPr>
          <w:sz w:val="20"/>
        </w:rPr>
        <w:t>Items</w:t>
      </w:r>
    </w:p>
    <w:p>
      <w:pPr>
        <w:pStyle w:val="ListParagraph"/>
        <w:numPr>
          <w:ilvl w:val="1"/>
          <w:numId w:val="1"/>
        </w:numPr>
        <w:tabs>
          <w:tab w:pos="1638" w:val="left" w:leader="none"/>
        </w:tabs>
        <w:spacing w:line="240" w:lineRule="auto" w:before="116" w:after="0"/>
        <w:ind w:left="1637" w:right="0" w:hanging="361"/>
        <w:jc w:val="left"/>
        <w:rPr>
          <w:sz w:val="20"/>
        </w:rPr>
      </w:pPr>
      <w:r>
        <w:rPr>
          <w:sz w:val="20"/>
        </w:rPr>
        <w:t>Welcome &amp;</w:t>
      </w:r>
      <w:r>
        <w:rPr>
          <w:spacing w:val="-3"/>
          <w:sz w:val="20"/>
        </w:rPr>
        <w:t> </w:t>
      </w:r>
      <w:r>
        <w:rPr>
          <w:sz w:val="20"/>
        </w:rPr>
        <w:t>Introductions</w:t>
      </w:r>
    </w:p>
    <w:p>
      <w:pPr>
        <w:pStyle w:val="ListParagraph"/>
        <w:numPr>
          <w:ilvl w:val="1"/>
          <w:numId w:val="1"/>
        </w:numPr>
        <w:tabs>
          <w:tab w:pos="1638" w:val="left" w:leader="none"/>
        </w:tabs>
        <w:spacing w:line="240" w:lineRule="auto" w:before="116" w:after="0"/>
        <w:ind w:left="1637" w:right="0" w:hanging="361"/>
        <w:jc w:val="left"/>
        <w:rPr>
          <w:sz w:val="20"/>
        </w:rPr>
      </w:pPr>
      <w:r>
        <w:rPr>
          <w:sz w:val="20"/>
        </w:rPr>
        <w:t>Competition</w:t>
      </w:r>
      <w:r>
        <w:rPr>
          <w:spacing w:val="-1"/>
          <w:sz w:val="20"/>
        </w:rPr>
        <w:t> </w:t>
      </w:r>
      <w:r>
        <w:rPr>
          <w:spacing w:val="2"/>
          <w:sz w:val="20"/>
        </w:rPr>
        <w:t>Law</w:t>
      </w:r>
    </w:p>
    <w:p>
      <w:pPr>
        <w:pStyle w:val="ListParagraph"/>
        <w:numPr>
          <w:ilvl w:val="1"/>
          <w:numId w:val="1"/>
        </w:numPr>
        <w:tabs>
          <w:tab w:pos="1637" w:val="left" w:leader="none"/>
          <w:tab w:pos="1638" w:val="left" w:leader="none"/>
        </w:tabs>
        <w:spacing w:line="240" w:lineRule="auto" w:before="113" w:after="0"/>
        <w:ind w:left="1637" w:right="0" w:hanging="361"/>
        <w:jc w:val="left"/>
        <w:rPr>
          <w:sz w:val="20"/>
        </w:rPr>
      </w:pPr>
      <w:r>
        <w:rPr>
          <w:sz w:val="20"/>
        </w:rPr>
        <w:t>Minutes of previous meeting</w:t>
      </w:r>
    </w:p>
    <w:p>
      <w:pPr>
        <w:pStyle w:val="ListParagraph"/>
        <w:numPr>
          <w:ilvl w:val="0"/>
          <w:numId w:val="1"/>
        </w:numPr>
        <w:tabs>
          <w:tab w:pos="918" w:val="left" w:leader="none"/>
        </w:tabs>
        <w:spacing w:line="240" w:lineRule="auto" w:before="115" w:after="0"/>
        <w:ind w:left="917" w:right="0" w:hanging="361"/>
        <w:jc w:val="left"/>
        <w:rPr>
          <w:sz w:val="20"/>
        </w:rPr>
      </w:pPr>
      <w:r>
        <w:rPr>
          <w:sz w:val="20"/>
        </w:rPr>
        <w:t>Progress over the past 12</w:t>
      </w:r>
      <w:r>
        <w:rPr>
          <w:spacing w:val="-3"/>
          <w:sz w:val="20"/>
        </w:rPr>
        <w:t> </w:t>
      </w:r>
      <w:r>
        <w:rPr>
          <w:sz w:val="20"/>
        </w:rPr>
        <w:t>months</w:t>
      </w:r>
    </w:p>
    <w:p>
      <w:pPr>
        <w:pStyle w:val="ListParagraph"/>
        <w:numPr>
          <w:ilvl w:val="0"/>
          <w:numId w:val="1"/>
        </w:numPr>
        <w:tabs>
          <w:tab w:pos="918" w:val="left" w:leader="none"/>
        </w:tabs>
        <w:spacing w:line="240" w:lineRule="auto" w:before="117" w:after="0"/>
        <w:ind w:left="917" w:right="0" w:hanging="361"/>
        <w:jc w:val="left"/>
        <w:rPr>
          <w:sz w:val="20"/>
        </w:rPr>
      </w:pPr>
      <w:r>
        <w:rPr>
          <w:sz w:val="20"/>
        </w:rPr>
        <w:t>Proposed roadmap and key milestones for LIBOR transition</w:t>
      </w:r>
      <w:r>
        <w:rPr>
          <w:spacing w:val="-13"/>
          <w:sz w:val="20"/>
        </w:rPr>
        <w:t> </w:t>
      </w:r>
      <w:r>
        <w:rPr>
          <w:sz w:val="20"/>
        </w:rPr>
        <w:t>discussion</w:t>
      </w:r>
    </w:p>
    <w:p>
      <w:pPr>
        <w:pStyle w:val="ListParagraph"/>
        <w:numPr>
          <w:ilvl w:val="1"/>
          <w:numId w:val="1"/>
        </w:numPr>
        <w:tabs>
          <w:tab w:pos="1638" w:val="left" w:leader="none"/>
        </w:tabs>
        <w:spacing w:line="240" w:lineRule="auto" w:before="115" w:after="0"/>
        <w:ind w:left="1637" w:right="0" w:hanging="361"/>
        <w:jc w:val="left"/>
        <w:rPr>
          <w:sz w:val="20"/>
        </w:rPr>
      </w:pPr>
      <w:r>
        <w:rPr>
          <w:sz w:val="20"/>
        </w:rPr>
        <w:t>Senior Advisory Group Update and RFR statement on 2020</w:t>
      </w:r>
      <w:r>
        <w:rPr>
          <w:spacing w:val="1"/>
          <w:sz w:val="20"/>
        </w:rPr>
        <w:t> </w:t>
      </w:r>
      <w:r>
        <w:rPr>
          <w:sz w:val="20"/>
        </w:rPr>
        <w:t>targets</w:t>
      </w:r>
    </w:p>
    <w:p>
      <w:pPr>
        <w:pStyle w:val="ListParagraph"/>
        <w:numPr>
          <w:ilvl w:val="0"/>
          <w:numId w:val="1"/>
        </w:numPr>
        <w:tabs>
          <w:tab w:pos="918" w:val="left" w:leader="none"/>
        </w:tabs>
        <w:spacing w:line="240" w:lineRule="auto" w:before="114" w:after="0"/>
        <w:ind w:left="917" w:right="0" w:hanging="361"/>
        <w:jc w:val="left"/>
        <w:rPr>
          <w:sz w:val="20"/>
        </w:rPr>
      </w:pPr>
      <w:r>
        <w:rPr>
          <w:sz w:val="20"/>
        </w:rPr>
        <w:t>New Task Force</w:t>
      </w:r>
      <w:r>
        <w:rPr>
          <w:spacing w:val="-2"/>
          <w:sz w:val="20"/>
        </w:rPr>
        <w:t> </w:t>
      </w:r>
      <w:r>
        <w:rPr>
          <w:sz w:val="20"/>
        </w:rPr>
        <w:t>Updates</w:t>
      </w:r>
    </w:p>
    <w:p>
      <w:pPr>
        <w:pStyle w:val="ListParagraph"/>
        <w:numPr>
          <w:ilvl w:val="1"/>
          <w:numId w:val="1"/>
        </w:numPr>
        <w:tabs>
          <w:tab w:pos="1638" w:val="left" w:leader="none"/>
        </w:tabs>
        <w:spacing w:line="240" w:lineRule="auto" w:before="115" w:after="0"/>
        <w:ind w:left="1637" w:right="0" w:hanging="361"/>
        <w:jc w:val="left"/>
        <w:rPr>
          <w:sz w:val="20"/>
        </w:rPr>
      </w:pPr>
      <w:r>
        <w:rPr>
          <w:sz w:val="20"/>
        </w:rPr>
        <w:t>Loan Enablers</w:t>
      </w:r>
    </w:p>
    <w:p>
      <w:pPr>
        <w:pStyle w:val="ListParagraph"/>
        <w:numPr>
          <w:ilvl w:val="1"/>
          <w:numId w:val="1"/>
        </w:numPr>
        <w:tabs>
          <w:tab w:pos="1638" w:val="left" w:leader="none"/>
        </w:tabs>
        <w:spacing w:line="240" w:lineRule="auto" w:before="116" w:after="0"/>
        <w:ind w:left="1637" w:right="0" w:hanging="361"/>
        <w:jc w:val="left"/>
        <w:rPr>
          <w:sz w:val="20"/>
        </w:rPr>
      </w:pPr>
      <w:r>
        <w:rPr>
          <w:sz w:val="20"/>
        </w:rPr>
        <w:t>Cash Legacy Task</w:t>
      </w:r>
      <w:r>
        <w:rPr>
          <w:spacing w:val="-3"/>
          <w:sz w:val="20"/>
        </w:rPr>
        <w:t> </w:t>
      </w:r>
      <w:r>
        <w:rPr>
          <w:sz w:val="20"/>
        </w:rPr>
        <w:t>Force</w:t>
      </w:r>
    </w:p>
    <w:p>
      <w:pPr>
        <w:pStyle w:val="ListParagraph"/>
        <w:numPr>
          <w:ilvl w:val="1"/>
          <w:numId w:val="1"/>
        </w:numPr>
        <w:tabs>
          <w:tab w:pos="1637" w:val="left" w:leader="none"/>
          <w:tab w:pos="1638" w:val="left" w:leader="none"/>
        </w:tabs>
        <w:spacing w:line="240" w:lineRule="auto" w:before="115" w:after="0"/>
        <w:ind w:left="1637" w:right="0" w:hanging="361"/>
        <w:jc w:val="left"/>
        <w:rPr>
          <w:sz w:val="20"/>
        </w:rPr>
      </w:pPr>
      <w:r>
        <w:rPr>
          <w:sz w:val="20"/>
        </w:rPr>
        <w:t>Tough</w:t>
      </w:r>
      <w:r>
        <w:rPr>
          <w:spacing w:val="-1"/>
          <w:sz w:val="20"/>
        </w:rPr>
        <w:t> </w:t>
      </w:r>
      <w:r>
        <w:rPr>
          <w:sz w:val="20"/>
        </w:rPr>
        <w:t>Legacy</w:t>
      </w:r>
    </w:p>
    <w:p>
      <w:pPr>
        <w:pStyle w:val="ListParagraph"/>
        <w:numPr>
          <w:ilvl w:val="0"/>
          <w:numId w:val="1"/>
        </w:numPr>
        <w:tabs>
          <w:tab w:pos="918" w:val="left" w:leader="none"/>
        </w:tabs>
        <w:spacing w:line="240" w:lineRule="auto" w:before="114" w:after="0"/>
        <w:ind w:left="917" w:right="0" w:hanging="361"/>
        <w:jc w:val="left"/>
        <w:rPr>
          <w:sz w:val="20"/>
        </w:rPr>
      </w:pPr>
      <w:r>
        <w:rPr>
          <w:sz w:val="20"/>
        </w:rPr>
        <w:t>Sub-group and Task Force updates</w:t>
      </w:r>
    </w:p>
    <w:p>
      <w:pPr>
        <w:pStyle w:val="ListParagraph"/>
        <w:numPr>
          <w:ilvl w:val="1"/>
          <w:numId w:val="1"/>
        </w:numPr>
        <w:tabs>
          <w:tab w:pos="1638" w:val="left" w:leader="none"/>
        </w:tabs>
        <w:spacing w:line="240" w:lineRule="auto" w:before="115" w:after="0"/>
        <w:ind w:left="1637" w:right="0" w:hanging="361"/>
        <w:jc w:val="left"/>
        <w:rPr>
          <w:sz w:val="20"/>
        </w:rPr>
      </w:pPr>
      <w:r>
        <w:rPr>
          <w:sz w:val="20"/>
        </w:rPr>
        <w:t>Loans</w:t>
      </w:r>
      <w:r>
        <w:rPr>
          <w:spacing w:val="1"/>
          <w:sz w:val="20"/>
        </w:rPr>
        <w:t> </w:t>
      </w:r>
      <w:r>
        <w:rPr>
          <w:sz w:val="20"/>
        </w:rPr>
        <w:t>Sub-Group</w:t>
      </w:r>
    </w:p>
    <w:p>
      <w:pPr>
        <w:pStyle w:val="ListParagraph"/>
        <w:numPr>
          <w:ilvl w:val="1"/>
          <w:numId w:val="1"/>
        </w:numPr>
        <w:tabs>
          <w:tab w:pos="1638" w:val="left" w:leader="none"/>
        </w:tabs>
        <w:spacing w:line="240" w:lineRule="auto" w:before="116" w:after="0"/>
        <w:ind w:left="1637" w:right="0" w:hanging="361"/>
        <w:jc w:val="left"/>
        <w:rPr>
          <w:sz w:val="20"/>
        </w:rPr>
      </w:pPr>
      <w:r>
        <w:rPr>
          <w:sz w:val="20"/>
        </w:rPr>
        <w:t>Infrastructure</w:t>
      </w:r>
      <w:r>
        <w:rPr>
          <w:spacing w:val="-2"/>
          <w:sz w:val="20"/>
        </w:rPr>
        <w:t> </w:t>
      </w:r>
      <w:r>
        <w:rPr>
          <w:sz w:val="20"/>
        </w:rPr>
        <w:t>Sub-Group</w:t>
      </w:r>
    </w:p>
    <w:p>
      <w:pPr>
        <w:pStyle w:val="ListParagraph"/>
        <w:numPr>
          <w:ilvl w:val="2"/>
          <w:numId w:val="1"/>
        </w:numPr>
        <w:tabs>
          <w:tab w:pos="2358" w:val="left" w:leader="none"/>
        </w:tabs>
        <w:spacing w:line="240" w:lineRule="auto" w:before="115" w:after="0"/>
        <w:ind w:left="2357" w:right="0" w:hanging="282"/>
        <w:jc w:val="left"/>
        <w:rPr>
          <w:sz w:val="20"/>
        </w:rPr>
      </w:pPr>
      <w:r>
        <w:rPr>
          <w:sz w:val="20"/>
        </w:rPr>
        <w:t>Treasury management systems</w:t>
      </w:r>
      <w:r>
        <w:rPr>
          <w:spacing w:val="-9"/>
          <w:sz w:val="20"/>
        </w:rPr>
        <w:t> </w:t>
      </w:r>
      <w:r>
        <w:rPr>
          <w:sz w:val="20"/>
        </w:rPr>
        <w:t>roundtable</w:t>
      </w:r>
    </w:p>
    <w:p>
      <w:pPr>
        <w:pStyle w:val="ListParagraph"/>
        <w:numPr>
          <w:ilvl w:val="1"/>
          <w:numId w:val="1"/>
        </w:numPr>
        <w:tabs>
          <w:tab w:pos="1637" w:val="left" w:leader="none"/>
          <w:tab w:pos="1638" w:val="left" w:leader="none"/>
        </w:tabs>
        <w:spacing w:line="240" w:lineRule="auto" w:before="15" w:after="0"/>
        <w:ind w:left="1637" w:right="0" w:hanging="361"/>
        <w:jc w:val="left"/>
        <w:rPr>
          <w:sz w:val="20"/>
        </w:rPr>
      </w:pPr>
      <w:r>
        <w:rPr>
          <w:sz w:val="20"/>
        </w:rPr>
        <w:t>Communications</w:t>
      </w:r>
      <w:r>
        <w:rPr>
          <w:spacing w:val="-1"/>
          <w:sz w:val="20"/>
        </w:rPr>
        <w:t> </w:t>
      </w:r>
      <w:r>
        <w:rPr>
          <w:sz w:val="20"/>
        </w:rPr>
        <w:t>Sub-Group</w:t>
      </w:r>
    </w:p>
    <w:p>
      <w:pPr>
        <w:pStyle w:val="ListParagraph"/>
        <w:numPr>
          <w:ilvl w:val="2"/>
          <w:numId w:val="1"/>
        </w:numPr>
        <w:tabs>
          <w:tab w:pos="2358" w:val="left" w:leader="none"/>
        </w:tabs>
        <w:spacing w:line="240" w:lineRule="auto" w:before="16" w:after="0"/>
        <w:ind w:left="2357" w:right="0" w:hanging="282"/>
        <w:jc w:val="left"/>
        <w:rPr>
          <w:sz w:val="20"/>
        </w:rPr>
      </w:pPr>
      <w:r>
        <w:rPr>
          <w:sz w:val="20"/>
        </w:rPr>
        <w:t>Factsheet for</w:t>
      </w:r>
      <w:r>
        <w:rPr>
          <w:spacing w:val="-3"/>
          <w:sz w:val="20"/>
        </w:rPr>
        <w:t> </w:t>
      </w:r>
      <w:r>
        <w:rPr>
          <w:sz w:val="20"/>
        </w:rPr>
        <w:t>publication</w:t>
      </w:r>
    </w:p>
    <w:p>
      <w:pPr>
        <w:pStyle w:val="ListParagraph"/>
        <w:numPr>
          <w:ilvl w:val="1"/>
          <w:numId w:val="1"/>
        </w:numPr>
        <w:tabs>
          <w:tab w:pos="1638" w:val="left" w:leader="none"/>
        </w:tabs>
        <w:spacing w:line="240" w:lineRule="auto" w:before="14" w:after="0"/>
        <w:ind w:left="1637" w:right="0" w:hanging="361"/>
        <w:jc w:val="left"/>
        <w:rPr>
          <w:sz w:val="20"/>
        </w:rPr>
      </w:pPr>
      <w:r>
        <w:rPr>
          <w:sz w:val="20"/>
        </w:rPr>
        <w:t>Pensions and Insurers</w:t>
      </w:r>
      <w:r>
        <w:rPr>
          <w:spacing w:val="-2"/>
          <w:sz w:val="20"/>
        </w:rPr>
        <w:t> </w:t>
      </w:r>
      <w:r>
        <w:rPr>
          <w:sz w:val="20"/>
        </w:rPr>
        <w:t>Sub-Group</w:t>
      </w:r>
    </w:p>
    <w:p>
      <w:pPr>
        <w:pStyle w:val="ListParagraph"/>
        <w:numPr>
          <w:ilvl w:val="1"/>
          <w:numId w:val="1"/>
        </w:numPr>
        <w:tabs>
          <w:tab w:pos="1638" w:val="left" w:leader="none"/>
        </w:tabs>
        <w:spacing w:line="240" w:lineRule="auto" w:before="116" w:after="0"/>
        <w:ind w:left="1637" w:right="0" w:hanging="361"/>
        <w:jc w:val="left"/>
        <w:rPr>
          <w:sz w:val="20"/>
        </w:rPr>
      </w:pPr>
      <w:r>
        <w:rPr>
          <w:sz w:val="20"/>
        </w:rPr>
        <w:t>Term Rate Use Case Task</w:t>
      </w:r>
      <w:r>
        <w:rPr>
          <w:spacing w:val="3"/>
          <w:sz w:val="20"/>
        </w:rPr>
        <w:t> </w:t>
      </w:r>
      <w:r>
        <w:rPr>
          <w:sz w:val="20"/>
        </w:rPr>
        <w:t>Force</w:t>
      </w:r>
    </w:p>
    <w:p>
      <w:pPr>
        <w:pStyle w:val="ListParagraph"/>
        <w:numPr>
          <w:ilvl w:val="0"/>
          <w:numId w:val="1"/>
        </w:numPr>
        <w:tabs>
          <w:tab w:pos="918" w:val="left" w:leader="none"/>
        </w:tabs>
        <w:spacing w:line="240" w:lineRule="auto" w:before="116" w:after="0"/>
        <w:ind w:left="917" w:right="0" w:hanging="361"/>
        <w:jc w:val="left"/>
        <w:rPr>
          <w:sz w:val="20"/>
        </w:rPr>
      </w:pPr>
      <w:r>
        <w:rPr>
          <w:sz w:val="20"/>
        </w:rPr>
        <w:t>Bond</w:t>
      </w:r>
      <w:r>
        <w:rPr>
          <w:spacing w:val="-1"/>
          <w:sz w:val="20"/>
        </w:rPr>
        <w:t> </w:t>
      </w:r>
      <w:r>
        <w:rPr>
          <w:sz w:val="20"/>
        </w:rPr>
        <w:t>Market</w:t>
      </w:r>
    </w:p>
    <w:p>
      <w:pPr>
        <w:pStyle w:val="ListParagraph"/>
        <w:numPr>
          <w:ilvl w:val="1"/>
          <w:numId w:val="1"/>
        </w:numPr>
        <w:tabs>
          <w:tab w:pos="1638" w:val="left" w:leader="none"/>
        </w:tabs>
        <w:spacing w:line="360" w:lineRule="auto" w:before="113" w:after="0"/>
        <w:ind w:left="1637" w:right="1003" w:hanging="360"/>
        <w:jc w:val="left"/>
        <w:rPr>
          <w:sz w:val="20"/>
        </w:rPr>
      </w:pPr>
      <w:r>
        <w:rPr>
          <w:sz w:val="20"/>
        </w:rPr>
        <w:t>Sub-Group to present considerations and a statement on consent solicitations</w:t>
      </w:r>
      <w:r>
        <w:rPr>
          <w:spacing w:val="-25"/>
          <w:sz w:val="20"/>
        </w:rPr>
        <w:t> </w:t>
      </w:r>
      <w:r>
        <w:rPr>
          <w:sz w:val="20"/>
        </w:rPr>
        <w:t>for endorsement from the Risk-Free Rate Working</w:t>
      </w:r>
      <w:r>
        <w:rPr>
          <w:spacing w:val="-6"/>
          <w:sz w:val="20"/>
        </w:rPr>
        <w:t> </w:t>
      </w:r>
      <w:r>
        <w:rPr>
          <w:sz w:val="20"/>
        </w:rPr>
        <w:t>Group</w:t>
      </w:r>
    </w:p>
    <w:p>
      <w:pPr>
        <w:pStyle w:val="ListParagraph"/>
        <w:numPr>
          <w:ilvl w:val="0"/>
          <w:numId w:val="1"/>
        </w:numPr>
        <w:tabs>
          <w:tab w:pos="918" w:val="left" w:leader="none"/>
        </w:tabs>
        <w:spacing w:line="240" w:lineRule="auto" w:before="1" w:after="0"/>
        <w:ind w:left="917" w:right="0" w:hanging="361"/>
        <w:jc w:val="left"/>
        <w:rPr>
          <w:sz w:val="20"/>
        </w:rPr>
      </w:pPr>
      <w:r>
        <w:rPr>
          <w:sz w:val="20"/>
        </w:rPr>
        <w:t>Conventions on swaptions and non-linear</w:t>
      </w:r>
      <w:r>
        <w:rPr>
          <w:spacing w:val="1"/>
          <w:sz w:val="20"/>
        </w:rPr>
        <w:t> </w:t>
      </w:r>
      <w:r>
        <w:rPr>
          <w:sz w:val="20"/>
        </w:rPr>
        <w:t>products</w:t>
      </w:r>
    </w:p>
    <w:p>
      <w:pPr>
        <w:pStyle w:val="ListParagraph"/>
        <w:numPr>
          <w:ilvl w:val="1"/>
          <w:numId w:val="1"/>
        </w:numPr>
        <w:tabs>
          <w:tab w:pos="1638" w:val="left" w:leader="none"/>
        </w:tabs>
        <w:spacing w:line="240" w:lineRule="auto" w:before="116" w:after="0"/>
        <w:ind w:left="1637" w:right="0" w:hanging="361"/>
        <w:jc w:val="left"/>
        <w:rPr>
          <w:sz w:val="20"/>
        </w:rPr>
      </w:pPr>
      <w:r>
        <w:rPr>
          <w:sz w:val="20"/>
        </w:rPr>
        <w:t>Update on questionnaire to main swaptions dealers with preferred</w:t>
      </w:r>
      <w:r>
        <w:rPr>
          <w:spacing w:val="-12"/>
          <w:sz w:val="20"/>
        </w:rPr>
        <w:t> </w:t>
      </w:r>
      <w:r>
        <w:rPr>
          <w:sz w:val="20"/>
        </w:rPr>
        <w:t>conventions</w:t>
      </w:r>
    </w:p>
    <w:p>
      <w:pPr>
        <w:pStyle w:val="ListParagraph"/>
        <w:numPr>
          <w:ilvl w:val="0"/>
          <w:numId w:val="1"/>
        </w:numPr>
        <w:tabs>
          <w:tab w:pos="918" w:val="left" w:leader="none"/>
        </w:tabs>
        <w:spacing w:line="240" w:lineRule="auto" w:before="113" w:after="0"/>
        <w:ind w:left="917" w:right="0" w:hanging="361"/>
        <w:jc w:val="left"/>
        <w:rPr>
          <w:sz w:val="20"/>
        </w:rPr>
      </w:pPr>
      <w:r>
        <w:rPr>
          <w:sz w:val="20"/>
        </w:rPr>
        <w:t>ISDA consultation summary and next</w:t>
      </w:r>
      <w:r>
        <w:rPr>
          <w:spacing w:val="-5"/>
          <w:sz w:val="20"/>
        </w:rPr>
        <w:t> </w:t>
      </w:r>
      <w:r>
        <w:rPr>
          <w:sz w:val="20"/>
        </w:rPr>
        <w:t>steps</w:t>
      </w:r>
    </w:p>
    <w:p>
      <w:pPr>
        <w:pStyle w:val="ListParagraph"/>
        <w:numPr>
          <w:ilvl w:val="0"/>
          <w:numId w:val="1"/>
        </w:numPr>
        <w:tabs>
          <w:tab w:pos="918" w:val="left" w:leader="none"/>
        </w:tabs>
        <w:spacing w:line="240" w:lineRule="auto" w:before="116" w:after="0"/>
        <w:ind w:left="917" w:right="0" w:hanging="361"/>
        <w:jc w:val="left"/>
        <w:rPr>
          <w:sz w:val="20"/>
        </w:rPr>
      </w:pPr>
      <w:r>
        <w:rPr>
          <w:sz w:val="20"/>
        </w:rPr>
        <w:t>Update on OIS streaming</w:t>
      </w:r>
      <w:r>
        <w:rPr>
          <w:spacing w:val="-5"/>
          <w:sz w:val="20"/>
        </w:rPr>
        <w:t> </w:t>
      </w:r>
      <w:r>
        <w:rPr>
          <w:sz w:val="20"/>
        </w:rPr>
        <w:t>progress</w:t>
      </w:r>
    </w:p>
    <w:p>
      <w:pPr>
        <w:pStyle w:val="ListParagraph"/>
        <w:numPr>
          <w:ilvl w:val="0"/>
          <w:numId w:val="1"/>
        </w:numPr>
        <w:tabs>
          <w:tab w:pos="918" w:val="left" w:leader="none"/>
        </w:tabs>
        <w:spacing w:line="240" w:lineRule="auto" w:before="115" w:after="0"/>
        <w:ind w:left="917" w:right="0" w:hanging="361"/>
        <w:jc w:val="left"/>
        <w:rPr>
          <w:sz w:val="20"/>
        </w:rPr>
      </w:pPr>
      <w:r>
        <w:rPr>
          <w:sz w:val="20"/>
        </w:rPr>
        <w:t>AOB</w:t>
      </w:r>
    </w:p>
    <w:p>
      <w:pPr>
        <w:spacing w:after="0" w:line="240" w:lineRule="auto"/>
        <w:jc w:val="left"/>
        <w:rPr>
          <w:sz w:val="20"/>
        </w:rPr>
        <w:sectPr>
          <w:footerReference w:type="default" r:id="rId5"/>
          <w:type w:val="continuous"/>
          <w:pgSz w:w="11910" w:h="16840"/>
          <w:pgMar w:footer="717" w:top="720" w:bottom="900" w:left="1080" w:right="1020"/>
          <w:pgNumType w:start="1"/>
        </w:sectPr>
      </w:pPr>
    </w:p>
    <w:p>
      <w:pPr>
        <w:pStyle w:val="Heading2"/>
        <w:spacing w:before="75"/>
      </w:pPr>
      <w:r>
        <w:rPr/>
        <w:t>Standing Items</w:t>
      </w:r>
    </w:p>
    <w:p>
      <w:pPr>
        <w:pStyle w:val="BodyText"/>
        <w:spacing w:before="6"/>
        <w:ind w:left="0" w:firstLine="0"/>
        <w:rPr>
          <w:b/>
        </w:rPr>
      </w:pPr>
    </w:p>
    <w:p>
      <w:pPr>
        <w:pStyle w:val="ListParagraph"/>
        <w:numPr>
          <w:ilvl w:val="0"/>
          <w:numId w:val="2"/>
        </w:numPr>
        <w:tabs>
          <w:tab w:pos="558" w:val="left" w:leader="none"/>
        </w:tabs>
        <w:spacing w:line="360" w:lineRule="auto" w:before="0" w:after="0"/>
        <w:ind w:left="557" w:right="112" w:hanging="360"/>
        <w:jc w:val="both"/>
        <w:rPr>
          <w:sz w:val="20"/>
        </w:rPr>
      </w:pPr>
      <w:r>
        <w:rPr>
          <w:sz w:val="20"/>
        </w:rPr>
        <w:t>The Chair welcomed attendees. The Working Group’s General Counsel (Greg Olsen), reminded firms of their competition law</w:t>
      </w:r>
      <w:r>
        <w:rPr>
          <w:spacing w:val="-2"/>
          <w:sz w:val="20"/>
        </w:rPr>
        <w:t> </w:t>
      </w:r>
      <w:r>
        <w:rPr>
          <w:sz w:val="20"/>
        </w:rPr>
        <w:t>responsibilities.</w:t>
      </w:r>
    </w:p>
    <w:p>
      <w:pPr>
        <w:pStyle w:val="ListParagraph"/>
        <w:numPr>
          <w:ilvl w:val="0"/>
          <w:numId w:val="2"/>
        </w:numPr>
        <w:tabs>
          <w:tab w:pos="558" w:val="left" w:leader="none"/>
        </w:tabs>
        <w:spacing w:line="240" w:lineRule="auto" w:before="124" w:after="0"/>
        <w:ind w:left="557" w:right="0" w:hanging="361"/>
        <w:jc w:val="left"/>
        <w:rPr>
          <w:sz w:val="20"/>
        </w:rPr>
      </w:pPr>
      <w:r>
        <w:rPr>
          <w:sz w:val="20"/>
        </w:rPr>
        <w:t>The Working Group approved the minutes of the previous</w:t>
      </w:r>
      <w:r>
        <w:rPr>
          <w:spacing w:val="-10"/>
          <w:sz w:val="20"/>
        </w:rPr>
        <w:t> </w:t>
      </w:r>
      <w:r>
        <w:rPr>
          <w:sz w:val="20"/>
        </w:rPr>
        <w:t>meeting.</w:t>
      </w:r>
    </w:p>
    <w:p>
      <w:pPr>
        <w:pStyle w:val="BodyText"/>
        <w:spacing w:before="10"/>
        <w:ind w:left="0" w:firstLine="0"/>
        <w:rPr>
          <w:sz w:val="19"/>
        </w:rPr>
      </w:pPr>
    </w:p>
    <w:p>
      <w:pPr>
        <w:pStyle w:val="Heading2"/>
        <w:spacing w:before="0"/>
      </w:pPr>
      <w:r>
        <w:rPr/>
        <w:t>Progress over the past 12 months</w:t>
      </w:r>
    </w:p>
    <w:p>
      <w:pPr>
        <w:pStyle w:val="BodyText"/>
        <w:spacing w:before="8"/>
        <w:ind w:left="0" w:firstLine="0"/>
        <w:rPr>
          <w:b/>
        </w:rPr>
      </w:pPr>
    </w:p>
    <w:p>
      <w:pPr>
        <w:pStyle w:val="ListParagraph"/>
        <w:numPr>
          <w:ilvl w:val="0"/>
          <w:numId w:val="2"/>
        </w:numPr>
        <w:tabs>
          <w:tab w:pos="558" w:val="left" w:leader="none"/>
        </w:tabs>
        <w:spacing w:line="240" w:lineRule="auto" w:before="0" w:after="0"/>
        <w:ind w:left="557" w:right="0" w:hanging="361"/>
        <w:jc w:val="left"/>
        <w:rPr>
          <w:sz w:val="20"/>
        </w:rPr>
      </w:pPr>
      <w:r>
        <w:rPr>
          <w:sz w:val="20"/>
        </w:rPr>
        <w:t>The Chair provided a summary of the progress made in transition away from LIBOR in</w:t>
      </w:r>
      <w:r>
        <w:rPr>
          <w:spacing w:val="-15"/>
          <w:sz w:val="20"/>
        </w:rPr>
        <w:t> </w:t>
      </w:r>
      <w:r>
        <w:rPr>
          <w:sz w:val="20"/>
        </w:rPr>
        <w:t>2019.</w:t>
      </w:r>
    </w:p>
    <w:p>
      <w:pPr>
        <w:pStyle w:val="BodyText"/>
        <w:spacing w:before="3"/>
        <w:ind w:left="0" w:firstLine="0"/>
      </w:pPr>
    </w:p>
    <w:p>
      <w:pPr>
        <w:pStyle w:val="Heading2"/>
        <w:spacing w:before="0"/>
      </w:pPr>
      <w:r>
        <w:rPr/>
        <w:t>Proposed roadmap and key milestones for LIBOR transition</w:t>
      </w:r>
    </w:p>
    <w:p>
      <w:pPr>
        <w:pStyle w:val="BodyText"/>
        <w:spacing w:before="8"/>
        <w:ind w:left="0" w:firstLine="0"/>
        <w:rPr>
          <w:b/>
        </w:rPr>
      </w:pPr>
    </w:p>
    <w:p>
      <w:pPr>
        <w:pStyle w:val="ListParagraph"/>
        <w:numPr>
          <w:ilvl w:val="0"/>
          <w:numId w:val="2"/>
        </w:numPr>
        <w:tabs>
          <w:tab w:pos="558" w:val="left" w:leader="none"/>
        </w:tabs>
        <w:spacing w:line="360" w:lineRule="auto" w:before="0" w:after="0"/>
        <w:ind w:left="557" w:right="113" w:hanging="360"/>
        <w:jc w:val="both"/>
        <w:rPr>
          <w:sz w:val="20"/>
        </w:rPr>
      </w:pPr>
      <w:r>
        <w:rPr>
          <w:sz w:val="20"/>
        </w:rPr>
        <w:t>A particular focus of the Working Group for 2020 would be its end Q3 2020 target for ceasing issuance of sterling LIBOR-based cash products maturing after 2021. Other priorities for 2020 are to maintain the prominence of SONIA compounded in arrears; progress a further shift of volumes from LIBOR to SONIA in derivatives markets; establish and communicate clear conditions and frameworks to manage transition of legacy LIBOR products; and provide market input on issues around Tough</w:t>
      </w:r>
      <w:r>
        <w:rPr>
          <w:spacing w:val="-11"/>
          <w:sz w:val="20"/>
        </w:rPr>
        <w:t> </w:t>
      </w:r>
      <w:r>
        <w:rPr>
          <w:sz w:val="20"/>
        </w:rPr>
        <w:t>Legacy.</w:t>
      </w:r>
    </w:p>
    <w:p>
      <w:pPr>
        <w:pStyle w:val="ListParagraph"/>
        <w:numPr>
          <w:ilvl w:val="0"/>
          <w:numId w:val="2"/>
        </w:numPr>
        <w:tabs>
          <w:tab w:pos="558" w:val="left" w:leader="none"/>
        </w:tabs>
        <w:spacing w:line="360" w:lineRule="auto" w:before="119" w:after="0"/>
        <w:ind w:left="557" w:right="120" w:hanging="360"/>
        <w:jc w:val="both"/>
        <w:rPr>
          <w:sz w:val="20"/>
        </w:rPr>
      </w:pPr>
      <w:r>
        <w:rPr>
          <w:sz w:val="20"/>
        </w:rPr>
        <w:t>The Chair reported that the Senior Advisory Group had also discussed the proposed priorities and milestones at its November meeting. Members were supportive of the plan and of the Working Group’s particular focus on the end-Q3</w:t>
      </w:r>
      <w:r>
        <w:rPr>
          <w:spacing w:val="-5"/>
          <w:sz w:val="20"/>
        </w:rPr>
        <w:t> </w:t>
      </w:r>
      <w:r>
        <w:rPr>
          <w:sz w:val="20"/>
        </w:rPr>
        <w:t>target.</w:t>
      </w:r>
    </w:p>
    <w:p>
      <w:pPr>
        <w:pStyle w:val="ListParagraph"/>
        <w:numPr>
          <w:ilvl w:val="0"/>
          <w:numId w:val="2"/>
        </w:numPr>
        <w:tabs>
          <w:tab w:pos="558" w:val="left" w:leader="none"/>
        </w:tabs>
        <w:spacing w:line="360" w:lineRule="auto" w:before="122" w:after="0"/>
        <w:ind w:left="557" w:right="119" w:hanging="360"/>
        <w:jc w:val="both"/>
        <w:rPr>
          <w:sz w:val="20"/>
        </w:rPr>
      </w:pPr>
      <w:r>
        <w:rPr>
          <w:sz w:val="20"/>
        </w:rPr>
        <w:t>The Chair said the invitation for expressions of interest to join the Loan Enablers, Cash Legacy Transition and Tough Legacy Task Forces was still live on the Bank of England website. Those who wish to join should contact the RFR</w:t>
      </w:r>
      <w:r>
        <w:rPr>
          <w:spacing w:val="-4"/>
          <w:sz w:val="20"/>
        </w:rPr>
        <w:t> </w:t>
      </w:r>
      <w:r>
        <w:rPr>
          <w:sz w:val="20"/>
        </w:rPr>
        <w:t>Secretariat.</w:t>
      </w:r>
    </w:p>
    <w:p>
      <w:pPr>
        <w:pStyle w:val="ListParagraph"/>
        <w:numPr>
          <w:ilvl w:val="0"/>
          <w:numId w:val="2"/>
        </w:numPr>
        <w:tabs>
          <w:tab w:pos="558" w:val="left" w:leader="none"/>
        </w:tabs>
        <w:spacing w:line="360" w:lineRule="auto" w:before="120" w:after="0"/>
        <w:ind w:left="557" w:right="107" w:hanging="360"/>
        <w:jc w:val="both"/>
        <w:rPr>
          <w:sz w:val="20"/>
        </w:rPr>
      </w:pPr>
      <w:r>
        <w:rPr>
          <w:sz w:val="20"/>
        </w:rPr>
        <w:t>Working Group members noted that targets were necessary and helpful and a level of specificity was important in order to make them meaningful and ‘focus minds’. Some members noted that Roadmap targets may be reliant on third parties (e.g. vendors) limiting individual firms’ ability to meet them. The targets were, by their nature, high level and had to cover many different products and</w:t>
      </w:r>
      <w:r>
        <w:rPr>
          <w:spacing w:val="-17"/>
          <w:sz w:val="20"/>
        </w:rPr>
        <w:t> </w:t>
      </w:r>
      <w:r>
        <w:rPr>
          <w:sz w:val="20"/>
        </w:rPr>
        <w:t>businesses.</w:t>
      </w:r>
    </w:p>
    <w:p>
      <w:pPr>
        <w:pStyle w:val="ListParagraph"/>
        <w:numPr>
          <w:ilvl w:val="0"/>
          <w:numId w:val="2"/>
        </w:numPr>
        <w:tabs>
          <w:tab w:pos="558" w:val="left" w:leader="none"/>
        </w:tabs>
        <w:spacing w:line="360" w:lineRule="auto" w:before="120" w:after="0"/>
        <w:ind w:left="557" w:right="106" w:hanging="360"/>
        <w:jc w:val="both"/>
        <w:rPr>
          <w:sz w:val="20"/>
        </w:rPr>
      </w:pPr>
      <w:r>
        <w:rPr>
          <w:sz w:val="20"/>
        </w:rPr>
        <w:t>Another major target in Q1 2020 would be to switch the standard trading convention from LIBOR to SONIA in the interest rate swap market. The Bank and FCA had held conversations with swap dealers to ensure there was good awareness of the proposed change that was being encouraged, to avoid any unintended consequences, with a view to proposing a firm date in the near</w:t>
      </w:r>
      <w:r>
        <w:rPr>
          <w:spacing w:val="-1"/>
          <w:sz w:val="20"/>
        </w:rPr>
        <w:t> </w:t>
      </w:r>
      <w:r>
        <w:rPr>
          <w:sz w:val="20"/>
        </w:rPr>
        <w:t>future.</w:t>
      </w:r>
    </w:p>
    <w:p>
      <w:pPr>
        <w:pStyle w:val="ListParagraph"/>
        <w:numPr>
          <w:ilvl w:val="0"/>
          <w:numId w:val="2"/>
        </w:numPr>
        <w:tabs>
          <w:tab w:pos="558" w:val="left" w:leader="none"/>
        </w:tabs>
        <w:spacing w:line="360" w:lineRule="auto" w:before="120" w:after="0"/>
        <w:ind w:left="557" w:right="108" w:hanging="360"/>
        <w:jc w:val="both"/>
        <w:rPr>
          <w:sz w:val="20"/>
        </w:rPr>
      </w:pPr>
      <w:r>
        <w:rPr>
          <w:sz w:val="20"/>
        </w:rPr>
        <w:t>The Chair asked members to send any final comments to the RFR Secretariat. The finalised Roadmap and Priorities for 2020 were due for publication in January and would be accompanied by a joint Bank of England, Financial Conduct Authority and Working Group</w:t>
      </w:r>
      <w:r>
        <w:rPr>
          <w:spacing w:val="-11"/>
          <w:sz w:val="20"/>
        </w:rPr>
        <w:t> </w:t>
      </w:r>
      <w:r>
        <w:rPr>
          <w:sz w:val="20"/>
        </w:rPr>
        <w:t>statement.</w:t>
      </w:r>
    </w:p>
    <w:p>
      <w:pPr>
        <w:pStyle w:val="Heading2"/>
        <w:spacing w:before="120"/>
        <w:jc w:val="both"/>
      </w:pPr>
      <w:r>
        <w:rPr/>
        <w:t>Loan Enablers Task Force</w:t>
      </w:r>
    </w:p>
    <w:p>
      <w:pPr>
        <w:pStyle w:val="BodyText"/>
        <w:spacing w:before="3"/>
        <w:ind w:left="0" w:firstLine="0"/>
        <w:rPr>
          <w:b/>
        </w:rPr>
      </w:pPr>
    </w:p>
    <w:p>
      <w:pPr>
        <w:pStyle w:val="ListParagraph"/>
        <w:numPr>
          <w:ilvl w:val="0"/>
          <w:numId w:val="2"/>
        </w:numPr>
        <w:tabs>
          <w:tab w:pos="558" w:val="left" w:leader="none"/>
        </w:tabs>
        <w:spacing w:line="360" w:lineRule="auto" w:before="1" w:after="0"/>
        <w:ind w:left="557" w:right="108" w:hanging="360"/>
        <w:jc w:val="both"/>
        <w:rPr>
          <w:sz w:val="20"/>
        </w:rPr>
      </w:pPr>
      <w:r>
        <w:rPr>
          <w:sz w:val="20"/>
        </w:rPr>
        <w:t>The Chair of the Loan Enablers Task Force introduced the planned work of the Task Force. The aim of the Task Force was to support the sterling loan market in the run-up to the Q3 2020 target for ceasing issuance of sterling LIBOR-based cash products maturing after 2021. The first deliverable would be a granular timeline leading to the end Q3 target date, for publication in Q1 2020, aiming to provide clarity on dependencies and enablers to the</w:t>
      </w:r>
      <w:r>
        <w:rPr>
          <w:spacing w:val="-2"/>
          <w:sz w:val="20"/>
        </w:rPr>
        <w:t> </w:t>
      </w:r>
      <w:r>
        <w:rPr>
          <w:sz w:val="20"/>
        </w:rPr>
        <w:t>market.</w:t>
      </w:r>
    </w:p>
    <w:p>
      <w:pPr>
        <w:pStyle w:val="ListParagraph"/>
        <w:numPr>
          <w:ilvl w:val="0"/>
          <w:numId w:val="2"/>
        </w:numPr>
        <w:tabs>
          <w:tab w:pos="558" w:val="left" w:leader="none"/>
        </w:tabs>
        <w:spacing w:line="360" w:lineRule="auto" w:before="120" w:after="0"/>
        <w:ind w:left="557" w:right="114" w:hanging="360"/>
        <w:jc w:val="both"/>
        <w:rPr>
          <w:sz w:val="20"/>
        </w:rPr>
      </w:pPr>
      <w:r>
        <w:rPr>
          <w:sz w:val="20"/>
        </w:rPr>
        <w:t>Membership from those with expertise in front office trading, infrastructure, origination functions and understanding of cash markets was called</w:t>
      </w:r>
      <w:r>
        <w:rPr>
          <w:spacing w:val="-1"/>
          <w:sz w:val="20"/>
        </w:rPr>
        <w:t> </w:t>
      </w:r>
      <w:r>
        <w:rPr>
          <w:sz w:val="20"/>
        </w:rPr>
        <w:t>for.</w:t>
      </w:r>
    </w:p>
    <w:p>
      <w:pPr>
        <w:spacing w:after="0" w:line="360" w:lineRule="auto"/>
        <w:jc w:val="both"/>
        <w:rPr>
          <w:sz w:val="20"/>
        </w:rPr>
        <w:sectPr>
          <w:pgSz w:w="11910" w:h="16840"/>
          <w:pgMar w:header="0" w:footer="717" w:top="1180" w:bottom="900" w:left="1080" w:right="1020"/>
        </w:sectPr>
      </w:pPr>
    </w:p>
    <w:p>
      <w:pPr>
        <w:pStyle w:val="ListParagraph"/>
        <w:numPr>
          <w:ilvl w:val="0"/>
          <w:numId w:val="2"/>
        </w:numPr>
        <w:tabs>
          <w:tab w:pos="613" w:val="left" w:leader="none"/>
        </w:tabs>
        <w:spacing w:line="360" w:lineRule="auto" w:before="78" w:after="0"/>
        <w:ind w:left="557" w:right="112" w:hanging="360"/>
        <w:jc w:val="both"/>
        <w:rPr>
          <w:sz w:val="20"/>
        </w:rPr>
      </w:pPr>
      <w:r>
        <w:rPr/>
        <w:tab/>
      </w:r>
      <w:r>
        <w:rPr>
          <w:sz w:val="20"/>
        </w:rPr>
        <w:t>The Bank of England said that it had held a Debt Capital Market Roundtable discussing SONIA implementation with major sterling lenders. FTSE 100 companies were seen </w:t>
      </w:r>
      <w:r>
        <w:rPr>
          <w:spacing w:val="4"/>
          <w:sz w:val="20"/>
        </w:rPr>
        <w:t>to </w:t>
      </w:r>
      <w:r>
        <w:rPr>
          <w:sz w:val="20"/>
        </w:rPr>
        <w:t>be more aware of LIBOR transition than at a similar meeting last year, smaller borrowers were behind but starting to act. The granular timeline for the end Q3 2020 target would therefore be</w:t>
      </w:r>
      <w:r>
        <w:rPr>
          <w:spacing w:val="-6"/>
          <w:sz w:val="20"/>
        </w:rPr>
        <w:t> </w:t>
      </w:r>
      <w:r>
        <w:rPr>
          <w:sz w:val="20"/>
        </w:rPr>
        <w:t>useful.</w:t>
      </w:r>
    </w:p>
    <w:p>
      <w:pPr>
        <w:pStyle w:val="Heading2"/>
        <w:spacing w:before="118"/>
        <w:jc w:val="both"/>
      </w:pPr>
      <w:r>
        <w:rPr/>
        <w:t>Cash Legacy Task Force</w:t>
      </w:r>
    </w:p>
    <w:p>
      <w:pPr>
        <w:pStyle w:val="BodyText"/>
        <w:spacing w:before="5"/>
        <w:ind w:left="0" w:firstLine="0"/>
        <w:rPr>
          <w:b/>
        </w:rPr>
      </w:pPr>
    </w:p>
    <w:p>
      <w:pPr>
        <w:pStyle w:val="ListParagraph"/>
        <w:numPr>
          <w:ilvl w:val="0"/>
          <w:numId w:val="2"/>
        </w:numPr>
        <w:tabs>
          <w:tab w:pos="558" w:val="left" w:leader="none"/>
        </w:tabs>
        <w:spacing w:line="360" w:lineRule="auto" w:before="0" w:after="0"/>
        <w:ind w:left="557" w:right="117" w:hanging="360"/>
        <w:jc w:val="left"/>
        <w:rPr>
          <w:sz w:val="20"/>
        </w:rPr>
      </w:pPr>
      <w:r>
        <w:rPr>
          <w:sz w:val="20"/>
        </w:rPr>
        <w:t>The Bank of England spoke on behalf of the Cash Legacy Task Force giving a summary of the terms of reference for the Task</w:t>
      </w:r>
      <w:r>
        <w:rPr>
          <w:spacing w:val="-1"/>
          <w:sz w:val="20"/>
        </w:rPr>
        <w:t> </w:t>
      </w:r>
      <w:r>
        <w:rPr>
          <w:sz w:val="20"/>
        </w:rPr>
        <w:t>Force.</w:t>
      </w:r>
    </w:p>
    <w:p>
      <w:pPr>
        <w:pStyle w:val="ListParagraph"/>
        <w:numPr>
          <w:ilvl w:val="0"/>
          <w:numId w:val="2"/>
        </w:numPr>
        <w:tabs>
          <w:tab w:pos="558" w:val="left" w:leader="none"/>
        </w:tabs>
        <w:spacing w:line="360" w:lineRule="auto" w:before="2" w:after="0"/>
        <w:ind w:left="557" w:right="116" w:hanging="360"/>
        <w:jc w:val="left"/>
        <w:rPr>
          <w:sz w:val="20"/>
        </w:rPr>
      </w:pPr>
      <w:r>
        <w:rPr>
          <w:sz w:val="20"/>
        </w:rPr>
        <w:t>The Task Force will produce outputs on supporting LIBOR transition in cash markets. It will also raise awareness of fallback language albeit active conversion is the primary</w:t>
      </w:r>
      <w:r>
        <w:rPr>
          <w:spacing w:val="-8"/>
          <w:sz w:val="20"/>
        </w:rPr>
        <w:t> </w:t>
      </w:r>
      <w:r>
        <w:rPr>
          <w:sz w:val="20"/>
        </w:rPr>
        <w:t>focus.</w:t>
      </w:r>
    </w:p>
    <w:p>
      <w:pPr>
        <w:pStyle w:val="ListParagraph"/>
        <w:numPr>
          <w:ilvl w:val="0"/>
          <w:numId w:val="2"/>
        </w:numPr>
        <w:tabs>
          <w:tab w:pos="558" w:val="left" w:leader="none"/>
        </w:tabs>
        <w:spacing w:line="360" w:lineRule="auto" w:before="0" w:after="0"/>
        <w:ind w:left="557" w:right="112" w:hanging="360"/>
        <w:jc w:val="left"/>
        <w:rPr>
          <w:sz w:val="20"/>
        </w:rPr>
      </w:pPr>
      <w:r>
        <w:rPr>
          <w:sz w:val="20"/>
        </w:rPr>
        <w:t>The Task Force’s first meeting will be in January and it has representation from buy-side and corporate members in addition to the sell-side, professional services and trade</w:t>
      </w:r>
      <w:r>
        <w:rPr>
          <w:spacing w:val="-6"/>
          <w:sz w:val="20"/>
        </w:rPr>
        <w:t> </w:t>
      </w:r>
      <w:r>
        <w:rPr>
          <w:sz w:val="20"/>
        </w:rPr>
        <w:t>associations.</w:t>
      </w:r>
    </w:p>
    <w:p>
      <w:pPr>
        <w:pStyle w:val="Heading2"/>
      </w:pPr>
      <w:r>
        <w:rPr/>
        <w:t>Tough Legacy Task Force</w:t>
      </w:r>
    </w:p>
    <w:p>
      <w:pPr>
        <w:pStyle w:val="BodyText"/>
        <w:spacing w:before="9"/>
        <w:ind w:left="0" w:firstLine="0"/>
        <w:rPr>
          <w:b/>
        </w:rPr>
      </w:pPr>
    </w:p>
    <w:p>
      <w:pPr>
        <w:pStyle w:val="ListParagraph"/>
        <w:numPr>
          <w:ilvl w:val="0"/>
          <w:numId w:val="2"/>
        </w:numPr>
        <w:tabs>
          <w:tab w:pos="558" w:val="left" w:leader="none"/>
        </w:tabs>
        <w:spacing w:line="360" w:lineRule="auto" w:before="0" w:after="0"/>
        <w:ind w:left="557" w:right="105" w:hanging="360"/>
        <w:jc w:val="both"/>
        <w:rPr>
          <w:sz w:val="20"/>
        </w:rPr>
      </w:pPr>
      <w:r>
        <w:rPr>
          <w:sz w:val="20"/>
        </w:rPr>
        <w:t>The Financial Conduct Authority provided an update on the work of the Tough legacy Task Force. The first in person meeting of the Task Force will happen in December. It intends to determine what is likely to fall into a working definition of Tough Legacy and what feasible remedies could be. The Chair of the Task Force reiterated that despite this work there should be no expectation of a ‘silver bullet’ to solve the problem and that firms needed to continue to engage in transitioning away from Libor wherever feasible.</w:t>
      </w:r>
    </w:p>
    <w:p>
      <w:pPr>
        <w:pStyle w:val="ListParagraph"/>
        <w:numPr>
          <w:ilvl w:val="0"/>
          <w:numId w:val="2"/>
        </w:numPr>
        <w:tabs>
          <w:tab w:pos="558" w:val="left" w:leader="none"/>
        </w:tabs>
        <w:spacing w:line="360" w:lineRule="auto" w:before="0" w:after="0"/>
        <w:ind w:left="557" w:right="111" w:hanging="360"/>
        <w:jc w:val="both"/>
        <w:rPr>
          <w:sz w:val="20"/>
        </w:rPr>
      </w:pPr>
      <w:r>
        <w:rPr>
          <w:sz w:val="20"/>
        </w:rPr>
        <w:t>The official sector summarised the roles that the three new Task Forces will occupy. The Loan Enablers Task Force deals with new products, Cash Market Legacy with products that can be transitioned and the Tough Legacy Task Force with products that cannot be</w:t>
      </w:r>
      <w:r>
        <w:rPr>
          <w:spacing w:val="-7"/>
          <w:sz w:val="20"/>
        </w:rPr>
        <w:t> </w:t>
      </w:r>
      <w:r>
        <w:rPr>
          <w:sz w:val="20"/>
        </w:rPr>
        <w:t>transitioned.</w:t>
      </w:r>
    </w:p>
    <w:p>
      <w:pPr>
        <w:pStyle w:val="Heading2"/>
        <w:spacing w:before="116"/>
        <w:jc w:val="both"/>
      </w:pPr>
      <w:r>
        <w:rPr/>
        <w:t>Loan Sub-Group</w:t>
      </w:r>
    </w:p>
    <w:p>
      <w:pPr>
        <w:pStyle w:val="BodyText"/>
        <w:spacing w:before="8"/>
        <w:ind w:left="0" w:firstLine="0"/>
        <w:rPr>
          <w:b/>
        </w:rPr>
      </w:pPr>
    </w:p>
    <w:p>
      <w:pPr>
        <w:pStyle w:val="ListParagraph"/>
        <w:numPr>
          <w:ilvl w:val="0"/>
          <w:numId w:val="2"/>
        </w:numPr>
        <w:tabs>
          <w:tab w:pos="558" w:val="left" w:leader="none"/>
        </w:tabs>
        <w:spacing w:line="360" w:lineRule="auto" w:before="1" w:after="0"/>
        <w:ind w:left="557" w:right="110" w:hanging="360"/>
        <w:jc w:val="both"/>
        <w:rPr>
          <w:sz w:val="20"/>
        </w:rPr>
      </w:pPr>
      <w:r>
        <w:rPr>
          <w:sz w:val="20"/>
        </w:rPr>
        <w:t>The Chair of the Sub-Group said that it had been focussing on the methodology of SONIA compounded in arrears, with feedback being sought on the approaches of ‘compounded rate’ and ‘compound balance’. The Sub-Group also continued to work with the Infrastructure Sub-Group looking at tools such as screen rates and calculators to support SONIA usage.</w:t>
      </w:r>
    </w:p>
    <w:p>
      <w:pPr>
        <w:pStyle w:val="Heading2"/>
        <w:jc w:val="both"/>
      </w:pPr>
      <w:r>
        <w:rPr/>
        <w:t>Infrastructure Sub-Group</w:t>
      </w:r>
    </w:p>
    <w:p>
      <w:pPr>
        <w:pStyle w:val="BodyText"/>
        <w:spacing w:before="8"/>
        <w:ind w:left="0" w:firstLine="0"/>
        <w:rPr>
          <w:b/>
        </w:rPr>
      </w:pPr>
    </w:p>
    <w:p>
      <w:pPr>
        <w:pStyle w:val="ListParagraph"/>
        <w:numPr>
          <w:ilvl w:val="0"/>
          <w:numId w:val="2"/>
        </w:numPr>
        <w:tabs>
          <w:tab w:pos="558" w:val="left" w:leader="none"/>
        </w:tabs>
        <w:spacing w:line="360" w:lineRule="auto" w:before="0" w:after="0"/>
        <w:ind w:left="557" w:right="134" w:hanging="360"/>
        <w:jc w:val="left"/>
        <w:rPr>
          <w:sz w:val="20"/>
        </w:rPr>
      </w:pPr>
      <w:r>
        <w:rPr>
          <w:sz w:val="20"/>
        </w:rPr>
        <w:t>The Chair of the Sub-Group said that a workshop with Treasury Management System providers is being organised to take place on 23 January 2020. The Sub-Group has also been looking into flexible compounding calculators as it had observed that calculation methods in the market lacked</w:t>
      </w:r>
      <w:r>
        <w:rPr>
          <w:spacing w:val="-25"/>
          <w:sz w:val="20"/>
        </w:rPr>
        <w:t> </w:t>
      </w:r>
      <w:r>
        <w:rPr>
          <w:sz w:val="20"/>
        </w:rPr>
        <w:t>consistency.</w:t>
      </w:r>
    </w:p>
    <w:p>
      <w:pPr>
        <w:pStyle w:val="Heading2"/>
      </w:pPr>
      <w:r>
        <w:rPr/>
        <w:t>Communications Sub-Group</w:t>
      </w:r>
    </w:p>
    <w:p>
      <w:pPr>
        <w:pStyle w:val="BodyText"/>
        <w:spacing w:before="9"/>
        <w:ind w:left="0" w:firstLine="0"/>
        <w:rPr>
          <w:b/>
        </w:rPr>
      </w:pPr>
    </w:p>
    <w:p>
      <w:pPr>
        <w:pStyle w:val="ListParagraph"/>
        <w:numPr>
          <w:ilvl w:val="0"/>
          <w:numId w:val="2"/>
        </w:numPr>
        <w:tabs>
          <w:tab w:pos="558" w:val="left" w:leader="none"/>
        </w:tabs>
        <w:spacing w:line="360" w:lineRule="auto" w:before="0" w:after="0"/>
        <w:ind w:left="557" w:right="124" w:hanging="360"/>
        <w:jc w:val="left"/>
        <w:rPr>
          <w:sz w:val="20"/>
        </w:rPr>
      </w:pPr>
      <w:r>
        <w:rPr>
          <w:sz w:val="20"/>
        </w:rPr>
        <w:t>Communications strategy for the coming months was outlined. There will be some December publications followed by a larger release of Working Group publications in January. The group was</w:t>
      </w:r>
      <w:r>
        <w:rPr>
          <w:spacing w:val="-25"/>
          <w:sz w:val="20"/>
        </w:rPr>
        <w:t> </w:t>
      </w:r>
      <w:r>
        <w:rPr>
          <w:sz w:val="20"/>
        </w:rPr>
        <w:t>also making plans for an event in Q1 2020 focused on education for end users of LIBOR.</w:t>
      </w:r>
    </w:p>
    <w:p>
      <w:pPr>
        <w:pStyle w:val="Heading2"/>
      </w:pPr>
      <w:r>
        <w:rPr/>
        <w:t>Pension Funds and Insurerance Companies Sub-Group</w:t>
      </w:r>
    </w:p>
    <w:p>
      <w:pPr>
        <w:pStyle w:val="BodyText"/>
        <w:spacing w:before="6"/>
        <w:ind w:left="0" w:firstLine="0"/>
        <w:rPr>
          <w:b/>
        </w:rPr>
      </w:pPr>
    </w:p>
    <w:p>
      <w:pPr>
        <w:pStyle w:val="ListParagraph"/>
        <w:numPr>
          <w:ilvl w:val="0"/>
          <w:numId w:val="2"/>
        </w:numPr>
        <w:tabs>
          <w:tab w:pos="558" w:val="left" w:leader="none"/>
        </w:tabs>
        <w:spacing w:line="360" w:lineRule="auto" w:before="0" w:after="0"/>
        <w:ind w:left="557" w:right="222" w:hanging="360"/>
        <w:jc w:val="left"/>
        <w:rPr>
          <w:sz w:val="20"/>
        </w:rPr>
      </w:pPr>
      <w:r>
        <w:rPr>
          <w:sz w:val="20"/>
        </w:rPr>
        <w:t>The Chair of the Sub-Group said that the current focus of the Sub-Group remains insurance transition, especially in terms of engagement with</w:t>
      </w:r>
      <w:r>
        <w:rPr>
          <w:spacing w:val="-3"/>
          <w:sz w:val="20"/>
        </w:rPr>
        <w:t> </w:t>
      </w:r>
      <w:r>
        <w:rPr>
          <w:sz w:val="20"/>
        </w:rPr>
        <w:t>EIOPA.</w:t>
      </w:r>
    </w:p>
    <w:p>
      <w:pPr>
        <w:spacing w:after="0" w:line="360" w:lineRule="auto"/>
        <w:jc w:val="left"/>
        <w:rPr>
          <w:sz w:val="20"/>
        </w:rPr>
        <w:sectPr>
          <w:pgSz w:w="11910" w:h="16840"/>
          <w:pgMar w:header="0" w:footer="717" w:top="1180" w:bottom="900" w:left="1080" w:right="1020"/>
        </w:sectPr>
      </w:pPr>
    </w:p>
    <w:p>
      <w:pPr>
        <w:pStyle w:val="Heading2"/>
        <w:spacing w:before="75"/>
      </w:pPr>
      <w:r>
        <w:rPr/>
        <w:t>Term Rate Use Case Task Force</w:t>
      </w:r>
    </w:p>
    <w:p>
      <w:pPr>
        <w:pStyle w:val="BodyText"/>
        <w:spacing w:before="6"/>
        <w:ind w:left="0" w:firstLine="0"/>
        <w:rPr>
          <w:b/>
        </w:rPr>
      </w:pPr>
    </w:p>
    <w:p>
      <w:pPr>
        <w:pStyle w:val="ListParagraph"/>
        <w:numPr>
          <w:ilvl w:val="0"/>
          <w:numId w:val="2"/>
        </w:numPr>
        <w:tabs>
          <w:tab w:pos="558" w:val="left" w:leader="none"/>
        </w:tabs>
        <w:spacing w:line="360" w:lineRule="auto" w:before="0" w:after="0"/>
        <w:ind w:left="557" w:right="735" w:hanging="360"/>
        <w:jc w:val="left"/>
        <w:rPr>
          <w:sz w:val="20"/>
        </w:rPr>
      </w:pPr>
      <w:r>
        <w:rPr>
          <w:sz w:val="20"/>
        </w:rPr>
        <w:t>A paper summarising the conclusions from the work of the Task Force was due for publication in January 2020. The paper was currently with Task Force members for comment and would be distributed to Working Group members for feedback in</w:t>
      </w:r>
      <w:r>
        <w:rPr>
          <w:spacing w:val="-10"/>
          <w:sz w:val="20"/>
        </w:rPr>
        <w:t> </w:t>
      </w:r>
      <w:r>
        <w:rPr>
          <w:sz w:val="20"/>
        </w:rPr>
        <w:t>December.</w:t>
      </w:r>
    </w:p>
    <w:p>
      <w:pPr>
        <w:pStyle w:val="Heading2"/>
        <w:spacing w:before="120"/>
      </w:pPr>
      <w:r>
        <w:rPr/>
        <w:t>Bond Market</w:t>
      </w:r>
    </w:p>
    <w:p>
      <w:pPr>
        <w:pStyle w:val="BodyText"/>
        <w:spacing w:before="5"/>
        <w:ind w:left="0" w:firstLine="0"/>
        <w:rPr>
          <w:b/>
        </w:rPr>
      </w:pPr>
    </w:p>
    <w:p>
      <w:pPr>
        <w:pStyle w:val="ListParagraph"/>
        <w:numPr>
          <w:ilvl w:val="0"/>
          <w:numId w:val="2"/>
        </w:numPr>
        <w:tabs>
          <w:tab w:pos="558" w:val="left" w:leader="none"/>
        </w:tabs>
        <w:spacing w:line="360" w:lineRule="auto" w:before="0" w:after="0"/>
        <w:ind w:left="557" w:right="111" w:hanging="360"/>
        <w:jc w:val="both"/>
        <w:rPr>
          <w:sz w:val="20"/>
        </w:rPr>
      </w:pPr>
      <w:r>
        <w:rPr>
          <w:sz w:val="20"/>
        </w:rPr>
        <w:t>The Chair of the Bond Market Sub-Group said the Sub-Group had produced a statement of considerations based on consent solicitations that have occurred in the market to transition bonds from LIBOR to SONIA to date. This is due for publication in</w:t>
      </w:r>
      <w:r>
        <w:rPr>
          <w:spacing w:val="-1"/>
          <w:sz w:val="20"/>
        </w:rPr>
        <w:t> </w:t>
      </w:r>
      <w:r>
        <w:rPr>
          <w:sz w:val="20"/>
        </w:rPr>
        <w:t>January.</w:t>
      </w:r>
    </w:p>
    <w:p>
      <w:pPr>
        <w:pStyle w:val="ListParagraph"/>
        <w:numPr>
          <w:ilvl w:val="0"/>
          <w:numId w:val="2"/>
        </w:numPr>
        <w:tabs>
          <w:tab w:pos="558" w:val="left" w:leader="none"/>
        </w:tabs>
        <w:spacing w:line="360" w:lineRule="auto" w:before="2" w:after="0"/>
        <w:ind w:left="557" w:right="111" w:hanging="360"/>
        <w:jc w:val="both"/>
        <w:rPr>
          <w:sz w:val="20"/>
        </w:rPr>
      </w:pPr>
      <w:r>
        <w:rPr>
          <w:sz w:val="20"/>
        </w:rPr>
        <w:t>The Chair of the Sub-Group noted that not all bonds were likely to be able to transition away from SONIA via consent solicitation and as such The Sub-Group would also be supporting the Tough Legacy Task Force in its</w:t>
      </w:r>
      <w:r>
        <w:rPr>
          <w:spacing w:val="-2"/>
          <w:sz w:val="20"/>
        </w:rPr>
        <w:t> </w:t>
      </w:r>
      <w:r>
        <w:rPr>
          <w:sz w:val="20"/>
        </w:rPr>
        <w:t>work.</w:t>
      </w:r>
    </w:p>
    <w:p>
      <w:pPr>
        <w:pStyle w:val="Heading2"/>
        <w:spacing w:before="118"/>
        <w:jc w:val="both"/>
      </w:pPr>
      <w:r>
        <w:rPr/>
        <w:t>Conventions on swaptions and non-linear products</w:t>
      </w:r>
    </w:p>
    <w:p>
      <w:pPr>
        <w:pStyle w:val="BodyText"/>
        <w:spacing w:before="8"/>
        <w:ind w:left="0" w:firstLine="0"/>
        <w:rPr>
          <w:b/>
        </w:rPr>
      </w:pPr>
    </w:p>
    <w:p>
      <w:pPr>
        <w:pStyle w:val="ListParagraph"/>
        <w:numPr>
          <w:ilvl w:val="0"/>
          <w:numId w:val="2"/>
        </w:numPr>
        <w:tabs>
          <w:tab w:pos="558" w:val="left" w:leader="none"/>
        </w:tabs>
        <w:spacing w:line="360" w:lineRule="auto" w:before="0" w:after="0"/>
        <w:ind w:left="557" w:right="114" w:hanging="360"/>
        <w:jc w:val="both"/>
        <w:rPr>
          <w:sz w:val="20"/>
        </w:rPr>
      </w:pPr>
      <w:r>
        <w:rPr>
          <w:sz w:val="20"/>
        </w:rPr>
        <w:t>The Financial Conduct Authority and Bank of England were due to send a questionnaire to swap dealers next week, with aggregated and anonymised feedback to be reported back to the Working Group.</w:t>
      </w:r>
    </w:p>
    <w:p>
      <w:pPr>
        <w:pStyle w:val="ListParagraph"/>
        <w:numPr>
          <w:ilvl w:val="0"/>
          <w:numId w:val="2"/>
        </w:numPr>
        <w:tabs>
          <w:tab w:pos="558" w:val="left" w:leader="none"/>
        </w:tabs>
        <w:spacing w:line="357" w:lineRule="auto" w:before="0" w:after="0"/>
        <w:ind w:left="557" w:right="120" w:hanging="360"/>
        <w:jc w:val="both"/>
        <w:rPr>
          <w:sz w:val="20"/>
        </w:rPr>
      </w:pPr>
      <w:r>
        <w:rPr>
          <w:sz w:val="20"/>
        </w:rPr>
        <w:t>The Financial Conduct Authority suggested an open discussion concerning dependencies across linear and non-linear products.</w:t>
      </w:r>
    </w:p>
    <w:p>
      <w:pPr>
        <w:pStyle w:val="Heading2"/>
        <w:spacing w:before="121"/>
        <w:jc w:val="both"/>
      </w:pPr>
      <w:r>
        <w:rPr/>
        <w:t>ISDA consultation summary and next steps</w:t>
      </w:r>
    </w:p>
    <w:p>
      <w:pPr>
        <w:pStyle w:val="BodyText"/>
        <w:spacing w:before="7"/>
        <w:ind w:left="0" w:firstLine="0"/>
        <w:rPr>
          <w:b/>
        </w:rPr>
      </w:pPr>
    </w:p>
    <w:p>
      <w:pPr>
        <w:pStyle w:val="ListParagraph"/>
        <w:numPr>
          <w:ilvl w:val="0"/>
          <w:numId w:val="2"/>
        </w:numPr>
        <w:tabs>
          <w:tab w:pos="558" w:val="left" w:leader="none"/>
        </w:tabs>
        <w:spacing w:line="360" w:lineRule="auto" w:before="1" w:after="0"/>
        <w:ind w:left="557" w:right="113" w:hanging="360"/>
        <w:jc w:val="both"/>
        <w:rPr>
          <w:sz w:val="20"/>
        </w:rPr>
      </w:pPr>
      <w:r>
        <w:rPr>
          <w:sz w:val="20"/>
        </w:rPr>
        <w:t>ISDA had published a report that summarised responses to its consultation on the final parameters of adjustments that will apply to derivatives fallbacks for certain IBORs. The majority of participants preferred a historical median approach over a five-year lookback</w:t>
      </w:r>
      <w:r>
        <w:rPr>
          <w:spacing w:val="-4"/>
          <w:sz w:val="20"/>
        </w:rPr>
        <w:t> </w:t>
      </w:r>
      <w:r>
        <w:rPr>
          <w:sz w:val="20"/>
        </w:rPr>
        <w:t>period.</w:t>
      </w:r>
    </w:p>
    <w:p>
      <w:pPr>
        <w:pStyle w:val="ListParagraph"/>
        <w:numPr>
          <w:ilvl w:val="0"/>
          <w:numId w:val="2"/>
        </w:numPr>
        <w:tabs>
          <w:tab w:pos="558" w:val="left" w:leader="none"/>
        </w:tabs>
        <w:spacing w:line="360" w:lineRule="auto" w:before="0" w:after="0"/>
        <w:ind w:left="557" w:right="111" w:hanging="360"/>
        <w:jc w:val="both"/>
        <w:rPr>
          <w:sz w:val="20"/>
        </w:rPr>
      </w:pPr>
      <w:r>
        <w:rPr>
          <w:sz w:val="20"/>
        </w:rPr>
        <w:t>The Financial Conduct Authority said it will respond to queries from ISDA on how long an unrepresentative LIBOR would continue. The Financial Conduct Authority reiterated that it had no  plans to compel panel banks to contribute to LIBOR past</w:t>
      </w:r>
      <w:r>
        <w:rPr>
          <w:spacing w:val="-4"/>
          <w:sz w:val="20"/>
        </w:rPr>
        <w:t> </w:t>
      </w:r>
      <w:r>
        <w:rPr>
          <w:sz w:val="20"/>
        </w:rPr>
        <w:t>2021.</w:t>
      </w:r>
    </w:p>
    <w:p>
      <w:pPr>
        <w:pStyle w:val="ListParagraph"/>
        <w:numPr>
          <w:ilvl w:val="0"/>
          <w:numId w:val="2"/>
        </w:numPr>
        <w:tabs>
          <w:tab w:pos="558" w:val="left" w:leader="none"/>
        </w:tabs>
        <w:spacing w:line="360" w:lineRule="auto" w:before="0" w:after="0"/>
        <w:ind w:left="557" w:right="109" w:hanging="360"/>
        <w:jc w:val="both"/>
        <w:rPr>
          <w:sz w:val="20"/>
        </w:rPr>
      </w:pPr>
      <w:r>
        <w:rPr>
          <w:sz w:val="20"/>
        </w:rPr>
        <w:t>There were comments that cessation and pre-cessation are amongst the least understood issues on LIBOR transition. Members suggested that a statement clarifying what an unrepresentative LIBOR can be used for would be</w:t>
      </w:r>
      <w:r>
        <w:rPr>
          <w:spacing w:val="-6"/>
          <w:sz w:val="20"/>
        </w:rPr>
        <w:t> </w:t>
      </w:r>
      <w:r>
        <w:rPr>
          <w:sz w:val="20"/>
        </w:rPr>
        <w:t>helpful.</w:t>
      </w:r>
    </w:p>
    <w:p>
      <w:pPr>
        <w:pStyle w:val="Heading2"/>
        <w:spacing w:before="119"/>
        <w:jc w:val="both"/>
      </w:pPr>
      <w:r>
        <w:rPr/>
        <w:t>Update on OIS streaming progress</w:t>
      </w:r>
    </w:p>
    <w:p>
      <w:pPr>
        <w:pStyle w:val="BodyText"/>
        <w:spacing w:before="5"/>
        <w:ind w:left="0" w:firstLine="0"/>
        <w:rPr>
          <w:b/>
        </w:rPr>
      </w:pPr>
    </w:p>
    <w:p>
      <w:pPr>
        <w:pStyle w:val="ListParagraph"/>
        <w:numPr>
          <w:ilvl w:val="0"/>
          <w:numId w:val="2"/>
        </w:numPr>
        <w:tabs>
          <w:tab w:pos="558" w:val="left" w:leader="none"/>
        </w:tabs>
        <w:spacing w:line="360" w:lineRule="auto" w:before="0" w:after="0"/>
        <w:ind w:left="557" w:right="112" w:hanging="360"/>
        <w:jc w:val="both"/>
        <w:rPr>
          <w:sz w:val="20"/>
        </w:rPr>
      </w:pPr>
      <w:r>
        <w:rPr>
          <w:sz w:val="20"/>
        </w:rPr>
        <w:t>The Financial Conduct Authority had spoken to 9 of the 16 potential streamers of OIS quotes in order to check progress. 7 of the 9 were on track for the intended February 2020 start date, which was sufficient for the target to be</w:t>
      </w:r>
      <w:r>
        <w:rPr>
          <w:spacing w:val="-3"/>
          <w:sz w:val="20"/>
        </w:rPr>
        <w:t> </w:t>
      </w:r>
      <w:r>
        <w:rPr>
          <w:sz w:val="20"/>
        </w:rPr>
        <w:t>reached.</w:t>
      </w:r>
    </w:p>
    <w:p>
      <w:pPr>
        <w:spacing w:after="0" w:line="360" w:lineRule="auto"/>
        <w:jc w:val="both"/>
        <w:rPr>
          <w:sz w:val="20"/>
        </w:rPr>
        <w:sectPr>
          <w:pgSz w:w="11910" w:h="16840"/>
          <w:pgMar w:header="0" w:footer="717" w:top="1180" w:bottom="900" w:left="1080" w:right="1020"/>
        </w:sectPr>
      </w:pPr>
    </w:p>
    <w:p>
      <w:pPr>
        <w:pStyle w:val="Heading2"/>
        <w:spacing w:before="73"/>
      </w:pPr>
      <w:r>
        <w:rPr/>
        <w:t>Private sector</w:t>
      </w:r>
      <w:r>
        <w:rPr>
          <w:spacing w:val="-11"/>
        </w:rPr>
        <w:t> </w:t>
      </w:r>
      <w:r>
        <w:rPr/>
        <w:t>attendees</w:t>
      </w:r>
    </w:p>
    <w:p>
      <w:pPr>
        <w:pStyle w:val="BodyText"/>
        <w:spacing w:before="4"/>
        <w:ind w:left="0" w:firstLine="0"/>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5423"/>
      </w:tblGrid>
      <w:tr>
        <w:trPr>
          <w:trHeight w:val="262" w:hRule="atLeast"/>
        </w:trPr>
        <w:tc>
          <w:tcPr>
            <w:tcW w:w="2914" w:type="dxa"/>
          </w:tcPr>
          <w:p>
            <w:pPr>
              <w:pStyle w:val="TableParagraph"/>
              <w:spacing w:line="225" w:lineRule="exact" w:before="0"/>
              <w:rPr>
                <w:sz w:val="20"/>
              </w:rPr>
            </w:pPr>
            <w:r>
              <w:rPr>
                <w:sz w:val="20"/>
              </w:rPr>
              <w:t>Tushar Morzaria</w:t>
            </w:r>
          </w:p>
        </w:tc>
        <w:tc>
          <w:tcPr>
            <w:tcW w:w="5423" w:type="dxa"/>
          </w:tcPr>
          <w:p>
            <w:pPr>
              <w:pStyle w:val="TableParagraph"/>
              <w:spacing w:line="223" w:lineRule="exact" w:before="0"/>
              <w:ind w:left="404"/>
              <w:rPr>
                <w:b/>
                <w:sz w:val="20"/>
              </w:rPr>
            </w:pPr>
            <w:r>
              <w:rPr>
                <w:b/>
                <w:sz w:val="20"/>
              </w:rPr>
              <w:t>Barclays (Chair)</w:t>
            </w:r>
          </w:p>
        </w:tc>
      </w:tr>
      <w:tr>
        <w:trPr>
          <w:trHeight w:val="300" w:hRule="atLeast"/>
        </w:trPr>
        <w:tc>
          <w:tcPr>
            <w:tcW w:w="2914" w:type="dxa"/>
          </w:tcPr>
          <w:p>
            <w:pPr>
              <w:pStyle w:val="TableParagraph"/>
              <w:spacing w:before="32"/>
              <w:rPr>
                <w:sz w:val="20"/>
              </w:rPr>
            </w:pPr>
            <w:r>
              <w:rPr>
                <w:sz w:val="20"/>
              </w:rPr>
              <w:t>Paul Mansour</w:t>
            </w:r>
          </w:p>
        </w:tc>
        <w:tc>
          <w:tcPr>
            <w:tcW w:w="5423" w:type="dxa"/>
          </w:tcPr>
          <w:p>
            <w:pPr>
              <w:pStyle w:val="TableParagraph"/>
              <w:ind w:left="404"/>
              <w:rPr>
                <w:b/>
                <w:sz w:val="20"/>
              </w:rPr>
            </w:pPr>
            <w:r>
              <w:rPr>
                <w:b/>
                <w:sz w:val="20"/>
              </w:rPr>
              <w:t>Barclays (Chair’s office)</w:t>
            </w:r>
          </w:p>
        </w:tc>
      </w:tr>
      <w:tr>
        <w:trPr>
          <w:trHeight w:val="300" w:hRule="atLeast"/>
        </w:trPr>
        <w:tc>
          <w:tcPr>
            <w:tcW w:w="2914" w:type="dxa"/>
          </w:tcPr>
          <w:p>
            <w:pPr>
              <w:pStyle w:val="TableParagraph"/>
              <w:spacing w:before="33"/>
              <w:rPr>
                <w:sz w:val="20"/>
              </w:rPr>
            </w:pPr>
            <w:r>
              <w:rPr>
                <w:sz w:val="20"/>
              </w:rPr>
              <w:t>Andreas Giannopoulos</w:t>
            </w:r>
          </w:p>
        </w:tc>
        <w:tc>
          <w:tcPr>
            <w:tcW w:w="5423" w:type="dxa"/>
          </w:tcPr>
          <w:p>
            <w:pPr>
              <w:pStyle w:val="TableParagraph"/>
              <w:ind w:left="404"/>
              <w:rPr>
                <w:b/>
                <w:sz w:val="20"/>
              </w:rPr>
            </w:pPr>
            <w:r>
              <w:rPr>
                <w:b/>
                <w:sz w:val="20"/>
              </w:rPr>
              <w:t>Barclays (Chair’s office)</w:t>
            </w:r>
          </w:p>
        </w:tc>
      </w:tr>
      <w:tr>
        <w:trPr>
          <w:trHeight w:val="300" w:hRule="atLeast"/>
        </w:trPr>
        <w:tc>
          <w:tcPr>
            <w:tcW w:w="2914" w:type="dxa"/>
          </w:tcPr>
          <w:p>
            <w:pPr>
              <w:pStyle w:val="TableParagraph"/>
              <w:spacing w:before="32"/>
              <w:rPr>
                <w:sz w:val="20"/>
              </w:rPr>
            </w:pPr>
            <w:r>
              <w:rPr>
                <w:sz w:val="20"/>
              </w:rPr>
              <w:t>Robert de Roeck</w:t>
            </w:r>
          </w:p>
        </w:tc>
        <w:tc>
          <w:tcPr>
            <w:tcW w:w="5423" w:type="dxa"/>
          </w:tcPr>
          <w:p>
            <w:pPr>
              <w:pStyle w:val="TableParagraph"/>
              <w:ind w:left="404"/>
              <w:rPr>
                <w:b/>
                <w:sz w:val="20"/>
              </w:rPr>
            </w:pPr>
            <w:r>
              <w:rPr>
                <w:b/>
                <w:sz w:val="20"/>
              </w:rPr>
              <w:t>Aberdeen Standard</w:t>
            </w:r>
          </w:p>
        </w:tc>
      </w:tr>
      <w:tr>
        <w:trPr>
          <w:trHeight w:val="300" w:hRule="atLeast"/>
        </w:trPr>
        <w:tc>
          <w:tcPr>
            <w:tcW w:w="2914" w:type="dxa"/>
          </w:tcPr>
          <w:p>
            <w:pPr>
              <w:pStyle w:val="TableParagraph"/>
              <w:spacing w:before="32"/>
              <w:rPr>
                <w:sz w:val="20"/>
              </w:rPr>
            </w:pPr>
            <w:r>
              <w:rPr>
                <w:sz w:val="20"/>
              </w:rPr>
              <w:t>Shaun Kennedy</w:t>
            </w:r>
          </w:p>
        </w:tc>
        <w:tc>
          <w:tcPr>
            <w:tcW w:w="5423" w:type="dxa"/>
          </w:tcPr>
          <w:p>
            <w:pPr>
              <w:pStyle w:val="TableParagraph"/>
              <w:ind w:left="404"/>
              <w:rPr>
                <w:b/>
                <w:sz w:val="20"/>
              </w:rPr>
            </w:pPr>
            <w:r>
              <w:rPr>
                <w:b/>
                <w:sz w:val="20"/>
              </w:rPr>
              <w:t>Associated British Ports</w:t>
            </w:r>
          </w:p>
        </w:tc>
      </w:tr>
      <w:tr>
        <w:trPr>
          <w:trHeight w:val="300" w:hRule="atLeast"/>
        </w:trPr>
        <w:tc>
          <w:tcPr>
            <w:tcW w:w="2914" w:type="dxa"/>
          </w:tcPr>
          <w:p>
            <w:pPr>
              <w:pStyle w:val="TableParagraph"/>
              <w:spacing w:before="32"/>
              <w:rPr>
                <w:sz w:val="20"/>
              </w:rPr>
            </w:pPr>
            <w:r>
              <w:rPr>
                <w:sz w:val="20"/>
              </w:rPr>
              <w:t>Sarah Boyce</w:t>
            </w:r>
          </w:p>
        </w:tc>
        <w:tc>
          <w:tcPr>
            <w:tcW w:w="5423" w:type="dxa"/>
          </w:tcPr>
          <w:p>
            <w:pPr>
              <w:pStyle w:val="TableParagraph"/>
              <w:ind w:left="404"/>
              <w:rPr>
                <w:b/>
                <w:sz w:val="20"/>
              </w:rPr>
            </w:pPr>
            <w:r>
              <w:rPr>
                <w:b/>
                <w:sz w:val="20"/>
              </w:rPr>
              <w:t>Association of Corporate Treasurers</w:t>
            </w:r>
          </w:p>
        </w:tc>
      </w:tr>
      <w:tr>
        <w:trPr>
          <w:trHeight w:val="300" w:hRule="atLeast"/>
        </w:trPr>
        <w:tc>
          <w:tcPr>
            <w:tcW w:w="2914" w:type="dxa"/>
          </w:tcPr>
          <w:p>
            <w:pPr>
              <w:pStyle w:val="TableParagraph"/>
              <w:spacing w:before="32"/>
              <w:rPr>
                <w:sz w:val="20"/>
              </w:rPr>
            </w:pPr>
            <w:r>
              <w:rPr>
                <w:sz w:val="20"/>
              </w:rPr>
              <w:t>Alexandre Pappadacci</w:t>
            </w:r>
          </w:p>
        </w:tc>
        <w:tc>
          <w:tcPr>
            <w:tcW w:w="5423" w:type="dxa"/>
          </w:tcPr>
          <w:p>
            <w:pPr>
              <w:pStyle w:val="TableParagraph"/>
              <w:ind w:left="404"/>
              <w:rPr>
                <w:b/>
                <w:sz w:val="20"/>
              </w:rPr>
            </w:pPr>
            <w:r>
              <w:rPr>
                <w:b/>
                <w:sz w:val="20"/>
              </w:rPr>
              <w:t>AXA (Vice-Chair)</w:t>
            </w:r>
          </w:p>
        </w:tc>
      </w:tr>
      <w:tr>
        <w:trPr>
          <w:trHeight w:val="300" w:hRule="atLeast"/>
        </w:trPr>
        <w:tc>
          <w:tcPr>
            <w:tcW w:w="2914" w:type="dxa"/>
          </w:tcPr>
          <w:p>
            <w:pPr>
              <w:pStyle w:val="TableParagraph"/>
              <w:spacing w:before="32"/>
              <w:rPr>
                <w:sz w:val="20"/>
              </w:rPr>
            </w:pPr>
            <w:r>
              <w:rPr>
                <w:sz w:val="20"/>
              </w:rPr>
              <w:t>Snigdha Singh</w:t>
            </w:r>
          </w:p>
        </w:tc>
        <w:tc>
          <w:tcPr>
            <w:tcW w:w="5423" w:type="dxa"/>
          </w:tcPr>
          <w:p>
            <w:pPr>
              <w:pStyle w:val="TableParagraph"/>
              <w:ind w:left="404"/>
              <w:rPr>
                <w:b/>
                <w:sz w:val="20"/>
              </w:rPr>
            </w:pPr>
            <w:r>
              <w:rPr>
                <w:b/>
                <w:sz w:val="20"/>
              </w:rPr>
              <w:t>Bank of America Merrill Lynch</w:t>
            </w:r>
          </w:p>
        </w:tc>
      </w:tr>
      <w:tr>
        <w:trPr>
          <w:trHeight w:val="300" w:hRule="atLeast"/>
        </w:trPr>
        <w:tc>
          <w:tcPr>
            <w:tcW w:w="2914" w:type="dxa"/>
          </w:tcPr>
          <w:p>
            <w:pPr>
              <w:pStyle w:val="TableParagraph"/>
              <w:spacing w:before="32"/>
              <w:rPr>
                <w:sz w:val="20"/>
              </w:rPr>
            </w:pPr>
            <w:r>
              <w:rPr>
                <w:sz w:val="20"/>
              </w:rPr>
              <w:t>Doug Laurie</w:t>
            </w:r>
          </w:p>
        </w:tc>
        <w:tc>
          <w:tcPr>
            <w:tcW w:w="5423" w:type="dxa"/>
          </w:tcPr>
          <w:p>
            <w:pPr>
              <w:pStyle w:val="TableParagraph"/>
              <w:ind w:left="404"/>
              <w:rPr>
                <w:b/>
                <w:sz w:val="20"/>
              </w:rPr>
            </w:pPr>
            <w:r>
              <w:rPr>
                <w:b/>
                <w:sz w:val="20"/>
              </w:rPr>
              <w:t>Barclays</w:t>
            </w:r>
          </w:p>
        </w:tc>
      </w:tr>
      <w:tr>
        <w:trPr>
          <w:trHeight w:val="300" w:hRule="atLeast"/>
        </w:trPr>
        <w:tc>
          <w:tcPr>
            <w:tcW w:w="2914" w:type="dxa"/>
          </w:tcPr>
          <w:p>
            <w:pPr>
              <w:pStyle w:val="TableParagraph"/>
              <w:spacing w:before="32"/>
              <w:rPr>
                <w:sz w:val="20"/>
              </w:rPr>
            </w:pPr>
            <w:r>
              <w:rPr>
                <w:sz w:val="20"/>
              </w:rPr>
              <w:t>Tejonidhi Kashyap</w:t>
            </w:r>
          </w:p>
        </w:tc>
        <w:tc>
          <w:tcPr>
            <w:tcW w:w="5423" w:type="dxa"/>
          </w:tcPr>
          <w:p>
            <w:pPr>
              <w:pStyle w:val="TableParagraph"/>
              <w:ind w:left="404"/>
              <w:rPr>
                <w:b/>
                <w:sz w:val="20"/>
              </w:rPr>
            </w:pPr>
            <w:r>
              <w:rPr>
                <w:b/>
                <w:sz w:val="20"/>
              </w:rPr>
              <w:t>Barclays</w:t>
            </w:r>
          </w:p>
        </w:tc>
      </w:tr>
      <w:tr>
        <w:trPr>
          <w:trHeight w:val="300" w:hRule="atLeast"/>
        </w:trPr>
        <w:tc>
          <w:tcPr>
            <w:tcW w:w="2914" w:type="dxa"/>
          </w:tcPr>
          <w:p>
            <w:pPr>
              <w:pStyle w:val="TableParagraph"/>
              <w:spacing w:before="32"/>
              <w:rPr>
                <w:sz w:val="20"/>
              </w:rPr>
            </w:pPr>
            <w:r>
              <w:rPr>
                <w:sz w:val="20"/>
              </w:rPr>
              <w:t>Rob Mitchelson</w:t>
            </w:r>
          </w:p>
        </w:tc>
        <w:tc>
          <w:tcPr>
            <w:tcW w:w="5423" w:type="dxa"/>
          </w:tcPr>
          <w:p>
            <w:pPr>
              <w:pStyle w:val="TableParagraph"/>
              <w:ind w:left="404"/>
              <w:rPr>
                <w:b/>
                <w:sz w:val="20"/>
              </w:rPr>
            </w:pPr>
            <w:r>
              <w:rPr>
                <w:b/>
                <w:sz w:val="20"/>
              </w:rPr>
              <w:t>Blackrock</w:t>
            </w:r>
          </w:p>
        </w:tc>
      </w:tr>
      <w:tr>
        <w:trPr>
          <w:trHeight w:val="300" w:hRule="atLeast"/>
        </w:trPr>
        <w:tc>
          <w:tcPr>
            <w:tcW w:w="2914" w:type="dxa"/>
          </w:tcPr>
          <w:p>
            <w:pPr>
              <w:pStyle w:val="TableParagraph"/>
              <w:spacing w:before="32"/>
              <w:rPr>
                <w:sz w:val="20"/>
              </w:rPr>
            </w:pPr>
            <w:r>
              <w:rPr>
                <w:sz w:val="20"/>
              </w:rPr>
              <w:t>Greg Olsen</w:t>
            </w:r>
          </w:p>
        </w:tc>
        <w:tc>
          <w:tcPr>
            <w:tcW w:w="5423" w:type="dxa"/>
          </w:tcPr>
          <w:p>
            <w:pPr>
              <w:pStyle w:val="TableParagraph"/>
              <w:ind w:left="404"/>
              <w:rPr>
                <w:b/>
                <w:sz w:val="20"/>
              </w:rPr>
            </w:pPr>
            <w:r>
              <w:rPr>
                <w:b/>
                <w:sz w:val="20"/>
              </w:rPr>
              <w:t>Clifford Chance (General Counsel)</w:t>
            </w:r>
          </w:p>
        </w:tc>
      </w:tr>
      <w:tr>
        <w:trPr>
          <w:trHeight w:val="300" w:hRule="atLeast"/>
        </w:trPr>
        <w:tc>
          <w:tcPr>
            <w:tcW w:w="2914" w:type="dxa"/>
          </w:tcPr>
          <w:p>
            <w:pPr>
              <w:pStyle w:val="TableParagraph"/>
              <w:spacing w:before="32"/>
              <w:rPr>
                <w:sz w:val="20"/>
              </w:rPr>
            </w:pPr>
            <w:r>
              <w:rPr>
                <w:sz w:val="20"/>
              </w:rPr>
              <w:t>Sebastien Angles-Dauriac</w:t>
            </w:r>
          </w:p>
        </w:tc>
        <w:tc>
          <w:tcPr>
            <w:tcW w:w="5423" w:type="dxa"/>
          </w:tcPr>
          <w:p>
            <w:pPr>
              <w:pStyle w:val="TableParagraph"/>
              <w:ind w:left="404"/>
              <w:rPr>
                <w:b/>
                <w:sz w:val="20"/>
              </w:rPr>
            </w:pPr>
            <w:r>
              <w:rPr>
                <w:b/>
                <w:sz w:val="20"/>
              </w:rPr>
              <w:t>Deutsche Bank</w:t>
            </w:r>
          </w:p>
        </w:tc>
      </w:tr>
      <w:tr>
        <w:trPr>
          <w:trHeight w:val="300" w:hRule="atLeast"/>
        </w:trPr>
        <w:tc>
          <w:tcPr>
            <w:tcW w:w="2914" w:type="dxa"/>
          </w:tcPr>
          <w:p>
            <w:pPr>
              <w:pStyle w:val="TableParagraph"/>
              <w:spacing w:before="32"/>
              <w:rPr>
                <w:sz w:val="20"/>
              </w:rPr>
            </w:pPr>
            <w:r>
              <w:rPr>
                <w:sz w:val="20"/>
              </w:rPr>
              <w:t>Jasper Lillingston</w:t>
            </w:r>
          </w:p>
        </w:tc>
        <w:tc>
          <w:tcPr>
            <w:tcW w:w="5423" w:type="dxa"/>
          </w:tcPr>
          <w:p>
            <w:pPr>
              <w:pStyle w:val="TableParagraph"/>
              <w:ind w:left="404"/>
              <w:rPr>
                <w:b/>
                <w:sz w:val="20"/>
              </w:rPr>
            </w:pPr>
            <w:r>
              <w:rPr>
                <w:b/>
                <w:sz w:val="20"/>
              </w:rPr>
              <w:t>European Bank for Reconstruction &amp; Development</w:t>
            </w:r>
          </w:p>
        </w:tc>
      </w:tr>
      <w:tr>
        <w:trPr>
          <w:trHeight w:val="300" w:hRule="atLeast"/>
        </w:trPr>
        <w:tc>
          <w:tcPr>
            <w:tcW w:w="2914" w:type="dxa"/>
          </w:tcPr>
          <w:p>
            <w:pPr>
              <w:pStyle w:val="TableParagraph"/>
              <w:spacing w:before="33"/>
              <w:rPr>
                <w:sz w:val="20"/>
              </w:rPr>
            </w:pPr>
            <w:r>
              <w:rPr>
                <w:sz w:val="20"/>
              </w:rPr>
              <w:t>Chirag Dave</w:t>
            </w:r>
          </w:p>
        </w:tc>
        <w:tc>
          <w:tcPr>
            <w:tcW w:w="5423" w:type="dxa"/>
          </w:tcPr>
          <w:p>
            <w:pPr>
              <w:pStyle w:val="TableParagraph"/>
              <w:ind w:left="404"/>
              <w:rPr>
                <w:b/>
                <w:sz w:val="20"/>
              </w:rPr>
            </w:pPr>
            <w:r>
              <w:rPr>
                <w:b/>
                <w:sz w:val="20"/>
              </w:rPr>
              <w:t>Goldman Sachs</w:t>
            </w:r>
          </w:p>
        </w:tc>
      </w:tr>
      <w:tr>
        <w:trPr>
          <w:trHeight w:val="300" w:hRule="atLeast"/>
        </w:trPr>
        <w:tc>
          <w:tcPr>
            <w:tcW w:w="2914" w:type="dxa"/>
          </w:tcPr>
          <w:p>
            <w:pPr>
              <w:pStyle w:val="TableParagraph"/>
              <w:spacing w:before="32"/>
              <w:rPr>
                <w:sz w:val="20"/>
              </w:rPr>
            </w:pPr>
            <w:r>
              <w:rPr>
                <w:sz w:val="20"/>
              </w:rPr>
              <w:t>Sander Slotema</w:t>
            </w:r>
          </w:p>
        </w:tc>
        <w:tc>
          <w:tcPr>
            <w:tcW w:w="5423" w:type="dxa"/>
          </w:tcPr>
          <w:p>
            <w:pPr>
              <w:pStyle w:val="TableParagraph"/>
              <w:ind w:left="404"/>
              <w:rPr>
                <w:b/>
                <w:sz w:val="20"/>
              </w:rPr>
            </w:pPr>
            <w:r>
              <w:rPr>
                <w:b/>
                <w:sz w:val="20"/>
              </w:rPr>
              <w:t>HSBC</w:t>
            </w:r>
          </w:p>
        </w:tc>
      </w:tr>
      <w:tr>
        <w:trPr>
          <w:trHeight w:val="300" w:hRule="atLeast"/>
        </w:trPr>
        <w:tc>
          <w:tcPr>
            <w:tcW w:w="2914" w:type="dxa"/>
          </w:tcPr>
          <w:p>
            <w:pPr>
              <w:pStyle w:val="TableParagraph"/>
              <w:spacing w:before="32"/>
              <w:rPr>
                <w:sz w:val="20"/>
              </w:rPr>
            </w:pPr>
            <w:r>
              <w:rPr>
                <w:sz w:val="20"/>
              </w:rPr>
              <w:t>Chris Rhodes</w:t>
            </w:r>
          </w:p>
        </w:tc>
        <w:tc>
          <w:tcPr>
            <w:tcW w:w="5423" w:type="dxa"/>
          </w:tcPr>
          <w:p>
            <w:pPr>
              <w:pStyle w:val="TableParagraph"/>
              <w:ind w:left="404"/>
              <w:rPr>
                <w:b/>
                <w:sz w:val="20"/>
              </w:rPr>
            </w:pPr>
            <w:r>
              <w:rPr>
                <w:b/>
                <w:sz w:val="20"/>
              </w:rPr>
              <w:t>ICE Group</w:t>
            </w:r>
          </w:p>
        </w:tc>
      </w:tr>
      <w:tr>
        <w:trPr>
          <w:trHeight w:val="300" w:hRule="atLeast"/>
        </w:trPr>
        <w:tc>
          <w:tcPr>
            <w:tcW w:w="2914" w:type="dxa"/>
          </w:tcPr>
          <w:p>
            <w:pPr>
              <w:pStyle w:val="TableParagraph"/>
              <w:spacing w:before="32"/>
              <w:rPr>
                <w:sz w:val="20"/>
              </w:rPr>
            </w:pPr>
            <w:r>
              <w:rPr>
                <w:sz w:val="20"/>
              </w:rPr>
              <w:t>Paul Richards</w:t>
            </w:r>
          </w:p>
        </w:tc>
        <w:tc>
          <w:tcPr>
            <w:tcW w:w="5423" w:type="dxa"/>
          </w:tcPr>
          <w:p>
            <w:pPr>
              <w:pStyle w:val="TableParagraph"/>
              <w:ind w:left="404"/>
              <w:rPr>
                <w:b/>
                <w:sz w:val="20"/>
              </w:rPr>
            </w:pPr>
            <w:r>
              <w:rPr>
                <w:b/>
                <w:sz w:val="20"/>
              </w:rPr>
              <w:t>ICMA</w:t>
            </w:r>
          </w:p>
        </w:tc>
      </w:tr>
      <w:tr>
        <w:trPr>
          <w:trHeight w:val="300" w:hRule="atLeast"/>
        </w:trPr>
        <w:tc>
          <w:tcPr>
            <w:tcW w:w="2914" w:type="dxa"/>
          </w:tcPr>
          <w:p>
            <w:pPr>
              <w:pStyle w:val="TableParagraph"/>
              <w:spacing w:before="32"/>
              <w:rPr>
                <w:sz w:val="20"/>
              </w:rPr>
            </w:pPr>
            <w:r>
              <w:rPr>
                <w:sz w:val="20"/>
              </w:rPr>
              <w:t>David Jamieson</w:t>
            </w:r>
          </w:p>
        </w:tc>
        <w:tc>
          <w:tcPr>
            <w:tcW w:w="5423" w:type="dxa"/>
          </w:tcPr>
          <w:p>
            <w:pPr>
              <w:pStyle w:val="TableParagraph"/>
              <w:ind w:left="404"/>
              <w:rPr>
                <w:b/>
                <w:sz w:val="20"/>
              </w:rPr>
            </w:pPr>
            <w:r>
              <w:rPr>
                <w:b/>
                <w:sz w:val="20"/>
              </w:rPr>
              <w:t>Insight Investment</w:t>
            </w:r>
          </w:p>
        </w:tc>
      </w:tr>
      <w:tr>
        <w:trPr>
          <w:trHeight w:val="300" w:hRule="atLeast"/>
        </w:trPr>
        <w:tc>
          <w:tcPr>
            <w:tcW w:w="2914" w:type="dxa"/>
          </w:tcPr>
          <w:p>
            <w:pPr>
              <w:pStyle w:val="TableParagraph"/>
              <w:spacing w:before="32"/>
              <w:rPr>
                <w:sz w:val="20"/>
              </w:rPr>
            </w:pPr>
            <w:r>
              <w:rPr>
                <w:sz w:val="20"/>
              </w:rPr>
              <w:t>Rick Sandilands</w:t>
            </w:r>
          </w:p>
        </w:tc>
        <w:tc>
          <w:tcPr>
            <w:tcW w:w="5423" w:type="dxa"/>
          </w:tcPr>
          <w:p>
            <w:pPr>
              <w:pStyle w:val="TableParagraph"/>
              <w:ind w:left="404"/>
              <w:rPr>
                <w:b/>
                <w:sz w:val="20"/>
              </w:rPr>
            </w:pPr>
            <w:r>
              <w:rPr>
                <w:b/>
                <w:sz w:val="20"/>
              </w:rPr>
              <w:t>ISDA</w:t>
            </w:r>
          </w:p>
        </w:tc>
      </w:tr>
      <w:tr>
        <w:trPr>
          <w:trHeight w:val="300" w:hRule="atLeast"/>
        </w:trPr>
        <w:tc>
          <w:tcPr>
            <w:tcW w:w="2914" w:type="dxa"/>
          </w:tcPr>
          <w:p>
            <w:pPr>
              <w:pStyle w:val="TableParagraph"/>
              <w:spacing w:before="32"/>
              <w:rPr>
                <w:sz w:val="20"/>
              </w:rPr>
            </w:pPr>
            <w:r>
              <w:rPr>
                <w:sz w:val="20"/>
              </w:rPr>
              <w:t>Philip Whitehurst</w:t>
            </w:r>
          </w:p>
        </w:tc>
        <w:tc>
          <w:tcPr>
            <w:tcW w:w="5423" w:type="dxa"/>
          </w:tcPr>
          <w:p>
            <w:pPr>
              <w:pStyle w:val="TableParagraph"/>
              <w:ind w:left="404"/>
              <w:rPr>
                <w:b/>
                <w:sz w:val="20"/>
              </w:rPr>
            </w:pPr>
            <w:r>
              <w:rPr>
                <w:b/>
                <w:sz w:val="20"/>
              </w:rPr>
              <w:t>LCH</w:t>
            </w:r>
          </w:p>
        </w:tc>
      </w:tr>
      <w:tr>
        <w:trPr>
          <w:trHeight w:val="300" w:hRule="atLeast"/>
        </w:trPr>
        <w:tc>
          <w:tcPr>
            <w:tcW w:w="2914" w:type="dxa"/>
          </w:tcPr>
          <w:p>
            <w:pPr>
              <w:pStyle w:val="TableParagraph"/>
              <w:spacing w:before="32"/>
              <w:rPr>
                <w:sz w:val="20"/>
              </w:rPr>
            </w:pPr>
            <w:r>
              <w:rPr>
                <w:sz w:val="20"/>
              </w:rPr>
              <w:t>Chi-Kit Pang</w:t>
            </w:r>
          </w:p>
        </w:tc>
        <w:tc>
          <w:tcPr>
            <w:tcW w:w="5423" w:type="dxa"/>
          </w:tcPr>
          <w:p>
            <w:pPr>
              <w:pStyle w:val="TableParagraph"/>
              <w:ind w:left="404"/>
              <w:rPr>
                <w:b/>
                <w:sz w:val="20"/>
              </w:rPr>
            </w:pPr>
            <w:r>
              <w:rPr>
                <w:b/>
                <w:sz w:val="20"/>
              </w:rPr>
              <w:t>Legal &amp; General Investment Management</w:t>
            </w:r>
          </w:p>
        </w:tc>
      </w:tr>
      <w:tr>
        <w:trPr>
          <w:trHeight w:val="300" w:hRule="atLeast"/>
        </w:trPr>
        <w:tc>
          <w:tcPr>
            <w:tcW w:w="2914" w:type="dxa"/>
          </w:tcPr>
          <w:p>
            <w:pPr>
              <w:pStyle w:val="TableParagraph"/>
              <w:spacing w:before="32"/>
              <w:rPr>
                <w:sz w:val="20"/>
              </w:rPr>
            </w:pPr>
            <w:r>
              <w:rPr>
                <w:sz w:val="20"/>
              </w:rPr>
              <w:t>Ian Fox</w:t>
            </w:r>
          </w:p>
        </w:tc>
        <w:tc>
          <w:tcPr>
            <w:tcW w:w="5423" w:type="dxa"/>
          </w:tcPr>
          <w:p>
            <w:pPr>
              <w:pStyle w:val="TableParagraph"/>
              <w:ind w:left="404"/>
              <w:rPr>
                <w:b/>
                <w:sz w:val="20"/>
              </w:rPr>
            </w:pPr>
            <w:r>
              <w:rPr>
                <w:b/>
                <w:sz w:val="20"/>
              </w:rPr>
              <w:t>Lloyds Banking Group</w:t>
            </w:r>
          </w:p>
        </w:tc>
      </w:tr>
      <w:tr>
        <w:trPr>
          <w:trHeight w:val="300" w:hRule="atLeast"/>
        </w:trPr>
        <w:tc>
          <w:tcPr>
            <w:tcW w:w="2914" w:type="dxa"/>
          </w:tcPr>
          <w:p>
            <w:pPr>
              <w:pStyle w:val="TableParagraph"/>
              <w:spacing w:before="32"/>
              <w:rPr>
                <w:sz w:val="20"/>
              </w:rPr>
            </w:pPr>
            <w:r>
              <w:rPr>
                <w:sz w:val="20"/>
              </w:rPr>
              <w:t>Kam Mahil</w:t>
            </w:r>
          </w:p>
        </w:tc>
        <w:tc>
          <w:tcPr>
            <w:tcW w:w="5423" w:type="dxa"/>
          </w:tcPr>
          <w:p>
            <w:pPr>
              <w:pStyle w:val="TableParagraph"/>
              <w:ind w:left="404"/>
              <w:rPr>
                <w:b/>
                <w:sz w:val="20"/>
              </w:rPr>
            </w:pPr>
            <w:r>
              <w:rPr>
                <w:b/>
                <w:sz w:val="20"/>
              </w:rPr>
              <w:t>Loan Market Association</w:t>
            </w:r>
          </w:p>
        </w:tc>
      </w:tr>
      <w:tr>
        <w:trPr>
          <w:trHeight w:val="300" w:hRule="atLeast"/>
        </w:trPr>
        <w:tc>
          <w:tcPr>
            <w:tcW w:w="2914" w:type="dxa"/>
          </w:tcPr>
          <w:p>
            <w:pPr>
              <w:pStyle w:val="TableParagraph"/>
              <w:spacing w:before="32"/>
              <w:rPr>
                <w:sz w:val="20"/>
              </w:rPr>
            </w:pPr>
            <w:r>
              <w:rPr>
                <w:sz w:val="20"/>
              </w:rPr>
              <w:t>Siobhan Clarke</w:t>
            </w:r>
          </w:p>
        </w:tc>
        <w:tc>
          <w:tcPr>
            <w:tcW w:w="5423" w:type="dxa"/>
          </w:tcPr>
          <w:p>
            <w:pPr>
              <w:pStyle w:val="TableParagraph"/>
              <w:ind w:left="404"/>
              <w:rPr>
                <w:b/>
                <w:sz w:val="20"/>
              </w:rPr>
            </w:pPr>
            <w:r>
              <w:rPr>
                <w:b/>
                <w:sz w:val="20"/>
              </w:rPr>
              <w:t>M&amp;G</w:t>
            </w:r>
          </w:p>
        </w:tc>
      </w:tr>
      <w:tr>
        <w:trPr>
          <w:trHeight w:val="300" w:hRule="atLeast"/>
        </w:trPr>
        <w:tc>
          <w:tcPr>
            <w:tcW w:w="2914" w:type="dxa"/>
          </w:tcPr>
          <w:p>
            <w:pPr>
              <w:pStyle w:val="TableParagraph"/>
              <w:spacing w:before="32"/>
              <w:rPr>
                <w:sz w:val="20"/>
              </w:rPr>
            </w:pPr>
            <w:r>
              <w:rPr>
                <w:sz w:val="20"/>
              </w:rPr>
              <w:t>David Covey</w:t>
            </w:r>
          </w:p>
        </w:tc>
        <w:tc>
          <w:tcPr>
            <w:tcW w:w="5423" w:type="dxa"/>
          </w:tcPr>
          <w:p>
            <w:pPr>
              <w:pStyle w:val="TableParagraph"/>
              <w:ind w:left="404"/>
              <w:rPr>
                <w:b/>
                <w:sz w:val="20"/>
              </w:rPr>
            </w:pPr>
            <w:r>
              <w:rPr>
                <w:b/>
                <w:sz w:val="20"/>
              </w:rPr>
              <w:t>M&amp;G Investments</w:t>
            </w:r>
          </w:p>
        </w:tc>
      </w:tr>
      <w:tr>
        <w:trPr>
          <w:trHeight w:val="300" w:hRule="atLeast"/>
        </w:trPr>
        <w:tc>
          <w:tcPr>
            <w:tcW w:w="2914" w:type="dxa"/>
          </w:tcPr>
          <w:p>
            <w:pPr>
              <w:pStyle w:val="TableParagraph"/>
              <w:spacing w:before="32"/>
              <w:rPr>
                <w:sz w:val="20"/>
              </w:rPr>
            </w:pPr>
            <w:r>
              <w:rPr>
                <w:sz w:val="20"/>
              </w:rPr>
              <w:t>Kwok Liu</w:t>
            </w:r>
          </w:p>
        </w:tc>
        <w:tc>
          <w:tcPr>
            <w:tcW w:w="5423" w:type="dxa"/>
          </w:tcPr>
          <w:p>
            <w:pPr>
              <w:pStyle w:val="TableParagraph"/>
              <w:ind w:left="404"/>
              <w:rPr>
                <w:b/>
                <w:sz w:val="20"/>
              </w:rPr>
            </w:pPr>
            <w:r>
              <w:rPr>
                <w:b/>
                <w:sz w:val="20"/>
              </w:rPr>
              <w:t>National Grid</w:t>
            </w:r>
          </w:p>
        </w:tc>
      </w:tr>
      <w:tr>
        <w:trPr>
          <w:trHeight w:val="300" w:hRule="atLeast"/>
        </w:trPr>
        <w:tc>
          <w:tcPr>
            <w:tcW w:w="2914" w:type="dxa"/>
          </w:tcPr>
          <w:p>
            <w:pPr>
              <w:pStyle w:val="TableParagraph"/>
              <w:spacing w:before="33"/>
              <w:rPr>
                <w:sz w:val="20"/>
              </w:rPr>
            </w:pPr>
            <w:r>
              <w:rPr>
                <w:sz w:val="20"/>
              </w:rPr>
              <w:t>Richard Merrett</w:t>
            </w:r>
          </w:p>
        </w:tc>
        <w:tc>
          <w:tcPr>
            <w:tcW w:w="5423" w:type="dxa"/>
          </w:tcPr>
          <w:p>
            <w:pPr>
              <w:pStyle w:val="TableParagraph"/>
              <w:ind w:left="404"/>
              <w:rPr>
                <w:b/>
                <w:sz w:val="20"/>
              </w:rPr>
            </w:pPr>
            <w:r>
              <w:rPr>
                <w:b/>
                <w:sz w:val="20"/>
              </w:rPr>
              <w:t>Nationwide Building Society</w:t>
            </w:r>
          </w:p>
        </w:tc>
      </w:tr>
      <w:tr>
        <w:trPr>
          <w:trHeight w:val="300" w:hRule="atLeast"/>
        </w:trPr>
        <w:tc>
          <w:tcPr>
            <w:tcW w:w="2914" w:type="dxa"/>
          </w:tcPr>
          <w:p>
            <w:pPr>
              <w:pStyle w:val="TableParagraph"/>
              <w:spacing w:before="32"/>
              <w:rPr>
                <w:sz w:val="20"/>
              </w:rPr>
            </w:pPr>
            <w:r>
              <w:rPr>
                <w:sz w:val="20"/>
              </w:rPr>
              <w:t>Phil Lloyd</w:t>
            </w:r>
          </w:p>
        </w:tc>
        <w:tc>
          <w:tcPr>
            <w:tcW w:w="5423" w:type="dxa"/>
          </w:tcPr>
          <w:p>
            <w:pPr>
              <w:pStyle w:val="TableParagraph"/>
              <w:ind w:left="404"/>
              <w:rPr>
                <w:b/>
                <w:sz w:val="20"/>
              </w:rPr>
            </w:pPr>
            <w:r>
              <w:rPr>
                <w:b/>
                <w:sz w:val="20"/>
              </w:rPr>
              <w:t>NatWest Markets</w:t>
            </w:r>
          </w:p>
        </w:tc>
      </w:tr>
      <w:tr>
        <w:trPr>
          <w:trHeight w:val="300" w:hRule="atLeast"/>
        </w:trPr>
        <w:tc>
          <w:tcPr>
            <w:tcW w:w="2914" w:type="dxa"/>
          </w:tcPr>
          <w:p>
            <w:pPr>
              <w:pStyle w:val="TableParagraph"/>
              <w:spacing w:before="32"/>
              <w:rPr>
                <w:sz w:val="20"/>
              </w:rPr>
            </w:pPr>
            <w:r>
              <w:rPr>
                <w:sz w:val="20"/>
              </w:rPr>
              <w:t>Kieran Higgins</w:t>
            </w:r>
          </w:p>
        </w:tc>
        <w:tc>
          <w:tcPr>
            <w:tcW w:w="5423" w:type="dxa"/>
          </w:tcPr>
          <w:p>
            <w:pPr>
              <w:pStyle w:val="TableParagraph"/>
              <w:ind w:left="404"/>
              <w:rPr>
                <w:b/>
                <w:sz w:val="20"/>
              </w:rPr>
            </w:pPr>
            <w:r>
              <w:rPr>
                <w:b/>
                <w:sz w:val="20"/>
              </w:rPr>
              <w:t>Royal Bank of Scotland</w:t>
            </w:r>
          </w:p>
        </w:tc>
      </w:tr>
      <w:tr>
        <w:trPr>
          <w:trHeight w:val="262" w:hRule="atLeast"/>
        </w:trPr>
        <w:tc>
          <w:tcPr>
            <w:tcW w:w="2914" w:type="dxa"/>
          </w:tcPr>
          <w:p>
            <w:pPr>
              <w:pStyle w:val="TableParagraph"/>
              <w:spacing w:line="210" w:lineRule="exact" w:before="32"/>
              <w:rPr>
                <w:sz w:val="20"/>
              </w:rPr>
            </w:pPr>
            <w:r>
              <w:rPr>
                <w:sz w:val="20"/>
              </w:rPr>
              <w:t>Ronald Kent</w:t>
            </w:r>
          </w:p>
        </w:tc>
        <w:tc>
          <w:tcPr>
            <w:tcW w:w="5423" w:type="dxa"/>
          </w:tcPr>
          <w:p>
            <w:pPr>
              <w:pStyle w:val="TableParagraph"/>
              <w:spacing w:line="212" w:lineRule="exact"/>
              <w:ind w:left="404"/>
              <w:rPr>
                <w:b/>
                <w:sz w:val="20"/>
              </w:rPr>
            </w:pPr>
            <w:r>
              <w:rPr>
                <w:b/>
                <w:sz w:val="20"/>
              </w:rPr>
              <w:t>UK Finance</w:t>
            </w:r>
          </w:p>
        </w:tc>
      </w:tr>
    </w:tbl>
    <w:p>
      <w:pPr>
        <w:spacing w:before="154"/>
        <w:ind w:left="197" w:right="0" w:firstLine="0"/>
        <w:jc w:val="left"/>
        <w:rPr>
          <w:b/>
          <w:sz w:val="20"/>
        </w:rPr>
      </w:pPr>
      <w:r>
        <w:rPr>
          <w:b/>
          <w:sz w:val="20"/>
        </w:rPr>
        <w:t>Official sector</w:t>
      </w:r>
      <w:r>
        <w:rPr>
          <w:b/>
          <w:spacing w:val="-8"/>
          <w:sz w:val="20"/>
        </w:rPr>
        <w:t> </w:t>
      </w:r>
      <w:r>
        <w:rPr>
          <w:b/>
          <w:sz w:val="20"/>
        </w:rPr>
        <w:t>attendees</w:t>
      </w:r>
    </w:p>
    <w:p>
      <w:pPr>
        <w:pStyle w:val="BodyText"/>
        <w:spacing w:before="5"/>
        <w:ind w:left="0" w:firstLine="0"/>
        <w:rPr>
          <w:b/>
          <w:sz w:val="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3435"/>
      </w:tblGrid>
      <w:tr>
        <w:trPr>
          <w:trHeight w:val="255" w:hRule="atLeast"/>
        </w:trPr>
        <w:tc>
          <w:tcPr>
            <w:tcW w:w="2802" w:type="dxa"/>
          </w:tcPr>
          <w:p>
            <w:pPr>
              <w:pStyle w:val="TableParagraph"/>
              <w:spacing w:line="225" w:lineRule="exact" w:before="0"/>
              <w:rPr>
                <w:sz w:val="20"/>
              </w:rPr>
            </w:pPr>
            <w:r>
              <w:rPr>
                <w:sz w:val="20"/>
              </w:rPr>
              <w:t>Alastair Hughes</w:t>
            </w:r>
          </w:p>
        </w:tc>
        <w:tc>
          <w:tcPr>
            <w:tcW w:w="3435" w:type="dxa"/>
          </w:tcPr>
          <w:p>
            <w:pPr>
              <w:pStyle w:val="TableParagraph"/>
              <w:spacing w:line="223" w:lineRule="exact" w:before="0"/>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Wayne Leslie</w:t>
            </w:r>
          </w:p>
        </w:tc>
        <w:tc>
          <w:tcPr>
            <w:tcW w:w="3435" w:type="dxa"/>
          </w:tcPr>
          <w:p>
            <w:pPr>
              <w:pStyle w:val="TableParagraph"/>
              <w:spacing w:before="23"/>
              <w:ind w:left="559"/>
              <w:rPr>
                <w:b/>
                <w:sz w:val="20"/>
              </w:rPr>
            </w:pPr>
            <w:r>
              <w:rPr>
                <w:b/>
                <w:sz w:val="20"/>
              </w:rPr>
              <w:t>Bank of England</w:t>
            </w:r>
          </w:p>
        </w:tc>
      </w:tr>
      <w:tr>
        <w:trPr>
          <w:trHeight w:val="286" w:hRule="atLeast"/>
        </w:trPr>
        <w:tc>
          <w:tcPr>
            <w:tcW w:w="2802" w:type="dxa"/>
          </w:tcPr>
          <w:p>
            <w:pPr>
              <w:pStyle w:val="TableParagraph"/>
              <w:spacing w:before="25"/>
              <w:rPr>
                <w:sz w:val="20"/>
              </w:rPr>
            </w:pPr>
            <w:r>
              <w:rPr>
                <w:sz w:val="20"/>
              </w:rPr>
              <w:t>Tom Horn</w:t>
            </w:r>
          </w:p>
        </w:tc>
        <w:tc>
          <w:tcPr>
            <w:tcW w:w="3435" w:type="dxa"/>
          </w:tcPr>
          <w:p>
            <w:pPr>
              <w:pStyle w:val="TableParagraph"/>
              <w:spacing w:before="23"/>
              <w:ind w:left="559"/>
              <w:rPr>
                <w:b/>
                <w:sz w:val="20"/>
              </w:rPr>
            </w:pPr>
            <w:r>
              <w:rPr>
                <w:b/>
                <w:sz w:val="20"/>
              </w:rPr>
              <w:t>Bank of England</w:t>
            </w:r>
          </w:p>
        </w:tc>
      </w:tr>
      <w:tr>
        <w:trPr>
          <w:trHeight w:val="286" w:hRule="atLeast"/>
        </w:trPr>
        <w:tc>
          <w:tcPr>
            <w:tcW w:w="2802" w:type="dxa"/>
          </w:tcPr>
          <w:p>
            <w:pPr>
              <w:pStyle w:val="TableParagraph"/>
              <w:spacing w:before="26"/>
              <w:rPr>
                <w:sz w:val="20"/>
              </w:rPr>
            </w:pPr>
            <w:r>
              <w:rPr>
                <w:sz w:val="20"/>
              </w:rPr>
              <w:t>Jugvinder Singh</w:t>
            </w:r>
          </w:p>
        </w:tc>
        <w:tc>
          <w:tcPr>
            <w:tcW w:w="3435" w:type="dxa"/>
          </w:tcPr>
          <w:p>
            <w:pPr>
              <w:pStyle w:val="TableParagraph"/>
              <w:spacing w:before="24"/>
              <w:ind w:left="559"/>
              <w:rPr>
                <w:b/>
                <w:sz w:val="20"/>
              </w:rPr>
            </w:pPr>
            <w:r>
              <w:rPr>
                <w:b/>
                <w:sz w:val="20"/>
              </w:rPr>
              <w:t>Bank of England</w:t>
            </w:r>
          </w:p>
        </w:tc>
      </w:tr>
      <w:tr>
        <w:trPr>
          <w:trHeight w:val="428" w:hRule="atLeast"/>
        </w:trPr>
        <w:tc>
          <w:tcPr>
            <w:tcW w:w="2802" w:type="dxa"/>
          </w:tcPr>
          <w:p>
            <w:pPr>
              <w:pStyle w:val="TableParagraph"/>
              <w:spacing w:before="25"/>
              <w:rPr>
                <w:sz w:val="20"/>
              </w:rPr>
            </w:pPr>
            <w:r>
              <w:rPr>
                <w:sz w:val="20"/>
              </w:rPr>
              <w:t>Leman Menguturk</w:t>
            </w:r>
          </w:p>
        </w:tc>
        <w:tc>
          <w:tcPr>
            <w:tcW w:w="3435" w:type="dxa"/>
          </w:tcPr>
          <w:p>
            <w:pPr>
              <w:pStyle w:val="TableParagraph"/>
              <w:spacing w:before="23"/>
              <w:ind w:left="559"/>
              <w:rPr>
                <w:b/>
                <w:sz w:val="20"/>
              </w:rPr>
            </w:pPr>
            <w:r>
              <w:rPr>
                <w:b/>
                <w:sz w:val="20"/>
              </w:rPr>
              <w:t>Bank of England</w:t>
            </w:r>
          </w:p>
        </w:tc>
      </w:tr>
      <w:tr>
        <w:trPr>
          <w:trHeight w:val="428" w:hRule="atLeast"/>
        </w:trPr>
        <w:tc>
          <w:tcPr>
            <w:tcW w:w="2802" w:type="dxa"/>
          </w:tcPr>
          <w:p>
            <w:pPr>
              <w:pStyle w:val="TableParagraph"/>
              <w:spacing w:before="168"/>
              <w:rPr>
                <w:sz w:val="20"/>
              </w:rPr>
            </w:pPr>
            <w:r>
              <w:rPr>
                <w:sz w:val="20"/>
              </w:rPr>
              <w:t>Edwin Schooling Latter</w:t>
            </w:r>
          </w:p>
        </w:tc>
        <w:tc>
          <w:tcPr>
            <w:tcW w:w="3435" w:type="dxa"/>
          </w:tcPr>
          <w:p>
            <w:pPr>
              <w:pStyle w:val="TableParagraph"/>
              <w:spacing w:before="166"/>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Richard Fox</w:t>
            </w:r>
          </w:p>
        </w:tc>
        <w:tc>
          <w:tcPr>
            <w:tcW w:w="3435" w:type="dxa"/>
          </w:tcPr>
          <w:p>
            <w:pPr>
              <w:pStyle w:val="TableParagraph"/>
              <w:spacing w:before="23"/>
              <w:ind w:left="559"/>
              <w:rPr>
                <w:b/>
                <w:sz w:val="20"/>
              </w:rPr>
            </w:pPr>
            <w:r>
              <w:rPr>
                <w:b/>
                <w:sz w:val="20"/>
              </w:rPr>
              <w:t>Financial Conduct Authority</w:t>
            </w:r>
          </w:p>
        </w:tc>
      </w:tr>
      <w:tr>
        <w:trPr>
          <w:trHeight w:val="286" w:hRule="atLeast"/>
        </w:trPr>
        <w:tc>
          <w:tcPr>
            <w:tcW w:w="2802" w:type="dxa"/>
          </w:tcPr>
          <w:p>
            <w:pPr>
              <w:pStyle w:val="TableParagraph"/>
              <w:spacing w:before="25"/>
              <w:rPr>
                <w:sz w:val="20"/>
              </w:rPr>
            </w:pPr>
            <w:r>
              <w:rPr>
                <w:sz w:val="20"/>
              </w:rPr>
              <w:t>Anne-Laure Condat</w:t>
            </w:r>
          </w:p>
        </w:tc>
        <w:tc>
          <w:tcPr>
            <w:tcW w:w="3435" w:type="dxa"/>
          </w:tcPr>
          <w:p>
            <w:pPr>
              <w:pStyle w:val="TableParagraph"/>
              <w:spacing w:before="23"/>
              <w:ind w:left="559"/>
              <w:rPr>
                <w:b/>
                <w:sz w:val="20"/>
              </w:rPr>
            </w:pPr>
            <w:r>
              <w:rPr>
                <w:b/>
                <w:sz w:val="20"/>
              </w:rPr>
              <w:t>Financial Conduct Authority</w:t>
            </w:r>
          </w:p>
        </w:tc>
      </w:tr>
      <w:tr>
        <w:trPr>
          <w:trHeight w:val="286" w:hRule="atLeast"/>
        </w:trPr>
        <w:tc>
          <w:tcPr>
            <w:tcW w:w="2802" w:type="dxa"/>
          </w:tcPr>
          <w:p>
            <w:pPr>
              <w:pStyle w:val="TableParagraph"/>
              <w:spacing w:before="26"/>
              <w:rPr>
                <w:sz w:val="20"/>
              </w:rPr>
            </w:pPr>
            <w:r>
              <w:rPr>
                <w:sz w:val="20"/>
              </w:rPr>
              <w:t>Toby Williams</w:t>
            </w:r>
          </w:p>
        </w:tc>
        <w:tc>
          <w:tcPr>
            <w:tcW w:w="3435" w:type="dxa"/>
          </w:tcPr>
          <w:p>
            <w:pPr>
              <w:pStyle w:val="TableParagraph"/>
              <w:spacing w:before="24"/>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Heather Pilley</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Devid Mazzonetto</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Sophie Legrand-Green</w:t>
            </w:r>
          </w:p>
        </w:tc>
        <w:tc>
          <w:tcPr>
            <w:tcW w:w="3435" w:type="dxa"/>
          </w:tcPr>
          <w:p>
            <w:pPr>
              <w:pStyle w:val="TableParagraph"/>
              <w:spacing w:before="23"/>
              <w:ind w:left="559"/>
              <w:rPr>
                <w:b/>
                <w:sz w:val="20"/>
              </w:rPr>
            </w:pPr>
            <w:r>
              <w:rPr>
                <w:b/>
                <w:sz w:val="20"/>
              </w:rPr>
              <w:t>Financial Conduct Authority</w:t>
            </w:r>
          </w:p>
        </w:tc>
      </w:tr>
      <w:tr>
        <w:trPr>
          <w:trHeight w:val="255" w:hRule="atLeast"/>
        </w:trPr>
        <w:tc>
          <w:tcPr>
            <w:tcW w:w="2802" w:type="dxa"/>
          </w:tcPr>
          <w:p>
            <w:pPr>
              <w:pStyle w:val="TableParagraph"/>
              <w:spacing w:line="210" w:lineRule="exact" w:before="25"/>
              <w:rPr>
                <w:sz w:val="20"/>
              </w:rPr>
            </w:pPr>
            <w:r>
              <w:rPr>
                <w:sz w:val="20"/>
              </w:rPr>
              <w:t>Will Davies</w:t>
            </w:r>
          </w:p>
        </w:tc>
        <w:tc>
          <w:tcPr>
            <w:tcW w:w="3435" w:type="dxa"/>
          </w:tcPr>
          <w:p>
            <w:pPr>
              <w:pStyle w:val="TableParagraph"/>
              <w:spacing w:line="212" w:lineRule="exact" w:before="23"/>
              <w:ind w:left="559"/>
              <w:rPr>
                <w:b/>
                <w:sz w:val="20"/>
              </w:rPr>
            </w:pPr>
            <w:r>
              <w:rPr>
                <w:b/>
                <w:sz w:val="20"/>
              </w:rPr>
              <w:t>Financial Conduct Authority</w:t>
            </w:r>
          </w:p>
        </w:tc>
      </w:tr>
    </w:tbl>
    <w:sectPr>
      <w:pgSz w:w="11910" w:h="16840"/>
      <w:pgMar w:header="0" w:footer="717" w:top="880" w:bottom="90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type id="_x0000_t202" o:spt="202" coordsize="21600,21600" path="m,l,21600r21600,l21600,xe">
          <v:stroke joinstyle="miter"/>
          <v:path gradientshapeok="t" o:connecttype="rect"/>
        </v:shapetype>
        <v:shape style="position:absolute;margin-left:530.280029pt;margin-top:795.055969pt;width:11.6pt;height:13.05pt;mso-position-horizontal-relative:page;mso-position-vertical-relative:page;z-index:-252081152"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7"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84" w:hanging="360"/>
      </w:pPr>
      <w:rPr>
        <w:rFonts w:hint="default"/>
        <w:lang w:val="en-gb" w:eastAsia="en-gb" w:bidi="en-gb"/>
      </w:rPr>
    </w:lvl>
    <w:lvl w:ilvl="2">
      <w:start w:val="0"/>
      <w:numFmt w:val="bullet"/>
      <w:lvlText w:val="•"/>
      <w:lvlJc w:val="left"/>
      <w:pPr>
        <w:ind w:left="2409" w:hanging="360"/>
      </w:pPr>
      <w:rPr>
        <w:rFonts w:hint="default"/>
        <w:lang w:val="en-gb" w:eastAsia="en-gb" w:bidi="en-gb"/>
      </w:rPr>
    </w:lvl>
    <w:lvl w:ilvl="3">
      <w:start w:val="0"/>
      <w:numFmt w:val="bullet"/>
      <w:lvlText w:val="•"/>
      <w:lvlJc w:val="left"/>
      <w:pPr>
        <w:ind w:left="3333" w:hanging="360"/>
      </w:pPr>
      <w:rPr>
        <w:rFonts w:hint="default"/>
        <w:lang w:val="en-gb" w:eastAsia="en-gb" w:bidi="en-gb"/>
      </w:rPr>
    </w:lvl>
    <w:lvl w:ilvl="4">
      <w:start w:val="0"/>
      <w:numFmt w:val="bullet"/>
      <w:lvlText w:val="•"/>
      <w:lvlJc w:val="left"/>
      <w:pPr>
        <w:ind w:left="4258" w:hanging="360"/>
      </w:pPr>
      <w:rPr>
        <w:rFonts w:hint="default"/>
        <w:lang w:val="en-gb" w:eastAsia="en-gb" w:bidi="en-gb"/>
      </w:rPr>
    </w:lvl>
    <w:lvl w:ilvl="5">
      <w:start w:val="0"/>
      <w:numFmt w:val="bullet"/>
      <w:lvlText w:val="•"/>
      <w:lvlJc w:val="left"/>
      <w:pPr>
        <w:ind w:left="5183" w:hanging="360"/>
      </w:pPr>
      <w:rPr>
        <w:rFonts w:hint="default"/>
        <w:lang w:val="en-gb" w:eastAsia="en-gb" w:bidi="en-gb"/>
      </w:rPr>
    </w:lvl>
    <w:lvl w:ilvl="6">
      <w:start w:val="0"/>
      <w:numFmt w:val="bullet"/>
      <w:lvlText w:val="•"/>
      <w:lvlJc w:val="left"/>
      <w:pPr>
        <w:ind w:left="6107" w:hanging="360"/>
      </w:pPr>
      <w:rPr>
        <w:rFonts w:hint="default"/>
        <w:lang w:val="en-gb" w:eastAsia="en-gb" w:bidi="en-gb"/>
      </w:rPr>
    </w:lvl>
    <w:lvl w:ilvl="7">
      <w:start w:val="0"/>
      <w:numFmt w:val="bullet"/>
      <w:lvlText w:val="•"/>
      <w:lvlJc w:val="left"/>
      <w:pPr>
        <w:ind w:left="7032" w:hanging="360"/>
      </w:pPr>
      <w:rPr>
        <w:rFonts w:hint="default"/>
        <w:lang w:val="en-gb" w:eastAsia="en-gb" w:bidi="en-gb"/>
      </w:rPr>
    </w:lvl>
    <w:lvl w:ilvl="8">
      <w:start w:val="0"/>
      <w:numFmt w:val="bullet"/>
      <w:lvlText w:val="•"/>
      <w:lvlJc w:val="left"/>
      <w:pPr>
        <w:ind w:left="7957" w:hanging="360"/>
      </w:pPr>
      <w:rPr>
        <w:rFonts w:hint="default"/>
        <w:lang w:val="en-gb" w:eastAsia="en-gb" w:bidi="en-gb"/>
      </w:rPr>
    </w:lvl>
  </w:abstractNum>
  <w:abstractNum w:abstractNumId="0">
    <w:multiLevelType w:val="hybridMultilevel"/>
    <w:lvl w:ilvl="0">
      <w:start w:val="1"/>
      <w:numFmt w:val="decimal"/>
      <w:lvlText w:val="%1."/>
      <w:lvlJc w:val="left"/>
      <w:pPr>
        <w:ind w:left="917" w:hanging="360"/>
        <w:jc w:val="left"/>
      </w:pPr>
      <w:rPr>
        <w:rFonts w:hint="default" w:ascii="Arial" w:hAnsi="Arial" w:eastAsia="Arial" w:cs="Arial"/>
        <w:spacing w:val="-1"/>
        <w:w w:val="99"/>
        <w:sz w:val="20"/>
        <w:szCs w:val="20"/>
        <w:lang w:val="en-gb" w:eastAsia="en-gb" w:bidi="en-gb"/>
      </w:rPr>
    </w:lvl>
    <w:lvl w:ilvl="1">
      <w:start w:val="1"/>
      <w:numFmt w:val="lowerLetter"/>
      <w:lvlText w:val="%2."/>
      <w:lvlJc w:val="left"/>
      <w:pPr>
        <w:ind w:left="1637" w:hanging="360"/>
        <w:jc w:val="left"/>
      </w:pPr>
      <w:rPr>
        <w:rFonts w:hint="default" w:ascii="Arial" w:hAnsi="Arial" w:eastAsia="Arial" w:cs="Arial"/>
        <w:spacing w:val="-1"/>
        <w:w w:val="99"/>
        <w:sz w:val="20"/>
        <w:szCs w:val="20"/>
        <w:lang w:val="en-gb" w:eastAsia="en-gb" w:bidi="en-gb"/>
      </w:rPr>
    </w:lvl>
    <w:lvl w:ilvl="2">
      <w:start w:val="1"/>
      <w:numFmt w:val="lowerRoman"/>
      <w:lvlText w:val="%3."/>
      <w:lvlJc w:val="left"/>
      <w:pPr>
        <w:ind w:left="2357" w:hanging="282"/>
        <w:jc w:val="left"/>
      </w:pPr>
      <w:rPr>
        <w:rFonts w:hint="default" w:ascii="Arial" w:hAnsi="Arial" w:eastAsia="Arial" w:cs="Arial"/>
        <w:spacing w:val="-2"/>
        <w:w w:val="99"/>
        <w:sz w:val="20"/>
        <w:szCs w:val="20"/>
        <w:lang w:val="en-gb" w:eastAsia="en-gb" w:bidi="en-gb"/>
      </w:rPr>
    </w:lvl>
    <w:lvl w:ilvl="3">
      <w:start w:val="0"/>
      <w:numFmt w:val="bullet"/>
      <w:lvlText w:val="•"/>
      <w:lvlJc w:val="left"/>
      <w:pPr>
        <w:ind w:left="3290" w:hanging="282"/>
      </w:pPr>
      <w:rPr>
        <w:rFonts w:hint="default"/>
        <w:lang w:val="en-gb" w:eastAsia="en-gb" w:bidi="en-gb"/>
      </w:rPr>
    </w:lvl>
    <w:lvl w:ilvl="4">
      <w:start w:val="0"/>
      <w:numFmt w:val="bullet"/>
      <w:lvlText w:val="•"/>
      <w:lvlJc w:val="left"/>
      <w:pPr>
        <w:ind w:left="4221" w:hanging="282"/>
      </w:pPr>
      <w:rPr>
        <w:rFonts w:hint="default"/>
        <w:lang w:val="en-gb" w:eastAsia="en-gb" w:bidi="en-gb"/>
      </w:rPr>
    </w:lvl>
    <w:lvl w:ilvl="5">
      <w:start w:val="0"/>
      <w:numFmt w:val="bullet"/>
      <w:lvlText w:val="•"/>
      <w:lvlJc w:val="left"/>
      <w:pPr>
        <w:ind w:left="5152" w:hanging="282"/>
      </w:pPr>
      <w:rPr>
        <w:rFonts w:hint="default"/>
        <w:lang w:val="en-gb" w:eastAsia="en-gb" w:bidi="en-gb"/>
      </w:rPr>
    </w:lvl>
    <w:lvl w:ilvl="6">
      <w:start w:val="0"/>
      <w:numFmt w:val="bullet"/>
      <w:lvlText w:val="•"/>
      <w:lvlJc w:val="left"/>
      <w:pPr>
        <w:ind w:left="6083" w:hanging="282"/>
      </w:pPr>
      <w:rPr>
        <w:rFonts w:hint="default"/>
        <w:lang w:val="en-gb" w:eastAsia="en-gb" w:bidi="en-gb"/>
      </w:rPr>
    </w:lvl>
    <w:lvl w:ilvl="7">
      <w:start w:val="0"/>
      <w:numFmt w:val="bullet"/>
      <w:lvlText w:val="•"/>
      <w:lvlJc w:val="left"/>
      <w:pPr>
        <w:ind w:left="7014" w:hanging="282"/>
      </w:pPr>
      <w:rPr>
        <w:rFonts w:hint="default"/>
        <w:lang w:val="en-gb" w:eastAsia="en-gb" w:bidi="en-gb"/>
      </w:rPr>
    </w:lvl>
    <w:lvl w:ilvl="8">
      <w:start w:val="0"/>
      <w:numFmt w:val="bullet"/>
      <w:lvlText w:val="•"/>
      <w:lvlJc w:val="left"/>
      <w:pPr>
        <w:ind w:left="7944" w:hanging="28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557" w:hanging="360"/>
    </w:pPr>
    <w:rPr>
      <w:rFonts w:ascii="Arial" w:hAnsi="Arial" w:eastAsia="Arial" w:cs="Arial"/>
      <w:sz w:val="20"/>
      <w:szCs w:val="20"/>
      <w:lang w:val="en-gb" w:eastAsia="en-gb" w:bidi="en-gb"/>
    </w:rPr>
  </w:style>
  <w:style w:styleId="Heading1" w:type="paragraph">
    <w:name w:val="Heading 1"/>
    <w:basedOn w:val="Normal"/>
    <w:uiPriority w:val="1"/>
    <w:qFormat/>
    <w:pPr>
      <w:spacing w:before="9"/>
      <w:ind w:left="283"/>
      <w:outlineLvl w:val="1"/>
    </w:pPr>
    <w:rPr>
      <w:rFonts w:ascii="Arial" w:hAnsi="Arial" w:eastAsia="Arial" w:cs="Arial"/>
      <w:b/>
      <w:bCs/>
      <w:sz w:val="32"/>
      <w:szCs w:val="32"/>
      <w:lang w:val="en-gb" w:eastAsia="en-gb" w:bidi="en-gb"/>
    </w:rPr>
  </w:style>
  <w:style w:styleId="Heading2" w:type="paragraph">
    <w:name w:val="Heading 2"/>
    <w:basedOn w:val="Normal"/>
    <w:uiPriority w:val="1"/>
    <w:qFormat/>
    <w:pPr>
      <w:spacing w:before="117"/>
      <w:ind w:left="19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57" w:hanging="360"/>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Working Group on Sterling Risk-Free Reference Rates</dc:creator>
  <dc:title>Minutes of the Working Group on Sterling Risk-Free Reference Rates - December 2019</dc:title>
  <dcterms:created xsi:type="dcterms:W3CDTF">2020-06-01T02:23:27Z</dcterms:created>
  <dcterms:modified xsi:type="dcterms:W3CDTF">2020-06-01T02:23:27Z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LastSaved">
    <vt:filetime>2020-06-01T00:00:00Z</vt:filetime>
  </property>
</Properties>
</file>