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1787" w:right="1582"/>
        <w:jc w:val="center"/>
      </w:pPr>
      <w:r>
        <w:rPr/>
        <w:t>Minutes of the Working Group on Sterling Risk-Free Reference Rates Monday 19</w:t>
      </w:r>
      <w:r>
        <w:rPr>
          <w:vertAlign w:val="superscript"/>
        </w:rPr>
        <w:t>th</w:t>
      </w:r>
      <w:r>
        <w:rPr>
          <w:vertAlign w:val="baseline"/>
        </w:rPr>
        <w:t> February 2018</w:t>
      </w:r>
    </w:p>
    <w:p>
      <w:pPr>
        <w:spacing w:before="4"/>
        <w:ind w:left="1782" w:right="1582" w:firstLine="0"/>
        <w:jc w:val="center"/>
        <w:rPr>
          <w:b/>
          <w:sz w:val="20"/>
        </w:rPr>
      </w:pPr>
      <w:r>
        <w:rPr>
          <w:b/>
          <w:sz w:val="20"/>
        </w:rPr>
        <w:t>Barclays’ offices – 5 North Colonnade</w:t>
      </w:r>
    </w:p>
    <w:p>
      <w:pPr>
        <w:pStyle w:val="BodyText"/>
        <w:spacing w:before="10"/>
        <w:rPr>
          <w:b/>
          <w:sz w:val="22"/>
        </w:rPr>
      </w:pPr>
    </w:p>
    <w:p>
      <w:pPr>
        <w:spacing w:before="92"/>
        <w:ind w:left="316" w:right="0" w:firstLine="0"/>
        <w:jc w:val="left"/>
        <w:rPr>
          <w:b/>
          <w:sz w:val="20"/>
        </w:rPr>
      </w:pPr>
      <w:r>
        <w:rPr>
          <w:b/>
          <w:sz w:val="20"/>
        </w:rPr>
        <w:t>Agenda</w:t>
      </w:r>
    </w:p>
    <w:p>
      <w:pPr>
        <w:pStyle w:val="BodyText"/>
        <w:rPr>
          <w:b/>
        </w:rPr>
      </w:pPr>
    </w:p>
    <w:p>
      <w:pPr>
        <w:pStyle w:val="BodyText"/>
        <w:spacing w:before="11"/>
        <w:rPr>
          <w:b/>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
        <w:gridCol w:w="5165"/>
      </w:tblGrid>
      <w:tr>
        <w:trPr>
          <w:trHeight w:val="402" w:hRule="atLeast"/>
        </w:trPr>
        <w:tc>
          <w:tcPr>
            <w:tcW w:w="544" w:type="dxa"/>
          </w:tcPr>
          <w:p>
            <w:pPr>
              <w:pStyle w:val="TableParagraph"/>
              <w:spacing w:line="223" w:lineRule="exact" w:before="0"/>
              <w:ind w:left="0" w:right="176"/>
              <w:jc w:val="right"/>
              <w:rPr>
                <w:sz w:val="20"/>
              </w:rPr>
            </w:pPr>
            <w:r>
              <w:rPr>
                <w:w w:val="95"/>
                <w:sz w:val="20"/>
              </w:rPr>
              <w:t>1.</w:t>
            </w:r>
          </w:p>
        </w:tc>
        <w:tc>
          <w:tcPr>
            <w:tcW w:w="5165" w:type="dxa"/>
          </w:tcPr>
          <w:p>
            <w:pPr>
              <w:pStyle w:val="TableParagraph"/>
              <w:spacing w:line="223" w:lineRule="exact" w:before="0"/>
              <w:ind w:left="179"/>
              <w:rPr>
                <w:sz w:val="20"/>
              </w:rPr>
            </w:pPr>
            <w:r>
              <w:rPr>
                <w:sz w:val="20"/>
              </w:rPr>
              <w:t>Competition law reminder and training</w:t>
            </w:r>
          </w:p>
        </w:tc>
      </w:tr>
      <w:tr>
        <w:trPr>
          <w:trHeight w:val="584" w:hRule="atLeast"/>
        </w:trPr>
        <w:tc>
          <w:tcPr>
            <w:tcW w:w="544" w:type="dxa"/>
          </w:tcPr>
          <w:p>
            <w:pPr>
              <w:pStyle w:val="TableParagraph"/>
              <w:spacing w:before="173"/>
              <w:ind w:left="0" w:right="176"/>
              <w:jc w:val="right"/>
              <w:rPr>
                <w:sz w:val="20"/>
              </w:rPr>
            </w:pPr>
            <w:r>
              <w:rPr>
                <w:w w:val="95"/>
                <w:sz w:val="20"/>
              </w:rPr>
              <w:t>2.</w:t>
            </w:r>
          </w:p>
        </w:tc>
        <w:tc>
          <w:tcPr>
            <w:tcW w:w="5165" w:type="dxa"/>
          </w:tcPr>
          <w:p>
            <w:pPr>
              <w:pStyle w:val="TableParagraph"/>
              <w:spacing w:before="173"/>
              <w:ind w:left="179"/>
              <w:rPr>
                <w:sz w:val="20"/>
              </w:rPr>
            </w:pPr>
            <w:r>
              <w:rPr>
                <w:sz w:val="20"/>
              </w:rPr>
              <w:t>Approval of minutes of induction event</w:t>
            </w:r>
          </w:p>
        </w:tc>
      </w:tr>
      <w:tr>
        <w:trPr>
          <w:trHeight w:val="585" w:hRule="atLeast"/>
        </w:trPr>
        <w:tc>
          <w:tcPr>
            <w:tcW w:w="544" w:type="dxa"/>
          </w:tcPr>
          <w:p>
            <w:pPr>
              <w:pStyle w:val="TableParagraph"/>
              <w:spacing w:before="174"/>
              <w:ind w:left="0" w:right="176"/>
              <w:jc w:val="right"/>
              <w:rPr>
                <w:sz w:val="20"/>
              </w:rPr>
            </w:pPr>
            <w:r>
              <w:rPr>
                <w:w w:val="95"/>
                <w:sz w:val="20"/>
              </w:rPr>
              <w:t>3.</w:t>
            </w:r>
          </w:p>
        </w:tc>
        <w:tc>
          <w:tcPr>
            <w:tcW w:w="5165" w:type="dxa"/>
          </w:tcPr>
          <w:p>
            <w:pPr>
              <w:pStyle w:val="TableParagraph"/>
              <w:spacing w:before="174"/>
              <w:ind w:left="179"/>
              <w:rPr>
                <w:sz w:val="20"/>
              </w:rPr>
            </w:pPr>
            <w:r>
              <w:rPr>
                <w:sz w:val="20"/>
              </w:rPr>
              <w:t>Terms of Reference discussion and approval</w:t>
            </w:r>
          </w:p>
        </w:tc>
      </w:tr>
      <w:tr>
        <w:trPr>
          <w:trHeight w:val="585" w:hRule="atLeast"/>
        </w:trPr>
        <w:tc>
          <w:tcPr>
            <w:tcW w:w="544" w:type="dxa"/>
          </w:tcPr>
          <w:p>
            <w:pPr>
              <w:pStyle w:val="TableParagraph"/>
              <w:spacing w:before="174"/>
              <w:ind w:left="0" w:right="176"/>
              <w:jc w:val="right"/>
              <w:rPr>
                <w:sz w:val="20"/>
              </w:rPr>
            </w:pPr>
            <w:r>
              <w:rPr>
                <w:w w:val="95"/>
                <w:sz w:val="20"/>
              </w:rPr>
              <w:t>4.</w:t>
            </w:r>
          </w:p>
        </w:tc>
        <w:tc>
          <w:tcPr>
            <w:tcW w:w="5165" w:type="dxa"/>
          </w:tcPr>
          <w:p>
            <w:pPr>
              <w:pStyle w:val="TableParagraph"/>
              <w:spacing w:before="174"/>
              <w:ind w:left="179"/>
              <w:rPr>
                <w:sz w:val="20"/>
              </w:rPr>
            </w:pPr>
            <w:r>
              <w:rPr>
                <w:sz w:val="20"/>
              </w:rPr>
              <w:t>Sub-groups update</w:t>
            </w:r>
          </w:p>
        </w:tc>
      </w:tr>
      <w:tr>
        <w:trPr>
          <w:trHeight w:val="1542" w:hRule="atLeast"/>
        </w:trPr>
        <w:tc>
          <w:tcPr>
            <w:tcW w:w="544" w:type="dxa"/>
          </w:tcPr>
          <w:p>
            <w:pPr>
              <w:pStyle w:val="TableParagraph"/>
              <w:spacing w:before="174"/>
              <w:ind w:left="0" w:right="176"/>
              <w:jc w:val="right"/>
              <w:rPr>
                <w:sz w:val="20"/>
              </w:rPr>
            </w:pPr>
            <w:r>
              <w:rPr>
                <w:w w:val="95"/>
                <w:sz w:val="20"/>
              </w:rPr>
              <w:t>5.</w:t>
            </w:r>
          </w:p>
        </w:tc>
        <w:tc>
          <w:tcPr>
            <w:tcW w:w="5165" w:type="dxa"/>
          </w:tcPr>
          <w:p>
            <w:pPr>
              <w:pStyle w:val="TableParagraph"/>
              <w:spacing w:before="174"/>
              <w:ind w:left="179"/>
              <w:rPr>
                <w:sz w:val="20"/>
              </w:rPr>
            </w:pPr>
            <w:r>
              <w:rPr>
                <w:sz w:val="20"/>
              </w:rPr>
              <w:t>Next steps and milestones</w:t>
            </w:r>
          </w:p>
          <w:p>
            <w:pPr>
              <w:pStyle w:val="TableParagraph"/>
              <w:spacing w:before="9"/>
              <w:ind w:left="0"/>
              <w:rPr>
                <w:b/>
                <w:sz w:val="30"/>
              </w:rPr>
            </w:pPr>
          </w:p>
          <w:p>
            <w:pPr>
              <w:pStyle w:val="TableParagraph"/>
              <w:numPr>
                <w:ilvl w:val="0"/>
                <w:numId w:val="1"/>
              </w:numPr>
              <w:tabs>
                <w:tab w:pos="899" w:val="left" w:leader="none"/>
                <w:tab w:pos="900" w:val="left" w:leader="none"/>
              </w:tabs>
              <w:spacing w:line="240" w:lineRule="auto" w:before="0" w:after="0"/>
              <w:ind w:left="899" w:right="0" w:hanging="361"/>
              <w:jc w:val="left"/>
              <w:rPr>
                <w:sz w:val="20"/>
              </w:rPr>
            </w:pPr>
            <w:r>
              <w:rPr>
                <w:sz w:val="20"/>
              </w:rPr>
              <w:t>International overview of technical</w:t>
            </w:r>
            <w:r>
              <w:rPr>
                <w:spacing w:val="-13"/>
                <w:sz w:val="20"/>
              </w:rPr>
              <w:t> </w:t>
            </w:r>
            <w:r>
              <w:rPr>
                <w:sz w:val="20"/>
              </w:rPr>
              <w:t>sub-groups</w:t>
            </w:r>
          </w:p>
          <w:p>
            <w:pPr>
              <w:pStyle w:val="TableParagraph"/>
              <w:numPr>
                <w:ilvl w:val="0"/>
                <w:numId w:val="1"/>
              </w:numPr>
              <w:tabs>
                <w:tab w:pos="898" w:val="left" w:leader="none"/>
                <w:tab w:pos="899" w:val="left" w:leader="none"/>
              </w:tabs>
              <w:spacing w:line="240" w:lineRule="auto" w:before="115" w:after="0"/>
              <w:ind w:left="898" w:right="0" w:hanging="360"/>
              <w:jc w:val="left"/>
              <w:rPr>
                <w:sz w:val="20"/>
              </w:rPr>
            </w:pPr>
            <w:r>
              <w:rPr>
                <w:sz w:val="20"/>
              </w:rPr>
              <w:t>Next</w:t>
            </w:r>
            <w:r>
              <w:rPr>
                <w:spacing w:val="-2"/>
                <w:sz w:val="20"/>
              </w:rPr>
              <w:t> </w:t>
            </w:r>
            <w:r>
              <w:rPr>
                <w:sz w:val="20"/>
              </w:rPr>
              <w:t>steps</w:t>
            </w:r>
          </w:p>
        </w:tc>
      </w:tr>
      <w:tr>
        <w:trPr>
          <w:trHeight w:val="402" w:hRule="atLeast"/>
        </w:trPr>
        <w:tc>
          <w:tcPr>
            <w:tcW w:w="544" w:type="dxa"/>
          </w:tcPr>
          <w:p>
            <w:pPr>
              <w:pStyle w:val="TableParagraph"/>
              <w:spacing w:line="210" w:lineRule="exact" w:before="172"/>
              <w:ind w:left="0" w:right="176"/>
              <w:jc w:val="right"/>
              <w:rPr>
                <w:sz w:val="20"/>
              </w:rPr>
            </w:pPr>
            <w:r>
              <w:rPr>
                <w:w w:val="95"/>
                <w:sz w:val="20"/>
              </w:rPr>
              <w:t>6.</w:t>
            </w:r>
          </w:p>
        </w:tc>
        <w:tc>
          <w:tcPr>
            <w:tcW w:w="5165" w:type="dxa"/>
          </w:tcPr>
          <w:p>
            <w:pPr>
              <w:pStyle w:val="TableParagraph"/>
              <w:spacing w:line="210" w:lineRule="exact" w:before="172"/>
              <w:ind w:left="179"/>
              <w:rPr>
                <w:sz w:val="20"/>
              </w:rPr>
            </w:pPr>
            <w:r>
              <w:rPr>
                <w:sz w:val="20"/>
              </w:rPr>
              <w:t>AOB</w:t>
            </w:r>
          </w:p>
        </w:tc>
      </w:tr>
    </w:tbl>
    <w:p>
      <w:pPr>
        <w:pStyle w:val="BodyText"/>
        <w:rPr>
          <w:b/>
          <w:sz w:val="22"/>
        </w:rPr>
      </w:pPr>
    </w:p>
    <w:p>
      <w:pPr>
        <w:pStyle w:val="BodyText"/>
        <w:spacing w:before="1"/>
        <w:rPr>
          <w:b/>
          <w:sz w:val="28"/>
        </w:rPr>
      </w:pPr>
    </w:p>
    <w:p>
      <w:pPr>
        <w:spacing w:before="0"/>
        <w:ind w:left="316" w:right="0" w:firstLine="0"/>
        <w:jc w:val="left"/>
        <w:rPr>
          <w:b/>
          <w:sz w:val="20"/>
        </w:rPr>
      </w:pPr>
      <w:r>
        <w:rPr>
          <w:b/>
          <w:sz w:val="20"/>
        </w:rPr>
        <w:t>Introduction</w:t>
      </w:r>
    </w:p>
    <w:p>
      <w:pPr>
        <w:pStyle w:val="BodyText"/>
        <w:spacing w:before="8"/>
        <w:rPr>
          <w:b/>
        </w:rPr>
      </w:pPr>
    </w:p>
    <w:p>
      <w:pPr>
        <w:pStyle w:val="ListParagraph"/>
        <w:numPr>
          <w:ilvl w:val="0"/>
          <w:numId w:val="2"/>
        </w:numPr>
        <w:tabs>
          <w:tab w:pos="677" w:val="left" w:leader="none"/>
        </w:tabs>
        <w:spacing w:line="360" w:lineRule="auto" w:before="0" w:after="0"/>
        <w:ind w:left="676" w:right="134" w:hanging="360"/>
        <w:jc w:val="left"/>
        <w:rPr>
          <w:sz w:val="20"/>
        </w:rPr>
      </w:pPr>
      <w:r>
        <w:rPr>
          <w:sz w:val="20"/>
        </w:rPr>
        <w:t>The chair asked members to declare if they have any conflict of interests. Subsequently to the meeting, some members notified the RFR Secretariat on their conflict of interest</w:t>
      </w:r>
      <w:r>
        <w:rPr>
          <w:spacing w:val="-11"/>
          <w:sz w:val="20"/>
        </w:rPr>
        <w:t> </w:t>
      </w:r>
      <w:r>
        <w:rPr>
          <w:sz w:val="20"/>
        </w:rPr>
        <w:t>status.</w:t>
      </w:r>
    </w:p>
    <w:p>
      <w:pPr>
        <w:pStyle w:val="ListParagraph"/>
        <w:numPr>
          <w:ilvl w:val="0"/>
          <w:numId w:val="2"/>
        </w:numPr>
        <w:tabs>
          <w:tab w:pos="677" w:val="left" w:leader="none"/>
        </w:tabs>
        <w:spacing w:line="360" w:lineRule="auto" w:before="121" w:after="0"/>
        <w:ind w:left="676" w:right="245" w:hanging="360"/>
        <w:jc w:val="left"/>
        <w:rPr>
          <w:sz w:val="20"/>
        </w:rPr>
      </w:pPr>
      <w:r>
        <w:rPr>
          <w:sz w:val="20"/>
        </w:rPr>
        <w:t>Members were reminded of authorities’ support for this initiative. It was noted, however, that whilst the Sterling Working Group on risk-free rates ‘the Group’ has a key role to facilitate the transition to risk- free rates and build consensus, it will be up to each individual firm and market participant to make decisions on their own transition</w:t>
      </w:r>
      <w:r>
        <w:rPr>
          <w:spacing w:val="-1"/>
          <w:sz w:val="20"/>
        </w:rPr>
        <w:t> </w:t>
      </w:r>
      <w:r>
        <w:rPr>
          <w:sz w:val="20"/>
        </w:rPr>
        <w:t>path.</w:t>
      </w:r>
    </w:p>
    <w:p>
      <w:pPr>
        <w:pStyle w:val="ListParagraph"/>
        <w:numPr>
          <w:ilvl w:val="0"/>
          <w:numId w:val="2"/>
        </w:numPr>
        <w:tabs>
          <w:tab w:pos="677" w:val="left" w:leader="none"/>
        </w:tabs>
        <w:spacing w:line="357" w:lineRule="auto" w:before="121" w:after="0"/>
        <w:ind w:left="676" w:right="601" w:hanging="360"/>
        <w:jc w:val="left"/>
        <w:rPr>
          <w:sz w:val="20"/>
        </w:rPr>
      </w:pPr>
      <w:r>
        <w:rPr>
          <w:sz w:val="20"/>
        </w:rPr>
        <w:t>It was emphasized that the Group was reconstituted to take account of the views of a wider cross- section of sterling market</w:t>
      </w:r>
      <w:r>
        <w:rPr>
          <w:spacing w:val="-1"/>
          <w:sz w:val="20"/>
        </w:rPr>
        <w:t> </w:t>
      </w:r>
      <w:r>
        <w:rPr>
          <w:sz w:val="20"/>
        </w:rPr>
        <w:t>participants.</w:t>
      </w:r>
    </w:p>
    <w:p>
      <w:pPr>
        <w:pStyle w:val="Heading1"/>
        <w:spacing w:before="121"/>
      </w:pPr>
      <w:r>
        <w:rPr/>
        <w:t>Competition Law reminder and training</w:t>
      </w:r>
    </w:p>
    <w:p>
      <w:pPr>
        <w:pStyle w:val="BodyText"/>
        <w:spacing w:before="7"/>
        <w:rPr>
          <w:b/>
        </w:rPr>
      </w:pPr>
    </w:p>
    <w:p>
      <w:pPr>
        <w:pStyle w:val="ListParagraph"/>
        <w:numPr>
          <w:ilvl w:val="0"/>
          <w:numId w:val="2"/>
        </w:numPr>
        <w:tabs>
          <w:tab w:pos="677" w:val="left" w:leader="none"/>
        </w:tabs>
        <w:spacing w:line="360" w:lineRule="auto" w:before="1" w:after="0"/>
        <w:ind w:left="676" w:right="224" w:hanging="360"/>
        <w:jc w:val="left"/>
        <w:rPr>
          <w:sz w:val="20"/>
        </w:rPr>
      </w:pPr>
      <w:r>
        <w:rPr>
          <w:sz w:val="20"/>
        </w:rPr>
        <w:t>Training was provided to remind the group of their competition law related obligations. Members of the Group were reminded of their responsibilities in relation to compliance with competition law and the importance of taking their own independent competition law</w:t>
      </w:r>
      <w:r>
        <w:rPr>
          <w:spacing w:val="-8"/>
          <w:sz w:val="20"/>
        </w:rPr>
        <w:t> </w:t>
      </w:r>
      <w:r>
        <w:rPr>
          <w:sz w:val="20"/>
        </w:rPr>
        <w:t>advice.</w:t>
      </w:r>
    </w:p>
    <w:p>
      <w:pPr>
        <w:pStyle w:val="Heading1"/>
        <w:spacing w:before="117"/>
      </w:pPr>
      <w:r>
        <w:rPr/>
        <w:t>Approval of minutes of induction event</w:t>
      </w:r>
    </w:p>
    <w:p>
      <w:pPr>
        <w:pStyle w:val="BodyText"/>
        <w:spacing w:before="8"/>
        <w:rPr>
          <w:b/>
        </w:rPr>
      </w:pPr>
    </w:p>
    <w:p>
      <w:pPr>
        <w:pStyle w:val="ListParagraph"/>
        <w:numPr>
          <w:ilvl w:val="0"/>
          <w:numId w:val="2"/>
        </w:numPr>
        <w:tabs>
          <w:tab w:pos="677" w:val="left" w:leader="none"/>
        </w:tabs>
        <w:spacing w:line="240" w:lineRule="auto" w:before="0" w:after="0"/>
        <w:ind w:left="676" w:right="0" w:hanging="361"/>
        <w:jc w:val="left"/>
        <w:rPr>
          <w:sz w:val="20"/>
        </w:rPr>
      </w:pPr>
      <w:r>
        <w:rPr>
          <w:sz w:val="20"/>
        </w:rPr>
        <w:t>The minutes of the induction event were approved by the</w:t>
      </w:r>
      <w:r>
        <w:rPr>
          <w:spacing w:val="-5"/>
          <w:sz w:val="20"/>
        </w:rPr>
        <w:t> </w:t>
      </w:r>
      <w:r>
        <w:rPr>
          <w:sz w:val="20"/>
        </w:rPr>
        <w:t>Group</w:t>
      </w:r>
      <w:hyperlink w:history="true" w:anchor="_bookmark1">
        <w:r>
          <w:rPr>
            <w:sz w:val="20"/>
            <w:vertAlign w:val="superscript"/>
          </w:rPr>
          <w:t>1</w:t>
        </w:r>
      </w:hyperlink>
      <w:r>
        <w:rPr>
          <w:sz w:val="20"/>
          <w:vertAlign w:val="baseline"/>
        </w:rPr>
        <w:t>.</w:t>
      </w:r>
    </w:p>
    <w:p>
      <w:pPr>
        <w:pStyle w:val="Heading1"/>
        <w:spacing w:before="233"/>
      </w:pPr>
      <w:bookmarkStart w:name="_bookmark0" w:id="1"/>
      <w:bookmarkEnd w:id="1"/>
      <w:r>
        <w:rPr>
          <w:b w:val="0"/>
        </w:rPr>
      </w:r>
      <w:r>
        <w:rPr/>
        <w:t>Terms of Reference discussion and approval</w:t>
      </w:r>
    </w:p>
    <w:p>
      <w:pPr>
        <w:pStyle w:val="BodyText"/>
        <w:spacing w:before="6"/>
        <w:rPr>
          <w:b/>
        </w:rPr>
      </w:pPr>
    </w:p>
    <w:p>
      <w:pPr>
        <w:pStyle w:val="ListParagraph"/>
        <w:numPr>
          <w:ilvl w:val="0"/>
          <w:numId w:val="2"/>
        </w:numPr>
        <w:tabs>
          <w:tab w:pos="677" w:val="left" w:leader="none"/>
        </w:tabs>
        <w:spacing w:line="240" w:lineRule="auto" w:before="0" w:after="0"/>
        <w:ind w:left="676" w:right="0" w:hanging="361"/>
        <w:jc w:val="left"/>
        <w:rPr>
          <w:sz w:val="20"/>
        </w:rPr>
      </w:pPr>
      <w:r>
        <w:rPr>
          <w:sz w:val="20"/>
        </w:rPr>
        <w:t>The Terms of References</w:t>
      </w:r>
      <w:hyperlink w:history="true" w:anchor="_bookmark0">
        <w:r>
          <w:rPr>
            <w:sz w:val="20"/>
            <w:vertAlign w:val="superscript"/>
          </w:rPr>
          <w:t>2</w:t>
        </w:r>
        <w:r>
          <w:rPr>
            <w:sz w:val="20"/>
            <w:vertAlign w:val="baseline"/>
          </w:rPr>
          <w:t> </w:t>
        </w:r>
      </w:hyperlink>
      <w:r>
        <w:rPr>
          <w:sz w:val="20"/>
          <w:vertAlign w:val="baseline"/>
        </w:rPr>
        <w:t>for the Group were agreed by the</w:t>
      </w:r>
      <w:r>
        <w:rPr>
          <w:spacing w:val="-9"/>
          <w:sz w:val="20"/>
          <w:vertAlign w:val="baseline"/>
        </w:rPr>
        <w:t> </w:t>
      </w:r>
      <w:r>
        <w:rPr>
          <w:sz w:val="20"/>
          <w:vertAlign w:val="baseline"/>
        </w:rPr>
        <w:t>members.</w:t>
      </w:r>
    </w:p>
    <w:p>
      <w:pPr>
        <w:pStyle w:val="BodyText"/>
      </w:pPr>
    </w:p>
    <w:p>
      <w:pPr>
        <w:pStyle w:val="BodyText"/>
      </w:pPr>
    </w:p>
    <w:p>
      <w:pPr>
        <w:pStyle w:val="BodyText"/>
        <w:spacing w:before="6"/>
        <w:rPr>
          <w:sz w:val="13"/>
        </w:rPr>
      </w:pPr>
      <w:r>
        <w:rPr/>
        <w:pict>
          <v:shape style="position:absolute;margin-left:63.84pt;margin-top:10.16959pt;width:144pt;height:.1pt;mso-position-horizontal-relative:page;mso-position-vertical-relative:paragraph;z-index:-251658240;mso-wrap-distance-left:0;mso-wrap-distance-right:0" coordorigin="1277,203" coordsize="2880,0" path="m1277,203l4157,203e" filled="false" stroked="true" strokeweight=".72pt" strokecolor="#000000">
            <v:path arrowok="t"/>
            <v:stroke dashstyle="solid"/>
            <w10:wrap type="topAndBottom"/>
          </v:shape>
        </w:pict>
      </w:r>
    </w:p>
    <w:p>
      <w:pPr>
        <w:spacing w:before="33"/>
        <w:ind w:left="316" w:right="0" w:firstLine="0"/>
        <w:jc w:val="left"/>
        <w:rPr>
          <w:sz w:val="16"/>
        </w:rPr>
      </w:pPr>
      <w:bookmarkStart w:name="_bookmark1" w:id="2"/>
      <w:bookmarkEnd w:id="2"/>
      <w:r>
        <w:rPr/>
      </w:r>
      <w:r>
        <w:rPr>
          <w:sz w:val="16"/>
        </w:rPr>
        <w:t>1</w:t>
      </w:r>
      <w:r>
        <w:rPr>
          <w:color w:val="0000FF"/>
          <w:sz w:val="16"/>
        </w:rPr>
        <w:t> </w:t>
      </w:r>
      <w:hyperlink r:id="rId5">
        <w:r>
          <w:rPr>
            <w:color w:val="0000FF"/>
            <w:sz w:val="16"/>
            <w:u w:val="single" w:color="0000FF"/>
          </w:rPr>
          <w:t>https://www.bankofengland.co.uk/minutes/2018/rfr-january-2018</w:t>
        </w:r>
      </w:hyperlink>
    </w:p>
    <w:p>
      <w:pPr>
        <w:spacing w:after="0"/>
        <w:jc w:val="left"/>
        <w:rPr>
          <w:sz w:val="16"/>
        </w:rPr>
        <w:sectPr>
          <w:type w:val="continuous"/>
          <w:pgSz w:w="11910" w:h="16840"/>
          <w:pgMar w:top="1180" w:bottom="280" w:left="960" w:right="1020"/>
        </w:sectPr>
      </w:pPr>
    </w:p>
    <w:p>
      <w:pPr>
        <w:pStyle w:val="ListParagraph"/>
        <w:numPr>
          <w:ilvl w:val="0"/>
          <w:numId w:val="2"/>
        </w:numPr>
        <w:tabs>
          <w:tab w:pos="677" w:val="left" w:leader="none"/>
        </w:tabs>
        <w:spacing w:line="357" w:lineRule="auto" w:before="75" w:after="0"/>
        <w:ind w:left="676" w:right="571" w:hanging="360"/>
        <w:jc w:val="left"/>
        <w:rPr>
          <w:sz w:val="20"/>
        </w:rPr>
      </w:pPr>
      <w:r>
        <w:rPr>
          <w:sz w:val="20"/>
        </w:rPr>
        <w:t>The chair also summarised his introductory bilateral discussions with each member by</w:t>
      </w:r>
      <w:r>
        <w:rPr>
          <w:spacing w:val="-40"/>
          <w:sz w:val="20"/>
        </w:rPr>
        <w:t> </w:t>
      </w:r>
      <w:r>
        <w:rPr>
          <w:sz w:val="20"/>
        </w:rPr>
        <w:t>highlighting some key</w:t>
      </w:r>
      <w:r>
        <w:rPr>
          <w:spacing w:val="-9"/>
          <w:sz w:val="20"/>
        </w:rPr>
        <w:t> </w:t>
      </w:r>
      <w:r>
        <w:rPr>
          <w:sz w:val="20"/>
        </w:rPr>
        <w:t>considerations:</w:t>
      </w:r>
    </w:p>
    <w:p>
      <w:pPr>
        <w:pStyle w:val="ListParagraph"/>
        <w:numPr>
          <w:ilvl w:val="1"/>
          <w:numId w:val="2"/>
        </w:numPr>
        <w:tabs>
          <w:tab w:pos="1396" w:val="left" w:leader="none"/>
          <w:tab w:pos="1397" w:val="left" w:leader="none"/>
        </w:tabs>
        <w:spacing w:line="360" w:lineRule="auto" w:before="4" w:after="0"/>
        <w:ind w:left="1396" w:right="269" w:hanging="720"/>
        <w:jc w:val="left"/>
        <w:rPr>
          <w:sz w:val="20"/>
        </w:rPr>
      </w:pPr>
      <w:r>
        <w:rPr>
          <w:sz w:val="20"/>
        </w:rPr>
        <w:t>Creating a SONIA offering and developing a risk-free rates based ecosystem will be a key objective to facilitate adoption. It was suggested that examining SONIA based notes issuance and enabling FRNs to be based on risk-free rates should be a focus of the bonds sub-group. Members suggested that building a new SONIA offering in primary markets would facilitate legacy</w:t>
      </w:r>
      <w:r>
        <w:rPr>
          <w:spacing w:val="-5"/>
          <w:sz w:val="20"/>
        </w:rPr>
        <w:t> </w:t>
      </w:r>
      <w:r>
        <w:rPr>
          <w:sz w:val="20"/>
        </w:rPr>
        <w:t>conversion.</w:t>
      </w:r>
    </w:p>
    <w:p>
      <w:pPr>
        <w:pStyle w:val="ListParagraph"/>
        <w:numPr>
          <w:ilvl w:val="1"/>
          <w:numId w:val="2"/>
        </w:numPr>
        <w:tabs>
          <w:tab w:pos="1396" w:val="left" w:leader="none"/>
          <w:tab w:pos="1397" w:val="left" w:leader="none"/>
        </w:tabs>
        <w:spacing w:line="360" w:lineRule="auto" w:before="1" w:after="0"/>
        <w:ind w:left="1396" w:right="225" w:hanging="720"/>
        <w:jc w:val="left"/>
        <w:rPr>
          <w:sz w:val="20"/>
        </w:rPr>
      </w:pPr>
      <w:r>
        <w:rPr>
          <w:sz w:val="20"/>
        </w:rPr>
        <w:t>Members expressed greater concerns with psychological and administrative barriers than with technological or economic barriers. Members also cited fear of market fragmentation as a potential deterrent to benchmark transition.</w:t>
      </w:r>
    </w:p>
    <w:p>
      <w:pPr>
        <w:pStyle w:val="ListParagraph"/>
        <w:numPr>
          <w:ilvl w:val="1"/>
          <w:numId w:val="2"/>
        </w:numPr>
        <w:tabs>
          <w:tab w:pos="1396" w:val="left" w:leader="none"/>
          <w:tab w:pos="1397" w:val="left" w:leader="none"/>
        </w:tabs>
        <w:spacing w:line="360" w:lineRule="auto" w:before="0" w:after="0"/>
        <w:ind w:left="1396" w:right="303" w:hanging="720"/>
        <w:jc w:val="left"/>
        <w:rPr>
          <w:sz w:val="20"/>
        </w:rPr>
      </w:pPr>
      <w:r>
        <w:rPr>
          <w:sz w:val="20"/>
        </w:rPr>
        <w:t>Providing education and raising awareness amongst market participants and end users regarding the benchmark agenda was consistently cited as a priority. Members thought it would be particularly important to communicate that reform efforts were internationally coordinated. The Group’s plans to establish industry forums were cited as a useful means to strengthen communication. One member cited ICE licensing information on Libor as a useful way to identify end-users for</w:t>
      </w:r>
      <w:r>
        <w:rPr>
          <w:spacing w:val="-3"/>
          <w:sz w:val="20"/>
        </w:rPr>
        <w:t> </w:t>
      </w:r>
      <w:r>
        <w:rPr>
          <w:sz w:val="20"/>
        </w:rPr>
        <w:t>outreach.</w:t>
      </w:r>
    </w:p>
    <w:p>
      <w:pPr>
        <w:pStyle w:val="ListParagraph"/>
        <w:numPr>
          <w:ilvl w:val="1"/>
          <w:numId w:val="2"/>
        </w:numPr>
        <w:tabs>
          <w:tab w:pos="1396" w:val="left" w:leader="none"/>
          <w:tab w:pos="1397" w:val="left" w:leader="none"/>
        </w:tabs>
        <w:spacing w:line="360" w:lineRule="auto" w:before="0" w:after="0"/>
        <w:ind w:left="1396" w:right="178" w:hanging="720"/>
        <w:jc w:val="left"/>
        <w:rPr>
          <w:sz w:val="20"/>
        </w:rPr>
      </w:pPr>
      <w:r>
        <w:rPr>
          <w:sz w:val="20"/>
        </w:rPr>
        <w:t>Other uses of Libor were highlighted by non-banks, including but not limited to its usage: as an investment performance benchmark; in internal transfer pricing policies; and as a penalty interest rate in commercial</w:t>
      </w:r>
      <w:r>
        <w:rPr>
          <w:spacing w:val="-4"/>
          <w:sz w:val="20"/>
        </w:rPr>
        <w:t> </w:t>
      </w:r>
      <w:r>
        <w:rPr>
          <w:sz w:val="20"/>
        </w:rPr>
        <w:t>contracts.</w:t>
      </w:r>
    </w:p>
    <w:p>
      <w:pPr>
        <w:pStyle w:val="ListParagraph"/>
        <w:numPr>
          <w:ilvl w:val="1"/>
          <w:numId w:val="2"/>
        </w:numPr>
        <w:tabs>
          <w:tab w:pos="1396" w:val="left" w:leader="none"/>
          <w:tab w:pos="1397" w:val="left" w:leader="none"/>
        </w:tabs>
        <w:spacing w:line="357" w:lineRule="auto" w:before="0" w:after="0"/>
        <w:ind w:left="1396" w:right="156" w:hanging="721"/>
        <w:jc w:val="left"/>
        <w:rPr>
          <w:sz w:val="20"/>
        </w:rPr>
      </w:pPr>
      <w:r>
        <w:rPr>
          <w:sz w:val="20"/>
        </w:rPr>
        <w:t>Members provided suggestions regarding potential technical sub-groups, including: accounting and tax; technology; and non-linear</w:t>
      </w:r>
      <w:r>
        <w:rPr>
          <w:spacing w:val="-3"/>
          <w:sz w:val="20"/>
        </w:rPr>
        <w:t> </w:t>
      </w:r>
      <w:r>
        <w:rPr>
          <w:sz w:val="20"/>
        </w:rPr>
        <w:t>products.</w:t>
      </w:r>
    </w:p>
    <w:p>
      <w:pPr>
        <w:pStyle w:val="ListParagraph"/>
        <w:numPr>
          <w:ilvl w:val="0"/>
          <w:numId w:val="2"/>
        </w:numPr>
        <w:tabs>
          <w:tab w:pos="677" w:val="left" w:leader="none"/>
        </w:tabs>
        <w:spacing w:line="360" w:lineRule="auto" w:before="4" w:after="0"/>
        <w:ind w:left="675" w:right="341" w:hanging="360"/>
        <w:jc w:val="left"/>
        <w:rPr>
          <w:sz w:val="20"/>
        </w:rPr>
      </w:pPr>
      <w:r>
        <w:rPr>
          <w:sz w:val="20"/>
        </w:rPr>
        <w:t>In light of 7(iii), the Investment Association mentioned that they were planning to establish a buy-side forum.</w:t>
      </w:r>
    </w:p>
    <w:p>
      <w:pPr>
        <w:pStyle w:val="Heading1"/>
        <w:ind w:left="315"/>
      </w:pPr>
      <w:r>
        <w:rPr/>
        <w:t>Sub-groups update</w:t>
      </w:r>
    </w:p>
    <w:p>
      <w:pPr>
        <w:pStyle w:val="BodyText"/>
        <w:spacing w:before="6"/>
        <w:rPr>
          <w:b/>
        </w:rPr>
      </w:pPr>
    </w:p>
    <w:p>
      <w:pPr>
        <w:pStyle w:val="ListParagraph"/>
        <w:numPr>
          <w:ilvl w:val="0"/>
          <w:numId w:val="2"/>
        </w:numPr>
        <w:tabs>
          <w:tab w:pos="676" w:val="left" w:leader="none"/>
        </w:tabs>
        <w:spacing w:line="360" w:lineRule="auto" w:before="0" w:after="0"/>
        <w:ind w:left="675" w:right="233" w:hanging="360"/>
        <w:jc w:val="left"/>
        <w:rPr>
          <w:sz w:val="20"/>
        </w:rPr>
      </w:pPr>
      <w:r>
        <w:rPr>
          <w:sz w:val="20"/>
        </w:rPr>
        <w:t>Sub-group chairs provided updates on technical issues, with the exception of the futures sub-group as no meeting occurred since the last update. It was noted that there were no plans to publish a consultation on futures, and that the information available in the last set of published minutes provided sufficient guidance to exchanges. The next meeting</w:t>
      </w:r>
      <w:hyperlink w:history="true" w:anchor="_bookmark2">
        <w:r>
          <w:rPr>
            <w:sz w:val="20"/>
            <w:vertAlign w:val="superscript"/>
          </w:rPr>
          <w:t>3</w:t>
        </w:r>
        <w:r>
          <w:rPr>
            <w:sz w:val="20"/>
            <w:vertAlign w:val="baseline"/>
          </w:rPr>
          <w:t> </w:t>
        </w:r>
      </w:hyperlink>
      <w:r>
        <w:rPr>
          <w:sz w:val="20"/>
          <w:vertAlign w:val="baseline"/>
        </w:rPr>
        <w:t>of the futures sub-group will focus on how to generate liquidity in futures products, including through user education and</w:t>
      </w:r>
      <w:r>
        <w:rPr>
          <w:spacing w:val="-8"/>
          <w:sz w:val="20"/>
          <w:vertAlign w:val="baseline"/>
        </w:rPr>
        <w:t> </w:t>
      </w:r>
      <w:r>
        <w:rPr>
          <w:sz w:val="20"/>
          <w:vertAlign w:val="baseline"/>
        </w:rPr>
        <w:t>outreach.</w:t>
      </w:r>
    </w:p>
    <w:p>
      <w:pPr>
        <w:pStyle w:val="ListParagraph"/>
        <w:numPr>
          <w:ilvl w:val="0"/>
          <w:numId w:val="2"/>
        </w:numPr>
        <w:tabs>
          <w:tab w:pos="677" w:val="left" w:leader="none"/>
        </w:tabs>
        <w:spacing w:line="228" w:lineRule="exact" w:before="0" w:after="0"/>
        <w:ind w:left="676" w:right="0" w:hanging="361"/>
        <w:jc w:val="left"/>
        <w:rPr>
          <w:i/>
          <w:sz w:val="20"/>
        </w:rPr>
      </w:pPr>
      <w:r>
        <w:rPr>
          <w:i/>
          <w:sz w:val="20"/>
          <w:u w:val="single"/>
        </w:rPr>
        <w:t>Pension Funds and Insurance Companies sub-group</w:t>
      </w:r>
      <w:r>
        <w:rPr>
          <w:i/>
          <w:spacing w:val="-4"/>
          <w:sz w:val="20"/>
          <w:u w:val="single"/>
        </w:rPr>
        <w:t> </w:t>
      </w:r>
      <w:r>
        <w:rPr>
          <w:i/>
          <w:sz w:val="20"/>
          <w:u w:val="single"/>
        </w:rPr>
        <w:t>update:</w:t>
      </w:r>
    </w:p>
    <w:p>
      <w:pPr>
        <w:pStyle w:val="ListParagraph"/>
        <w:numPr>
          <w:ilvl w:val="1"/>
          <w:numId w:val="2"/>
        </w:numPr>
        <w:tabs>
          <w:tab w:pos="1396" w:val="left" w:leader="none"/>
          <w:tab w:pos="1397" w:val="left" w:leader="none"/>
          <w:tab w:pos="7096" w:val="left" w:leader="none"/>
        </w:tabs>
        <w:spacing w:line="360" w:lineRule="auto" w:before="118" w:after="0"/>
        <w:ind w:left="1396" w:right="154" w:hanging="720"/>
        <w:jc w:val="left"/>
        <w:rPr>
          <w:sz w:val="20"/>
        </w:rPr>
      </w:pPr>
      <w:r>
        <w:rPr>
          <w:sz w:val="20"/>
        </w:rPr>
        <w:t>The co-chair outlined the sub-group’s objectives</w:t>
      </w:r>
      <w:hyperlink w:history="true" w:anchor="_bookmark3">
        <w:r>
          <w:rPr>
            <w:sz w:val="20"/>
            <w:vertAlign w:val="superscript"/>
          </w:rPr>
          <w:t>4</w:t>
        </w:r>
      </w:hyperlink>
      <w:r>
        <w:rPr>
          <w:sz w:val="20"/>
          <w:vertAlign w:val="baseline"/>
        </w:rPr>
        <w:t>. The sub-group discussed alternatives for outreach to the pension trustee community, including a roundtable and/or an article on transition to risk-free rates in relevant trade publications. The sub-group also identified relevant industry conferences where members </w:t>
      </w:r>
      <w:r>
        <w:rPr>
          <w:spacing w:val="2"/>
          <w:sz w:val="20"/>
          <w:vertAlign w:val="baseline"/>
        </w:rPr>
        <w:t>may </w:t>
      </w:r>
      <w:r>
        <w:rPr>
          <w:sz w:val="20"/>
          <w:vertAlign w:val="baseline"/>
        </w:rPr>
        <w:t>wish</w:t>
      </w:r>
      <w:r>
        <w:rPr>
          <w:spacing w:val="-22"/>
          <w:sz w:val="20"/>
          <w:vertAlign w:val="baseline"/>
        </w:rPr>
        <w:t> </w:t>
      </w:r>
      <w:r>
        <w:rPr>
          <w:sz w:val="20"/>
          <w:vertAlign w:val="baseline"/>
        </w:rPr>
        <w:t>to</w:t>
      </w:r>
      <w:r>
        <w:rPr>
          <w:spacing w:val="-3"/>
          <w:sz w:val="20"/>
          <w:vertAlign w:val="baseline"/>
        </w:rPr>
        <w:t> </w:t>
      </w:r>
      <w:r>
        <w:rPr>
          <w:sz w:val="20"/>
          <w:vertAlign w:val="baseline"/>
        </w:rPr>
        <w:t>participate.</w:t>
        <w:tab/>
        <w:t>The co-chair invited ISDA to attend the next PFIC sub-group meeting to update on their work on contractual</w:t>
      </w:r>
      <w:r>
        <w:rPr>
          <w:spacing w:val="-19"/>
          <w:sz w:val="20"/>
          <w:vertAlign w:val="baseline"/>
        </w:rPr>
        <w:t> </w:t>
      </w:r>
      <w:r>
        <w:rPr>
          <w:sz w:val="20"/>
          <w:vertAlign w:val="baseline"/>
        </w:rPr>
        <w:t>fall-backs.</w:t>
      </w:r>
    </w:p>
    <w:p>
      <w:pPr>
        <w:pStyle w:val="BodyText"/>
      </w:pPr>
    </w:p>
    <w:p>
      <w:pPr>
        <w:pStyle w:val="BodyText"/>
        <w:spacing w:before="7"/>
        <w:rPr>
          <w:sz w:val="14"/>
        </w:rPr>
      </w:pPr>
      <w:r>
        <w:rPr/>
        <w:pict>
          <v:shape style="position:absolute;margin-left:63.84pt;margin-top:10.774462pt;width:474.85pt;height:.1pt;mso-position-horizontal-relative:page;mso-position-vertical-relative:paragraph;z-index:-251657216;mso-wrap-distance-left:0;mso-wrap-distance-right:0" coordorigin="1277,215" coordsize="9497,0" path="m1277,215l10774,215e" filled="false" stroked="true" strokeweight=".72pt" strokecolor="#000000">
            <v:path arrowok="t"/>
            <v:stroke dashstyle="solid"/>
            <w10:wrap type="topAndBottom"/>
          </v:shape>
        </w:pict>
      </w:r>
    </w:p>
    <w:p>
      <w:pPr>
        <w:spacing w:before="39"/>
        <w:ind w:left="316" w:right="0" w:firstLine="0"/>
        <w:jc w:val="left"/>
        <w:rPr>
          <w:sz w:val="18"/>
        </w:rPr>
      </w:pPr>
      <w:r>
        <w:rPr>
          <w:position w:val="9"/>
          <w:sz w:val="12"/>
        </w:rPr>
        <w:t>2 </w:t>
      </w:r>
      <w:hyperlink r:id="rId6">
        <w:r>
          <w:rPr>
            <w:color w:val="0000FF"/>
            <w:sz w:val="18"/>
            <w:u w:val="single" w:color="0000FF"/>
          </w:rPr>
          <w:t>https://www.bankofengland.co.uk/-/media/boe/files/markets/benchmarks/rfr-terms-of-</w:t>
        </w:r>
      </w:hyperlink>
      <w:r>
        <w:rPr>
          <w:color w:val="0000FF"/>
          <w:sz w:val="18"/>
        </w:rPr>
        <w:t> </w:t>
      </w:r>
      <w:hyperlink r:id="rId6">
        <w:r>
          <w:rPr>
            <w:color w:val="0000FF"/>
            <w:sz w:val="18"/>
            <w:u w:val="single" w:color="0000FF"/>
          </w:rPr>
          <w:t>reference.pdf?la=en&amp;hash=8AFDB1E6B8F0353EF38C516B65C5A439E9EFE867</w:t>
        </w:r>
      </w:hyperlink>
    </w:p>
    <w:p>
      <w:pPr>
        <w:spacing w:line="225" w:lineRule="exact" w:before="171"/>
        <w:ind w:left="316" w:right="0" w:firstLine="0"/>
        <w:jc w:val="left"/>
        <w:rPr>
          <w:sz w:val="18"/>
        </w:rPr>
      </w:pPr>
      <w:bookmarkStart w:name="_bookmark2" w:id="3"/>
      <w:bookmarkEnd w:id="3"/>
      <w:r>
        <w:rPr/>
      </w:r>
      <w:r>
        <w:rPr>
          <w:position w:val="9"/>
          <w:sz w:val="12"/>
        </w:rPr>
        <w:t>3 </w:t>
      </w:r>
      <w:r>
        <w:rPr>
          <w:sz w:val="18"/>
        </w:rPr>
        <w:t>Occurred 20 February</w:t>
      </w:r>
    </w:p>
    <w:p>
      <w:pPr>
        <w:pStyle w:val="BodyText"/>
        <w:spacing w:line="242" w:lineRule="exact" w:before="14"/>
        <w:ind w:left="316" w:right="582"/>
        <w:rPr>
          <w:rFonts w:ascii="Calibri"/>
        </w:rPr>
      </w:pPr>
      <w:bookmarkStart w:name="_bookmark3" w:id="4"/>
      <w:bookmarkEnd w:id="4"/>
      <w:r>
        <w:rPr/>
      </w:r>
      <w:r>
        <w:rPr>
          <w:rFonts w:ascii="Calibri"/>
          <w:position w:val="10"/>
          <w:sz w:val="13"/>
        </w:rPr>
        <w:t>4 </w:t>
      </w:r>
      <w:hyperlink r:id="rId7">
        <w:r>
          <w:rPr>
            <w:rFonts w:ascii="Calibri"/>
            <w:color w:val="0000FF"/>
            <w:u w:val="single" w:color="0000FF"/>
          </w:rPr>
          <w:t>https://www.bankofengland.co.uk/-/media/boe/files/markets/benchmarks/rfr-pension-funds-and-insurance-</w:t>
        </w:r>
      </w:hyperlink>
      <w:r>
        <w:rPr>
          <w:rFonts w:ascii="Calibri"/>
          <w:color w:val="0000FF"/>
        </w:rPr>
        <w:t> </w:t>
      </w:r>
      <w:hyperlink r:id="rId7">
        <w:r>
          <w:rPr>
            <w:rFonts w:ascii="Calibri"/>
            <w:color w:val="0000FF"/>
            <w:u w:val="single" w:color="0000FF"/>
          </w:rPr>
          <w:t>companies-sub-group-terms-of-reference.pdf?la=en&amp;hash=D00979F96A60F77571CEA86EFC9E745E06D2EAAA</w:t>
        </w:r>
      </w:hyperlink>
    </w:p>
    <w:p>
      <w:pPr>
        <w:spacing w:after="0" w:line="242" w:lineRule="exact"/>
        <w:rPr>
          <w:rFonts w:ascii="Calibri"/>
        </w:rPr>
        <w:sectPr>
          <w:pgSz w:w="11910" w:h="16840"/>
          <w:pgMar w:top="1180" w:bottom="280" w:left="960" w:right="1020"/>
        </w:sectPr>
      </w:pPr>
    </w:p>
    <w:p>
      <w:pPr>
        <w:pStyle w:val="ListParagraph"/>
        <w:numPr>
          <w:ilvl w:val="1"/>
          <w:numId w:val="2"/>
        </w:numPr>
        <w:tabs>
          <w:tab w:pos="1396" w:val="left" w:leader="none"/>
          <w:tab w:pos="1397" w:val="left" w:leader="none"/>
        </w:tabs>
        <w:spacing w:line="360" w:lineRule="auto" w:before="75" w:after="0"/>
        <w:ind w:left="1396" w:right="270" w:hanging="720"/>
        <w:jc w:val="left"/>
        <w:rPr>
          <w:sz w:val="20"/>
        </w:rPr>
      </w:pPr>
      <w:r>
        <w:rPr>
          <w:sz w:val="20"/>
        </w:rPr>
        <w:t>The sub-group chair was asked if the sub-group was open to more members, and he mentioned whilst there are logistical constraints for physical meetings, a dial in is available for those who wish to</w:t>
      </w:r>
      <w:r>
        <w:rPr>
          <w:spacing w:val="1"/>
          <w:sz w:val="20"/>
        </w:rPr>
        <w:t> </w:t>
      </w:r>
      <w:r>
        <w:rPr>
          <w:sz w:val="20"/>
        </w:rPr>
        <w:t>participate.</w:t>
      </w:r>
    </w:p>
    <w:p>
      <w:pPr>
        <w:pStyle w:val="ListParagraph"/>
        <w:numPr>
          <w:ilvl w:val="1"/>
          <w:numId w:val="2"/>
        </w:numPr>
        <w:tabs>
          <w:tab w:pos="1396" w:val="left" w:leader="none"/>
          <w:tab w:pos="1397" w:val="left" w:leader="none"/>
        </w:tabs>
        <w:spacing w:line="360" w:lineRule="auto" w:before="0" w:after="0"/>
        <w:ind w:left="1396" w:right="146" w:hanging="720"/>
        <w:jc w:val="left"/>
        <w:rPr>
          <w:sz w:val="20"/>
        </w:rPr>
      </w:pPr>
      <w:r>
        <w:rPr>
          <w:sz w:val="20"/>
        </w:rPr>
        <w:t>A member of the Group mentioned that the EMIR margining </w:t>
      </w:r>
      <w:r>
        <w:rPr>
          <w:spacing w:val="2"/>
          <w:sz w:val="20"/>
        </w:rPr>
        <w:t>rules</w:t>
      </w:r>
      <w:hyperlink w:history="true" w:anchor="_bookmark4">
        <w:r>
          <w:rPr>
            <w:spacing w:val="2"/>
            <w:sz w:val="20"/>
            <w:vertAlign w:val="superscript"/>
          </w:rPr>
          <w:t>5</w:t>
        </w:r>
        <w:r>
          <w:rPr>
            <w:spacing w:val="2"/>
            <w:sz w:val="20"/>
            <w:vertAlign w:val="baseline"/>
          </w:rPr>
          <w:t> </w:t>
        </w:r>
      </w:hyperlink>
      <w:r>
        <w:rPr>
          <w:sz w:val="20"/>
          <w:vertAlign w:val="baseline"/>
        </w:rPr>
        <w:t>could prove an impediment. The FCA advised members of the Group that it did not think amending a reference rate or adding a fallback rate would trigger application of margin requirements, and would discuss with other relevant authorities how clarification on this point could be</w:t>
      </w:r>
      <w:r>
        <w:rPr>
          <w:spacing w:val="-8"/>
          <w:sz w:val="20"/>
          <w:vertAlign w:val="baseline"/>
        </w:rPr>
        <w:t> </w:t>
      </w:r>
      <w:r>
        <w:rPr>
          <w:sz w:val="20"/>
          <w:vertAlign w:val="baseline"/>
        </w:rPr>
        <w:t>provided.</w:t>
      </w:r>
    </w:p>
    <w:p>
      <w:pPr>
        <w:pStyle w:val="BodyText"/>
        <w:spacing w:before="9"/>
        <w:rPr>
          <w:sz w:val="29"/>
        </w:rPr>
      </w:pPr>
    </w:p>
    <w:p>
      <w:pPr>
        <w:pStyle w:val="ListParagraph"/>
        <w:numPr>
          <w:ilvl w:val="0"/>
          <w:numId w:val="2"/>
        </w:numPr>
        <w:tabs>
          <w:tab w:pos="677" w:val="left" w:leader="none"/>
        </w:tabs>
        <w:spacing w:line="240" w:lineRule="auto" w:before="1" w:after="0"/>
        <w:ind w:left="676" w:right="0" w:hanging="361"/>
        <w:jc w:val="left"/>
        <w:rPr>
          <w:i/>
          <w:sz w:val="20"/>
        </w:rPr>
      </w:pPr>
      <w:r>
        <w:rPr>
          <w:i/>
          <w:sz w:val="20"/>
          <w:u w:val="single"/>
        </w:rPr>
        <w:t>Loans</w:t>
      </w:r>
      <w:r>
        <w:rPr>
          <w:i/>
          <w:spacing w:val="-1"/>
          <w:sz w:val="20"/>
          <w:u w:val="single"/>
        </w:rPr>
        <w:t> </w:t>
      </w:r>
      <w:r>
        <w:rPr>
          <w:i/>
          <w:sz w:val="20"/>
          <w:u w:val="single"/>
        </w:rPr>
        <w:t>sub-group:</w:t>
      </w:r>
    </w:p>
    <w:p>
      <w:pPr>
        <w:pStyle w:val="BodyText"/>
        <w:spacing w:line="360" w:lineRule="auto" w:before="115"/>
        <w:ind w:left="676" w:right="107" w:hanging="1"/>
      </w:pPr>
      <w:r>
        <w:rPr/>
        <w:t>The chair of the sub-group provided an update on the first meeting held on 14 February. The sub-group is still finalising its objectives and terms of reference, but notable items discussed include:</w:t>
      </w:r>
    </w:p>
    <w:p>
      <w:pPr>
        <w:pStyle w:val="ListParagraph"/>
        <w:numPr>
          <w:ilvl w:val="1"/>
          <w:numId w:val="2"/>
        </w:numPr>
        <w:tabs>
          <w:tab w:pos="1397" w:val="left" w:leader="none"/>
          <w:tab w:pos="1398" w:val="left" w:leader="none"/>
        </w:tabs>
        <w:spacing w:line="360" w:lineRule="auto" w:before="2" w:after="0"/>
        <w:ind w:left="1397" w:right="1147" w:hanging="721"/>
        <w:jc w:val="left"/>
        <w:rPr>
          <w:sz w:val="20"/>
        </w:rPr>
      </w:pPr>
      <w:r>
        <w:rPr>
          <w:sz w:val="20"/>
        </w:rPr>
        <w:t>ACT and LMA agreed to work on a quick guide providing context and update on the developments in relation to the transition to risk-free</w:t>
      </w:r>
      <w:r>
        <w:rPr>
          <w:spacing w:val="-7"/>
          <w:sz w:val="20"/>
        </w:rPr>
        <w:t> </w:t>
      </w:r>
      <w:r>
        <w:rPr>
          <w:sz w:val="20"/>
        </w:rPr>
        <w:t>rates.</w:t>
      </w:r>
    </w:p>
    <w:p>
      <w:pPr>
        <w:pStyle w:val="ListParagraph"/>
        <w:numPr>
          <w:ilvl w:val="1"/>
          <w:numId w:val="2"/>
        </w:numPr>
        <w:tabs>
          <w:tab w:pos="1396" w:val="left" w:leader="none"/>
          <w:tab w:pos="1397" w:val="left" w:leader="none"/>
        </w:tabs>
        <w:spacing w:line="360" w:lineRule="auto" w:before="0" w:after="0"/>
        <w:ind w:left="1396" w:right="614" w:hanging="720"/>
        <w:jc w:val="left"/>
        <w:rPr>
          <w:sz w:val="20"/>
        </w:rPr>
      </w:pPr>
      <w:r>
        <w:rPr>
          <w:sz w:val="20"/>
        </w:rPr>
        <w:t>There seems to be a strong view with respect to the need for term benchmark rates in the syndicated loan</w:t>
      </w:r>
      <w:r>
        <w:rPr>
          <w:spacing w:val="-1"/>
          <w:sz w:val="20"/>
        </w:rPr>
        <w:t> </w:t>
      </w:r>
      <w:r>
        <w:rPr>
          <w:sz w:val="20"/>
        </w:rPr>
        <w:t>market.</w:t>
      </w:r>
    </w:p>
    <w:p>
      <w:pPr>
        <w:pStyle w:val="ListParagraph"/>
        <w:numPr>
          <w:ilvl w:val="1"/>
          <w:numId w:val="2"/>
        </w:numPr>
        <w:tabs>
          <w:tab w:pos="1397" w:val="left" w:leader="none"/>
        </w:tabs>
        <w:spacing w:line="360" w:lineRule="auto" w:before="0" w:after="0"/>
        <w:ind w:left="1396" w:right="123" w:hanging="720"/>
        <w:jc w:val="both"/>
        <w:rPr>
          <w:sz w:val="20"/>
        </w:rPr>
      </w:pPr>
      <w:r>
        <w:rPr>
          <w:sz w:val="20"/>
        </w:rPr>
        <w:t>ISDA will provide a presentation on the work conducted on fall-backs at the next meeting of the sub-group in order to ensure that work in contractual provisions in loan and derivatives markets are appropriately</w:t>
      </w:r>
      <w:r>
        <w:rPr>
          <w:spacing w:val="-4"/>
          <w:sz w:val="20"/>
        </w:rPr>
        <w:t> </w:t>
      </w:r>
      <w:r>
        <w:rPr>
          <w:sz w:val="20"/>
        </w:rPr>
        <w:t>harmonised.</w:t>
      </w:r>
    </w:p>
    <w:p>
      <w:pPr>
        <w:pStyle w:val="BodyText"/>
        <w:spacing w:before="9"/>
        <w:rPr>
          <w:sz w:val="29"/>
        </w:rPr>
      </w:pPr>
    </w:p>
    <w:p>
      <w:pPr>
        <w:pStyle w:val="ListParagraph"/>
        <w:numPr>
          <w:ilvl w:val="0"/>
          <w:numId w:val="2"/>
        </w:numPr>
        <w:tabs>
          <w:tab w:pos="677" w:val="left" w:leader="none"/>
        </w:tabs>
        <w:spacing w:line="240" w:lineRule="auto" w:before="0" w:after="0"/>
        <w:ind w:left="676" w:right="0" w:hanging="361"/>
        <w:jc w:val="left"/>
        <w:rPr>
          <w:i/>
          <w:sz w:val="20"/>
        </w:rPr>
      </w:pPr>
      <w:r>
        <w:rPr>
          <w:i/>
          <w:sz w:val="20"/>
          <w:u w:val="single"/>
        </w:rPr>
        <w:t>Bonds</w:t>
      </w:r>
      <w:r>
        <w:rPr>
          <w:i/>
          <w:spacing w:val="-1"/>
          <w:sz w:val="20"/>
          <w:u w:val="single"/>
        </w:rPr>
        <w:t> </w:t>
      </w:r>
      <w:r>
        <w:rPr>
          <w:i/>
          <w:sz w:val="20"/>
          <w:u w:val="single"/>
        </w:rPr>
        <w:t>sub-group:</w:t>
      </w:r>
    </w:p>
    <w:p>
      <w:pPr>
        <w:pStyle w:val="BodyText"/>
        <w:spacing w:line="360" w:lineRule="auto" w:before="115"/>
        <w:ind w:left="676" w:right="106"/>
      </w:pPr>
      <w:r>
        <w:rPr/>
        <w:t>The chair of the sub-group provided an update on the first meeting held on 16 February. The sub-group is still finalising its objectives and terms of reference, but notable items include:</w:t>
      </w:r>
    </w:p>
    <w:p>
      <w:pPr>
        <w:pStyle w:val="ListParagraph"/>
        <w:numPr>
          <w:ilvl w:val="1"/>
          <w:numId w:val="2"/>
        </w:numPr>
        <w:tabs>
          <w:tab w:pos="1319" w:val="left" w:leader="none"/>
          <w:tab w:pos="1321" w:val="left" w:leader="none"/>
        </w:tabs>
        <w:spacing w:line="360" w:lineRule="auto" w:before="2" w:after="0"/>
        <w:ind w:left="1319" w:right="783" w:hanging="720"/>
        <w:jc w:val="left"/>
        <w:rPr>
          <w:sz w:val="20"/>
        </w:rPr>
      </w:pPr>
      <w:r>
        <w:rPr>
          <w:sz w:val="20"/>
        </w:rPr>
        <w:t>The chair provided an overview of the sub-group members, including corporate issuers, borrowers and supranational organisations, and mentioned that the DMO is an</w:t>
      </w:r>
      <w:r>
        <w:rPr>
          <w:spacing w:val="-37"/>
          <w:sz w:val="20"/>
        </w:rPr>
        <w:t> </w:t>
      </w:r>
      <w:r>
        <w:rPr>
          <w:sz w:val="20"/>
        </w:rPr>
        <w:t>observer.</w:t>
      </w:r>
    </w:p>
    <w:p>
      <w:pPr>
        <w:pStyle w:val="ListParagraph"/>
        <w:numPr>
          <w:ilvl w:val="1"/>
          <w:numId w:val="2"/>
        </w:numPr>
        <w:tabs>
          <w:tab w:pos="1319" w:val="left" w:leader="none"/>
          <w:tab w:pos="1320" w:val="left" w:leader="none"/>
        </w:tabs>
        <w:spacing w:line="360" w:lineRule="auto" w:before="0" w:after="0"/>
        <w:ind w:left="1319" w:right="580" w:hanging="720"/>
        <w:jc w:val="left"/>
        <w:rPr>
          <w:sz w:val="20"/>
        </w:rPr>
      </w:pPr>
      <w:r>
        <w:rPr>
          <w:sz w:val="20"/>
        </w:rPr>
        <w:t>One supranational mentioned in the sub-group meeting that they would provide details of a previous bond referencing</w:t>
      </w:r>
      <w:r>
        <w:rPr>
          <w:spacing w:val="3"/>
          <w:sz w:val="20"/>
        </w:rPr>
        <w:t> </w:t>
      </w:r>
      <w:r>
        <w:rPr>
          <w:sz w:val="20"/>
        </w:rPr>
        <w:t>SONIA</w:t>
      </w:r>
      <w:hyperlink w:history="true" w:anchor="_bookmark5">
        <w:r>
          <w:rPr>
            <w:sz w:val="20"/>
            <w:vertAlign w:val="superscript"/>
          </w:rPr>
          <w:t>6</w:t>
        </w:r>
      </w:hyperlink>
      <w:r>
        <w:rPr>
          <w:sz w:val="20"/>
          <w:vertAlign w:val="baseline"/>
        </w:rPr>
        <w:t>.</w:t>
      </w:r>
    </w:p>
    <w:p>
      <w:pPr>
        <w:pStyle w:val="ListParagraph"/>
        <w:numPr>
          <w:ilvl w:val="1"/>
          <w:numId w:val="2"/>
        </w:numPr>
        <w:tabs>
          <w:tab w:pos="1319" w:val="left" w:leader="none"/>
          <w:tab w:pos="1320" w:val="left" w:leader="none"/>
        </w:tabs>
        <w:spacing w:line="360" w:lineRule="auto" w:before="0" w:after="0"/>
        <w:ind w:left="1319" w:right="126" w:hanging="720"/>
        <w:jc w:val="left"/>
        <w:rPr>
          <w:sz w:val="20"/>
        </w:rPr>
      </w:pPr>
      <w:r>
        <w:rPr>
          <w:sz w:val="20"/>
        </w:rPr>
        <w:t>The sub-group next steps are to draw the interdependencies between derivatives and bonds, and to define metrics for success. In addition, members will be asked to propose potential solutions for bonds’ related issues. Finally law firms were asked to work collectively on the issue of standard documentation and contractual fall-backs, and to devise whether guidance is needed and whether it is feasible to convert legacy bonds at this</w:t>
      </w:r>
      <w:r>
        <w:rPr>
          <w:spacing w:val="-8"/>
          <w:sz w:val="20"/>
        </w:rPr>
        <w:t> </w:t>
      </w:r>
      <w:r>
        <w:rPr>
          <w:sz w:val="20"/>
        </w:rPr>
        <w:t>stage.</w:t>
      </w:r>
    </w:p>
    <w:p>
      <w:pPr>
        <w:pStyle w:val="BodyText"/>
        <w:spacing w:before="8"/>
        <w:rPr>
          <w:sz w:val="29"/>
        </w:rPr>
      </w:pPr>
    </w:p>
    <w:p>
      <w:pPr>
        <w:pStyle w:val="ListParagraph"/>
        <w:numPr>
          <w:ilvl w:val="0"/>
          <w:numId w:val="2"/>
        </w:numPr>
        <w:tabs>
          <w:tab w:pos="677" w:val="left" w:leader="none"/>
        </w:tabs>
        <w:spacing w:line="240" w:lineRule="auto" w:before="0" w:after="0"/>
        <w:ind w:left="676" w:right="0" w:hanging="361"/>
        <w:jc w:val="left"/>
        <w:rPr>
          <w:i/>
          <w:sz w:val="20"/>
        </w:rPr>
      </w:pPr>
      <w:r>
        <w:rPr>
          <w:i/>
          <w:sz w:val="20"/>
          <w:u w:val="single"/>
        </w:rPr>
        <w:t>Term Rates</w:t>
      </w:r>
      <w:r>
        <w:rPr>
          <w:i/>
          <w:spacing w:val="-1"/>
          <w:sz w:val="20"/>
          <w:u w:val="single"/>
        </w:rPr>
        <w:t> </w:t>
      </w:r>
      <w:r>
        <w:rPr>
          <w:i/>
          <w:sz w:val="20"/>
          <w:u w:val="single"/>
        </w:rPr>
        <w:t>sub-group:</w:t>
      </w:r>
    </w:p>
    <w:p>
      <w:pPr>
        <w:pStyle w:val="BodyText"/>
        <w:spacing w:before="7"/>
        <w:rPr>
          <w:i/>
          <w:sz w:val="12"/>
        </w:rPr>
      </w:pPr>
    </w:p>
    <w:p>
      <w:pPr>
        <w:pStyle w:val="BodyText"/>
        <w:spacing w:line="360" w:lineRule="auto" w:before="93"/>
        <w:ind w:left="676" w:right="140"/>
      </w:pPr>
      <w:r>
        <w:rPr/>
        <w:t>As there was no sub-group meeting since the last Group meeting, the sub-group chair provided members with an overview of the envisaged consultation for term benchmark rates referencing SONIA. The consultation would explain the rationale for the identified use cases, and for where it concluded a term benchmark rate was not necessary. It would also outline the alternative data sources and methodologies for building a robust term benchmark, with a recommendation around using actionable</w:t>
      </w:r>
    </w:p>
    <w:p>
      <w:pPr>
        <w:pStyle w:val="BodyText"/>
        <w:spacing w:before="1"/>
        <w:rPr>
          <w:sz w:val="27"/>
        </w:rPr>
      </w:pPr>
      <w:r>
        <w:rPr/>
        <w:pict>
          <v:shape style="position:absolute;margin-left:63.84pt;margin-top:17.949638pt;width:144pt;height:.1pt;mso-position-horizontal-relative:page;mso-position-vertical-relative:paragraph;z-index:-251656192;mso-wrap-distance-left:0;mso-wrap-distance-right:0" coordorigin="1277,359" coordsize="2880,0" path="m1277,359l4157,359e" filled="false" stroked="true" strokeweight=".72pt" strokecolor="#000000">
            <v:path arrowok="t"/>
            <v:stroke dashstyle="solid"/>
            <w10:wrap type="topAndBottom"/>
          </v:shape>
        </w:pict>
      </w:r>
    </w:p>
    <w:p>
      <w:pPr>
        <w:pStyle w:val="BodyText"/>
        <w:spacing w:line="260" w:lineRule="exact" w:before="39"/>
        <w:ind w:left="316"/>
        <w:rPr>
          <w:rFonts w:ascii="Calibri"/>
        </w:rPr>
      </w:pPr>
      <w:bookmarkStart w:name="_bookmark4" w:id="5"/>
      <w:bookmarkEnd w:id="5"/>
      <w:r>
        <w:rPr/>
      </w:r>
      <w:r>
        <w:rPr>
          <w:rFonts w:ascii="Calibri"/>
          <w:position w:val="10"/>
          <w:sz w:val="13"/>
        </w:rPr>
        <w:t>5 </w:t>
      </w:r>
      <w:r>
        <w:rPr>
          <w:rFonts w:ascii="Calibri"/>
        </w:rPr>
        <w:t>see page 31 </w:t>
      </w:r>
      <w:hyperlink r:id="rId8">
        <w:r>
          <w:rPr>
            <w:rFonts w:ascii="Calibri"/>
            <w:color w:val="0000FF"/>
            <w:u w:val="single" w:color="0000FF"/>
          </w:rPr>
          <w:t>http://www.fsb.org/wp-content/uploads/P101017.pdf</w:t>
        </w:r>
      </w:hyperlink>
    </w:p>
    <w:p>
      <w:pPr>
        <w:pStyle w:val="BodyText"/>
        <w:spacing w:line="260" w:lineRule="exact"/>
        <w:ind w:left="316"/>
        <w:rPr>
          <w:rFonts w:ascii="Calibri"/>
        </w:rPr>
      </w:pPr>
      <w:bookmarkStart w:name="_bookmark5" w:id="6"/>
      <w:bookmarkEnd w:id="6"/>
      <w:r>
        <w:rPr/>
      </w:r>
      <w:r>
        <w:rPr>
          <w:rFonts w:ascii="Calibri"/>
          <w:position w:val="10"/>
          <w:sz w:val="13"/>
        </w:rPr>
        <w:t>6 </w:t>
      </w:r>
      <w:hyperlink r:id="rId9">
        <w:r>
          <w:rPr>
            <w:rFonts w:ascii="Calibri"/>
            <w:color w:val="0000FF"/>
            <w:u w:val="single" w:color="0000FF"/>
          </w:rPr>
          <w:t>https://ftalphaville.ft.com/2010/03/15/174971/innovating-on-gbp-liquidity-requirements/</w:t>
        </w:r>
      </w:hyperlink>
    </w:p>
    <w:p>
      <w:pPr>
        <w:spacing w:after="0" w:line="260" w:lineRule="exact"/>
        <w:rPr>
          <w:rFonts w:ascii="Calibri"/>
        </w:rPr>
        <w:sectPr>
          <w:pgSz w:w="11910" w:h="16840"/>
          <w:pgMar w:top="1180" w:bottom="280" w:left="960" w:right="1020"/>
        </w:sectPr>
      </w:pPr>
    </w:p>
    <w:p>
      <w:pPr>
        <w:pStyle w:val="BodyText"/>
        <w:spacing w:line="360" w:lineRule="auto" w:before="75"/>
        <w:ind w:left="676" w:right="340"/>
      </w:pPr>
      <w:r>
        <w:rPr/>
        <w:t>OIS quotes on MTFs operating central limit order books. In this context, the Group was informed that ICE Swap rate for USD was not produced for any tenor for one day in February due to a lack of streamed actionable quotes during the fixing window. It was noted that any proposal would need to consider such an eventuality.</w:t>
      </w:r>
    </w:p>
    <w:p>
      <w:pPr>
        <w:pStyle w:val="Heading1"/>
      </w:pPr>
      <w:r>
        <w:rPr/>
        <w:t>Next Steps and Milestones</w:t>
      </w:r>
    </w:p>
    <w:p>
      <w:pPr>
        <w:pStyle w:val="BodyText"/>
        <w:spacing w:before="5"/>
        <w:rPr>
          <w:b/>
        </w:rPr>
      </w:pPr>
    </w:p>
    <w:p>
      <w:pPr>
        <w:pStyle w:val="ListParagraph"/>
        <w:numPr>
          <w:ilvl w:val="0"/>
          <w:numId w:val="2"/>
        </w:numPr>
        <w:tabs>
          <w:tab w:pos="677" w:val="left" w:leader="none"/>
        </w:tabs>
        <w:spacing w:line="360" w:lineRule="auto" w:before="1" w:after="0"/>
        <w:ind w:left="676" w:right="389" w:hanging="361"/>
        <w:jc w:val="left"/>
        <w:rPr>
          <w:sz w:val="20"/>
        </w:rPr>
      </w:pPr>
      <w:r>
        <w:rPr>
          <w:sz w:val="20"/>
        </w:rPr>
        <w:t>A tentative milestones document was provided in the meeting material, but Group members were asked to provide their own vision for key milestones for the Group, which would be detailed for 2018 and more high level for later years up to end-2021. It was re-iterated that the sequencing will be key, including which issues need to be resolved first to enable the next</w:t>
      </w:r>
      <w:r>
        <w:rPr>
          <w:spacing w:val="-5"/>
          <w:sz w:val="20"/>
        </w:rPr>
        <w:t> </w:t>
      </w:r>
      <w:r>
        <w:rPr>
          <w:sz w:val="20"/>
        </w:rPr>
        <w:t>step.</w:t>
      </w:r>
    </w:p>
    <w:p>
      <w:pPr>
        <w:pStyle w:val="ListParagraph"/>
        <w:numPr>
          <w:ilvl w:val="0"/>
          <w:numId w:val="2"/>
        </w:numPr>
        <w:tabs>
          <w:tab w:pos="677" w:val="left" w:leader="none"/>
        </w:tabs>
        <w:spacing w:line="360" w:lineRule="auto" w:before="0" w:after="0"/>
        <w:ind w:left="676" w:right="768" w:hanging="361"/>
        <w:jc w:val="left"/>
        <w:rPr>
          <w:sz w:val="20"/>
        </w:rPr>
      </w:pPr>
      <w:r>
        <w:rPr>
          <w:sz w:val="20"/>
        </w:rPr>
        <w:t>Members were also tasked to suggest which new technical sub-groups should be created with a rationale. A potential sub-group on accounting and tax issues was provided as an</w:t>
      </w:r>
      <w:r>
        <w:rPr>
          <w:spacing w:val="-21"/>
          <w:sz w:val="20"/>
        </w:rPr>
        <w:t> </w:t>
      </w:r>
      <w:r>
        <w:rPr>
          <w:sz w:val="20"/>
        </w:rPr>
        <w:t>example.</w:t>
      </w:r>
    </w:p>
    <w:p>
      <w:pPr>
        <w:pStyle w:val="ListParagraph"/>
        <w:numPr>
          <w:ilvl w:val="0"/>
          <w:numId w:val="2"/>
        </w:numPr>
        <w:tabs>
          <w:tab w:pos="678" w:val="left" w:leader="none"/>
        </w:tabs>
        <w:spacing w:line="360" w:lineRule="auto" w:before="1" w:after="0"/>
        <w:ind w:left="677" w:right="155" w:hanging="361"/>
        <w:jc w:val="left"/>
        <w:rPr>
          <w:sz w:val="20"/>
        </w:rPr>
      </w:pPr>
      <w:r>
        <w:rPr>
          <w:sz w:val="20"/>
        </w:rPr>
        <w:t>The Group discussed the criticality of international coordination, and that whilst it might be happening, it is not made visible to each jurisdiction’s groups’ members and to the wider market. One member suggested setting up a cross currency forum. Members were tasked to submit their idea(s) of the most efficient and optimal model for international</w:t>
      </w:r>
      <w:r>
        <w:rPr>
          <w:spacing w:val="-2"/>
          <w:sz w:val="20"/>
        </w:rPr>
        <w:t> </w:t>
      </w:r>
      <w:r>
        <w:rPr>
          <w:sz w:val="20"/>
        </w:rPr>
        <w:t>coordination.</w:t>
      </w:r>
    </w:p>
    <w:p>
      <w:pPr>
        <w:pStyle w:val="Heading1"/>
        <w:ind w:left="317"/>
      </w:pPr>
      <w:r>
        <w:rPr/>
        <w:t>AOB</w:t>
      </w:r>
    </w:p>
    <w:p>
      <w:pPr>
        <w:pStyle w:val="BodyText"/>
        <w:spacing w:before="5"/>
        <w:rPr>
          <w:b/>
        </w:rPr>
      </w:pPr>
    </w:p>
    <w:p>
      <w:pPr>
        <w:pStyle w:val="ListParagraph"/>
        <w:numPr>
          <w:ilvl w:val="0"/>
          <w:numId w:val="2"/>
        </w:numPr>
        <w:tabs>
          <w:tab w:pos="678" w:val="left" w:leader="none"/>
        </w:tabs>
        <w:spacing w:line="360" w:lineRule="auto" w:before="0" w:after="0"/>
        <w:ind w:left="677" w:right="409" w:hanging="360"/>
        <w:jc w:val="left"/>
        <w:rPr>
          <w:sz w:val="20"/>
        </w:rPr>
      </w:pPr>
      <w:r>
        <w:rPr>
          <w:sz w:val="20"/>
        </w:rPr>
        <w:t>The chair of the Group noted that he had stepped down from his role as Chief Compliance Officer of Barclays International in order to focus on his role as the Chair of the Group on Barclays’</w:t>
      </w:r>
      <w:r>
        <w:rPr>
          <w:spacing w:val="-21"/>
          <w:sz w:val="20"/>
        </w:rPr>
        <w:t> </w:t>
      </w:r>
      <w:r>
        <w:rPr>
          <w:sz w:val="20"/>
        </w:rPr>
        <w:t>behalf.</w:t>
      </w:r>
    </w:p>
    <w:p>
      <w:pPr>
        <w:pStyle w:val="ListParagraph"/>
        <w:numPr>
          <w:ilvl w:val="0"/>
          <w:numId w:val="2"/>
        </w:numPr>
        <w:tabs>
          <w:tab w:pos="678" w:val="left" w:leader="none"/>
        </w:tabs>
        <w:spacing w:line="240" w:lineRule="auto" w:before="2" w:after="0"/>
        <w:ind w:left="677" w:right="0" w:hanging="361"/>
        <w:jc w:val="left"/>
        <w:rPr>
          <w:sz w:val="20"/>
        </w:rPr>
      </w:pPr>
      <w:r>
        <w:rPr>
          <w:sz w:val="20"/>
        </w:rPr>
        <w:t>The next RFRWG meetings will be scheduled for the 28 March, 21 May and 02</w:t>
      </w:r>
      <w:r>
        <w:rPr>
          <w:spacing w:val="-14"/>
          <w:sz w:val="20"/>
        </w:rPr>
        <w:t> </w:t>
      </w:r>
      <w:r>
        <w:rPr>
          <w:sz w:val="20"/>
        </w:rPr>
        <w:t>July.</w:t>
      </w:r>
    </w:p>
    <w:p>
      <w:pPr>
        <w:spacing w:after="0" w:line="240" w:lineRule="auto"/>
        <w:jc w:val="left"/>
        <w:rPr>
          <w:sz w:val="20"/>
        </w:rPr>
        <w:sectPr>
          <w:pgSz w:w="11910" w:h="16840"/>
          <w:pgMar w:top="1180" w:bottom="280" w:left="960" w:right="1020"/>
        </w:sectPr>
      </w:pPr>
    </w:p>
    <w:p>
      <w:pPr>
        <w:pStyle w:val="Heading1"/>
        <w:spacing w:before="73"/>
      </w:pPr>
      <w:r>
        <w:rPr/>
        <w:t>Private sector</w:t>
      </w:r>
      <w:r>
        <w:rPr>
          <w:spacing w:val="-17"/>
        </w:rPr>
        <w:t> </w:t>
      </w:r>
      <w:r>
        <w:rPr/>
        <w:t>attendees</w:t>
      </w:r>
    </w:p>
    <w:p>
      <w:pPr>
        <w:pStyle w:val="BodyText"/>
        <w:rPr>
          <w:b/>
          <w:sz w:val="24"/>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5724"/>
      </w:tblGrid>
      <w:tr>
        <w:trPr>
          <w:trHeight w:val="262" w:hRule="atLeast"/>
        </w:trPr>
        <w:tc>
          <w:tcPr>
            <w:tcW w:w="2869" w:type="dxa"/>
          </w:tcPr>
          <w:p>
            <w:pPr>
              <w:pStyle w:val="TableParagraph"/>
              <w:spacing w:line="225" w:lineRule="exact" w:before="0"/>
              <w:rPr>
                <w:sz w:val="20"/>
              </w:rPr>
            </w:pPr>
            <w:r>
              <w:rPr>
                <w:sz w:val="20"/>
              </w:rPr>
              <w:t>Francois Jourdain</w:t>
            </w:r>
          </w:p>
        </w:tc>
        <w:tc>
          <w:tcPr>
            <w:tcW w:w="5724" w:type="dxa"/>
          </w:tcPr>
          <w:p>
            <w:pPr>
              <w:pStyle w:val="TableParagraph"/>
              <w:spacing w:line="223" w:lineRule="exact" w:before="0"/>
              <w:ind w:left="448"/>
              <w:rPr>
                <w:b/>
                <w:sz w:val="20"/>
              </w:rPr>
            </w:pPr>
            <w:r>
              <w:rPr>
                <w:b/>
                <w:sz w:val="20"/>
              </w:rPr>
              <w:t>Barclays (Chair)</w:t>
            </w:r>
          </w:p>
        </w:tc>
      </w:tr>
      <w:tr>
        <w:trPr>
          <w:trHeight w:val="300" w:hRule="atLeast"/>
        </w:trPr>
        <w:tc>
          <w:tcPr>
            <w:tcW w:w="2869" w:type="dxa"/>
          </w:tcPr>
          <w:p>
            <w:pPr>
              <w:pStyle w:val="TableParagraph"/>
              <w:rPr>
                <w:sz w:val="20"/>
              </w:rPr>
            </w:pPr>
            <w:r>
              <w:rPr>
                <w:sz w:val="20"/>
              </w:rPr>
              <w:t>Andreas Giannopoulos</w:t>
            </w:r>
          </w:p>
        </w:tc>
        <w:tc>
          <w:tcPr>
            <w:tcW w:w="5724" w:type="dxa"/>
          </w:tcPr>
          <w:p>
            <w:pPr>
              <w:pStyle w:val="TableParagraph"/>
              <w:spacing w:before="30"/>
              <w:ind w:left="448"/>
              <w:rPr>
                <w:b/>
                <w:sz w:val="20"/>
              </w:rPr>
            </w:pPr>
            <w:r>
              <w:rPr>
                <w:b/>
                <w:sz w:val="20"/>
              </w:rPr>
              <w:t>Barclays (Chair’s office)</w:t>
            </w:r>
          </w:p>
        </w:tc>
      </w:tr>
      <w:tr>
        <w:trPr>
          <w:trHeight w:val="300" w:hRule="atLeast"/>
        </w:trPr>
        <w:tc>
          <w:tcPr>
            <w:tcW w:w="2869" w:type="dxa"/>
          </w:tcPr>
          <w:p>
            <w:pPr>
              <w:pStyle w:val="TableParagraph"/>
              <w:rPr>
                <w:sz w:val="20"/>
              </w:rPr>
            </w:pPr>
            <w:r>
              <w:rPr>
                <w:sz w:val="20"/>
              </w:rPr>
              <w:t>Nicola Northway</w:t>
            </w:r>
          </w:p>
        </w:tc>
        <w:tc>
          <w:tcPr>
            <w:tcW w:w="5724" w:type="dxa"/>
          </w:tcPr>
          <w:p>
            <w:pPr>
              <w:pStyle w:val="TableParagraph"/>
              <w:spacing w:before="30"/>
              <w:ind w:left="448"/>
              <w:rPr>
                <w:b/>
                <w:sz w:val="20"/>
              </w:rPr>
            </w:pPr>
            <w:r>
              <w:rPr>
                <w:b/>
                <w:sz w:val="20"/>
              </w:rPr>
              <w:t>Baker McKenzie (First item only)</w:t>
            </w:r>
          </w:p>
        </w:tc>
      </w:tr>
      <w:tr>
        <w:trPr>
          <w:trHeight w:val="300" w:hRule="atLeast"/>
        </w:trPr>
        <w:tc>
          <w:tcPr>
            <w:tcW w:w="2869" w:type="dxa"/>
          </w:tcPr>
          <w:p>
            <w:pPr>
              <w:pStyle w:val="TableParagraph"/>
              <w:rPr>
                <w:sz w:val="20"/>
              </w:rPr>
            </w:pPr>
            <w:r>
              <w:rPr>
                <w:sz w:val="20"/>
              </w:rPr>
              <w:t>Simon Wilkinson</w:t>
            </w:r>
          </w:p>
        </w:tc>
        <w:tc>
          <w:tcPr>
            <w:tcW w:w="5724" w:type="dxa"/>
          </w:tcPr>
          <w:p>
            <w:pPr>
              <w:pStyle w:val="TableParagraph"/>
              <w:spacing w:before="30"/>
              <w:ind w:left="448"/>
              <w:rPr>
                <w:b/>
                <w:sz w:val="20"/>
              </w:rPr>
            </w:pPr>
            <w:r>
              <w:rPr>
                <w:b/>
                <w:sz w:val="20"/>
              </w:rPr>
              <w:t>Legal &amp; General Investment Management (Vice Chair)</w:t>
            </w:r>
          </w:p>
        </w:tc>
      </w:tr>
      <w:tr>
        <w:trPr>
          <w:trHeight w:val="300" w:hRule="atLeast"/>
        </w:trPr>
        <w:tc>
          <w:tcPr>
            <w:tcW w:w="2869" w:type="dxa"/>
          </w:tcPr>
          <w:p>
            <w:pPr>
              <w:pStyle w:val="TableParagraph"/>
              <w:rPr>
                <w:sz w:val="20"/>
              </w:rPr>
            </w:pPr>
            <w:r>
              <w:rPr>
                <w:sz w:val="20"/>
              </w:rPr>
              <w:t>Robert De Roeck</w:t>
            </w:r>
          </w:p>
        </w:tc>
        <w:tc>
          <w:tcPr>
            <w:tcW w:w="5724" w:type="dxa"/>
          </w:tcPr>
          <w:p>
            <w:pPr>
              <w:pStyle w:val="TableParagraph"/>
              <w:spacing w:before="30"/>
              <w:ind w:left="448"/>
              <w:rPr>
                <w:b/>
                <w:sz w:val="20"/>
              </w:rPr>
            </w:pPr>
            <w:r>
              <w:rPr>
                <w:b/>
                <w:sz w:val="20"/>
              </w:rPr>
              <w:t>Aberdeen Standard Investments</w:t>
            </w:r>
          </w:p>
        </w:tc>
      </w:tr>
      <w:tr>
        <w:trPr>
          <w:trHeight w:val="300" w:hRule="atLeast"/>
        </w:trPr>
        <w:tc>
          <w:tcPr>
            <w:tcW w:w="2869" w:type="dxa"/>
          </w:tcPr>
          <w:p>
            <w:pPr>
              <w:pStyle w:val="TableParagraph"/>
              <w:rPr>
                <w:sz w:val="20"/>
              </w:rPr>
            </w:pPr>
            <w:r>
              <w:rPr>
                <w:sz w:val="20"/>
              </w:rPr>
              <w:t>Shaun Kennedy</w:t>
            </w:r>
          </w:p>
        </w:tc>
        <w:tc>
          <w:tcPr>
            <w:tcW w:w="5724" w:type="dxa"/>
          </w:tcPr>
          <w:p>
            <w:pPr>
              <w:pStyle w:val="TableParagraph"/>
              <w:spacing w:before="30"/>
              <w:ind w:left="448"/>
              <w:rPr>
                <w:b/>
                <w:sz w:val="20"/>
              </w:rPr>
            </w:pPr>
            <w:r>
              <w:rPr>
                <w:b/>
                <w:sz w:val="20"/>
              </w:rPr>
              <w:t>Associated British Ports</w:t>
            </w:r>
          </w:p>
        </w:tc>
      </w:tr>
      <w:tr>
        <w:trPr>
          <w:trHeight w:val="300" w:hRule="atLeast"/>
        </w:trPr>
        <w:tc>
          <w:tcPr>
            <w:tcW w:w="2869" w:type="dxa"/>
          </w:tcPr>
          <w:p>
            <w:pPr>
              <w:pStyle w:val="TableParagraph"/>
              <w:rPr>
                <w:sz w:val="20"/>
              </w:rPr>
            </w:pPr>
            <w:r>
              <w:rPr>
                <w:sz w:val="20"/>
              </w:rPr>
              <w:t>Sarah Boyce</w:t>
            </w:r>
          </w:p>
        </w:tc>
        <w:tc>
          <w:tcPr>
            <w:tcW w:w="5724" w:type="dxa"/>
          </w:tcPr>
          <w:p>
            <w:pPr>
              <w:pStyle w:val="TableParagraph"/>
              <w:spacing w:before="30"/>
              <w:ind w:left="448"/>
              <w:rPr>
                <w:b/>
                <w:sz w:val="20"/>
              </w:rPr>
            </w:pPr>
            <w:r>
              <w:rPr>
                <w:b/>
                <w:sz w:val="20"/>
              </w:rPr>
              <w:t>Association of Corporate Treasurers</w:t>
            </w:r>
          </w:p>
        </w:tc>
      </w:tr>
      <w:tr>
        <w:trPr>
          <w:trHeight w:val="300" w:hRule="atLeast"/>
        </w:trPr>
        <w:tc>
          <w:tcPr>
            <w:tcW w:w="2869" w:type="dxa"/>
          </w:tcPr>
          <w:p>
            <w:pPr>
              <w:pStyle w:val="TableParagraph"/>
              <w:rPr>
                <w:sz w:val="20"/>
              </w:rPr>
            </w:pPr>
            <w:r>
              <w:rPr>
                <w:sz w:val="20"/>
              </w:rPr>
              <w:t>Nick Saggers</w:t>
            </w:r>
          </w:p>
        </w:tc>
        <w:tc>
          <w:tcPr>
            <w:tcW w:w="5724" w:type="dxa"/>
          </w:tcPr>
          <w:p>
            <w:pPr>
              <w:pStyle w:val="TableParagraph"/>
              <w:spacing w:before="30"/>
              <w:ind w:left="448"/>
              <w:rPr>
                <w:b/>
                <w:sz w:val="20"/>
              </w:rPr>
            </w:pPr>
            <w:r>
              <w:rPr>
                <w:b/>
                <w:sz w:val="20"/>
              </w:rPr>
              <w:t>Bank of America Merrill Lynch</w:t>
            </w:r>
          </w:p>
        </w:tc>
      </w:tr>
      <w:tr>
        <w:trPr>
          <w:trHeight w:val="300" w:hRule="atLeast"/>
        </w:trPr>
        <w:tc>
          <w:tcPr>
            <w:tcW w:w="2869" w:type="dxa"/>
          </w:tcPr>
          <w:p>
            <w:pPr>
              <w:pStyle w:val="TableParagraph"/>
              <w:rPr>
                <w:sz w:val="20"/>
              </w:rPr>
            </w:pPr>
            <w:r>
              <w:rPr>
                <w:sz w:val="20"/>
              </w:rPr>
              <w:t>Robert Mitchelson</w:t>
            </w:r>
          </w:p>
        </w:tc>
        <w:tc>
          <w:tcPr>
            <w:tcW w:w="5724" w:type="dxa"/>
          </w:tcPr>
          <w:p>
            <w:pPr>
              <w:pStyle w:val="TableParagraph"/>
              <w:spacing w:before="30"/>
              <w:ind w:left="448"/>
              <w:rPr>
                <w:b/>
                <w:sz w:val="20"/>
              </w:rPr>
            </w:pPr>
            <w:r>
              <w:rPr>
                <w:b/>
                <w:sz w:val="20"/>
              </w:rPr>
              <w:t>Blackrock</w:t>
            </w:r>
          </w:p>
        </w:tc>
      </w:tr>
      <w:tr>
        <w:trPr>
          <w:trHeight w:val="300" w:hRule="atLeast"/>
        </w:trPr>
        <w:tc>
          <w:tcPr>
            <w:tcW w:w="2869" w:type="dxa"/>
          </w:tcPr>
          <w:p>
            <w:pPr>
              <w:pStyle w:val="TableParagraph"/>
              <w:rPr>
                <w:sz w:val="20"/>
              </w:rPr>
            </w:pPr>
            <w:r>
              <w:rPr>
                <w:sz w:val="20"/>
              </w:rPr>
              <w:t>Timothy Tomalin-Reeves</w:t>
            </w:r>
          </w:p>
        </w:tc>
        <w:tc>
          <w:tcPr>
            <w:tcW w:w="5724" w:type="dxa"/>
          </w:tcPr>
          <w:p>
            <w:pPr>
              <w:pStyle w:val="TableParagraph"/>
              <w:spacing w:before="30"/>
              <w:ind w:left="448"/>
              <w:rPr>
                <w:b/>
                <w:sz w:val="20"/>
              </w:rPr>
            </w:pPr>
            <w:r>
              <w:rPr>
                <w:b/>
                <w:sz w:val="20"/>
              </w:rPr>
              <w:t>Citadel</w:t>
            </w:r>
          </w:p>
        </w:tc>
      </w:tr>
      <w:tr>
        <w:trPr>
          <w:trHeight w:val="300" w:hRule="atLeast"/>
        </w:trPr>
        <w:tc>
          <w:tcPr>
            <w:tcW w:w="2869" w:type="dxa"/>
          </w:tcPr>
          <w:p>
            <w:pPr>
              <w:pStyle w:val="TableParagraph"/>
              <w:rPr>
                <w:sz w:val="20"/>
              </w:rPr>
            </w:pPr>
            <w:r>
              <w:rPr>
                <w:sz w:val="20"/>
              </w:rPr>
              <w:t>Stergiou Panayotis</w:t>
            </w:r>
          </w:p>
        </w:tc>
        <w:tc>
          <w:tcPr>
            <w:tcW w:w="5724" w:type="dxa"/>
          </w:tcPr>
          <w:p>
            <w:pPr>
              <w:pStyle w:val="TableParagraph"/>
              <w:spacing w:before="30"/>
              <w:ind w:left="448"/>
              <w:rPr>
                <w:b/>
                <w:sz w:val="20"/>
              </w:rPr>
            </w:pPr>
            <w:r>
              <w:rPr>
                <w:b/>
                <w:sz w:val="20"/>
              </w:rPr>
              <w:t>Deutsche Bank</w:t>
            </w:r>
          </w:p>
        </w:tc>
      </w:tr>
      <w:tr>
        <w:trPr>
          <w:trHeight w:val="300" w:hRule="atLeast"/>
        </w:trPr>
        <w:tc>
          <w:tcPr>
            <w:tcW w:w="2869" w:type="dxa"/>
          </w:tcPr>
          <w:p>
            <w:pPr>
              <w:pStyle w:val="TableParagraph"/>
              <w:rPr>
                <w:sz w:val="20"/>
              </w:rPr>
            </w:pPr>
            <w:r>
              <w:rPr>
                <w:sz w:val="20"/>
              </w:rPr>
              <w:t>Michael Barron</w:t>
            </w:r>
          </w:p>
        </w:tc>
        <w:tc>
          <w:tcPr>
            <w:tcW w:w="5724" w:type="dxa"/>
          </w:tcPr>
          <w:p>
            <w:pPr>
              <w:pStyle w:val="TableParagraph"/>
              <w:spacing w:before="30"/>
              <w:ind w:left="448"/>
              <w:rPr>
                <w:b/>
                <w:sz w:val="20"/>
              </w:rPr>
            </w:pPr>
            <w:r>
              <w:rPr>
                <w:b/>
                <w:sz w:val="20"/>
              </w:rPr>
              <w:t>Deutsche Bank</w:t>
            </w:r>
          </w:p>
        </w:tc>
      </w:tr>
      <w:tr>
        <w:trPr>
          <w:trHeight w:val="300" w:hRule="atLeast"/>
        </w:trPr>
        <w:tc>
          <w:tcPr>
            <w:tcW w:w="2869" w:type="dxa"/>
          </w:tcPr>
          <w:p>
            <w:pPr>
              <w:pStyle w:val="TableParagraph"/>
              <w:rPr>
                <w:sz w:val="20"/>
              </w:rPr>
            </w:pPr>
            <w:r>
              <w:rPr>
                <w:sz w:val="20"/>
              </w:rPr>
              <w:t>Axel van Nederveen</w:t>
            </w:r>
          </w:p>
        </w:tc>
        <w:tc>
          <w:tcPr>
            <w:tcW w:w="5724" w:type="dxa"/>
          </w:tcPr>
          <w:p>
            <w:pPr>
              <w:pStyle w:val="TableParagraph"/>
              <w:spacing w:before="30"/>
              <w:ind w:left="448"/>
              <w:rPr>
                <w:b/>
                <w:sz w:val="20"/>
              </w:rPr>
            </w:pPr>
            <w:r>
              <w:rPr>
                <w:b/>
                <w:sz w:val="20"/>
              </w:rPr>
              <w:t>European Bank for Reconstruction &amp; Development</w:t>
            </w:r>
          </w:p>
        </w:tc>
      </w:tr>
      <w:tr>
        <w:trPr>
          <w:trHeight w:val="300" w:hRule="atLeast"/>
        </w:trPr>
        <w:tc>
          <w:tcPr>
            <w:tcW w:w="2869" w:type="dxa"/>
          </w:tcPr>
          <w:p>
            <w:pPr>
              <w:pStyle w:val="TableParagraph"/>
              <w:rPr>
                <w:sz w:val="20"/>
              </w:rPr>
            </w:pPr>
            <w:r>
              <w:rPr>
                <w:sz w:val="20"/>
              </w:rPr>
              <w:t>Jasper Lillingston</w:t>
            </w:r>
          </w:p>
        </w:tc>
        <w:tc>
          <w:tcPr>
            <w:tcW w:w="5724" w:type="dxa"/>
          </w:tcPr>
          <w:p>
            <w:pPr>
              <w:pStyle w:val="TableParagraph"/>
              <w:spacing w:before="30"/>
              <w:ind w:left="448"/>
              <w:rPr>
                <w:b/>
                <w:sz w:val="20"/>
              </w:rPr>
            </w:pPr>
            <w:r>
              <w:rPr>
                <w:b/>
                <w:sz w:val="20"/>
              </w:rPr>
              <w:t>European Bank for Reconstruction &amp; Development</w:t>
            </w:r>
          </w:p>
        </w:tc>
      </w:tr>
      <w:tr>
        <w:trPr>
          <w:trHeight w:val="300" w:hRule="atLeast"/>
        </w:trPr>
        <w:tc>
          <w:tcPr>
            <w:tcW w:w="2869" w:type="dxa"/>
          </w:tcPr>
          <w:p>
            <w:pPr>
              <w:pStyle w:val="TableParagraph"/>
              <w:rPr>
                <w:sz w:val="20"/>
              </w:rPr>
            </w:pPr>
            <w:r>
              <w:rPr>
                <w:sz w:val="20"/>
              </w:rPr>
              <w:t>Tom Gilliam</w:t>
            </w:r>
          </w:p>
        </w:tc>
        <w:tc>
          <w:tcPr>
            <w:tcW w:w="5724" w:type="dxa"/>
          </w:tcPr>
          <w:p>
            <w:pPr>
              <w:pStyle w:val="TableParagraph"/>
              <w:spacing w:before="30"/>
              <w:ind w:left="448"/>
              <w:rPr>
                <w:b/>
                <w:sz w:val="20"/>
              </w:rPr>
            </w:pPr>
            <w:r>
              <w:rPr>
                <w:b/>
                <w:sz w:val="20"/>
              </w:rPr>
              <w:t>GlaxoSmithKline</w:t>
            </w:r>
          </w:p>
        </w:tc>
      </w:tr>
      <w:tr>
        <w:trPr>
          <w:trHeight w:val="300" w:hRule="atLeast"/>
        </w:trPr>
        <w:tc>
          <w:tcPr>
            <w:tcW w:w="2869" w:type="dxa"/>
          </w:tcPr>
          <w:p>
            <w:pPr>
              <w:pStyle w:val="TableParagraph"/>
              <w:rPr>
                <w:sz w:val="20"/>
              </w:rPr>
            </w:pPr>
            <w:r>
              <w:rPr>
                <w:sz w:val="20"/>
              </w:rPr>
              <w:t>Chirag Dave</w:t>
            </w:r>
          </w:p>
        </w:tc>
        <w:tc>
          <w:tcPr>
            <w:tcW w:w="5724" w:type="dxa"/>
          </w:tcPr>
          <w:p>
            <w:pPr>
              <w:pStyle w:val="TableParagraph"/>
              <w:spacing w:before="30"/>
              <w:ind w:left="448"/>
              <w:rPr>
                <w:b/>
                <w:sz w:val="20"/>
              </w:rPr>
            </w:pPr>
            <w:r>
              <w:rPr>
                <w:b/>
                <w:sz w:val="20"/>
              </w:rPr>
              <w:t>Goldman Sachs</w:t>
            </w:r>
          </w:p>
        </w:tc>
      </w:tr>
      <w:tr>
        <w:trPr>
          <w:trHeight w:val="300" w:hRule="atLeast"/>
        </w:trPr>
        <w:tc>
          <w:tcPr>
            <w:tcW w:w="2869" w:type="dxa"/>
          </w:tcPr>
          <w:p>
            <w:pPr>
              <w:pStyle w:val="TableParagraph"/>
              <w:rPr>
                <w:sz w:val="20"/>
              </w:rPr>
            </w:pPr>
            <w:r>
              <w:rPr>
                <w:sz w:val="20"/>
              </w:rPr>
              <w:t>Chris Rhodes</w:t>
            </w:r>
          </w:p>
        </w:tc>
        <w:tc>
          <w:tcPr>
            <w:tcW w:w="5724" w:type="dxa"/>
          </w:tcPr>
          <w:p>
            <w:pPr>
              <w:pStyle w:val="TableParagraph"/>
              <w:spacing w:before="30"/>
              <w:ind w:left="448"/>
              <w:rPr>
                <w:b/>
                <w:sz w:val="20"/>
              </w:rPr>
            </w:pPr>
            <w:r>
              <w:rPr>
                <w:b/>
                <w:sz w:val="20"/>
              </w:rPr>
              <w:t>ICE Group</w:t>
            </w:r>
          </w:p>
        </w:tc>
      </w:tr>
      <w:tr>
        <w:trPr>
          <w:trHeight w:val="300" w:hRule="atLeast"/>
        </w:trPr>
        <w:tc>
          <w:tcPr>
            <w:tcW w:w="2869" w:type="dxa"/>
          </w:tcPr>
          <w:p>
            <w:pPr>
              <w:pStyle w:val="TableParagraph"/>
              <w:rPr>
                <w:sz w:val="20"/>
              </w:rPr>
            </w:pPr>
            <w:r>
              <w:rPr>
                <w:sz w:val="20"/>
              </w:rPr>
              <w:t>Paul Richards</w:t>
            </w:r>
          </w:p>
        </w:tc>
        <w:tc>
          <w:tcPr>
            <w:tcW w:w="5724" w:type="dxa"/>
          </w:tcPr>
          <w:p>
            <w:pPr>
              <w:pStyle w:val="TableParagraph"/>
              <w:spacing w:before="30"/>
              <w:ind w:left="448"/>
              <w:rPr>
                <w:b/>
                <w:sz w:val="20"/>
              </w:rPr>
            </w:pPr>
            <w:r>
              <w:rPr>
                <w:b/>
                <w:sz w:val="20"/>
              </w:rPr>
              <w:t>ICMA</w:t>
            </w:r>
          </w:p>
        </w:tc>
      </w:tr>
      <w:tr>
        <w:trPr>
          <w:trHeight w:val="300" w:hRule="atLeast"/>
        </w:trPr>
        <w:tc>
          <w:tcPr>
            <w:tcW w:w="2869" w:type="dxa"/>
          </w:tcPr>
          <w:p>
            <w:pPr>
              <w:pStyle w:val="TableParagraph"/>
              <w:rPr>
                <w:sz w:val="20"/>
              </w:rPr>
            </w:pPr>
            <w:r>
              <w:rPr>
                <w:sz w:val="20"/>
              </w:rPr>
              <w:t>David Jamieson</w:t>
            </w:r>
          </w:p>
        </w:tc>
        <w:tc>
          <w:tcPr>
            <w:tcW w:w="5724" w:type="dxa"/>
          </w:tcPr>
          <w:p>
            <w:pPr>
              <w:pStyle w:val="TableParagraph"/>
              <w:spacing w:before="30"/>
              <w:ind w:left="448"/>
              <w:rPr>
                <w:b/>
                <w:sz w:val="20"/>
              </w:rPr>
            </w:pPr>
            <w:r>
              <w:rPr>
                <w:b/>
                <w:sz w:val="20"/>
              </w:rPr>
              <w:t>Insight Investment</w:t>
            </w:r>
          </w:p>
        </w:tc>
      </w:tr>
      <w:tr>
        <w:trPr>
          <w:trHeight w:val="300" w:hRule="atLeast"/>
        </w:trPr>
        <w:tc>
          <w:tcPr>
            <w:tcW w:w="2869" w:type="dxa"/>
          </w:tcPr>
          <w:p>
            <w:pPr>
              <w:pStyle w:val="TableParagraph"/>
              <w:rPr>
                <w:sz w:val="20"/>
              </w:rPr>
            </w:pPr>
            <w:r>
              <w:rPr>
                <w:sz w:val="20"/>
              </w:rPr>
              <w:t>Galina Dimitrova</w:t>
            </w:r>
          </w:p>
        </w:tc>
        <w:tc>
          <w:tcPr>
            <w:tcW w:w="5724" w:type="dxa"/>
          </w:tcPr>
          <w:p>
            <w:pPr>
              <w:pStyle w:val="TableParagraph"/>
              <w:spacing w:before="30"/>
              <w:ind w:left="448"/>
              <w:rPr>
                <w:b/>
                <w:sz w:val="20"/>
              </w:rPr>
            </w:pPr>
            <w:r>
              <w:rPr>
                <w:b/>
                <w:sz w:val="20"/>
              </w:rPr>
              <w:t>Investment Association</w:t>
            </w:r>
          </w:p>
        </w:tc>
      </w:tr>
      <w:tr>
        <w:trPr>
          <w:trHeight w:val="300" w:hRule="atLeast"/>
        </w:trPr>
        <w:tc>
          <w:tcPr>
            <w:tcW w:w="2869" w:type="dxa"/>
          </w:tcPr>
          <w:p>
            <w:pPr>
              <w:pStyle w:val="TableParagraph"/>
              <w:rPr>
                <w:sz w:val="20"/>
              </w:rPr>
            </w:pPr>
            <w:r>
              <w:rPr>
                <w:sz w:val="20"/>
              </w:rPr>
              <w:t>Rick Sandilands</w:t>
            </w:r>
          </w:p>
        </w:tc>
        <w:tc>
          <w:tcPr>
            <w:tcW w:w="5724" w:type="dxa"/>
          </w:tcPr>
          <w:p>
            <w:pPr>
              <w:pStyle w:val="TableParagraph"/>
              <w:spacing w:before="30"/>
              <w:ind w:left="448"/>
              <w:rPr>
                <w:b/>
                <w:sz w:val="20"/>
              </w:rPr>
            </w:pPr>
            <w:r>
              <w:rPr>
                <w:b/>
                <w:sz w:val="20"/>
              </w:rPr>
              <w:t>ISDA</w:t>
            </w:r>
          </w:p>
        </w:tc>
      </w:tr>
      <w:tr>
        <w:trPr>
          <w:trHeight w:val="300" w:hRule="atLeast"/>
        </w:trPr>
        <w:tc>
          <w:tcPr>
            <w:tcW w:w="2869" w:type="dxa"/>
          </w:tcPr>
          <w:p>
            <w:pPr>
              <w:pStyle w:val="TableParagraph"/>
              <w:rPr>
                <w:sz w:val="20"/>
              </w:rPr>
            </w:pPr>
            <w:r>
              <w:rPr>
                <w:sz w:val="20"/>
              </w:rPr>
              <w:t>Ed Jenkins</w:t>
            </w:r>
          </w:p>
        </w:tc>
        <w:tc>
          <w:tcPr>
            <w:tcW w:w="5724" w:type="dxa"/>
          </w:tcPr>
          <w:p>
            <w:pPr>
              <w:pStyle w:val="TableParagraph"/>
              <w:spacing w:before="30"/>
              <w:ind w:left="448"/>
              <w:rPr>
                <w:b/>
                <w:sz w:val="20"/>
              </w:rPr>
            </w:pPr>
            <w:r>
              <w:rPr>
                <w:b/>
                <w:sz w:val="20"/>
              </w:rPr>
              <w:t>HSBC</w:t>
            </w:r>
          </w:p>
        </w:tc>
      </w:tr>
      <w:tr>
        <w:trPr>
          <w:trHeight w:val="300" w:hRule="atLeast"/>
        </w:trPr>
        <w:tc>
          <w:tcPr>
            <w:tcW w:w="2869" w:type="dxa"/>
          </w:tcPr>
          <w:p>
            <w:pPr>
              <w:pStyle w:val="TableParagraph"/>
              <w:rPr>
                <w:sz w:val="20"/>
              </w:rPr>
            </w:pPr>
            <w:r>
              <w:rPr>
                <w:sz w:val="20"/>
              </w:rPr>
              <w:t>Clare Dawson</w:t>
            </w:r>
          </w:p>
        </w:tc>
        <w:tc>
          <w:tcPr>
            <w:tcW w:w="5724" w:type="dxa"/>
          </w:tcPr>
          <w:p>
            <w:pPr>
              <w:pStyle w:val="TableParagraph"/>
              <w:spacing w:before="30"/>
              <w:ind w:left="448"/>
              <w:rPr>
                <w:b/>
                <w:sz w:val="20"/>
              </w:rPr>
            </w:pPr>
            <w:r>
              <w:rPr>
                <w:b/>
                <w:sz w:val="20"/>
              </w:rPr>
              <w:t>Loan Market Association</w:t>
            </w:r>
          </w:p>
        </w:tc>
      </w:tr>
      <w:tr>
        <w:trPr>
          <w:trHeight w:val="300" w:hRule="atLeast"/>
        </w:trPr>
        <w:tc>
          <w:tcPr>
            <w:tcW w:w="2869" w:type="dxa"/>
          </w:tcPr>
          <w:p>
            <w:pPr>
              <w:pStyle w:val="TableParagraph"/>
              <w:rPr>
                <w:sz w:val="20"/>
              </w:rPr>
            </w:pPr>
            <w:r>
              <w:rPr>
                <w:sz w:val="20"/>
              </w:rPr>
              <w:t>Philip Whitehurst</w:t>
            </w:r>
          </w:p>
        </w:tc>
        <w:tc>
          <w:tcPr>
            <w:tcW w:w="5724" w:type="dxa"/>
          </w:tcPr>
          <w:p>
            <w:pPr>
              <w:pStyle w:val="TableParagraph"/>
              <w:spacing w:before="30"/>
              <w:ind w:left="448"/>
              <w:rPr>
                <w:b/>
                <w:sz w:val="20"/>
              </w:rPr>
            </w:pPr>
            <w:r>
              <w:rPr>
                <w:b/>
                <w:sz w:val="20"/>
              </w:rPr>
              <w:t>London Stock Exchange Group</w:t>
            </w:r>
          </w:p>
        </w:tc>
      </w:tr>
      <w:tr>
        <w:trPr>
          <w:trHeight w:val="300" w:hRule="atLeast"/>
        </w:trPr>
        <w:tc>
          <w:tcPr>
            <w:tcW w:w="2869" w:type="dxa"/>
          </w:tcPr>
          <w:p>
            <w:pPr>
              <w:pStyle w:val="TableParagraph"/>
              <w:rPr>
                <w:sz w:val="20"/>
              </w:rPr>
            </w:pPr>
            <w:r>
              <w:rPr>
                <w:sz w:val="20"/>
              </w:rPr>
              <w:t>Ian Fox</w:t>
            </w:r>
          </w:p>
        </w:tc>
        <w:tc>
          <w:tcPr>
            <w:tcW w:w="5724" w:type="dxa"/>
          </w:tcPr>
          <w:p>
            <w:pPr>
              <w:pStyle w:val="TableParagraph"/>
              <w:spacing w:before="30"/>
              <w:ind w:left="448"/>
              <w:rPr>
                <w:b/>
                <w:sz w:val="20"/>
              </w:rPr>
            </w:pPr>
            <w:r>
              <w:rPr>
                <w:b/>
                <w:sz w:val="20"/>
              </w:rPr>
              <w:t>Lloyds</w:t>
            </w:r>
          </w:p>
        </w:tc>
      </w:tr>
      <w:tr>
        <w:trPr>
          <w:trHeight w:val="300" w:hRule="atLeast"/>
        </w:trPr>
        <w:tc>
          <w:tcPr>
            <w:tcW w:w="2869" w:type="dxa"/>
          </w:tcPr>
          <w:p>
            <w:pPr>
              <w:pStyle w:val="TableParagraph"/>
              <w:rPr>
                <w:sz w:val="20"/>
              </w:rPr>
            </w:pPr>
            <w:r>
              <w:rPr>
                <w:sz w:val="20"/>
              </w:rPr>
              <w:t>David Covey</w:t>
            </w:r>
          </w:p>
        </w:tc>
        <w:tc>
          <w:tcPr>
            <w:tcW w:w="5724" w:type="dxa"/>
          </w:tcPr>
          <w:p>
            <w:pPr>
              <w:pStyle w:val="TableParagraph"/>
              <w:spacing w:before="30"/>
              <w:ind w:left="448"/>
              <w:rPr>
                <w:b/>
                <w:sz w:val="20"/>
              </w:rPr>
            </w:pPr>
            <w:r>
              <w:rPr>
                <w:b/>
                <w:sz w:val="20"/>
              </w:rPr>
              <w:t>M&amp;G Investments</w:t>
            </w:r>
          </w:p>
        </w:tc>
      </w:tr>
      <w:tr>
        <w:trPr>
          <w:trHeight w:val="300" w:hRule="atLeast"/>
        </w:trPr>
        <w:tc>
          <w:tcPr>
            <w:tcW w:w="2869" w:type="dxa"/>
          </w:tcPr>
          <w:p>
            <w:pPr>
              <w:pStyle w:val="TableParagraph"/>
              <w:rPr>
                <w:sz w:val="20"/>
              </w:rPr>
            </w:pPr>
            <w:r>
              <w:rPr>
                <w:sz w:val="20"/>
              </w:rPr>
              <w:t>Tommy Chung</w:t>
            </w:r>
          </w:p>
        </w:tc>
        <w:tc>
          <w:tcPr>
            <w:tcW w:w="5724" w:type="dxa"/>
          </w:tcPr>
          <w:p>
            <w:pPr>
              <w:pStyle w:val="TableParagraph"/>
              <w:spacing w:before="30"/>
              <w:ind w:left="448"/>
              <w:rPr>
                <w:b/>
                <w:sz w:val="20"/>
              </w:rPr>
            </w:pPr>
            <w:r>
              <w:rPr>
                <w:b/>
                <w:sz w:val="20"/>
              </w:rPr>
              <w:t>Nationwide Building Society</w:t>
            </w:r>
          </w:p>
        </w:tc>
      </w:tr>
      <w:tr>
        <w:trPr>
          <w:trHeight w:val="300" w:hRule="atLeast"/>
        </w:trPr>
        <w:tc>
          <w:tcPr>
            <w:tcW w:w="2869" w:type="dxa"/>
          </w:tcPr>
          <w:p>
            <w:pPr>
              <w:pStyle w:val="TableParagraph"/>
              <w:rPr>
                <w:sz w:val="20"/>
              </w:rPr>
            </w:pPr>
            <w:r>
              <w:rPr>
                <w:sz w:val="20"/>
              </w:rPr>
              <w:t>Kwok Liu</w:t>
            </w:r>
          </w:p>
        </w:tc>
        <w:tc>
          <w:tcPr>
            <w:tcW w:w="5724" w:type="dxa"/>
          </w:tcPr>
          <w:p>
            <w:pPr>
              <w:pStyle w:val="TableParagraph"/>
              <w:spacing w:before="30"/>
              <w:ind w:left="448"/>
              <w:rPr>
                <w:b/>
                <w:sz w:val="20"/>
              </w:rPr>
            </w:pPr>
            <w:r>
              <w:rPr>
                <w:b/>
                <w:sz w:val="20"/>
              </w:rPr>
              <w:t>National Grid</w:t>
            </w:r>
          </w:p>
        </w:tc>
      </w:tr>
      <w:tr>
        <w:trPr>
          <w:trHeight w:val="262" w:hRule="atLeast"/>
        </w:trPr>
        <w:tc>
          <w:tcPr>
            <w:tcW w:w="2869" w:type="dxa"/>
          </w:tcPr>
          <w:p>
            <w:pPr>
              <w:pStyle w:val="TableParagraph"/>
              <w:spacing w:line="210" w:lineRule="exact"/>
              <w:rPr>
                <w:sz w:val="20"/>
              </w:rPr>
            </w:pPr>
            <w:r>
              <w:rPr>
                <w:sz w:val="20"/>
              </w:rPr>
              <w:t>Kieran Higgins</w:t>
            </w:r>
          </w:p>
        </w:tc>
        <w:tc>
          <w:tcPr>
            <w:tcW w:w="5724" w:type="dxa"/>
          </w:tcPr>
          <w:p>
            <w:pPr>
              <w:pStyle w:val="TableParagraph"/>
              <w:spacing w:line="212" w:lineRule="exact" w:before="30"/>
              <w:ind w:left="448"/>
              <w:rPr>
                <w:b/>
                <w:sz w:val="20"/>
              </w:rPr>
            </w:pPr>
            <w:r>
              <w:rPr>
                <w:b/>
                <w:sz w:val="20"/>
              </w:rPr>
              <w:t>Royal Bank of Scotland</w:t>
            </w:r>
          </w:p>
        </w:tc>
      </w:tr>
    </w:tbl>
    <w:p>
      <w:pPr>
        <w:pStyle w:val="BodyText"/>
        <w:rPr>
          <w:b/>
          <w:sz w:val="29"/>
        </w:rPr>
      </w:pPr>
    </w:p>
    <w:p>
      <w:pPr>
        <w:spacing w:before="0"/>
        <w:ind w:left="316" w:right="0" w:firstLine="0"/>
        <w:jc w:val="left"/>
        <w:rPr>
          <w:b/>
          <w:sz w:val="20"/>
        </w:rPr>
      </w:pPr>
      <w:r>
        <w:rPr>
          <w:b/>
          <w:sz w:val="20"/>
        </w:rPr>
        <w:t>Official sector</w:t>
      </w:r>
      <w:r>
        <w:rPr>
          <w:b/>
          <w:spacing w:val="-15"/>
          <w:sz w:val="20"/>
        </w:rPr>
        <w:t> </w:t>
      </w:r>
      <w:r>
        <w:rPr>
          <w:b/>
          <w:sz w:val="20"/>
        </w:rPr>
        <w:t>attendees</w:t>
      </w:r>
    </w:p>
    <w:p>
      <w:pPr>
        <w:pStyle w:val="BodyText"/>
        <w:spacing w:before="1"/>
        <w:rPr>
          <w:b/>
          <w:sz w:val="24"/>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2"/>
        <w:gridCol w:w="3437"/>
      </w:tblGrid>
      <w:tr>
        <w:trPr>
          <w:trHeight w:val="263" w:hRule="atLeast"/>
        </w:trPr>
        <w:tc>
          <w:tcPr>
            <w:tcW w:w="2802" w:type="dxa"/>
          </w:tcPr>
          <w:p>
            <w:pPr>
              <w:pStyle w:val="TableParagraph"/>
              <w:spacing w:line="225" w:lineRule="exact" w:before="0"/>
              <w:rPr>
                <w:sz w:val="20"/>
              </w:rPr>
            </w:pPr>
            <w:r>
              <w:rPr>
                <w:sz w:val="20"/>
              </w:rPr>
              <w:t>Chris Salmon</w:t>
            </w:r>
          </w:p>
        </w:tc>
        <w:tc>
          <w:tcPr>
            <w:tcW w:w="3437" w:type="dxa"/>
          </w:tcPr>
          <w:p>
            <w:pPr>
              <w:pStyle w:val="TableParagraph"/>
              <w:spacing w:line="223" w:lineRule="exact" w:before="0"/>
              <w:ind w:left="558"/>
              <w:rPr>
                <w:b/>
                <w:sz w:val="20"/>
              </w:rPr>
            </w:pPr>
            <w:r>
              <w:rPr>
                <w:b/>
                <w:sz w:val="20"/>
              </w:rPr>
              <w:t>Bank of England</w:t>
            </w:r>
          </w:p>
        </w:tc>
      </w:tr>
      <w:tr>
        <w:trPr>
          <w:trHeight w:val="303" w:hRule="atLeast"/>
        </w:trPr>
        <w:tc>
          <w:tcPr>
            <w:tcW w:w="2802" w:type="dxa"/>
          </w:tcPr>
          <w:p>
            <w:pPr>
              <w:pStyle w:val="TableParagraph"/>
              <w:spacing w:before="34"/>
              <w:rPr>
                <w:sz w:val="20"/>
              </w:rPr>
            </w:pPr>
            <w:r>
              <w:rPr>
                <w:sz w:val="20"/>
              </w:rPr>
              <w:t>Ed Ocampo</w:t>
            </w:r>
          </w:p>
        </w:tc>
        <w:tc>
          <w:tcPr>
            <w:tcW w:w="3437" w:type="dxa"/>
          </w:tcPr>
          <w:p>
            <w:pPr>
              <w:pStyle w:val="TableParagraph"/>
              <w:spacing w:before="31"/>
              <w:ind w:left="558"/>
              <w:rPr>
                <w:b/>
                <w:sz w:val="20"/>
              </w:rPr>
            </w:pPr>
            <w:r>
              <w:rPr>
                <w:b/>
                <w:sz w:val="20"/>
              </w:rPr>
              <w:t>Bank of England</w:t>
            </w:r>
          </w:p>
        </w:tc>
      </w:tr>
      <w:tr>
        <w:trPr>
          <w:trHeight w:val="303" w:hRule="atLeast"/>
        </w:trPr>
        <w:tc>
          <w:tcPr>
            <w:tcW w:w="2802" w:type="dxa"/>
          </w:tcPr>
          <w:p>
            <w:pPr>
              <w:pStyle w:val="TableParagraph"/>
              <w:spacing w:before="35"/>
              <w:rPr>
                <w:sz w:val="20"/>
              </w:rPr>
            </w:pPr>
            <w:r>
              <w:rPr>
                <w:sz w:val="20"/>
              </w:rPr>
              <w:t>Imane Bakkar</w:t>
            </w:r>
          </w:p>
        </w:tc>
        <w:tc>
          <w:tcPr>
            <w:tcW w:w="3437" w:type="dxa"/>
          </w:tcPr>
          <w:p>
            <w:pPr>
              <w:pStyle w:val="TableParagraph"/>
              <w:ind w:left="558"/>
              <w:rPr>
                <w:b/>
                <w:sz w:val="20"/>
              </w:rPr>
            </w:pPr>
            <w:r>
              <w:rPr>
                <w:b/>
                <w:sz w:val="20"/>
              </w:rPr>
              <w:t>Bank of England</w:t>
            </w:r>
          </w:p>
        </w:tc>
      </w:tr>
      <w:tr>
        <w:trPr>
          <w:trHeight w:val="302" w:hRule="atLeast"/>
        </w:trPr>
        <w:tc>
          <w:tcPr>
            <w:tcW w:w="2802" w:type="dxa"/>
          </w:tcPr>
          <w:p>
            <w:pPr>
              <w:pStyle w:val="TableParagraph"/>
              <w:spacing w:before="34"/>
              <w:rPr>
                <w:sz w:val="20"/>
              </w:rPr>
            </w:pPr>
            <w:r>
              <w:rPr>
                <w:sz w:val="20"/>
              </w:rPr>
              <w:t>John Budd</w:t>
            </w:r>
          </w:p>
        </w:tc>
        <w:tc>
          <w:tcPr>
            <w:tcW w:w="3437" w:type="dxa"/>
          </w:tcPr>
          <w:p>
            <w:pPr>
              <w:pStyle w:val="TableParagraph"/>
              <w:spacing w:before="31"/>
              <w:ind w:left="558"/>
              <w:rPr>
                <w:b/>
                <w:sz w:val="20"/>
              </w:rPr>
            </w:pPr>
            <w:r>
              <w:rPr>
                <w:b/>
                <w:sz w:val="20"/>
              </w:rPr>
              <w:t>Bank of England</w:t>
            </w:r>
          </w:p>
        </w:tc>
      </w:tr>
      <w:tr>
        <w:trPr>
          <w:trHeight w:val="302" w:hRule="atLeast"/>
        </w:trPr>
        <w:tc>
          <w:tcPr>
            <w:tcW w:w="2802" w:type="dxa"/>
          </w:tcPr>
          <w:p>
            <w:pPr>
              <w:pStyle w:val="TableParagraph"/>
              <w:spacing w:before="34"/>
              <w:rPr>
                <w:sz w:val="20"/>
              </w:rPr>
            </w:pPr>
            <w:r>
              <w:rPr>
                <w:sz w:val="20"/>
              </w:rPr>
              <w:t>Edwin Schooling Latter</w:t>
            </w:r>
          </w:p>
        </w:tc>
        <w:tc>
          <w:tcPr>
            <w:tcW w:w="3437" w:type="dxa"/>
          </w:tcPr>
          <w:p>
            <w:pPr>
              <w:pStyle w:val="TableParagraph"/>
              <w:spacing w:before="31"/>
              <w:ind w:left="558"/>
              <w:rPr>
                <w:b/>
                <w:sz w:val="20"/>
              </w:rPr>
            </w:pPr>
            <w:r>
              <w:rPr>
                <w:b/>
                <w:sz w:val="20"/>
              </w:rPr>
              <w:t>Financial Conduct Authority</w:t>
            </w:r>
          </w:p>
        </w:tc>
      </w:tr>
      <w:tr>
        <w:trPr>
          <w:trHeight w:val="303" w:hRule="atLeast"/>
        </w:trPr>
        <w:tc>
          <w:tcPr>
            <w:tcW w:w="2802" w:type="dxa"/>
          </w:tcPr>
          <w:p>
            <w:pPr>
              <w:pStyle w:val="TableParagraph"/>
              <w:spacing w:before="34"/>
              <w:rPr>
                <w:sz w:val="20"/>
              </w:rPr>
            </w:pPr>
            <w:r>
              <w:rPr>
                <w:sz w:val="20"/>
              </w:rPr>
              <w:t>Harriet Hunnable</w:t>
            </w:r>
          </w:p>
        </w:tc>
        <w:tc>
          <w:tcPr>
            <w:tcW w:w="3437" w:type="dxa"/>
          </w:tcPr>
          <w:p>
            <w:pPr>
              <w:pStyle w:val="TableParagraph"/>
              <w:spacing w:before="31"/>
              <w:ind w:left="558"/>
              <w:rPr>
                <w:b/>
                <w:sz w:val="20"/>
              </w:rPr>
            </w:pPr>
            <w:r>
              <w:rPr>
                <w:b/>
                <w:sz w:val="20"/>
              </w:rPr>
              <w:t>Financial Conduct Authority</w:t>
            </w:r>
          </w:p>
        </w:tc>
      </w:tr>
      <w:tr>
        <w:trPr>
          <w:trHeight w:val="303" w:hRule="atLeast"/>
        </w:trPr>
        <w:tc>
          <w:tcPr>
            <w:tcW w:w="2802" w:type="dxa"/>
          </w:tcPr>
          <w:p>
            <w:pPr>
              <w:pStyle w:val="TableParagraph"/>
              <w:spacing w:before="35"/>
              <w:rPr>
                <w:sz w:val="20"/>
              </w:rPr>
            </w:pPr>
            <w:r>
              <w:rPr>
                <w:sz w:val="20"/>
              </w:rPr>
              <w:t>Devid Mazzonetto</w:t>
            </w:r>
          </w:p>
        </w:tc>
        <w:tc>
          <w:tcPr>
            <w:tcW w:w="3437" w:type="dxa"/>
          </w:tcPr>
          <w:p>
            <w:pPr>
              <w:pStyle w:val="TableParagraph"/>
              <w:ind w:left="558"/>
              <w:rPr>
                <w:b/>
                <w:sz w:val="20"/>
              </w:rPr>
            </w:pPr>
            <w:r>
              <w:rPr>
                <w:b/>
                <w:sz w:val="20"/>
              </w:rPr>
              <w:t>Financial Conduct Authority</w:t>
            </w:r>
          </w:p>
        </w:tc>
      </w:tr>
      <w:tr>
        <w:trPr>
          <w:trHeight w:val="263" w:hRule="atLeast"/>
        </w:trPr>
        <w:tc>
          <w:tcPr>
            <w:tcW w:w="2802" w:type="dxa"/>
          </w:tcPr>
          <w:p>
            <w:pPr>
              <w:pStyle w:val="TableParagraph"/>
              <w:spacing w:line="210" w:lineRule="exact" w:before="34"/>
              <w:rPr>
                <w:sz w:val="20"/>
              </w:rPr>
            </w:pPr>
            <w:r>
              <w:rPr>
                <w:sz w:val="20"/>
              </w:rPr>
              <w:t>Adeshini Naidoo</w:t>
            </w:r>
          </w:p>
        </w:tc>
        <w:tc>
          <w:tcPr>
            <w:tcW w:w="3437" w:type="dxa"/>
          </w:tcPr>
          <w:p>
            <w:pPr>
              <w:pStyle w:val="TableParagraph"/>
              <w:spacing w:line="212" w:lineRule="exact" w:before="31"/>
              <w:ind w:left="558"/>
              <w:rPr>
                <w:b/>
                <w:sz w:val="20"/>
              </w:rPr>
            </w:pPr>
            <w:r>
              <w:rPr>
                <w:b/>
                <w:sz w:val="20"/>
              </w:rPr>
              <w:t>Financial Conduct Authority</w:t>
            </w:r>
          </w:p>
        </w:tc>
      </w:tr>
    </w:tbl>
    <w:sectPr>
      <w:pgSz w:w="11910" w:h="16840"/>
      <w:pgMar w:top="1180" w:bottom="280" w:left="9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76" w:hanging="360"/>
        <w:jc w:val="left"/>
      </w:pPr>
      <w:rPr>
        <w:rFonts w:hint="default" w:ascii="Arial" w:hAnsi="Arial" w:eastAsia="Arial" w:cs="Arial"/>
        <w:spacing w:val="-1"/>
        <w:w w:val="99"/>
        <w:sz w:val="20"/>
        <w:szCs w:val="20"/>
      </w:rPr>
    </w:lvl>
    <w:lvl w:ilvl="1">
      <w:start w:val="1"/>
      <w:numFmt w:val="lowerRoman"/>
      <w:lvlText w:val="(%2)"/>
      <w:lvlJc w:val="left"/>
      <w:pPr>
        <w:ind w:left="1396" w:hanging="721"/>
        <w:jc w:val="left"/>
      </w:pPr>
      <w:rPr>
        <w:rFonts w:hint="default" w:ascii="Arial" w:hAnsi="Arial" w:eastAsia="Arial" w:cs="Arial"/>
        <w:spacing w:val="-1"/>
        <w:w w:val="99"/>
        <w:sz w:val="20"/>
        <w:szCs w:val="20"/>
      </w:rPr>
    </w:lvl>
    <w:lvl w:ilvl="2">
      <w:start w:val="0"/>
      <w:numFmt w:val="bullet"/>
      <w:lvlText w:val="•"/>
      <w:lvlJc w:val="left"/>
      <w:pPr>
        <w:ind w:left="1400" w:hanging="721"/>
      </w:pPr>
      <w:rPr>
        <w:rFonts w:hint="default"/>
      </w:rPr>
    </w:lvl>
    <w:lvl w:ilvl="3">
      <w:start w:val="0"/>
      <w:numFmt w:val="bullet"/>
      <w:lvlText w:val="•"/>
      <w:lvlJc w:val="left"/>
      <w:pPr>
        <w:ind w:left="2465" w:hanging="721"/>
      </w:pPr>
      <w:rPr>
        <w:rFonts w:hint="default"/>
      </w:rPr>
    </w:lvl>
    <w:lvl w:ilvl="4">
      <w:start w:val="0"/>
      <w:numFmt w:val="bullet"/>
      <w:lvlText w:val="•"/>
      <w:lvlJc w:val="left"/>
      <w:pPr>
        <w:ind w:left="3531" w:hanging="721"/>
      </w:pPr>
      <w:rPr>
        <w:rFonts w:hint="default"/>
      </w:rPr>
    </w:lvl>
    <w:lvl w:ilvl="5">
      <w:start w:val="0"/>
      <w:numFmt w:val="bullet"/>
      <w:lvlText w:val="•"/>
      <w:lvlJc w:val="left"/>
      <w:pPr>
        <w:ind w:left="4597" w:hanging="721"/>
      </w:pPr>
      <w:rPr>
        <w:rFonts w:hint="default"/>
      </w:rPr>
    </w:lvl>
    <w:lvl w:ilvl="6">
      <w:start w:val="0"/>
      <w:numFmt w:val="bullet"/>
      <w:lvlText w:val="•"/>
      <w:lvlJc w:val="left"/>
      <w:pPr>
        <w:ind w:left="5663" w:hanging="721"/>
      </w:pPr>
      <w:rPr>
        <w:rFonts w:hint="default"/>
      </w:rPr>
    </w:lvl>
    <w:lvl w:ilvl="7">
      <w:start w:val="0"/>
      <w:numFmt w:val="bullet"/>
      <w:lvlText w:val="•"/>
      <w:lvlJc w:val="left"/>
      <w:pPr>
        <w:ind w:left="6729" w:hanging="721"/>
      </w:pPr>
      <w:rPr>
        <w:rFonts w:hint="default"/>
      </w:rPr>
    </w:lvl>
    <w:lvl w:ilvl="8">
      <w:start w:val="0"/>
      <w:numFmt w:val="bullet"/>
      <w:lvlText w:val="•"/>
      <w:lvlJc w:val="left"/>
      <w:pPr>
        <w:ind w:left="7794" w:hanging="721"/>
      </w:pPr>
      <w:rPr>
        <w:rFonts w:hint="default"/>
      </w:rPr>
    </w:lvl>
  </w:abstractNum>
  <w:abstractNum w:abstractNumId="0">
    <w:multiLevelType w:val="hybridMultilevel"/>
    <w:lvl w:ilvl="0">
      <w:start w:val="0"/>
      <w:numFmt w:val="bullet"/>
      <w:lvlText w:val=""/>
      <w:lvlJc w:val="left"/>
      <w:pPr>
        <w:ind w:left="899" w:hanging="360"/>
      </w:pPr>
      <w:rPr>
        <w:rFonts w:hint="default" w:ascii="Symbol" w:hAnsi="Symbol" w:eastAsia="Symbol" w:cs="Symbol"/>
        <w:w w:val="99"/>
        <w:sz w:val="20"/>
        <w:szCs w:val="20"/>
      </w:rPr>
    </w:lvl>
    <w:lvl w:ilvl="1">
      <w:start w:val="0"/>
      <w:numFmt w:val="bullet"/>
      <w:lvlText w:val="•"/>
      <w:lvlJc w:val="left"/>
      <w:pPr>
        <w:ind w:left="13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179" w:hanging="360"/>
      </w:pPr>
      <w:rPr>
        <w:rFonts w:hint="default"/>
      </w:rPr>
    </w:lvl>
    <w:lvl w:ilvl="4">
      <w:start w:val="0"/>
      <w:numFmt w:val="bullet"/>
      <w:lvlText w:val="•"/>
      <w:lvlJc w:val="left"/>
      <w:pPr>
        <w:ind w:left="2606" w:hanging="360"/>
      </w:pPr>
      <w:rPr>
        <w:rFonts w:hint="default"/>
      </w:rPr>
    </w:lvl>
    <w:lvl w:ilvl="5">
      <w:start w:val="0"/>
      <w:numFmt w:val="bullet"/>
      <w:lvlText w:val="•"/>
      <w:lvlJc w:val="left"/>
      <w:pPr>
        <w:ind w:left="3032" w:hanging="360"/>
      </w:pPr>
      <w:rPr>
        <w:rFonts w:hint="default"/>
      </w:rPr>
    </w:lvl>
    <w:lvl w:ilvl="6">
      <w:start w:val="0"/>
      <w:numFmt w:val="bullet"/>
      <w:lvlText w:val="•"/>
      <w:lvlJc w:val="left"/>
      <w:pPr>
        <w:ind w:left="3459" w:hanging="360"/>
      </w:pPr>
      <w:rPr>
        <w:rFonts w:hint="default"/>
      </w:rPr>
    </w:lvl>
    <w:lvl w:ilvl="7">
      <w:start w:val="0"/>
      <w:numFmt w:val="bullet"/>
      <w:lvlText w:val="•"/>
      <w:lvlJc w:val="left"/>
      <w:pPr>
        <w:ind w:left="3885" w:hanging="360"/>
      </w:pPr>
      <w:rPr>
        <w:rFonts w:hint="default"/>
      </w:rPr>
    </w:lvl>
    <w:lvl w:ilvl="8">
      <w:start w:val="0"/>
      <w:numFmt w:val="bullet"/>
      <w:lvlText w:val="•"/>
      <w:lvlJc w:val="left"/>
      <w:pPr>
        <w:ind w:left="431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18"/>
      <w:ind w:left="316"/>
      <w:outlineLvl w:val="1"/>
    </w:pPr>
    <w:rPr>
      <w:rFonts w:ascii="Arial" w:hAnsi="Arial" w:eastAsia="Arial" w:cs="Arial"/>
      <w:b/>
      <w:bCs/>
      <w:sz w:val="20"/>
      <w:szCs w:val="20"/>
    </w:rPr>
  </w:style>
  <w:style w:styleId="ListParagraph" w:type="paragraph">
    <w:name w:val="List Paragraph"/>
    <w:basedOn w:val="Normal"/>
    <w:uiPriority w:val="1"/>
    <w:qFormat/>
    <w:pPr>
      <w:ind w:left="676" w:hanging="720"/>
    </w:pPr>
    <w:rPr>
      <w:rFonts w:ascii="Arial" w:hAnsi="Arial" w:eastAsia="Arial" w:cs="Arial"/>
    </w:rPr>
  </w:style>
  <w:style w:styleId="TableParagraph" w:type="paragraph">
    <w:name w:val="Table Paragraph"/>
    <w:basedOn w:val="Normal"/>
    <w:uiPriority w:val="1"/>
    <w:qFormat/>
    <w:pPr>
      <w:spacing w:before="32"/>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inutes/2018/rfr-january-2018" TargetMode="External"/><Relationship Id="rId6" Type="http://schemas.openxmlformats.org/officeDocument/2006/relationships/hyperlink" Target="https://www.bankofengland.co.uk/-/media/boe/files/markets/benchmarks/rfr-terms-of-reference.pdf?la=en&amp;hash=8AFDB1E6B8F0353EF38C516B65C5A439E9EFE867" TargetMode="External"/><Relationship Id="rId7" Type="http://schemas.openxmlformats.org/officeDocument/2006/relationships/hyperlink" Target="https://www.bankofengland.co.uk/-/media/boe/files/markets/benchmarks/rfr-pension-funds-and-insurance-companies-sub-group-terms-of-reference.pdf?la=en&amp;hash=D00979F96A60F77571CEA86EFC9E745E06D2EAAA" TargetMode="External"/><Relationship Id="rId8" Type="http://schemas.openxmlformats.org/officeDocument/2006/relationships/hyperlink" Target="http://www.fsb.org/wp-content/uploads/P101017.pdf" TargetMode="External"/><Relationship Id="rId9" Type="http://schemas.openxmlformats.org/officeDocument/2006/relationships/hyperlink" Target="https://ftalphaville.ft.com/2010/03/15/174971/innovating-on-gbp-liquidity-requirement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 - February 2018</dc:title>
  <dcterms:created xsi:type="dcterms:W3CDTF">2020-06-01T02:23:35Z</dcterms:created>
  <dcterms:modified xsi:type="dcterms:W3CDTF">2020-06-01T02:23:35Z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Acrobat PDFMaker 10.1 for Word</vt:lpwstr>
  </property>
  <property fmtid="{D5CDD505-2E9C-101B-9397-08002B2CF9AE}" pid="4" name="LastSaved">
    <vt:filetime>2020-06-01T00:00:00Z</vt:filetime>
  </property>
</Properties>
</file>