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0" w:lineRule="auto" w:before="75"/>
        <w:ind w:left="1584" w:right="1581"/>
        <w:jc w:val="center"/>
      </w:pPr>
      <w:r>
        <w:rPr/>
        <w:t>Minutes of the Working Group on Sterling Risk-Free Reference Rates Thursday 7</w:t>
      </w:r>
      <w:r>
        <w:rPr>
          <w:position w:val="7"/>
          <w:sz w:val="13"/>
        </w:rPr>
        <w:t>th </w:t>
      </w:r>
      <w:r>
        <w:rPr/>
        <w:t>February 2019</w:t>
      </w:r>
    </w:p>
    <w:p>
      <w:pPr>
        <w:spacing w:before="5"/>
        <w:ind w:left="1583" w:right="1581" w:firstLine="0"/>
        <w:jc w:val="center"/>
        <w:rPr>
          <w:b/>
          <w:sz w:val="20"/>
        </w:rPr>
      </w:pPr>
      <w:r>
        <w:rPr>
          <w:b/>
          <w:sz w:val="20"/>
        </w:rPr>
        <w:t>Barclays, 1 Churchill Place, Canary Wharf, London E14 5HP</w:t>
      </w:r>
    </w:p>
    <w:p>
      <w:pPr>
        <w:pStyle w:val="BodyText"/>
        <w:spacing w:before="8"/>
        <w:ind w:left="0" w:firstLine="0"/>
        <w:rPr>
          <w:b/>
          <w:sz w:val="22"/>
        </w:rPr>
      </w:pPr>
    </w:p>
    <w:p>
      <w:pPr>
        <w:spacing w:before="94"/>
        <w:ind w:left="115" w:right="0" w:firstLine="0"/>
        <w:jc w:val="left"/>
        <w:rPr>
          <w:b/>
          <w:sz w:val="20"/>
        </w:rPr>
      </w:pPr>
      <w:r>
        <w:rPr>
          <w:b/>
          <w:sz w:val="20"/>
        </w:rPr>
        <w:t>Agenda</w:t>
      </w:r>
    </w:p>
    <w:p>
      <w:pPr>
        <w:pStyle w:val="BodyText"/>
        <w:spacing w:before="9"/>
        <w:ind w:left="0" w:firstLine="0"/>
        <w:rPr>
          <w:b/>
          <w:sz w:val="30"/>
        </w:rPr>
      </w:pPr>
    </w:p>
    <w:p>
      <w:pPr>
        <w:pStyle w:val="ListParagraph"/>
        <w:numPr>
          <w:ilvl w:val="0"/>
          <w:numId w:val="1"/>
        </w:numPr>
        <w:tabs>
          <w:tab w:pos="836" w:val="left" w:leader="none"/>
        </w:tabs>
        <w:spacing w:line="240" w:lineRule="auto" w:before="0" w:after="0"/>
        <w:ind w:left="835" w:right="0" w:hanging="361"/>
        <w:jc w:val="left"/>
        <w:rPr>
          <w:sz w:val="20"/>
        </w:rPr>
      </w:pPr>
      <w:r>
        <w:rPr>
          <w:sz w:val="20"/>
        </w:rPr>
        <w:t>Welcome &amp;</w:t>
      </w:r>
      <w:r>
        <w:rPr>
          <w:spacing w:val="-1"/>
          <w:sz w:val="20"/>
        </w:rPr>
        <w:t> </w:t>
      </w:r>
      <w:r>
        <w:rPr>
          <w:sz w:val="20"/>
        </w:rPr>
        <w:t>introductions</w:t>
      </w:r>
    </w:p>
    <w:p>
      <w:pPr>
        <w:pStyle w:val="ListParagraph"/>
        <w:numPr>
          <w:ilvl w:val="0"/>
          <w:numId w:val="1"/>
        </w:numPr>
        <w:tabs>
          <w:tab w:pos="836" w:val="left" w:leader="none"/>
        </w:tabs>
        <w:spacing w:line="240" w:lineRule="auto" w:before="115" w:after="0"/>
        <w:ind w:left="835" w:right="0" w:hanging="361"/>
        <w:jc w:val="left"/>
        <w:rPr>
          <w:sz w:val="20"/>
        </w:rPr>
      </w:pPr>
      <w:r>
        <w:rPr>
          <w:sz w:val="20"/>
        </w:rPr>
        <w:t>Competition law</w:t>
      </w:r>
      <w:r>
        <w:rPr>
          <w:spacing w:val="-2"/>
          <w:sz w:val="20"/>
        </w:rPr>
        <w:t> </w:t>
      </w:r>
      <w:r>
        <w:rPr>
          <w:sz w:val="20"/>
        </w:rPr>
        <w:t>reminder</w:t>
      </w:r>
    </w:p>
    <w:p>
      <w:pPr>
        <w:pStyle w:val="ListParagraph"/>
        <w:numPr>
          <w:ilvl w:val="0"/>
          <w:numId w:val="1"/>
        </w:numPr>
        <w:tabs>
          <w:tab w:pos="836" w:val="left" w:leader="none"/>
        </w:tabs>
        <w:spacing w:line="240" w:lineRule="auto" w:before="115" w:after="0"/>
        <w:ind w:left="835" w:right="0" w:hanging="361"/>
        <w:jc w:val="left"/>
        <w:rPr>
          <w:sz w:val="20"/>
        </w:rPr>
      </w:pPr>
      <w:r>
        <w:rPr>
          <w:sz w:val="20"/>
        </w:rPr>
        <w:t>Minutes of previous</w:t>
      </w:r>
      <w:r>
        <w:rPr>
          <w:spacing w:val="-4"/>
          <w:sz w:val="20"/>
        </w:rPr>
        <w:t> </w:t>
      </w:r>
      <w:r>
        <w:rPr>
          <w:sz w:val="20"/>
        </w:rPr>
        <w:t>meeting</w:t>
      </w:r>
    </w:p>
    <w:p>
      <w:pPr>
        <w:pStyle w:val="ListParagraph"/>
        <w:numPr>
          <w:ilvl w:val="0"/>
          <w:numId w:val="1"/>
        </w:numPr>
        <w:tabs>
          <w:tab w:pos="836" w:val="left" w:leader="none"/>
        </w:tabs>
        <w:spacing w:line="240" w:lineRule="auto" w:before="115" w:after="0"/>
        <w:ind w:left="835" w:right="0" w:hanging="361"/>
        <w:jc w:val="left"/>
        <w:rPr>
          <w:sz w:val="20"/>
        </w:rPr>
      </w:pPr>
      <w:r>
        <w:rPr>
          <w:sz w:val="20"/>
        </w:rPr>
        <w:t>Working Group strategy and sub-group</w:t>
      </w:r>
      <w:r>
        <w:rPr>
          <w:spacing w:val="-3"/>
          <w:sz w:val="20"/>
        </w:rPr>
        <w:t> </w:t>
      </w:r>
      <w:r>
        <w:rPr>
          <w:sz w:val="20"/>
        </w:rPr>
        <w:t>structure</w:t>
      </w:r>
    </w:p>
    <w:p>
      <w:pPr>
        <w:pStyle w:val="ListParagraph"/>
        <w:numPr>
          <w:ilvl w:val="0"/>
          <w:numId w:val="1"/>
        </w:numPr>
        <w:tabs>
          <w:tab w:pos="836" w:val="left" w:leader="none"/>
        </w:tabs>
        <w:spacing w:line="240" w:lineRule="auto" w:before="114" w:after="0"/>
        <w:ind w:left="835" w:right="0" w:hanging="361"/>
        <w:jc w:val="left"/>
        <w:rPr>
          <w:sz w:val="20"/>
        </w:rPr>
      </w:pPr>
      <w:r>
        <w:rPr>
          <w:sz w:val="20"/>
        </w:rPr>
        <w:t>Infrastructure</w:t>
      </w:r>
      <w:r>
        <w:rPr>
          <w:spacing w:val="-3"/>
          <w:sz w:val="20"/>
        </w:rPr>
        <w:t> </w:t>
      </w:r>
      <w:r>
        <w:rPr>
          <w:sz w:val="20"/>
        </w:rPr>
        <w:t>Forum</w:t>
      </w:r>
    </w:p>
    <w:p>
      <w:pPr>
        <w:pStyle w:val="ListParagraph"/>
        <w:numPr>
          <w:ilvl w:val="0"/>
          <w:numId w:val="1"/>
        </w:numPr>
        <w:tabs>
          <w:tab w:pos="836" w:val="left" w:leader="none"/>
        </w:tabs>
        <w:spacing w:line="240" w:lineRule="auto" w:before="116" w:after="0"/>
        <w:ind w:left="835" w:right="0" w:hanging="361"/>
        <w:jc w:val="left"/>
        <w:rPr>
          <w:sz w:val="20"/>
        </w:rPr>
      </w:pPr>
      <w:r>
        <w:rPr>
          <w:sz w:val="20"/>
        </w:rPr>
        <w:t>Task Force on</w:t>
      </w:r>
      <w:r>
        <w:rPr>
          <w:spacing w:val="-3"/>
          <w:sz w:val="20"/>
        </w:rPr>
        <w:t> </w:t>
      </w:r>
      <w:r>
        <w:rPr>
          <w:sz w:val="20"/>
        </w:rPr>
        <w:t>Conventions</w:t>
      </w:r>
    </w:p>
    <w:p>
      <w:pPr>
        <w:pStyle w:val="ListParagraph"/>
        <w:numPr>
          <w:ilvl w:val="0"/>
          <w:numId w:val="1"/>
        </w:numPr>
        <w:tabs>
          <w:tab w:pos="836" w:val="left" w:leader="none"/>
        </w:tabs>
        <w:spacing w:line="240" w:lineRule="auto" w:before="114" w:after="0"/>
        <w:ind w:left="835" w:right="0" w:hanging="361"/>
        <w:jc w:val="left"/>
        <w:rPr>
          <w:sz w:val="20"/>
        </w:rPr>
      </w:pPr>
      <w:r>
        <w:rPr>
          <w:sz w:val="20"/>
        </w:rPr>
        <w:t>Letter to</w:t>
      </w:r>
      <w:r>
        <w:rPr>
          <w:spacing w:val="-3"/>
          <w:sz w:val="20"/>
        </w:rPr>
        <w:t> </w:t>
      </w:r>
      <w:r>
        <w:rPr>
          <w:sz w:val="20"/>
        </w:rPr>
        <w:t>IASB</w:t>
      </w:r>
    </w:p>
    <w:p>
      <w:pPr>
        <w:pStyle w:val="ListParagraph"/>
        <w:numPr>
          <w:ilvl w:val="0"/>
          <w:numId w:val="1"/>
        </w:numPr>
        <w:tabs>
          <w:tab w:pos="836" w:val="left" w:leader="none"/>
        </w:tabs>
        <w:spacing w:line="240" w:lineRule="auto" w:before="116" w:after="0"/>
        <w:ind w:left="835" w:right="0" w:hanging="361"/>
        <w:jc w:val="left"/>
        <w:rPr>
          <w:sz w:val="20"/>
        </w:rPr>
      </w:pPr>
      <w:r>
        <w:rPr>
          <w:sz w:val="20"/>
        </w:rPr>
        <w:t>Proposal for consultation on adjustment spread for cash</w:t>
      </w:r>
      <w:r>
        <w:rPr>
          <w:spacing w:val="-5"/>
          <w:sz w:val="20"/>
        </w:rPr>
        <w:t> </w:t>
      </w:r>
      <w:r>
        <w:rPr>
          <w:sz w:val="20"/>
        </w:rPr>
        <w:t>products</w:t>
      </w:r>
    </w:p>
    <w:p>
      <w:pPr>
        <w:pStyle w:val="ListParagraph"/>
        <w:numPr>
          <w:ilvl w:val="0"/>
          <w:numId w:val="1"/>
        </w:numPr>
        <w:tabs>
          <w:tab w:pos="836" w:val="left" w:leader="none"/>
        </w:tabs>
        <w:spacing w:line="240" w:lineRule="auto" w:before="114" w:after="0"/>
        <w:ind w:left="835" w:right="0" w:hanging="361"/>
        <w:jc w:val="left"/>
        <w:rPr>
          <w:sz w:val="20"/>
        </w:rPr>
      </w:pPr>
      <w:r>
        <w:rPr>
          <w:sz w:val="20"/>
        </w:rPr>
        <w:t>Update from</w:t>
      </w:r>
      <w:r>
        <w:rPr>
          <w:spacing w:val="-3"/>
          <w:sz w:val="20"/>
        </w:rPr>
        <w:t> </w:t>
      </w:r>
      <w:r>
        <w:rPr>
          <w:sz w:val="20"/>
        </w:rPr>
        <w:t>sub-groups</w:t>
      </w:r>
    </w:p>
    <w:p>
      <w:pPr>
        <w:pStyle w:val="ListParagraph"/>
        <w:numPr>
          <w:ilvl w:val="0"/>
          <w:numId w:val="1"/>
        </w:numPr>
        <w:tabs>
          <w:tab w:pos="836" w:val="left" w:leader="none"/>
        </w:tabs>
        <w:spacing w:line="240" w:lineRule="auto" w:before="116" w:after="0"/>
        <w:ind w:left="835" w:right="0" w:hanging="361"/>
        <w:jc w:val="left"/>
        <w:rPr>
          <w:sz w:val="20"/>
        </w:rPr>
      </w:pPr>
      <w:r>
        <w:rPr>
          <w:sz w:val="20"/>
        </w:rPr>
        <w:t>AOB</w:t>
      </w:r>
    </w:p>
    <w:p>
      <w:pPr>
        <w:pStyle w:val="BodyText"/>
        <w:spacing w:before="5"/>
        <w:ind w:left="0" w:firstLine="0"/>
      </w:pPr>
    </w:p>
    <w:p>
      <w:pPr>
        <w:pStyle w:val="Heading1"/>
        <w:spacing w:before="0"/>
      </w:pPr>
      <w:r>
        <w:rPr/>
        <w:t>Welcome, Competition Law Reminder and Previous Meeting’s Minutes</w:t>
      </w:r>
    </w:p>
    <w:p>
      <w:pPr>
        <w:pStyle w:val="BodyText"/>
        <w:spacing w:before="5"/>
        <w:ind w:left="0" w:firstLine="0"/>
        <w:rPr>
          <w:b/>
        </w:rPr>
      </w:pPr>
    </w:p>
    <w:p>
      <w:pPr>
        <w:pStyle w:val="ListParagraph"/>
        <w:numPr>
          <w:ilvl w:val="0"/>
          <w:numId w:val="2"/>
        </w:numPr>
        <w:tabs>
          <w:tab w:pos="476" w:val="left" w:leader="none"/>
        </w:tabs>
        <w:spacing w:line="360" w:lineRule="auto" w:before="0" w:after="0"/>
        <w:ind w:left="475" w:right="110" w:hanging="360"/>
        <w:jc w:val="both"/>
        <w:rPr>
          <w:sz w:val="20"/>
        </w:rPr>
      </w:pPr>
      <w:r>
        <w:rPr>
          <w:sz w:val="20"/>
        </w:rPr>
        <w:t>The Chair welcomed attendees to the first meeting of the RFRWG in 2019, and reminded them of their responsibilities in relation to competition law and the importance of taking their own independent advice from the legal and/or compliance teams at their respective</w:t>
      </w:r>
      <w:r>
        <w:rPr>
          <w:spacing w:val="-13"/>
          <w:sz w:val="20"/>
        </w:rPr>
        <w:t> </w:t>
      </w:r>
      <w:r>
        <w:rPr>
          <w:sz w:val="20"/>
        </w:rPr>
        <w:t>institutions.</w:t>
      </w:r>
    </w:p>
    <w:p>
      <w:pPr>
        <w:pStyle w:val="ListParagraph"/>
        <w:numPr>
          <w:ilvl w:val="0"/>
          <w:numId w:val="2"/>
        </w:numPr>
        <w:tabs>
          <w:tab w:pos="476" w:val="left" w:leader="none"/>
        </w:tabs>
        <w:spacing w:line="240" w:lineRule="auto" w:before="119" w:after="0"/>
        <w:ind w:left="475" w:right="0" w:hanging="361"/>
        <w:jc w:val="both"/>
        <w:rPr>
          <w:sz w:val="20"/>
        </w:rPr>
      </w:pPr>
      <w:r>
        <w:rPr>
          <w:sz w:val="20"/>
        </w:rPr>
        <w:t>The minutes of the previous meeting were discussed and approved by the RFRWG</w:t>
      </w:r>
      <w:r>
        <w:rPr>
          <w:spacing w:val="-25"/>
          <w:sz w:val="20"/>
        </w:rPr>
        <w:t> </w:t>
      </w:r>
      <w:r>
        <w:rPr>
          <w:sz w:val="20"/>
        </w:rPr>
        <w:t>members.</w:t>
      </w:r>
    </w:p>
    <w:p>
      <w:pPr>
        <w:pStyle w:val="BodyText"/>
        <w:spacing w:before="7"/>
        <w:ind w:left="0" w:firstLine="0"/>
      </w:pPr>
    </w:p>
    <w:p>
      <w:pPr>
        <w:pStyle w:val="Heading1"/>
        <w:spacing w:before="0"/>
      </w:pPr>
      <w:r>
        <w:rPr/>
        <w:t>Working Group strategy and sub-group structure</w:t>
      </w:r>
    </w:p>
    <w:p>
      <w:pPr>
        <w:pStyle w:val="BodyText"/>
        <w:spacing w:before="3"/>
        <w:ind w:left="0" w:firstLine="0"/>
        <w:rPr>
          <w:b/>
        </w:rPr>
      </w:pPr>
    </w:p>
    <w:p>
      <w:pPr>
        <w:pStyle w:val="ListParagraph"/>
        <w:numPr>
          <w:ilvl w:val="0"/>
          <w:numId w:val="2"/>
        </w:numPr>
        <w:tabs>
          <w:tab w:pos="476" w:val="left" w:leader="none"/>
        </w:tabs>
        <w:spacing w:line="360" w:lineRule="auto" w:before="0" w:after="0"/>
        <w:ind w:left="475" w:right="109" w:hanging="360"/>
        <w:jc w:val="both"/>
        <w:rPr>
          <w:sz w:val="20"/>
        </w:rPr>
      </w:pPr>
      <w:r>
        <w:rPr>
          <w:sz w:val="20"/>
        </w:rPr>
        <w:t>The Chair emphasised the importance of 2019 as a key year for meaningful transition from LIBOR to SONIA reference rates, and introduced a draft project plan for the RFRWG to consider.  The plan had  a proposed set of priority task forces, proposals on governance, and a high level</w:t>
      </w:r>
      <w:r>
        <w:rPr>
          <w:spacing w:val="-31"/>
          <w:sz w:val="20"/>
        </w:rPr>
        <w:t> </w:t>
      </w:r>
      <w:r>
        <w:rPr>
          <w:sz w:val="20"/>
        </w:rPr>
        <w:t>roadmap.</w:t>
      </w:r>
    </w:p>
    <w:p>
      <w:pPr>
        <w:pStyle w:val="ListParagraph"/>
        <w:numPr>
          <w:ilvl w:val="0"/>
          <w:numId w:val="2"/>
        </w:numPr>
        <w:tabs>
          <w:tab w:pos="476" w:val="left" w:leader="none"/>
        </w:tabs>
        <w:spacing w:line="240" w:lineRule="auto" w:before="121" w:after="0"/>
        <w:ind w:left="475" w:right="0" w:hanging="361"/>
        <w:jc w:val="both"/>
        <w:rPr>
          <w:sz w:val="20"/>
        </w:rPr>
      </w:pPr>
      <w:r>
        <w:rPr>
          <w:sz w:val="20"/>
        </w:rPr>
        <w:t>The identified priorities were as</w:t>
      </w:r>
      <w:r>
        <w:rPr>
          <w:spacing w:val="-7"/>
          <w:sz w:val="20"/>
        </w:rPr>
        <w:t> </w:t>
      </w:r>
      <w:r>
        <w:rPr>
          <w:sz w:val="20"/>
        </w:rPr>
        <w:t>follows:</w:t>
      </w:r>
    </w:p>
    <w:p>
      <w:pPr>
        <w:pStyle w:val="BodyText"/>
        <w:spacing w:before="4"/>
        <w:ind w:left="0" w:firstLine="0"/>
      </w:pPr>
    </w:p>
    <w:p>
      <w:pPr>
        <w:pStyle w:val="ListParagraph"/>
        <w:numPr>
          <w:ilvl w:val="1"/>
          <w:numId w:val="2"/>
        </w:numPr>
        <w:tabs>
          <w:tab w:pos="1196" w:val="left" w:leader="none"/>
        </w:tabs>
        <w:spacing w:line="360" w:lineRule="auto" w:before="1" w:after="0"/>
        <w:ind w:left="1195" w:right="109" w:hanging="360"/>
        <w:jc w:val="both"/>
        <w:rPr>
          <w:sz w:val="20"/>
        </w:rPr>
      </w:pPr>
      <w:r>
        <w:rPr>
          <w:i/>
          <w:sz w:val="20"/>
        </w:rPr>
        <w:t>Term SONIA reference rates (TSRR): </w:t>
      </w:r>
      <w:r>
        <w:rPr>
          <w:sz w:val="20"/>
        </w:rPr>
        <w:t>It was acknowledged that much progress had been made to date on TSRR. As a priority the RFRWG should now finalise work by taking actions to help determine the applicability of TSRR for specific market segments and</w:t>
      </w:r>
      <w:r>
        <w:rPr>
          <w:spacing w:val="-20"/>
          <w:sz w:val="20"/>
        </w:rPr>
        <w:t> </w:t>
      </w:r>
      <w:r>
        <w:rPr>
          <w:sz w:val="20"/>
        </w:rPr>
        <w:t>end-users.</w:t>
      </w:r>
    </w:p>
    <w:p>
      <w:pPr>
        <w:pStyle w:val="ListParagraph"/>
        <w:numPr>
          <w:ilvl w:val="1"/>
          <w:numId w:val="2"/>
        </w:numPr>
        <w:tabs>
          <w:tab w:pos="1196" w:val="left" w:leader="none"/>
        </w:tabs>
        <w:spacing w:line="360" w:lineRule="auto" w:before="120" w:after="0"/>
        <w:ind w:left="1195" w:right="111" w:hanging="360"/>
        <w:jc w:val="both"/>
        <w:rPr>
          <w:sz w:val="20"/>
        </w:rPr>
      </w:pPr>
      <w:r>
        <w:rPr>
          <w:i/>
          <w:sz w:val="20"/>
        </w:rPr>
        <w:t>Critical infrastructure: </w:t>
      </w:r>
      <w:r>
        <w:rPr>
          <w:sz w:val="20"/>
        </w:rPr>
        <w:t>Whilst some aspects of infrastructure are internal considerations for market participants, it is important that the RFRWG now takes actions to provide appropriate clarity for external infrastructure providers, to aid them in defining and beginning critical build activity. This would establish a suitable position to support further migration into</w:t>
      </w:r>
      <w:r>
        <w:rPr>
          <w:spacing w:val="-36"/>
          <w:sz w:val="20"/>
        </w:rPr>
        <w:t> </w:t>
      </w:r>
      <w:r>
        <w:rPr>
          <w:sz w:val="20"/>
        </w:rPr>
        <w:t>2020.</w:t>
      </w:r>
    </w:p>
    <w:p>
      <w:pPr>
        <w:pStyle w:val="ListParagraph"/>
        <w:numPr>
          <w:ilvl w:val="1"/>
          <w:numId w:val="2"/>
        </w:numPr>
        <w:tabs>
          <w:tab w:pos="1196" w:val="left" w:leader="none"/>
        </w:tabs>
        <w:spacing w:line="360" w:lineRule="auto" w:before="119" w:after="0"/>
        <w:ind w:left="1195" w:right="109" w:hanging="360"/>
        <w:jc w:val="both"/>
        <w:rPr>
          <w:sz w:val="20"/>
        </w:rPr>
      </w:pPr>
      <w:r>
        <w:rPr>
          <w:i/>
          <w:sz w:val="20"/>
        </w:rPr>
        <w:t>Key enabling building blocks: </w:t>
      </w:r>
      <w:r>
        <w:rPr>
          <w:sz w:val="20"/>
        </w:rPr>
        <w:t>A non-exhaustive list had been identified including fallbacks, regulatory and accounting treatments, and routes for existing contract</w:t>
      </w:r>
      <w:r>
        <w:rPr>
          <w:spacing w:val="-17"/>
          <w:sz w:val="20"/>
        </w:rPr>
        <w:t> </w:t>
      </w:r>
      <w:r>
        <w:rPr>
          <w:sz w:val="20"/>
        </w:rPr>
        <w:t>conversion.</w:t>
      </w:r>
    </w:p>
    <w:p>
      <w:pPr>
        <w:pStyle w:val="ListParagraph"/>
        <w:numPr>
          <w:ilvl w:val="1"/>
          <w:numId w:val="2"/>
        </w:numPr>
        <w:tabs>
          <w:tab w:pos="1196" w:val="left" w:leader="none"/>
        </w:tabs>
        <w:spacing w:line="360" w:lineRule="auto" w:before="120" w:after="0"/>
        <w:ind w:left="1195" w:right="110" w:hanging="360"/>
        <w:jc w:val="both"/>
        <w:rPr>
          <w:sz w:val="20"/>
        </w:rPr>
      </w:pPr>
      <w:r>
        <w:rPr>
          <w:i/>
          <w:sz w:val="20"/>
        </w:rPr>
        <w:t>Communication and awareness: </w:t>
      </w:r>
      <w:r>
        <w:rPr>
          <w:sz w:val="20"/>
        </w:rPr>
        <w:t>It was necessary for the RFRWG to more extensively reach out to the broader community of market participants who, in turn, could then make use of broader channels to propagate effective client</w:t>
      </w:r>
      <w:r>
        <w:rPr>
          <w:spacing w:val="-6"/>
          <w:sz w:val="20"/>
        </w:rPr>
        <w:t> </w:t>
      </w:r>
      <w:r>
        <w:rPr>
          <w:sz w:val="20"/>
        </w:rPr>
        <w:t>outreach.</w:t>
      </w:r>
    </w:p>
    <w:p>
      <w:pPr>
        <w:spacing w:after="0" w:line="360" w:lineRule="auto"/>
        <w:jc w:val="both"/>
        <w:rPr>
          <w:sz w:val="20"/>
        </w:rPr>
        <w:sectPr>
          <w:footerReference w:type="default" r:id="rId5"/>
          <w:type w:val="continuous"/>
          <w:pgSz w:w="11910" w:h="16840"/>
          <w:pgMar w:footer="719" w:top="1200" w:bottom="900" w:left="1160" w:right="1020"/>
          <w:pgNumType w:start="3"/>
        </w:sectPr>
      </w:pPr>
    </w:p>
    <w:p>
      <w:pPr>
        <w:pStyle w:val="ListParagraph"/>
        <w:numPr>
          <w:ilvl w:val="1"/>
          <w:numId w:val="2"/>
        </w:numPr>
        <w:tabs>
          <w:tab w:pos="1196" w:val="left" w:leader="none"/>
        </w:tabs>
        <w:spacing w:line="360" w:lineRule="auto" w:before="72" w:after="0"/>
        <w:ind w:left="1195" w:right="109" w:hanging="360"/>
        <w:jc w:val="both"/>
        <w:rPr>
          <w:sz w:val="20"/>
        </w:rPr>
      </w:pPr>
      <w:r>
        <w:rPr>
          <w:i/>
          <w:sz w:val="20"/>
        </w:rPr>
        <w:t>Cross-jurisdiction co-ordination: </w:t>
      </w:r>
      <w:r>
        <w:rPr>
          <w:sz w:val="20"/>
        </w:rPr>
        <w:t>The RFRWG needed to proactively engage with working groups and official sector bodies in other jurisdictions on transition work to enhance co- ordination and</w:t>
      </w:r>
      <w:r>
        <w:rPr>
          <w:spacing w:val="-1"/>
          <w:sz w:val="20"/>
        </w:rPr>
        <w:t> </w:t>
      </w:r>
      <w:r>
        <w:rPr>
          <w:sz w:val="20"/>
        </w:rPr>
        <w:t>consistency.</w:t>
      </w:r>
    </w:p>
    <w:p>
      <w:pPr>
        <w:pStyle w:val="ListParagraph"/>
        <w:numPr>
          <w:ilvl w:val="0"/>
          <w:numId w:val="2"/>
        </w:numPr>
        <w:tabs>
          <w:tab w:pos="476" w:val="left" w:leader="none"/>
        </w:tabs>
        <w:spacing w:line="360" w:lineRule="auto" w:before="121" w:after="0"/>
        <w:ind w:left="475" w:right="109" w:hanging="360"/>
        <w:jc w:val="both"/>
        <w:rPr>
          <w:sz w:val="20"/>
        </w:rPr>
      </w:pPr>
      <w:r>
        <w:rPr>
          <w:sz w:val="20"/>
        </w:rPr>
        <w:t>The Chair then explained he was keen that the RFRWG governance structure should evolve to reflect that transition work has entered into an implementation</w:t>
      </w:r>
      <w:r>
        <w:rPr>
          <w:spacing w:val="-9"/>
          <w:sz w:val="20"/>
        </w:rPr>
        <w:t> </w:t>
      </w:r>
      <w:r>
        <w:rPr>
          <w:sz w:val="20"/>
        </w:rPr>
        <w:t>stage:</w:t>
      </w:r>
    </w:p>
    <w:p>
      <w:pPr>
        <w:pStyle w:val="ListParagraph"/>
        <w:numPr>
          <w:ilvl w:val="1"/>
          <w:numId w:val="2"/>
        </w:numPr>
        <w:tabs>
          <w:tab w:pos="1196" w:val="left" w:leader="none"/>
        </w:tabs>
        <w:spacing w:line="360" w:lineRule="auto" w:before="120" w:after="0"/>
        <w:ind w:left="1195" w:right="110" w:hanging="360"/>
        <w:jc w:val="both"/>
        <w:rPr>
          <w:sz w:val="20"/>
        </w:rPr>
      </w:pPr>
      <w:r>
        <w:rPr>
          <w:i/>
          <w:sz w:val="20"/>
        </w:rPr>
        <w:t>Task Forces: </w:t>
      </w:r>
      <w:r>
        <w:rPr>
          <w:sz w:val="20"/>
        </w:rPr>
        <w:t>The Task Forces are intended to be created for specific deliverables and then disbanded once the action is complete. Three had been identified so far but more were likely  to be required going forward: (i) Term Rate; (ii) Regulatory Dependencies; and (iii) Accounting Treatment.</w:t>
      </w:r>
    </w:p>
    <w:p>
      <w:pPr>
        <w:pStyle w:val="ListParagraph"/>
        <w:numPr>
          <w:ilvl w:val="1"/>
          <w:numId w:val="2"/>
        </w:numPr>
        <w:tabs>
          <w:tab w:pos="1196" w:val="left" w:leader="none"/>
        </w:tabs>
        <w:spacing w:line="360" w:lineRule="auto" w:before="120" w:after="0"/>
        <w:ind w:left="1195" w:right="111" w:hanging="360"/>
        <w:jc w:val="both"/>
        <w:rPr>
          <w:sz w:val="20"/>
        </w:rPr>
      </w:pPr>
      <w:r>
        <w:rPr>
          <w:i/>
          <w:sz w:val="20"/>
        </w:rPr>
        <w:t>Senior sponsorship group: </w:t>
      </w:r>
      <w:r>
        <w:rPr>
          <w:sz w:val="20"/>
        </w:rPr>
        <w:t>This would be a new group of senior level sponsors to support the successful delivery of the transition. Further work would take place during Q2 2019  to establish this</w:t>
      </w:r>
      <w:r>
        <w:rPr>
          <w:spacing w:val="-2"/>
          <w:sz w:val="20"/>
        </w:rPr>
        <w:t> </w:t>
      </w:r>
      <w:r>
        <w:rPr>
          <w:sz w:val="20"/>
        </w:rPr>
        <w:t>group.</w:t>
      </w:r>
    </w:p>
    <w:p>
      <w:pPr>
        <w:pStyle w:val="ListParagraph"/>
        <w:numPr>
          <w:ilvl w:val="0"/>
          <w:numId w:val="2"/>
        </w:numPr>
        <w:tabs>
          <w:tab w:pos="476" w:val="left" w:leader="none"/>
        </w:tabs>
        <w:spacing w:line="360" w:lineRule="auto" w:before="120" w:after="0"/>
        <w:ind w:left="475" w:right="110" w:hanging="360"/>
        <w:jc w:val="both"/>
        <w:rPr>
          <w:sz w:val="20"/>
        </w:rPr>
      </w:pPr>
      <w:r>
        <w:rPr>
          <w:sz w:val="20"/>
        </w:rPr>
        <w:t>Lastly, the Chair introduced a draft high level roadmap summarising the upcoming goals for the RFRWG. This linked to the task forces and would be used to manage expectations and generate momentum for the RFRWG. As a live document it would be subject to change and</w:t>
      </w:r>
      <w:r>
        <w:rPr>
          <w:spacing w:val="-27"/>
          <w:sz w:val="20"/>
        </w:rPr>
        <w:t> </w:t>
      </w:r>
      <w:r>
        <w:rPr>
          <w:sz w:val="20"/>
        </w:rPr>
        <w:t>updates.</w:t>
      </w:r>
    </w:p>
    <w:p>
      <w:pPr>
        <w:pStyle w:val="ListParagraph"/>
        <w:numPr>
          <w:ilvl w:val="0"/>
          <w:numId w:val="2"/>
        </w:numPr>
        <w:tabs>
          <w:tab w:pos="476" w:val="left" w:leader="none"/>
        </w:tabs>
        <w:spacing w:line="360" w:lineRule="auto" w:before="119" w:after="0"/>
        <w:ind w:left="475" w:right="110" w:hanging="360"/>
        <w:jc w:val="both"/>
        <w:rPr>
          <w:sz w:val="20"/>
        </w:rPr>
      </w:pPr>
      <w:r>
        <w:rPr>
          <w:sz w:val="20"/>
        </w:rPr>
        <w:t>Some members asked about the relationship between task forces and the existing sub-groups. It was explained that the task forces would not be replacing sub-groups. They would co-exist but a sub-group could have a longer duration. Taking forward TSRR work in particular with a task force would be an immediate step. One member commented that the RFR Secretariat should perhaps revise the organisational charts for the</w:t>
      </w:r>
      <w:r>
        <w:rPr>
          <w:spacing w:val="-4"/>
          <w:sz w:val="20"/>
        </w:rPr>
        <w:t> </w:t>
      </w:r>
      <w:r>
        <w:rPr>
          <w:sz w:val="20"/>
        </w:rPr>
        <w:t>RFRWG.</w:t>
      </w:r>
    </w:p>
    <w:p>
      <w:pPr>
        <w:pStyle w:val="ListParagraph"/>
        <w:numPr>
          <w:ilvl w:val="0"/>
          <w:numId w:val="2"/>
        </w:numPr>
        <w:tabs>
          <w:tab w:pos="476" w:val="left" w:leader="none"/>
        </w:tabs>
        <w:spacing w:line="360" w:lineRule="auto" w:before="121" w:after="0"/>
        <w:ind w:left="475" w:right="110" w:hanging="360"/>
        <w:jc w:val="both"/>
        <w:rPr>
          <w:sz w:val="20"/>
        </w:rPr>
      </w:pPr>
      <w:r>
        <w:rPr>
          <w:sz w:val="20"/>
        </w:rPr>
        <w:t>Members also discussed the international linkages that could be made to achieve global co-ordination. Some aspects of transition like accounting and infrastructure would naturally benefit from taking an international approach, whilst others like communication and outreach would be complex to implement. The RFRWG agreed to focus on setting up the new groups first, and broker global co-ordination as a next step, The FCA was supportive of the RFRWG considering an international</w:t>
      </w:r>
      <w:r>
        <w:rPr>
          <w:spacing w:val="-20"/>
          <w:sz w:val="20"/>
        </w:rPr>
        <w:t> </w:t>
      </w:r>
      <w:r>
        <w:rPr>
          <w:sz w:val="20"/>
        </w:rPr>
        <w:t>approach.</w:t>
      </w:r>
    </w:p>
    <w:p>
      <w:pPr>
        <w:pStyle w:val="ListParagraph"/>
        <w:numPr>
          <w:ilvl w:val="0"/>
          <w:numId w:val="2"/>
        </w:numPr>
        <w:tabs>
          <w:tab w:pos="476" w:val="left" w:leader="none"/>
        </w:tabs>
        <w:spacing w:line="360" w:lineRule="auto" w:before="120" w:after="0"/>
        <w:ind w:left="475" w:right="110" w:hanging="360"/>
        <w:jc w:val="both"/>
        <w:rPr>
          <w:sz w:val="20"/>
        </w:rPr>
      </w:pPr>
      <w:r>
        <w:rPr>
          <w:sz w:val="20"/>
        </w:rPr>
        <w:t>In relation to the draft high level roadmap, one member commented on the need for an ecosystem for delta one products, and that this reference should be made around Q3/4 of the roadmap in order to facilitate their migration. Another member asked if the roadmap would be eventually publicised. It was confirmed that this would be the case after an agreed version was established by the</w:t>
      </w:r>
      <w:r>
        <w:rPr>
          <w:spacing w:val="-35"/>
          <w:sz w:val="20"/>
        </w:rPr>
        <w:t> </w:t>
      </w:r>
      <w:r>
        <w:rPr>
          <w:sz w:val="20"/>
        </w:rPr>
        <w:t>RFRWG.</w:t>
      </w:r>
    </w:p>
    <w:p>
      <w:pPr>
        <w:pStyle w:val="ListParagraph"/>
        <w:numPr>
          <w:ilvl w:val="0"/>
          <w:numId w:val="2"/>
        </w:numPr>
        <w:tabs>
          <w:tab w:pos="476" w:val="left" w:leader="none"/>
        </w:tabs>
        <w:spacing w:line="360" w:lineRule="auto" w:before="120" w:after="0"/>
        <w:ind w:left="475" w:right="110" w:hanging="360"/>
        <w:jc w:val="both"/>
        <w:rPr>
          <w:sz w:val="20"/>
        </w:rPr>
      </w:pPr>
      <w:r>
        <w:rPr>
          <w:sz w:val="20"/>
        </w:rPr>
        <w:t>One member commented that there appeared to be a shift in approach for the RFRWG to take a more directive role. The Chair explained that the RFRWG should work to generate momentum and delivery of the 2019 outcomes, but it would respect what could and could not be achieved with the</w:t>
      </w:r>
      <w:r>
        <w:rPr>
          <w:spacing w:val="-35"/>
          <w:sz w:val="20"/>
        </w:rPr>
        <w:t> </w:t>
      </w:r>
      <w:r>
        <w:rPr>
          <w:sz w:val="20"/>
        </w:rPr>
        <w:t>market.</w:t>
      </w:r>
    </w:p>
    <w:p>
      <w:pPr>
        <w:pStyle w:val="ListParagraph"/>
        <w:numPr>
          <w:ilvl w:val="0"/>
          <w:numId w:val="2"/>
        </w:numPr>
        <w:tabs>
          <w:tab w:pos="476" w:val="left" w:leader="none"/>
        </w:tabs>
        <w:spacing w:line="360" w:lineRule="auto" w:before="121" w:after="0"/>
        <w:ind w:left="475" w:right="112" w:hanging="360"/>
        <w:jc w:val="both"/>
        <w:rPr>
          <w:sz w:val="20"/>
        </w:rPr>
      </w:pPr>
      <w:r>
        <w:rPr>
          <w:sz w:val="20"/>
        </w:rPr>
        <w:t>RFRWG members agreed to provide any detailed comments on the overall project plan to the RFR Secretariat.</w:t>
      </w:r>
    </w:p>
    <w:p>
      <w:pPr>
        <w:pStyle w:val="Heading1"/>
        <w:jc w:val="both"/>
      </w:pPr>
      <w:r>
        <w:rPr/>
        <w:t>Infrastructure Forum</w:t>
      </w:r>
    </w:p>
    <w:p>
      <w:pPr>
        <w:pStyle w:val="BodyText"/>
        <w:spacing w:before="3"/>
        <w:ind w:left="0" w:firstLine="0"/>
        <w:rPr>
          <w:b/>
        </w:rPr>
      </w:pPr>
    </w:p>
    <w:p>
      <w:pPr>
        <w:pStyle w:val="ListParagraph"/>
        <w:numPr>
          <w:ilvl w:val="0"/>
          <w:numId w:val="2"/>
        </w:numPr>
        <w:tabs>
          <w:tab w:pos="476" w:val="left" w:leader="none"/>
        </w:tabs>
        <w:spacing w:line="357" w:lineRule="auto" w:before="0" w:after="0"/>
        <w:ind w:left="475" w:right="110" w:hanging="360"/>
        <w:jc w:val="both"/>
        <w:rPr>
          <w:sz w:val="20"/>
        </w:rPr>
      </w:pPr>
      <w:r>
        <w:rPr>
          <w:sz w:val="20"/>
        </w:rPr>
        <w:t>The co-chair of the infrastructure sub-group provided an update on the Infrastructure Forum that took place on 31</w:t>
      </w:r>
      <w:r>
        <w:rPr>
          <w:position w:val="7"/>
          <w:sz w:val="13"/>
        </w:rPr>
        <w:t>st </w:t>
      </w:r>
      <w:r>
        <w:rPr>
          <w:sz w:val="20"/>
        </w:rPr>
        <w:t>January. The event had been a success, with good attendance and an engaged debate. Knowledge</w:t>
      </w:r>
      <w:r>
        <w:rPr>
          <w:spacing w:val="24"/>
          <w:sz w:val="20"/>
        </w:rPr>
        <w:t> </w:t>
      </w:r>
      <w:r>
        <w:rPr>
          <w:sz w:val="20"/>
        </w:rPr>
        <w:t>on</w:t>
      </w:r>
      <w:r>
        <w:rPr>
          <w:spacing w:val="25"/>
          <w:sz w:val="20"/>
        </w:rPr>
        <w:t> </w:t>
      </w:r>
      <w:r>
        <w:rPr>
          <w:sz w:val="20"/>
        </w:rPr>
        <w:t>transition</w:t>
      </w:r>
      <w:r>
        <w:rPr>
          <w:spacing w:val="25"/>
          <w:sz w:val="20"/>
        </w:rPr>
        <w:t> </w:t>
      </w:r>
      <w:r>
        <w:rPr>
          <w:sz w:val="20"/>
        </w:rPr>
        <w:t>was</w:t>
      </w:r>
      <w:r>
        <w:rPr>
          <w:spacing w:val="25"/>
          <w:sz w:val="20"/>
        </w:rPr>
        <w:t> </w:t>
      </w:r>
      <w:r>
        <w:rPr>
          <w:sz w:val="20"/>
        </w:rPr>
        <w:t>high</w:t>
      </w:r>
      <w:r>
        <w:rPr>
          <w:spacing w:val="26"/>
          <w:sz w:val="20"/>
        </w:rPr>
        <w:t> </w:t>
      </w:r>
      <w:r>
        <w:rPr>
          <w:sz w:val="20"/>
        </w:rPr>
        <w:t>and</w:t>
      </w:r>
      <w:r>
        <w:rPr>
          <w:spacing w:val="25"/>
          <w:sz w:val="20"/>
        </w:rPr>
        <w:t> </w:t>
      </w:r>
      <w:r>
        <w:rPr>
          <w:sz w:val="20"/>
        </w:rPr>
        <w:t>whilst</w:t>
      </w:r>
      <w:r>
        <w:rPr>
          <w:spacing w:val="26"/>
          <w:sz w:val="20"/>
        </w:rPr>
        <w:t> </w:t>
      </w:r>
      <w:r>
        <w:rPr>
          <w:sz w:val="20"/>
        </w:rPr>
        <w:t>some</w:t>
      </w:r>
      <w:r>
        <w:rPr>
          <w:spacing w:val="25"/>
          <w:sz w:val="20"/>
        </w:rPr>
        <w:t> </w:t>
      </w:r>
      <w:r>
        <w:rPr>
          <w:sz w:val="20"/>
        </w:rPr>
        <w:t>infrastructure</w:t>
      </w:r>
      <w:r>
        <w:rPr>
          <w:spacing w:val="27"/>
          <w:sz w:val="20"/>
        </w:rPr>
        <w:t> </w:t>
      </w:r>
      <w:r>
        <w:rPr>
          <w:sz w:val="20"/>
        </w:rPr>
        <w:t>providers</w:t>
      </w:r>
      <w:r>
        <w:rPr>
          <w:spacing w:val="25"/>
          <w:sz w:val="20"/>
        </w:rPr>
        <w:t> </w:t>
      </w:r>
      <w:r>
        <w:rPr>
          <w:sz w:val="20"/>
        </w:rPr>
        <w:t>had</w:t>
      </w:r>
      <w:r>
        <w:rPr>
          <w:spacing w:val="25"/>
          <w:sz w:val="20"/>
        </w:rPr>
        <w:t> </w:t>
      </w:r>
      <w:r>
        <w:rPr>
          <w:sz w:val="20"/>
        </w:rPr>
        <w:t>already</w:t>
      </w:r>
      <w:r>
        <w:rPr>
          <w:spacing w:val="25"/>
          <w:sz w:val="20"/>
        </w:rPr>
        <w:t> </w:t>
      </w:r>
      <w:r>
        <w:rPr>
          <w:sz w:val="20"/>
        </w:rPr>
        <w:t>started</w:t>
      </w:r>
      <w:r>
        <w:rPr>
          <w:spacing w:val="25"/>
          <w:sz w:val="20"/>
        </w:rPr>
        <w:t> </w:t>
      </w:r>
      <w:r>
        <w:rPr>
          <w:sz w:val="20"/>
        </w:rPr>
        <w:t>their</w:t>
      </w:r>
    </w:p>
    <w:p>
      <w:pPr>
        <w:spacing w:after="0" w:line="357" w:lineRule="auto"/>
        <w:jc w:val="both"/>
        <w:rPr>
          <w:sz w:val="20"/>
        </w:rPr>
        <w:sectPr>
          <w:pgSz w:w="11910" w:h="16840"/>
          <w:pgMar w:header="0" w:footer="719" w:top="1200" w:bottom="900" w:left="1160" w:right="1020"/>
        </w:sectPr>
      </w:pPr>
    </w:p>
    <w:p>
      <w:pPr>
        <w:pStyle w:val="BodyText"/>
        <w:spacing w:line="360" w:lineRule="auto" w:before="72"/>
        <w:ind w:right="110" w:firstLine="0"/>
        <w:jc w:val="both"/>
      </w:pPr>
      <w:r>
        <w:rPr/>
        <w:t>build, all sought additional clarity in order to progress. Notably, they asked for clarity on conventions  for SONIA and the overall transition timelines to identify the next</w:t>
      </w:r>
      <w:r>
        <w:rPr>
          <w:spacing w:val="-16"/>
        </w:rPr>
        <w:t> </w:t>
      </w:r>
      <w:r>
        <w:rPr/>
        <w:t>steps.</w:t>
      </w:r>
    </w:p>
    <w:p>
      <w:pPr>
        <w:pStyle w:val="ListParagraph"/>
        <w:numPr>
          <w:ilvl w:val="0"/>
          <w:numId w:val="2"/>
        </w:numPr>
        <w:tabs>
          <w:tab w:pos="476" w:val="left" w:leader="none"/>
        </w:tabs>
        <w:spacing w:line="360" w:lineRule="auto" w:before="121" w:after="0"/>
        <w:ind w:left="475" w:right="110" w:hanging="360"/>
        <w:jc w:val="both"/>
        <w:rPr>
          <w:sz w:val="20"/>
        </w:rPr>
      </w:pPr>
      <w:r>
        <w:rPr>
          <w:sz w:val="20"/>
        </w:rPr>
        <w:t>The Chair asked what lead-in times were mentioned. It was stated that build times varied across providers from 6 months to 18 months but frequency of software adoption varied considerably depending on the size and complexity of market</w:t>
      </w:r>
      <w:r>
        <w:rPr>
          <w:spacing w:val="-6"/>
          <w:sz w:val="20"/>
        </w:rPr>
        <w:t> </w:t>
      </w:r>
      <w:r>
        <w:rPr>
          <w:sz w:val="20"/>
        </w:rPr>
        <w:t>participants.</w:t>
      </w:r>
    </w:p>
    <w:p>
      <w:pPr>
        <w:pStyle w:val="ListParagraph"/>
        <w:numPr>
          <w:ilvl w:val="0"/>
          <w:numId w:val="2"/>
        </w:numPr>
        <w:tabs>
          <w:tab w:pos="476" w:val="left" w:leader="none"/>
        </w:tabs>
        <w:spacing w:line="357" w:lineRule="auto" w:before="120" w:after="0"/>
        <w:ind w:left="475" w:right="110" w:hanging="360"/>
        <w:jc w:val="both"/>
        <w:rPr>
          <w:sz w:val="20"/>
        </w:rPr>
      </w:pPr>
      <w:r>
        <w:rPr>
          <w:sz w:val="20"/>
        </w:rPr>
        <w:t>Infrastructure for the loan market was an area of focussed discussion at the event. Options and swaptions were also mentioned. A summary note for the event would be made available in due course to the public</w:t>
      </w:r>
      <w:r>
        <w:rPr>
          <w:position w:val="7"/>
          <w:sz w:val="13"/>
        </w:rPr>
        <w:t>1</w:t>
      </w:r>
      <w:r>
        <w:rPr>
          <w:sz w:val="20"/>
        </w:rPr>
        <w:t>. Updates would also be made to the infrastructure and systems preliminary priority</w:t>
      </w:r>
      <w:r>
        <w:rPr>
          <w:spacing w:val="-1"/>
          <w:sz w:val="20"/>
        </w:rPr>
        <w:t> </w:t>
      </w:r>
      <w:r>
        <w:rPr>
          <w:sz w:val="20"/>
        </w:rPr>
        <w:t>list.</w:t>
      </w:r>
    </w:p>
    <w:p>
      <w:pPr>
        <w:pStyle w:val="Heading1"/>
        <w:spacing w:before="123"/>
        <w:jc w:val="both"/>
      </w:pPr>
      <w:r>
        <w:rPr/>
        <w:t>Task Force on Conventions</w:t>
      </w:r>
    </w:p>
    <w:p>
      <w:pPr>
        <w:pStyle w:val="BodyText"/>
        <w:spacing w:before="5"/>
        <w:ind w:left="0" w:firstLine="0"/>
        <w:rPr>
          <w:b/>
        </w:rPr>
      </w:pPr>
    </w:p>
    <w:p>
      <w:pPr>
        <w:pStyle w:val="ListParagraph"/>
        <w:numPr>
          <w:ilvl w:val="0"/>
          <w:numId w:val="2"/>
        </w:numPr>
        <w:tabs>
          <w:tab w:pos="476" w:val="left" w:leader="none"/>
        </w:tabs>
        <w:spacing w:line="360" w:lineRule="auto" w:before="0" w:after="0"/>
        <w:ind w:left="475" w:right="109" w:hanging="360"/>
        <w:jc w:val="both"/>
        <w:rPr>
          <w:sz w:val="20"/>
        </w:rPr>
      </w:pPr>
      <w:r>
        <w:rPr>
          <w:sz w:val="20"/>
        </w:rPr>
        <w:t>The Bank of England introduced a paper developed jointly by the Bank, the FCA and members of the RFRWG. The paper was designed to raise awareness on conventions for referencing new SONIA contracts. TSRR is not included. The bonds sub-group chair added that it could generate international discussion on the use of overnight compounded SONIA given there are small differences with the US in respect of SOFR-linked</w:t>
      </w:r>
      <w:r>
        <w:rPr>
          <w:spacing w:val="-6"/>
          <w:sz w:val="20"/>
        </w:rPr>
        <w:t> </w:t>
      </w:r>
      <w:r>
        <w:rPr>
          <w:sz w:val="20"/>
        </w:rPr>
        <w:t>FRNs.</w:t>
      </w:r>
    </w:p>
    <w:p>
      <w:pPr>
        <w:pStyle w:val="ListParagraph"/>
        <w:numPr>
          <w:ilvl w:val="0"/>
          <w:numId w:val="2"/>
        </w:numPr>
        <w:tabs>
          <w:tab w:pos="476" w:val="left" w:leader="none"/>
        </w:tabs>
        <w:spacing w:line="360" w:lineRule="auto" w:before="120" w:after="0"/>
        <w:ind w:left="475" w:right="109" w:hanging="360"/>
        <w:jc w:val="both"/>
        <w:rPr>
          <w:sz w:val="20"/>
        </w:rPr>
      </w:pPr>
      <w:r>
        <w:rPr>
          <w:sz w:val="20"/>
        </w:rPr>
        <w:t>One member suggested adding questions to structure the public feedback. Other members queried whether naming the paper as a ‘consultation’ was a better way to garner feedback. It was noted that Task Force preferred the title ‘discussion paper’. The RFRWG members agreed with these points and that an updated version of the paper should be made</w:t>
      </w:r>
      <w:r>
        <w:rPr>
          <w:spacing w:val="-9"/>
          <w:sz w:val="20"/>
        </w:rPr>
        <w:t> </w:t>
      </w:r>
      <w:r>
        <w:rPr>
          <w:sz w:val="20"/>
        </w:rPr>
        <w:t>public.</w:t>
      </w:r>
    </w:p>
    <w:p>
      <w:pPr>
        <w:pStyle w:val="Heading1"/>
        <w:jc w:val="both"/>
      </w:pPr>
      <w:r>
        <w:rPr/>
        <w:t>Letter to IASB</w:t>
      </w:r>
    </w:p>
    <w:p>
      <w:pPr>
        <w:pStyle w:val="BodyText"/>
        <w:spacing w:before="10"/>
        <w:ind w:left="0" w:firstLine="0"/>
        <w:rPr>
          <w:b/>
          <w:sz w:val="19"/>
        </w:rPr>
      </w:pPr>
    </w:p>
    <w:p>
      <w:pPr>
        <w:pStyle w:val="ListParagraph"/>
        <w:numPr>
          <w:ilvl w:val="0"/>
          <w:numId w:val="2"/>
        </w:numPr>
        <w:tabs>
          <w:tab w:pos="477" w:val="left" w:leader="none"/>
        </w:tabs>
        <w:spacing w:line="360" w:lineRule="auto" w:before="0" w:after="0"/>
        <w:ind w:left="475" w:right="110" w:hanging="361"/>
        <w:jc w:val="both"/>
        <w:rPr>
          <w:sz w:val="20"/>
        </w:rPr>
      </w:pPr>
      <w:r>
        <w:rPr>
          <w:sz w:val="20"/>
        </w:rPr>
        <w:t>As discussed by the RFRWG at its December 2018 meeting</w:t>
      </w:r>
      <w:r>
        <w:rPr>
          <w:position w:val="7"/>
          <w:sz w:val="13"/>
        </w:rPr>
        <w:t>2</w:t>
      </w:r>
      <w:r>
        <w:rPr>
          <w:sz w:val="20"/>
        </w:rPr>
        <w:t>, accounting firms had recommended reaching out to the IASB by way of a letter to discussed accounting issues around the transition. A  draft version of the letter was discussed by RFRWG members. It was agreed that the letter could be sent subject to some changes on behalf of the</w:t>
      </w:r>
      <w:r>
        <w:rPr>
          <w:spacing w:val="-12"/>
          <w:sz w:val="20"/>
        </w:rPr>
        <w:t> </w:t>
      </w:r>
      <w:r>
        <w:rPr>
          <w:sz w:val="20"/>
        </w:rPr>
        <w:t>RFRWG.</w:t>
      </w:r>
    </w:p>
    <w:p>
      <w:pPr>
        <w:pStyle w:val="Heading1"/>
        <w:spacing w:before="122"/>
        <w:jc w:val="both"/>
      </w:pPr>
      <w:r>
        <w:rPr/>
        <w:t>Proposal for consultation on adjustment spread for cash products</w:t>
      </w:r>
    </w:p>
    <w:p>
      <w:pPr>
        <w:pStyle w:val="BodyText"/>
        <w:spacing w:before="4"/>
        <w:ind w:left="0" w:firstLine="0"/>
        <w:rPr>
          <w:b/>
        </w:rPr>
      </w:pPr>
    </w:p>
    <w:p>
      <w:pPr>
        <w:pStyle w:val="ListParagraph"/>
        <w:numPr>
          <w:ilvl w:val="0"/>
          <w:numId w:val="2"/>
        </w:numPr>
        <w:tabs>
          <w:tab w:pos="476" w:val="left" w:leader="none"/>
        </w:tabs>
        <w:spacing w:line="360" w:lineRule="auto" w:before="0" w:after="0"/>
        <w:ind w:left="475" w:right="109" w:hanging="360"/>
        <w:jc w:val="both"/>
        <w:rPr>
          <w:sz w:val="20"/>
        </w:rPr>
      </w:pPr>
      <w:r>
        <w:rPr>
          <w:sz w:val="20"/>
        </w:rPr>
        <w:t>The chair of the loans sub-group outlined that the lack of an adjustment spread from LIBOR to SONIA was a key issue impacting the transition of legacy LIBOR positions and work on LIBOR fallbacks, for which the market was still using an amendment based approach. The ISDA consultation paper was considered successful in obtaining a clear and preferred view for the derivatives market, so the respective chairs of the loans sub-group and the bonds sub-group proposed that a similar consultation take place for the cash</w:t>
      </w:r>
      <w:r>
        <w:rPr>
          <w:spacing w:val="-6"/>
          <w:sz w:val="20"/>
        </w:rPr>
        <w:t> </w:t>
      </w:r>
      <w:r>
        <w:rPr>
          <w:sz w:val="20"/>
        </w:rPr>
        <w:t>market.</w:t>
      </w:r>
    </w:p>
    <w:p>
      <w:pPr>
        <w:pStyle w:val="ListParagraph"/>
        <w:numPr>
          <w:ilvl w:val="0"/>
          <w:numId w:val="2"/>
        </w:numPr>
        <w:tabs>
          <w:tab w:pos="476" w:val="left" w:leader="none"/>
        </w:tabs>
        <w:spacing w:line="360" w:lineRule="auto" w:before="120" w:after="0"/>
        <w:ind w:left="475" w:right="110" w:hanging="360"/>
        <w:jc w:val="both"/>
        <w:rPr>
          <w:sz w:val="20"/>
        </w:rPr>
      </w:pPr>
      <w:r>
        <w:rPr>
          <w:sz w:val="20"/>
        </w:rPr>
        <w:t>The consultation paper would set out different options and be widely disseminated.  The LMA, ACT  and ICMA would also widely publicise the consultation. Informal discussions with the US ARRC group had</w:t>
      </w:r>
      <w:r>
        <w:rPr>
          <w:spacing w:val="38"/>
          <w:sz w:val="20"/>
        </w:rPr>
        <w:t> </w:t>
      </w:r>
      <w:r>
        <w:rPr>
          <w:sz w:val="20"/>
        </w:rPr>
        <w:t>also</w:t>
      </w:r>
      <w:r>
        <w:rPr>
          <w:spacing w:val="39"/>
          <w:sz w:val="20"/>
        </w:rPr>
        <w:t> </w:t>
      </w:r>
      <w:r>
        <w:rPr>
          <w:sz w:val="20"/>
        </w:rPr>
        <w:t>been</w:t>
      </w:r>
      <w:r>
        <w:rPr>
          <w:spacing w:val="38"/>
          <w:sz w:val="20"/>
        </w:rPr>
        <w:t> </w:t>
      </w:r>
      <w:r>
        <w:rPr>
          <w:sz w:val="20"/>
        </w:rPr>
        <w:t>positive.</w:t>
      </w:r>
      <w:r>
        <w:rPr>
          <w:spacing w:val="25"/>
          <w:sz w:val="20"/>
        </w:rPr>
        <w:t> </w:t>
      </w:r>
      <w:r>
        <w:rPr>
          <w:sz w:val="20"/>
        </w:rPr>
        <w:t>The</w:t>
      </w:r>
      <w:r>
        <w:rPr>
          <w:spacing w:val="39"/>
          <w:sz w:val="20"/>
        </w:rPr>
        <w:t> </w:t>
      </w:r>
      <w:r>
        <w:rPr>
          <w:sz w:val="20"/>
        </w:rPr>
        <w:t>chair</w:t>
      </w:r>
      <w:r>
        <w:rPr>
          <w:spacing w:val="39"/>
          <w:sz w:val="20"/>
        </w:rPr>
        <w:t> </w:t>
      </w:r>
      <w:r>
        <w:rPr>
          <w:sz w:val="20"/>
        </w:rPr>
        <w:t>of</w:t>
      </w:r>
      <w:r>
        <w:rPr>
          <w:spacing w:val="38"/>
          <w:sz w:val="20"/>
        </w:rPr>
        <w:t> </w:t>
      </w:r>
      <w:r>
        <w:rPr>
          <w:sz w:val="20"/>
        </w:rPr>
        <w:t>the</w:t>
      </w:r>
      <w:r>
        <w:rPr>
          <w:spacing w:val="38"/>
          <w:sz w:val="20"/>
        </w:rPr>
        <w:t> </w:t>
      </w:r>
      <w:r>
        <w:rPr>
          <w:sz w:val="20"/>
        </w:rPr>
        <w:t>bonds</w:t>
      </w:r>
      <w:r>
        <w:rPr>
          <w:spacing w:val="39"/>
          <w:sz w:val="20"/>
        </w:rPr>
        <w:t> </w:t>
      </w:r>
      <w:r>
        <w:rPr>
          <w:sz w:val="20"/>
        </w:rPr>
        <w:t>sub-group</w:t>
      </w:r>
      <w:r>
        <w:rPr>
          <w:spacing w:val="39"/>
          <w:sz w:val="20"/>
        </w:rPr>
        <w:t> </w:t>
      </w:r>
      <w:r>
        <w:rPr>
          <w:sz w:val="20"/>
        </w:rPr>
        <w:t>was</w:t>
      </w:r>
      <w:r>
        <w:rPr>
          <w:spacing w:val="39"/>
          <w:sz w:val="20"/>
        </w:rPr>
        <w:t> </w:t>
      </w:r>
      <w:r>
        <w:rPr>
          <w:sz w:val="20"/>
        </w:rPr>
        <w:t>supportive</w:t>
      </w:r>
      <w:r>
        <w:rPr>
          <w:spacing w:val="39"/>
          <w:sz w:val="20"/>
        </w:rPr>
        <w:t> </w:t>
      </w:r>
      <w:r>
        <w:rPr>
          <w:sz w:val="20"/>
        </w:rPr>
        <w:t>given</w:t>
      </w:r>
      <w:r>
        <w:rPr>
          <w:spacing w:val="38"/>
          <w:sz w:val="20"/>
        </w:rPr>
        <w:t> </w:t>
      </w:r>
      <w:r>
        <w:rPr>
          <w:sz w:val="20"/>
        </w:rPr>
        <w:t>it</w:t>
      </w:r>
      <w:r>
        <w:rPr>
          <w:spacing w:val="39"/>
          <w:sz w:val="20"/>
        </w:rPr>
        <w:t> </w:t>
      </w:r>
      <w:r>
        <w:rPr>
          <w:sz w:val="20"/>
        </w:rPr>
        <w:t>may</w:t>
      </w:r>
      <w:r>
        <w:rPr>
          <w:spacing w:val="39"/>
          <w:sz w:val="20"/>
        </w:rPr>
        <w:t> </w:t>
      </w:r>
      <w:r>
        <w:rPr>
          <w:sz w:val="20"/>
        </w:rPr>
        <w:t>have</w:t>
      </w:r>
      <w:r>
        <w:rPr>
          <w:spacing w:val="38"/>
          <w:sz w:val="20"/>
        </w:rPr>
        <w:t> </w:t>
      </w:r>
      <w:r>
        <w:rPr>
          <w:sz w:val="20"/>
        </w:rPr>
        <w:t>the</w:t>
      </w:r>
    </w:p>
    <w:p>
      <w:pPr>
        <w:pStyle w:val="BodyText"/>
        <w:ind w:left="0" w:firstLine="0"/>
      </w:pPr>
    </w:p>
    <w:p>
      <w:pPr>
        <w:pStyle w:val="BodyText"/>
        <w:ind w:left="0" w:firstLine="0"/>
      </w:pPr>
    </w:p>
    <w:p>
      <w:pPr>
        <w:pStyle w:val="BodyText"/>
        <w:spacing w:before="2"/>
        <w:ind w:left="0" w:firstLine="0"/>
      </w:pPr>
      <w:r>
        <w:rPr/>
        <w:pict>
          <v:shape style="position:absolute;margin-left:63.779999pt;margin-top:13.977612pt;width:144pt;height:.1pt;mso-position-horizontal-relative:page;mso-position-vertical-relative:paragraph;z-index:-251658240;mso-wrap-distance-left:0;mso-wrap-distance-right:0" coordorigin="1276,280" coordsize="2880,0" path="m1276,280l4156,280e" filled="false" stroked="true" strokeweight=".71997pt" strokecolor="#000000">
            <v:path arrowok="t"/>
            <v:stroke dashstyle="solid"/>
            <w10:wrap type="topAndBottom"/>
          </v:shape>
        </w:pict>
      </w:r>
    </w:p>
    <w:p>
      <w:pPr>
        <w:pStyle w:val="BodyText"/>
        <w:spacing w:before="65"/>
        <w:ind w:left="115" w:firstLine="0"/>
        <w:rPr>
          <w:rFonts w:ascii="Calibri" w:hAnsi="Calibri"/>
        </w:rPr>
      </w:pPr>
      <w:r>
        <w:rPr>
          <w:rFonts w:ascii="Calibri" w:hAnsi="Calibri"/>
          <w:position w:val="7"/>
          <w:sz w:val="13"/>
        </w:rPr>
        <w:t>1 </w:t>
      </w:r>
      <w:r>
        <w:rPr>
          <w:rFonts w:ascii="Calibri" w:hAnsi="Calibri"/>
        </w:rPr>
        <w:t>Now available at: </w:t>
      </w:r>
      <w:r>
        <w:rPr>
          <w:rFonts w:ascii="Calibri" w:hAnsi="Calibri"/>
          <w:color w:val="0000FF"/>
          <w:u w:val="single" w:color="0000FF"/>
        </w:rPr>
        <w:t>http</w:t>
      </w:r>
      <w:hyperlink r:id="rId6">
        <w:r>
          <w:rPr>
            <w:rFonts w:ascii="Calibri" w:hAnsi="Calibri"/>
            <w:color w:val="0000FF"/>
            <w:u w:val="single" w:color="0000FF"/>
          </w:rPr>
          <w:t>s://www.bankofe</w:t>
        </w:r>
      </w:hyperlink>
      <w:r>
        <w:rPr>
          <w:rFonts w:ascii="Calibri" w:hAnsi="Calibri"/>
          <w:color w:val="0000FF"/>
          <w:u w:val="single" w:color="0000FF"/>
        </w:rPr>
        <w:t>ngla</w:t>
      </w:r>
      <w:hyperlink r:id="rId6">
        <w:r>
          <w:rPr>
            <w:rFonts w:ascii="Calibri" w:hAnsi="Calibri"/>
            <w:color w:val="0000FF"/>
            <w:u w:val="single" w:color="0000FF"/>
          </w:rPr>
          <w:t>nd.co.uk/</w:t>
        </w:r>
      </w:hyperlink>
      <w:r>
        <w:rPr>
          <w:rFonts w:ascii="Calibri" w:hAnsi="Calibri"/>
          <w:color w:val="0000FF"/>
          <w:u w:val="single" w:color="0000FF"/>
        </w:rPr>
        <w:t>‐/media/boe/files/markets/benchmarks/infrastructure‐</w:t>
      </w:r>
      <w:r>
        <w:rPr>
          <w:rFonts w:ascii="Calibri" w:hAnsi="Calibri"/>
          <w:color w:val="0000FF"/>
        </w:rPr>
        <w:t> </w:t>
      </w:r>
      <w:r>
        <w:rPr>
          <w:rFonts w:ascii="Calibri" w:hAnsi="Calibri"/>
          <w:color w:val="0000FF"/>
          <w:u w:val="single" w:color="0000FF"/>
        </w:rPr>
        <w:t>forum‐summary‐note.pdf</w:t>
      </w:r>
      <w:r>
        <w:rPr>
          <w:rFonts w:ascii="Calibri" w:hAnsi="Calibri"/>
        </w:rPr>
        <w:t>.</w:t>
      </w:r>
    </w:p>
    <w:p>
      <w:pPr>
        <w:pStyle w:val="BodyText"/>
        <w:spacing w:line="243" w:lineRule="exact"/>
        <w:ind w:left="115" w:firstLine="0"/>
        <w:rPr>
          <w:rFonts w:ascii="Calibri" w:hAnsi="Calibri"/>
        </w:rPr>
      </w:pPr>
      <w:r>
        <w:rPr>
          <w:rFonts w:ascii="Calibri" w:hAnsi="Calibri"/>
          <w:position w:val="7"/>
          <w:sz w:val="13"/>
        </w:rPr>
        <w:t>2 </w:t>
      </w:r>
      <w:r>
        <w:rPr>
          <w:rFonts w:ascii="Calibri" w:hAnsi="Calibri"/>
          <w:color w:val="0000FF"/>
          <w:u w:val="single" w:color="0000FF"/>
        </w:rPr>
        <w:t>https://</w:t>
      </w:r>
      <w:hyperlink r:id="rId6">
        <w:r>
          <w:rPr>
            <w:rFonts w:ascii="Calibri" w:hAnsi="Calibri"/>
            <w:color w:val="0000FF"/>
            <w:u w:val="single" w:color="0000FF"/>
          </w:rPr>
          <w:t>www.bankofengland.co.uk/</w:t>
        </w:r>
      </w:hyperlink>
      <w:r>
        <w:rPr>
          <w:rFonts w:ascii="Calibri" w:hAnsi="Calibri"/>
          <w:color w:val="0000FF"/>
          <w:u w:val="single" w:color="0000FF"/>
        </w:rPr>
        <w:t>‐/media/boe/files/minutes/2018/rfr‐december‐2018.pdf</w:t>
      </w:r>
      <w:r>
        <w:rPr>
          <w:rFonts w:ascii="Calibri" w:hAnsi="Calibri"/>
        </w:rPr>
        <w:t>.</w:t>
      </w:r>
    </w:p>
    <w:p>
      <w:pPr>
        <w:spacing w:after="0" w:line="243" w:lineRule="exact"/>
        <w:rPr>
          <w:rFonts w:ascii="Calibri" w:hAnsi="Calibri"/>
        </w:rPr>
        <w:sectPr>
          <w:pgSz w:w="11910" w:h="16840"/>
          <w:pgMar w:header="0" w:footer="719" w:top="1200" w:bottom="900" w:left="1160" w:right="1020"/>
        </w:sectPr>
      </w:pPr>
    </w:p>
    <w:p>
      <w:pPr>
        <w:pStyle w:val="BodyText"/>
        <w:spacing w:line="360" w:lineRule="auto" w:before="72"/>
        <w:ind w:right="108" w:firstLine="0"/>
        <w:jc w:val="both"/>
      </w:pPr>
      <w:r>
        <w:rPr/>
        <w:t>potential to assist on legacy issues. RFRWG members were therefore asked to sponsor the proposal, and provide support for co-ordination with different currencies and the provision of technical expertise.</w:t>
      </w:r>
    </w:p>
    <w:p>
      <w:pPr>
        <w:pStyle w:val="ListParagraph"/>
        <w:numPr>
          <w:ilvl w:val="0"/>
          <w:numId w:val="2"/>
        </w:numPr>
        <w:tabs>
          <w:tab w:pos="476" w:val="left" w:leader="none"/>
        </w:tabs>
        <w:spacing w:line="360" w:lineRule="auto" w:before="121" w:after="0"/>
        <w:ind w:left="475" w:right="110" w:hanging="360"/>
        <w:jc w:val="both"/>
        <w:rPr>
          <w:sz w:val="20"/>
        </w:rPr>
      </w:pPr>
      <w:r>
        <w:rPr>
          <w:sz w:val="20"/>
        </w:rPr>
        <w:t>A member flagged that ISDA’s consultation and subsequent IBOR fallback methodologies in the derivatives market should not be assumed to apply in respect of fallbacks for the cash market. The market would need to assess for itself through this consultation what would be</w:t>
      </w:r>
      <w:r>
        <w:rPr>
          <w:spacing w:val="-29"/>
          <w:sz w:val="20"/>
        </w:rPr>
        <w:t> </w:t>
      </w:r>
      <w:r>
        <w:rPr>
          <w:sz w:val="20"/>
        </w:rPr>
        <w:t>appropriate.</w:t>
      </w:r>
    </w:p>
    <w:p>
      <w:pPr>
        <w:pStyle w:val="ListParagraph"/>
        <w:numPr>
          <w:ilvl w:val="0"/>
          <w:numId w:val="2"/>
        </w:numPr>
        <w:tabs>
          <w:tab w:pos="476" w:val="left" w:leader="none"/>
        </w:tabs>
        <w:spacing w:line="360" w:lineRule="auto" w:before="120" w:after="0"/>
        <w:ind w:left="475" w:right="109" w:hanging="360"/>
        <w:jc w:val="both"/>
        <w:rPr>
          <w:sz w:val="20"/>
        </w:rPr>
      </w:pPr>
      <w:r>
        <w:rPr>
          <w:sz w:val="20"/>
        </w:rPr>
        <w:t>One member highlighted that taking a multi-currency approach could be problematic when term rates are not established in all jurisdictions. RFRWG members then discussed the issues surrounding a  term reference rate and that there was a need for clarity. The FCA reminded the RFRWG that authorities have previously stated that overnight rates should be used where</w:t>
      </w:r>
      <w:r>
        <w:rPr>
          <w:spacing w:val="-16"/>
          <w:sz w:val="20"/>
        </w:rPr>
        <w:t> </w:t>
      </w:r>
      <w:r>
        <w:rPr>
          <w:sz w:val="20"/>
        </w:rPr>
        <w:t>practicable.</w:t>
      </w:r>
    </w:p>
    <w:p>
      <w:pPr>
        <w:pStyle w:val="ListParagraph"/>
        <w:numPr>
          <w:ilvl w:val="0"/>
          <w:numId w:val="2"/>
        </w:numPr>
        <w:tabs>
          <w:tab w:pos="476" w:val="left" w:leader="none"/>
        </w:tabs>
        <w:spacing w:line="360" w:lineRule="auto" w:before="120" w:after="0"/>
        <w:ind w:left="475" w:right="109" w:hanging="360"/>
        <w:jc w:val="both"/>
        <w:rPr>
          <w:sz w:val="20"/>
        </w:rPr>
      </w:pPr>
      <w:r>
        <w:rPr>
          <w:sz w:val="20"/>
        </w:rPr>
        <w:t>Some members asked whether the consultation was possible given it would focus on an adjustment spread without articulating what it would adjust to. The chair of the loans sub-group recognised there were still outstanding questions but it would be prudent to begin this work sooner rather than later. The options could be presented, two of which so far are overnight compounded and</w:t>
      </w:r>
      <w:r>
        <w:rPr>
          <w:spacing w:val="-24"/>
          <w:sz w:val="20"/>
        </w:rPr>
        <w:t> </w:t>
      </w:r>
      <w:r>
        <w:rPr>
          <w:sz w:val="20"/>
        </w:rPr>
        <w:t>term.</w:t>
      </w:r>
    </w:p>
    <w:p>
      <w:pPr>
        <w:pStyle w:val="ListParagraph"/>
        <w:numPr>
          <w:ilvl w:val="0"/>
          <w:numId w:val="2"/>
        </w:numPr>
        <w:tabs>
          <w:tab w:pos="476" w:val="left" w:leader="none"/>
        </w:tabs>
        <w:spacing w:line="360" w:lineRule="auto" w:before="121" w:after="0"/>
        <w:ind w:left="475" w:right="109" w:hanging="360"/>
        <w:jc w:val="both"/>
        <w:rPr>
          <w:sz w:val="20"/>
        </w:rPr>
      </w:pPr>
      <w:r>
        <w:rPr>
          <w:sz w:val="20"/>
        </w:rPr>
        <w:t>The Bank of England asked the RFRWG whether it was possible to isolate this question in a consultation without impact to other work on the roadmap. RFRWG members then discussed alternative approaches, including what options could run</w:t>
      </w:r>
      <w:r>
        <w:rPr>
          <w:spacing w:val="-8"/>
          <w:sz w:val="20"/>
        </w:rPr>
        <w:t> </w:t>
      </w:r>
      <w:r>
        <w:rPr>
          <w:sz w:val="20"/>
        </w:rPr>
        <w:t>parallel.</w:t>
      </w:r>
    </w:p>
    <w:p>
      <w:pPr>
        <w:pStyle w:val="ListParagraph"/>
        <w:numPr>
          <w:ilvl w:val="0"/>
          <w:numId w:val="2"/>
        </w:numPr>
        <w:tabs>
          <w:tab w:pos="476" w:val="left" w:leader="none"/>
        </w:tabs>
        <w:spacing w:line="360" w:lineRule="auto" w:before="119" w:after="0"/>
        <w:ind w:left="475" w:right="112" w:hanging="360"/>
        <w:jc w:val="both"/>
        <w:rPr>
          <w:sz w:val="20"/>
        </w:rPr>
      </w:pPr>
      <w:r>
        <w:rPr>
          <w:sz w:val="20"/>
        </w:rPr>
        <w:t>It was agreed that the consultation be progressed and that international coordination would be beneficial.</w:t>
      </w:r>
    </w:p>
    <w:p>
      <w:pPr>
        <w:pStyle w:val="Heading1"/>
        <w:jc w:val="both"/>
      </w:pPr>
      <w:r>
        <w:rPr/>
        <w:t>Updates from sub-groups</w:t>
      </w:r>
    </w:p>
    <w:p>
      <w:pPr>
        <w:pStyle w:val="BodyText"/>
        <w:spacing w:before="5"/>
        <w:ind w:left="0" w:firstLine="0"/>
        <w:rPr>
          <w:b/>
        </w:rPr>
      </w:pPr>
    </w:p>
    <w:p>
      <w:pPr>
        <w:spacing w:before="0"/>
        <w:ind w:left="115" w:right="0" w:firstLine="0"/>
        <w:jc w:val="both"/>
        <w:rPr>
          <w:i/>
          <w:sz w:val="20"/>
        </w:rPr>
      </w:pPr>
      <w:r>
        <w:rPr>
          <w:i/>
          <w:sz w:val="20"/>
        </w:rPr>
        <w:t>Communications &amp; Outreach sub-group</w:t>
      </w:r>
    </w:p>
    <w:p>
      <w:pPr>
        <w:pStyle w:val="BodyText"/>
        <w:spacing w:before="4"/>
        <w:ind w:left="0" w:firstLine="0"/>
        <w:rPr>
          <w:i/>
        </w:rPr>
      </w:pPr>
    </w:p>
    <w:p>
      <w:pPr>
        <w:pStyle w:val="ListParagraph"/>
        <w:numPr>
          <w:ilvl w:val="0"/>
          <w:numId w:val="2"/>
        </w:numPr>
        <w:tabs>
          <w:tab w:pos="476" w:val="left" w:leader="none"/>
        </w:tabs>
        <w:spacing w:line="360" w:lineRule="auto" w:before="0" w:after="0"/>
        <w:ind w:left="475" w:right="109" w:hanging="360"/>
        <w:jc w:val="both"/>
        <w:rPr>
          <w:sz w:val="20"/>
        </w:rPr>
      </w:pPr>
      <w:r>
        <w:rPr>
          <w:sz w:val="20"/>
        </w:rPr>
        <w:t>The sub-group chair stated that governance and oversight of the RFRWG newsletter had been going well. Maintaining a monthly frequency for the newsletter was thought appropriate. The number of subscribers was increasing. The sub-group will meet to identify clear milestones and deliverables from the roadmap and how it can plan for them. A smaller media group was in the process of being set up  to support communication and outreach. The sub-group will be considering development of webinars similar to those used by the ARRC to explain key issues. Further discussion will take place on how to identify and outreach end-users more</w:t>
      </w:r>
      <w:r>
        <w:rPr>
          <w:spacing w:val="-2"/>
          <w:sz w:val="20"/>
        </w:rPr>
        <w:t> </w:t>
      </w:r>
      <w:r>
        <w:rPr>
          <w:sz w:val="20"/>
        </w:rPr>
        <w:t>effectively.</w:t>
      </w:r>
    </w:p>
    <w:p>
      <w:pPr>
        <w:spacing w:before="121"/>
        <w:ind w:left="115" w:right="0" w:firstLine="0"/>
        <w:jc w:val="both"/>
        <w:rPr>
          <w:i/>
          <w:sz w:val="20"/>
        </w:rPr>
      </w:pPr>
      <w:r>
        <w:rPr>
          <w:i/>
          <w:sz w:val="20"/>
        </w:rPr>
        <w:t>Pension Funds &amp; Insurance Company</w:t>
      </w:r>
      <w:r>
        <w:rPr>
          <w:i/>
          <w:spacing w:val="-15"/>
          <w:sz w:val="20"/>
        </w:rPr>
        <w:t> </w:t>
      </w:r>
      <w:r>
        <w:rPr>
          <w:i/>
          <w:sz w:val="20"/>
        </w:rPr>
        <w:t>sub-group</w:t>
      </w:r>
    </w:p>
    <w:p>
      <w:pPr>
        <w:pStyle w:val="BodyText"/>
        <w:spacing w:before="4"/>
        <w:ind w:left="0" w:firstLine="0"/>
        <w:rPr>
          <w:i/>
        </w:rPr>
      </w:pPr>
    </w:p>
    <w:p>
      <w:pPr>
        <w:pStyle w:val="ListParagraph"/>
        <w:numPr>
          <w:ilvl w:val="0"/>
          <w:numId w:val="2"/>
        </w:numPr>
        <w:tabs>
          <w:tab w:pos="477" w:val="left" w:leader="none"/>
        </w:tabs>
        <w:spacing w:line="360" w:lineRule="auto" w:before="1" w:after="0"/>
        <w:ind w:left="475" w:right="109" w:hanging="360"/>
        <w:jc w:val="both"/>
        <w:rPr>
          <w:sz w:val="20"/>
        </w:rPr>
      </w:pPr>
      <w:r>
        <w:rPr>
          <w:sz w:val="20"/>
        </w:rPr>
        <w:t>The sub-group co-chair said that transition for pension funds seemed to be progressing fairly smoothly. Insurance transition was the sub-group’s main focus. Transition work could be divided  between general insurers and with-profit funds that rely on EIOPA discounting curves, and bulk purchase annuity funds that have stocks of LIBOR referencing derivatives. The sub-group co-chair thought it might be constructive to have a pan-European task force to combine discussions on EONIA, ESTER, and</w:t>
      </w:r>
      <w:r>
        <w:rPr>
          <w:spacing w:val="-2"/>
          <w:sz w:val="20"/>
        </w:rPr>
        <w:t> </w:t>
      </w:r>
      <w:r>
        <w:rPr>
          <w:sz w:val="20"/>
        </w:rPr>
        <w:t>SONIA.</w:t>
      </w:r>
    </w:p>
    <w:p>
      <w:pPr>
        <w:pStyle w:val="ListParagraph"/>
        <w:numPr>
          <w:ilvl w:val="0"/>
          <w:numId w:val="2"/>
        </w:numPr>
        <w:tabs>
          <w:tab w:pos="476" w:val="left" w:leader="none"/>
        </w:tabs>
        <w:spacing w:line="360" w:lineRule="auto" w:before="0" w:after="0"/>
        <w:ind w:left="475" w:right="110" w:hanging="360"/>
        <w:jc w:val="both"/>
        <w:rPr>
          <w:sz w:val="20"/>
        </w:rPr>
      </w:pPr>
      <w:r>
        <w:rPr>
          <w:sz w:val="20"/>
        </w:rPr>
        <w:t>The sub-group has also received lots of questions from insurers since the circulation of the Dear CEO letter.</w:t>
      </w:r>
    </w:p>
    <w:p>
      <w:pPr>
        <w:spacing w:after="0" w:line="360" w:lineRule="auto"/>
        <w:jc w:val="both"/>
        <w:rPr>
          <w:sz w:val="20"/>
        </w:rPr>
        <w:sectPr>
          <w:pgSz w:w="11910" w:h="16840"/>
          <w:pgMar w:header="0" w:footer="719" w:top="1200" w:bottom="900" w:left="1160" w:right="1020"/>
        </w:sectPr>
      </w:pPr>
    </w:p>
    <w:p>
      <w:pPr>
        <w:spacing w:before="139"/>
        <w:ind w:left="115" w:right="0" w:firstLine="0"/>
        <w:jc w:val="left"/>
        <w:rPr>
          <w:i/>
          <w:sz w:val="20"/>
        </w:rPr>
      </w:pPr>
      <w:r>
        <w:rPr>
          <w:i/>
          <w:sz w:val="20"/>
        </w:rPr>
        <w:t>Loan market sub-group</w:t>
      </w:r>
    </w:p>
    <w:p>
      <w:pPr>
        <w:pStyle w:val="BodyText"/>
        <w:spacing w:before="3"/>
        <w:ind w:left="0" w:firstLine="0"/>
        <w:rPr>
          <w:i/>
        </w:rPr>
      </w:pPr>
    </w:p>
    <w:p>
      <w:pPr>
        <w:pStyle w:val="ListParagraph"/>
        <w:numPr>
          <w:ilvl w:val="0"/>
          <w:numId w:val="2"/>
        </w:numPr>
        <w:tabs>
          <w:tab w:pos="476" w:val="left" w:leader="none"/>
        </w:tabs>
        <w:spacing w:line="360" w:lineRule="auto" w:before="1" w:after="0"/>
        <w:ind w:left="475" w:right="111" w:hanging="360"/>
        <w:jc w:val="both"/>
        <w:rPr>
          <w:sz w:val="20"/>
        </w:rPr>
      </w:pPr>
      <w:r>
        <w:rPr>
          <w:sz w:val="20"/>
        </w:rPr>
        <w:t>The sub-group chair said that in addition to the work for the adjustment spread consultation, the sub- group would consider adding representation from more CLO managers and bilateral loan</w:t>
      </w:r>
      <w:r>
        <w:rPr>
          <w:spacing w:val="-31"/>
          <w:sz w:val="20"/>
        </w:rPr>
        <w:t> </w:t>
      </w:r>
      <w:r>
        <w:rPr>
          <w:sz w:val="20"/>
        </w:rPr>
        <w:t>negotiators.</w:t>
      </w:r>
    </w:p>
    <w:p>
      <w:pPr>
        <w:spacing w:before="121"/>
        <w:ind w:left="115" w:right="0" w:firstLine="0"/>
        <w:jc w:val="left"/>
        <w:rPr>
          <w:i/>
          <w:sz w:val="20"/>
        </w:rPr>
      </w:pPr>
      <w:r>
        <w:rPr>
          <w:i/>
          <w:sz w:val="20"/>
        </w:rPr>
        <w:t>Bond market sub-group</w:t>
      </w:r>
    </w:p>
    <w:p>
      <w:pPr>
        <w:pStyle w:val="BodyText"/>
        <w:spacing w:before="4"/>
        <w:ind w:left="0" w:firstLine="0"/>
        <w:rPr>
          <w:i/>
        </w:rPr>
      </w:pPr>
    </w:p>
    <w:p>
      <w:pPr>
        <w:pStyle w:val="ListParagraph"/>
        <w:numPr>
          <w:ilvl w:val="0"/>
          <w:numId w:val="2"/>
        </w:numPr>
        <w:tabs>
          <w:tab w:pos="476" w:val="left" w:leader="none"/>
        </w:tabs>
        <w:spacing w:line="360" w:lineRule="auto" w:before="0" w:after="0"/>
        <w:ind w:left="475" w:right="110" w:hanging="360"/>
        <w:jc w:val="both"/>
        <w:rPr>
          <w:sz w:val="20"/>
        </w:rPr>
      </w:pPr>
      <w:r>
        <w:rPr>
          <w:sz w:val="20"/>
        </w:rPr>
        <w:t>The sub-group chair stated that around £7bn of SONIA-linked FRN issuance had taken place in H2 2018 and this had already been superseded in 2019 with around £8bn of issuance to date. Issuers included SSAs, banks and building societies. Progress has been seen in SONIA-linked securitisation too. Issuers had been using the same conventions across these bonds. The sub-group will be part of the adjustment spread consultation and later in 2019 the sub-group will focus on the whether a TSRR is required for the bond market. It will also consider what is and is not practical for legacy sterling bonds, and provide feedback to the RFR project</w:t>
      </w:r>
      <w:r>
        <w:rPr>
          <w:spacing w:val="-8"/>
          <w:sz w:val="20"/>
        </w:rPr>
        <w:t> </w:t>
      </w:r>
      <w:r>
        <w:rPr>
          <w:sz w:val="20"/>
        </w:rPr>
        <w:t>plan.</w:t>
      </w:r>
    </w:p>
    <w:p>
      <w:pPr>
        <w:pStyle w:val="Heading1"/>
      </w:pPr>
      <w:r>
        <w:rPr/>
        <w:t>AOB</w:t>
      </w:r>
    </w:p>
    <w:p>
      <w:pPr>
        <w:pStyle w:val="BodyText"/>
        <w:spacing w:before="4"/>
        <w:ind w:left="0" w:firstLine="0"/>
        <w:rPr>
          <w:b/>
        </w:rPr>
      </w:pPr>
    </w:p>
    <w:p>
      <w:pPr>
        <w:pStyle w:val="ListParagraph"/>
        <w:numPr>
          <w:ilvl w:val="0"/>
          <w:numId w:val="2"/>
        </w:numPr>
        <w:tabs>
          <w:tab w:pos="476" w:val="left" w:leader="none"/>
        </w:tabs>
        <w:spacing w:line="360" w:lineRule="auto" w:before="1" w:after="0"/>
        <w:ind w:left="475" w:right="109" w:hanging="360"/>
        <w:jc w:val="both"/>
        <w:rPr>
          <w:sz w:val="20"/>
        </w:rPr>
      </w:pPr>
      <w:r>
        <w:rPr>
          <w:sz w:val="20"/>
        </w:rPr>
        <w:t>The Chair explained that there were plans for the RFRWG to appoint independent legal representation. RFRWG members were asked to nominate to the RFR Secretariat from their firm to join a small group to select the independent legal</w:t>
      </w:r>
      <w:r>
        <w:rPr>
          <w:spacing w:val="-2"/>
          <w:sz w:val="20"/>
        </w:rPr>
        <w:t> </w:t>
      </w:r>
      <w:r>
        <w:rPr>
          <w:sz w:val="20"/>
        </w:rPr>
        <w:t>counsel.</w:t>
      </w:r>
    </w:p>
    <w:p>
      <w:pPr>
        <w:spacing w:after="0" w:line="360" w:lineRule="auto"/>
        <w:jc w:val="both"/>
        <w:rPr>
          <w:sz w:val="20"/>
        </w:rPr>
        <w:sectPr>
          <w:pgSz w:w="11910" w:h="16840"/>
          <w:pgMar w:header="0" w:footer="719" w:top="1600" w:bottom="900" w:left="1160" w:right="1020"/>
        </w:sectPr>
      </w:pPr>
    </w:p>
    <w:p>
      <w:pPr>
        <w:pStyle w:val="Heading1"/>
        <w:spacing w:before="74"/>
      </w:pPr>
      <w:r>
        <w:rPr/>
        <w:t>Private sector attendees</w:t>
      </w:r>
    </w:p>
    <w:p>
      <w:pPr>
        <w:pStyle w:val="BodyText"/>
        <w:spacing w:before="7"/>
        <w:ind w:left="0" w:firstLine="0"/>
        <w:rPr>
          <w:b/>
          <w:sz w:val="23"/>
        </w:rPr>
      </w:pPr>
    </w:p>
    <w:p>
      <w:pPr>
        <w:tabs>
          <w:tab w:pos="3342" w:val="left" w:leader="none"/>
        </w:tabs>
        <w:spacing w:before="0"/>
        <w:ind w:left="223" w:right="0" w:firstLine="0"/>
        <w:jc w:val="left"/>
        <w:rPr>
          <w:b/>
          <w:sz w:val="20"/>
        </w:rPr>
      </w:pPr>
      <w:r>
        <w:rPr>
          <w:sz w:val="20"/>
        </w:rPr>
        <w:t>Tushar</w:t>
      </w:r>
      <w:r>
        <w:rPr>
          <w:spacing w:val="-1"/>
          <w:sz w:val="20"/>
        </w:rPr>
        <w:t> </w:t>
      </w:r>
      <w:r>
        <w:rPr>
          <w:sz w:val="20"/>
        </w:rPr>
        <w:t>Morzaria</w:t>
        <w:tab/>
      </w:r>
      <w:r>
        <w:rPr>
          <w:b/>
          <w:sz w:val="20"/>
        </w:rPr>
        <w:t>Barclays (Chair)</w:t>
      </w:r>
    </w:p>
    <w:p>
      <w:pPr>
        <w:tabs>
          <w:tab w:pos="3342" w:val="left" w:leader="none"/>
        </w:tabs>
        <w:spacing w:before="70"/>
        <w:ind w:left="223" w:right="0" w:firstLine="0"/>
        <w:jc w:val="left"/>
        <w:rPr>
          <w:b/>
          <w:sz w:val="20"/>
        </w:rPr>
      </w:pPr>
      <w:r>
        <w:rPr>
          <w:sz w:val="20"/>
        </w:rPr>
        <w:t>Andreas</w:t>
      </w:r>
      <w:r>
        <w:rPr>
          <w:spacing w:val="-2"/>
          <w:sz w:val="20"/>
        </w:rPr>
        <w:t> </w:t>
      </w:r>
      <w:r>
        <w:rPr>
          <w:sz w:val="20"/>
        </w:rPr>
        <w:t>Giannopoulos</w:t>
        <w:tab/>
      </w:r>
      <w:r>
        <w:rPr>
          <w:b/>
          <w:sz w:val="20"/>
        </w:rPr>
        <w:t>Barclays (Chair’s</w:t>
      </w:r>
      <w:r>
        <w:rPr>
          <w:b/>
          <w:spacing w:val="-15"/>
          <w:sz w:val="20"/>
        </w:rPr>
        <w:t> </w:t>
      </w:r>
      <w:r>
        <w:rPr>
          <w:b/>
          <w:sz w:val="20"/>
        </w:rPr>
        <w:t>office)</w:t>
      </w:r>
    </w:p>
    <w:p>
      <w:pPr>
        <w:tabs>
          <w:tab w:pos="3342" w:val="left" w:leader="none"/>
        </w:tabs>
        <w:spacing w:before="70"/>
        <w:ind w:left="223" w:right="0" w:firstLine="0"/>
        <w:jc w:val="left"/>
        <w:rPr>
          <w:b/>
          <w:sz w:val="20"/>
        </w:rPr>
      </w:pPr>
      <w:r>
        <w:rPr>
          <w:sz w:val="20"/>
        </w:rPr>
        <w:t>Paul</w:t>
      </w:r>
      <w:r>
        <w:rPr>
          <w:spacing w:val="-1"/>
          <w:sz w:val="20"/>
        </w:rPr>
        <w:t> </w:t>
      </w:r>
      <w:r>
        <w:rPr>
          <w:sz w:val="20"/>
        </w:rPr>
        <w:t>Mansour</w:t>
        <w:tab/>
      </w:r>
      <w:r>
        <w:rPr>
          <w:b/>
          <w:sz w:val="20"/>
        </w:rPr>
        <w:t>Barclays (Chair’s</w:t>
      </w:r>
      <w:r>
        <w:rPr>
          <w:b/>
          <w:spacing w:val="-15"/>
          <w:sz w:val="20"/>
        </w:rPr>
        <w:t> </w:t>
      </w:r>
      <w:r>
        <w:rPr>
          <w:b/>
          <w:sz w:val="20"/>
        </w:rPr>
        <w:t>office)</w:t>
      </w:r>
    </w:p>
    <w:p>
      <w:pPr>
        <w:tabs>
          <w:tab w:pos="3342" w:val="left" w:leader="none"/>
        </w:tabs>
        <w:spacing w:before="70"/>
        <w:ind w:left="223" w:right="0" w:firstLine="0"/>
        <w:jc w:val="left"/>
        <w:rPr>
          <w:b/>
          <w:sz w:val="20"/>
        </w:rPr>
      </w:pPr>
      <w:r>
        <w:rPr>
          <w:sz w:val="20"/>
        </w:rPr>
        <w:t>Frances</w:t>
      </w:r>
      <w:r>
        <w:rPr>
          <w:spacing w:val="-2"/>
          <w:sz w:val="20"/>
        </w:rPr>
        <w:t> </w:t>
      </w:r>
      <w:r>
        <w:rPr>
          <w:sz w:val="20"/>
        </w:rPr>
        <w:t>Hinden</w:t>
        <w:tab/>
      </w:r>
      <w:r>
        <w:rPr>
          <w:b/>
          <w:sz w:val="20"/>
        </w:rPr>
        <w:t>Shell (Vice</w:t>
      </w:r>
      <w:r>
        <w:rPr>
          <w:b/>
          <w:spacing w:val="-2"/>
          <w:sz w:val="20"/>
        </w:rPr>
        <w:t> </w:t>
      </w:r>
      <w:r>
        <w:rPr>
          <w:b/>
          <w:sz w:val="20"/>
        </w:rPr>
        <w:t>Chair)</w:t>
      </w:r>
    </w:p>
    <w:p>
      <w:pPr>
        <w:tabs>
          <w:tab w:pos="3342" w:val="left" w:leader="none"/>
        </w:tabs>
        <w:spacing w:before="70"/>
        <w:ind w:left="223" w:right="0" w:firstLine="0"/>
        <w:jc w:val="left"/>
        <w:rPr>
          <w:b/>
          <w:sz w:val="20"/>
        </w:rPr>
      </w:pPr>
      <w:r>
        <w:rPr>
          <w:sz w:val="20"/>
        </w:rPr>
        <w:t>Robert</w:t>
      </w:r>
      <w:r>
        <w:rPr>
          <w:spacing w:val="-3"/>
          <w:sz w:val="20"/>
        </w:rPr>
        <w:t> </w:t>
      </w:r>
      <w:r>
        <w:rPr>
          <w:sz w:val="20"/>
        </w:rPr>
        <w:t>de</w:t>
      </w:r>
      <w:r>
        <w:rPr>
          <w:spacing w:val="-3"/>
          <w:sz w:val="20"/>
        </w:rPr>
        <w:t> </w:t>
      </w:r>
      <w:r>
        <w:rPr>
          <w:sz w:val="20"/>
        </w:rPr>
        <w:t>Roeck</w:t>
        <w:tab/>
      </w:r>
      <w:r>
        <w:rPr>
          <w:b/>
          <w:sz w:val="20"/>
        </w:rPr>
        <w:t>Aberdeen</w:t>
      </w:r>
      <w:r>
        <w:rPr>
          <w:b/>
          <w:spacing w:val="-1"/>
          <w:sz w:val="20"/>
        </w:rPr>
        <w:t> </w:t>
      </w:r>
      <w:r>
        <w:rPr>
          <w:b/>
          <w:sz w:val="20"/>
        </w:rPr>
        <w:t>Standard</w:t>
      </w:r>
    </w:p>
    <w:p>
      <w:pPr>
        <w:tabs>
          <w:tab w:pos="3342" w:val="left" w:leader="none"/>
        </w:tabs>
        <w:spacing w:before="70"/>
        <w:ind w:left="223" w:right="0" w:firstLine="0"/>
        <w:jc w:val="left"/>
        <w:rPr>
          <w:b/>
          <w:sz w:val="20"/>
        </w:rPr>
      </w:pPr>
      <w:r>
        <w:rPr>
          <w:sz w:val="20"/>
        </w:rPr>
        <w:t>Shaun</w:t>
      </w:r>
      <w:r>
        <w:rPr>
          <w:spacing w:val="-4"/>
          <w:sz w:val="20"/>
        </w:rPr>
        <w:t> </w:t>
      </w:r>
      <w:r>
        <w:rPr>
          <w:sz w:val="20"/>
        </w:rPr>
        <w:t>Kennedy</w:t>
        <w:tab/>
      </w:r>
      <w:r>
        <w:rPr>
          <w:b/>
          <w:sz w:val="20"/>
        </w:rPr>
        <w:t>Associated British Ports</w:t>
      </w:r>
    </w:p>
    <w:p>
      <w:pPr>
        <w:tabs>
          <w:tab w:pos="3342" w:val="left" w:leader="none"/>
        </w:tabs>
        <w:spacing w:before="70"/>
        <w:ind w:left="223" w:right="0" w:firstLine="0"/>
        <w:jc w:val="left"/>
        <w:rPr>
          <w:b/>
          <w:sz w:val="20"/>
        </w:rPr>
      </w:pPr>
      <w:r>
        <w:rPr>
          <w:sz w:val="20"/>
        </w:rPr>
        <w:t>Sarah</w:t>
      </w:r>
      <w:r>
        <w:rPr>
          <w:spacing w:val="-3"/>
          <w:sz w:val="20"/>
        </w:rPr>
        <w:t> </w:t>
      </w:r>
      <w:r>
        <w:rPr>
          <w:sz w:val="20"/>
        </w:rPr>
        <w:t>Boyce</w:t>
        <w:tab/>
      </w:r>
      <w:r>
        <w:rPr>
          <w:b/>
          <w:sz w:val="20"/>
        </w:rPr>
        <w:t>Association of Corporate</w:t>
      </w:r>
      <w:r>
        <w:rPr>
          <w:b/>
          <w:spacing w:val="-5"/>
          <w:sz w:val="20"/>
        </w:rPr>
        <w:t> </w:t>
      </w:r>
      <w:r>
        <w:rPr>
          <w:b/>
          <w:sz w:val="20"/>
        </w:rPr>
        <w:t>Treasurers</w:t>
      </w:r>
    </w:p>
    <w:p>
      <w:pPr>
        <w:tabs>
          <w:tab w:pos="3342" w:val="left" w:leader="none"/>
        </w:tabs>
        <w:spacing w:before="70"/>
        <w:ind w:left="223" w:right="0" w:firstLine="0"/>
        <w:jc w:val="left"/>
        <w:rPr>
          <w:b/>
          <w:sz w:val="20"/>
        </w:rPr>
      </w:pPr>
      <w:r>
        <w:rPr>
          <w:sz w:val="20"/>
        </w:rPr>
        <w:t>Nick</w:t>
      </w:r>
      <w:r>
        <w:rPr>
          <w:spacing w:val="-4"/>
          <w:sz w:val="20"/>
        </w:rPr>
        <w:t> </w:t>
      </w:r>
      <w:r>
        <w:rPr>
          <w:sz w:val="20"/>
        </w:rPr>
        <w:t>Saggers</w:t>
        <w:tab/>
      </w:r>
      <w:r>
        <w:rPr>
          <w:b/>
          <w:sz w:val="20"/>
        </w:rPr>
        <w:t>Bank of America Merrill</w:t>
      </w:r>
      <w:r>
        <w:rPr>
          <w:b/>
          <w:spacing w:val="-5"/>
          <w:sz w:val="20"/>
        </w:rPr>
        <w:t> </w:t>
      </w:r>
      <w:r>
        <w:rPr>
          <w:b/>
          <w:sz w:val="20"/>
        </w:rPr>
        <w:t>Lynch</w:t>
      </w:r>
    </w:p>
    <w:p>
      <w:pPr>
        <w:tabs>
          <w:tab w:pos="3342" w:val="left" w:leader="none"/>
        </w:tabs>
        <w:spacing w:before="70"/>
        <w:ind w:left="223" w:right="0" w:firstLine="0"/>
        <w:jc w:val="left"/>
        <w:rPr>
          <w:b/>
          <w:sz w:val="20"/>
        </w:rPr>
      </w:pPr>
      <w:r>
        <w:rPr>
          <w:sz w:val="20"/>
        </w:rPr>
        <w:t>Jonathan</w:t>
      </w:r>
      <w:r>
        <w:rPr>
          <w:spacing w:val="-4"/>
          <w:sz w:val="20"/>
        </w:rPr>
        <w:t> </w:t>
      </w:r>
      <w:r>
        <w:rPr>
          <w:sz w:val="20"/>
        </w:rPr>
        <w:t>Brown</w:t>
        <w:tab/>
      </w:r>
      <w:r>
        <w:rPr>
          <w:b/>
          <w:sz w:val="20"/>
        </w:rPr>
        <w:t>Barclays</w:t>
      </w:r>
    </w:p>
    <w:p>
      <w:pPr>
        <w:tabs>
          <w:tab w:pos="3342" w:val="left" w:leader="none"/>
        </w:tabs>
        <w:spacing w:before="70"/>
        <w:ind w:left="223" w:right="0" w:firstLine="0"/>
        <w:jc w:val="left"/>
        <w:rPr>
          <w:b/>
          <w:sz w:val="20"/>
        </w:rPr>
      </w:pPr>
      <w:r>
        <w:rPr>
          <w:sz w:val="20"/>
        </w:rPr>
        <w:t>Rob</w:t>
      </w:r>
      <w:r>
        <w:rPr>
          <w:spacing w:val="-4"/>
          <w:sz w:val="20"/>
        </w:rPr>
        <w:t> </w:t>
      </w:r>
      <w:r>
        <w:rPr>
          <w:sz w:val="20"/>
        </w:rPr>
        <w:t>Mitchelson</w:t>
        <w:tab/>
      </w:r>
      <w:r>
        <w:rPr>
          <w:b/>
          <w:sz w:val="20"/>
        </w:rPr>
        <w:t>Blackrock</w:t>
      </w:r>
    </w:p>
    <w:p>
      <w:pPr>
        <w:tabs>
          <w:tab w:pos="3342" w:val="left" w:leader="none"/>
        </w:tabs>
        <w:spacing w:before="70"/>
        <w:ind w:left="223" w:right="0" w:firstLine="0"/>
        <w:jc w:val="left"/>
        <w:rPr>
          <w:b/>
          <w:sz w:val="20"/>
        </w:rPr>
      </w:pPr>
      <w:r>
        <w:rPr>
          <w:sz w:val="20"/>
        </w:rPr>
        <w:t>Timothy</w:t>
      </w:r>
      <w:r>
        <w:rPr>
          <w:spacing w:val="-6"/>
          <w:sz w:val="20"/>
        </w:rPr>
        <w:t> </w:t>
      </w:r>
      <w:r>
        <w:rPr>
          <w:sz w:val="20"/>
        </w:rPr>
        <w:t>Tomalin-Reeves</w:t>
        <w:tab/>
      </w:r>
      <w:r>
        <w:rPr>
          <w:b/>
          <w:sz w:val="20"/>
        </w:rPr>
        <w:t>Citadel</w:t>
      </w:r>
    </w:p>
    <w:p>
      <w:pPr>
        <w:tabs>
          <w:tab w:pos="3342" w:val="left" w:leader="none"/>
        </w:tabs>
        <w:spacing w:before="70"/>
        <w:ind w:left="223" w:right="0" w:firstLine="0"/>
        <w:jc w:val="left"/>
        <w:rPr>
          <w:b/>
          <w:sz w:val="20"/>
        </w:rPr>
      </w:pPr>
      <w:r>
        <w:rPr>
          <w:sz w:val="20"/>
        </w:rPr>
        <w:t>Michael</w:t>
      </w:r>
      <w:r>
        <w:rPr>
          <w:spacing w:val="-4"/>
          <w:sz w:val="20"/>
        </w:rPr>
        <w:t> </w:t>
      </w:r>
      <w:r>
        <w:rPr>
          <w:sz w:val="20"/>
        </w:rPr>
        <w:t>Barron</w:t>
        <w:tab/>
      </w:r>
      <w:r>
        <w:rPr>
          <w:b/>
          <w:sz w:val="20"/>
        </w:rPr>
        <w:t>Deutsche Bank</w:t>
      </w:r>
    </w:p>
    <w:p>
      <w:pPr>
        <w:tabs>
          <w:tab w:pos="3342" w:val="left" w:leader="none"/>
        </w:tabs>
        <w:spacing w:before="70"/>
        <w:ind w:left="223" w:right="0" w:firstLine="0"/>
        <w:jc w:val="left"/>
        <w:rPr>
          <w:b/>
          <w:sz w:val="20"/>
        </w:rPr>
      </w:pPr>
      <w:r>
        <w:rPr>
          <w:sz w:val="20"/>
        </w:rPr>
        <w:t>Axel</w:t>
      </w:r>
      <w:r>
        <w:rPr>
          <w:spacing w:val="-4"/>
          <w:sz w:val="20"/>
        </w:rPr>
        <w:t> </w:t>
      </w:r>
      <w:r>
        <w:rPr>
          <w:sz w:val="20"/>
        </w:rPr>
        <w:t>van</w:t>
      </w:r>
      <w:r>
        <w:rPr>
          <w:spacing w:val="-3"/>
          <w:sz w:val="20"/>
        </w:rPr>
        <w:t> </w:t>
      </w:r>
      <w:r>
        <w:rPr>
          <w:sz w:val="20"/>
        </w:rPr>
        <w:t>Nederveen</w:t>
        <w:tab/>
      </w:r>
      <w:r>
        <w:rPr>
          <w:b/>
          <w:sz w:val="20"/>
        </w:rPr>
        <w:t>European Bank for Reconstruction &amp;</w:t>
      </w:r>
      <w:r>
        <w:rPr>
          <w:b/>
          <w:spacing w:val="-12"/>
          <w:sz w:val="20"/>
        </w:rPr>
        <w:t> </w:t>
      </w:r>
      <w:r>
        <w:rPr>
          <w:b/>
          <w:sz w:val="20"/>
        </w:rPr>
        <w:t>Development</w:t>
      </w:r>
    </w:p>
    <w:p>
      <w:pPr>
        <w:tabs>
          <w:tab w:pos="3342" w:val="left" w:leader="none"/>
        </w:tabs>
        <w:spacing w:before="70"/>
        <w:ind w:left="223" w:right="0" w:firstLine="0"/>
        <w:jc w:val="left"/>
        <w:rPr>
          <w:b/>
          <w:sz w:val="20"/>
        </w:rPr>
      </w:pPr>
      <w:r>
        <w:rPr>
          <w:sz w:val="20"/>
        </w:rPr>
        <w:t>Chirag</w:t>
      </w:r>
      <w:r>
        <w:rPr>
          <w:spacing w:val="-3"/>
          <w:sz w:val="20"/>
        </w:rPr>
        <w:t> </w:t>
      </w:r>
      <w:r>
        <w:rPr>
          <w:sz w:val="20"/>
        </w:rPr>
        <w:t>Dave</w:t>
        <w:tab/>
      </w:r>
      <w:r>
        <w:rPr>
          <w:b/>
          <w:sz w:val="20"/>
        </w:rPr>
        <w:t>Goldman</w:t>
      </w:r>
      <w:r>
        <w:rPr>
          <w:b/>
          <w:spacing w:val="-1"/>
          <w:sz w:val="20"/>
        </w:rPr>
        <w:t> </w:t>
      </w:r>
      <w:r>
        <w:rPr>
          <w:b/>
          <w:sz w:val="20"/>
        </w:rPr>
        <w:t>Sachs</w:t>
      </w:r>
    </w:p>
    <w:p>
      <w:pPr>
        <w:tabs>
          <w:tab w:pos="3342" w:val="left" w:leader="none"/>
        </w:tabs>
        <w:spacing w:before="70"/>
        <w:ind w:left="223" w:right="0" w:firstLine="0"/>
        <w:jc w:val="left"/>
        <w:rPr>
          <w:b/>
          <w:sz w:val="20"/>
        </w:rPr>
      </w:pPr>
      <w:r>
        <w:rPr>
          <w:sz w:val="20"/>
        </w:rPr>
        <w:t>Sander</w:t>
      </w:r>
      <w:r>
        <w:rPr>
          <w:spacing w:val="-3"/>
          <w:sz w:val="20"/>
        </w:rPr>
        <w:t> </w:t>
      </w:r>
      <w:r>
        <w:rPr>
          <w:sz w:val="20"/>
        </w:rPr>
        <w:t>Slotema</w:t>
        <w:tab/>
      </w:r>
      <w:r>
        <w:rPr>
          <w:b/>
          <w:sz w:val="20"/>
        </w:rPr>
        <w:t>HSBC</w:t>
      </w:r>
    </w:p>
    <w:p>
      <w:pPr>
        <w:tabs>
          <w:tab w:pos="3342" w:val="left" w:leader="none"/>
        </w:tabs>
        <w:spacing w:before="70"/>
        <w:ind w:left="223" w:right="0" w:firstLine="0"/>
        <w:jc w:val="left"/>
        <w:rPr>
          <w:b/>
          <w:sz w:val="20"/>
        </w:rPr>
      </w:pPr>
      <w:r>
        <w:rPr>
          <w:sz w:val="20"/>
        </w:rPr>
        <w:t>Daniele</w:t>
      </w:r>
      <w:r>
        <w:rPr>
          <w:spacing w:val="-1"/>
          <w:sz w:val="20"/>
        </w:rPr>
        <w:t> </w:t>
      </w:r>
      <w:r>
        <w:rPr>
          <w:sz w:val="20"/>
        </w:rPr>
        <w:t>Forni</w:t>
        <w:tab/>
      </w:r>
      <w:r>
        <w:rPr>
          <w:b/>
          <w:sz w:val="20"/>
        </w:rPr>
        <w:t>HSBC</w:t>
      </w:r>
    </w:p>
    <w:p>
      <w:pPr>
        <w:tabs>
          <w:tab w:pos="3342" w:val="left" w:leader="none"/>
        </w:tabs>
        <w:spacing w:before="70"/>
        <w:ind w:left="223" w:right="0" w:firstLine="0"/>
        <w:jc w:val="left"/>
        <w:rPr>
          <w:b/>
          <w:sz w:val="20"/>
        </w:rPr>
      </w:pPr>
      <w:r>
        <w:rPr>
          <w:sz w:val="20"/>
        </w:rPr>
        <w:t>Matthew</w:t>
      </w:r>
      <w:r>
        <w:rPr>
          <w:spacing w:val="-4"/>
          <w:sz w:val="20"/>
        </w:rPr>
        <w:t> </w:t>
      </w:r>
      <w:r>
        <w:rPr>
          <w:sz w:val="20"/>
        </w:rPr>
        <w:t>Horton</w:t>
        <w:tab/>
      </w:r>
      <w:r>
        <w:rPr>
          <w:b/>
          <w:sz w:val="20"/>
        </w:rPr>
        <w:t>ICE Group</w:t>
      </w:r>
    </w:p>
    <w:p>
      <w:pPr>
        <w:tabs>
          <w:tab w:pos="3342" w:val="left" w:leader="none"/>
        </w:tabs>
        <w:spacing w:before="70"/>
        <w:ind w:left="223" w:right="0" w:firstLine="0"/>
        <w:jc w:val="left"/>
        <w:rPr>
          <w:b/>
          <w:sz w:val="20"/>
        </w:rPr>
      </w:pPr>
      <w:r>
        <w:rPr>
          <w:sz w:val="20"/>
        </w:rPr>
        <w:t>Paul</w:t>
      </w:r>
      <w:r>
        <w:rPr>
          <w:spacing w:val="-5"/>
          <w:sz w:val="20"/>
        </w:rPr>
        <w:t> </w:t>
      </w:r>
      <w:r>
        <w:rPr>
          <w:sz w:val="20"/>
        </w:rPr>
        <w:t>Richards</w:t>
        <w:tab/>
      </w:r>
      <w:r>
        <w:rPr>
          <w:b/>
          <w:sz w:val="20"/>
        </w:rPr>
        <w:t>ICMA</w:t>
      </w:r>
    </w:p>
    <w:p>
      <w:pPr>
        <w:tabs>
          <w:tab w:pos="3342" w:val="left" w:leader="none"/>
        </w:tabs>
        <w:spacing w:before="70"/>
        <w:ind w:left="223" w:right="0" w:firstLine="0"/>
        <w:jc w:val="left"/>
        <w:rPr>
          <w:b/>
          <w:sz w:val="20"/>
        </w:rPr>
      </w:pPr>
      <w:r>
        <w:rPr>
          <w:sz w:val="20"/>
        </w:rPr>
        <w:t>David</w:t>
      </w:r>
      <w:r>
        <w:rPr>
          <w:spacing w:val="-3"/>
          <w:sz w:val="20"/>
        </w:rPr>
        <w:t> </w:t>
      </w:r>
      <w:r>
        <w:rPr>
          <w:sz w:val="20"/>
        </w:rPr>
        <w:t>Jamieson</w:t>
        <w:tab/>
      </w:r>
      <w:r>
        <w:rPr>
          <w:b/>
          <w:sz w:val="20"/>
        </w:rPr>
        <w:t>Insight</w:t>
      </w:r>
      <w:r>
        <w:rPr>
          <w:b/>
          <w:spacing w:val="-2"/>
          <w:sz w:val="20"/>
        </w:rPr>
        <w:t> </w:t>
      </w:r>
      <w:r>
        <w:rPr>
          <w:b/>
          <w:sz w:val="20"/>
        </w:rPr>
        <w:t>Investment</w:t>
      </w:r>
    </w:p>
    <w:p>
      <w:pPr>
        <w:tabs>
          <w:tab w:pos="3342" w:val="left" w:leader="none"/>
        </w:tabs>
        <w:spacing w:before="70"/>
        <w:ind w:left="223" w:right="0" w:firstLine="0"/>
        <w:jc w:val="left"/>
        <w:rPr>
          <w:b/>
          <w:sz w:val="20"/>
        </w:rPr>
      </w:pPr>
      <w:r>
        <w:rPr>
          <w:sz w:val="20"/>
        </w:rPr>
        <w:t>Ross</w:t>
      </w:r>
      <w:r>
        <w:rPr>
          <w:spacing w:val="-2"/>
          <w:sz w:val="20"/>
        </w:rPr>
        <w:t> </w:t>
      </w:r>
      <w:r>
        <w:rPr>
          <w:sz w:val="20"/>
        </w:rPr>
        <w:t>Barrett</w:t>
        <w:tab/>
      </w:r>
      <w:r>
        <w:rPr>
          <w:b/>
          <w:sz w:val="20"/>
        </w:rPr>
        <w:t>Investment</w:t>
      </w:r>
      <w:r>
        <w:rPr>
          <w:b/>
          <w:spacing w:val="-16"/>
          <w:sz w:val="20"/>
        </w:rPr>
        <w:t> </w:t>
      </w:r>
      <w:r>
        <w:rPr>
          <w:b/>
          <w:sz w:val="20"/>
        </w:rPr>
        <w:t>Association</w:t>
      </w:r>
    </w:p>
    <w:p>
      <w:pPr>
        <w:tabs>
          <w:tab w:pos="3342" w:val="left" w:leader="none"/>
        </w:tabs>
        <w:spacing w:before="70"/>
        <w:ind w:left="223" w:right="0" w:firstLine="0"/>
        <w:jc w:val="left"/>
        <w:rPr>
          <w:b/>
          <w:sz w:val="20"/>
        </w:rPr>
      </w:pPr>
      <w:r>
        <w:rPr>
          <w:sz w:val="20"/>
        </w:rPr>
        <w:t>Galina</w:t>
      </w:r>
      <w:r>
        <w:rPr>
          <w:spacing w:val="-4"/>
          <w:sz w:val="20"/>
        </w:rPr>
        <w:t> </w:t>
      </w:r>
      <w:r>
        <w:rPr>
          <w:sz w:val="20"/>
        </w:rPr>
        <w:t>Dimitrova</w:t>
        <w:tab/>
      </w:r>
      <w:r>
        <w:rPr>
          <w:b/>
          <w:sz w:val="20"/>
        </w:rPr>
        <w:t>Investment</w:t>
      </w:r>
      <w:r>
        <w:rPr>
          <w:b/>
          <w:spacing w:val="-17"/>
          <w:sz w:val="20"/>
        </w:rPr>
        <w:t> </w:t>
      </w:r>
      <w:r>
        <w:rPr>
          <w:b/>
          <w:sz w:val="20"/>
        </w:rPr>
        <w:t>Association</w:t>
      </w:r>
    </w:p>
    <w:p>
      <w:pPr>
        <w:pStyle w:val="BodyText"/>
        <w:tabs>
          <w:tab w:pos="3342" w:val="left" w:leader="none"/>
        </w:tabs>
        <w:spacing w:before="70"/>
        <w:ind w:left="223" w:firstLine="0"/>
        <w:rPr>
          <w:b/>
        </w:rPr>
      </w:pPr>
      <w:r>
        <w:rPr/>
        <w:t>Rick</w:t>
      </w:r>
      <w:r>
        <w:rPr>
          <w:spacing w:val="-4"/>
        </w:rPr>
        <w:t> </w:t>
      </w:r>
      <w:r>
        <w:rPr/>
        <w:t>Sandilands</w:t>
        <w:tab/>
      </w:r>
      <w:r>
        <w:rPr>
          <w:b/>
        </w:rPr>
        <w:t>ISDA</w:t>
      </w:r>
    </w:p>
    <w:p>
      <w:pPr>
        <w:pStyle w:val="BodyText"/>
        <w:tabs>
          <w:tab w:pos="3342" w:val="left" w:leader="none"/>
        </w:tabs>
        <w:spacing w:before="70"/>
        <w:ind w:left="223" w:firstLine="0"/>
        <w:rPr>
          <w:b/>
        </w:rPr>
      </w:pPr>
      <w:r>
        <w:rPr/>
        <w:t>Philip</w:t>
      </w:r>
      <w:r>
        <w:rPr>
          <w:spacing w:val="-1"/>
        </w:rPr>
        <w:t> </w:t>
      </w:r>
      <w:r>
        <w:rPr/>
        <w:t>Whitehurst</w:t>
        <w:tab/>
      </w:r>
      <w:r>
        <w:rPr>
          <w:b/>
        </w:rPr>
        <w:t>LCH</w:t>
      </w:r>
    </w:p>
    <w:p>
      <w:pPr>
        <w:tabs>
          <w:tab w:pos="3342" w:val="left" w:leader="none"/>
        </w:tabs>
        <w:spacing w:before="70"/>
        <w:ind w:left="223" w:right="0" w:firstLine="0"/>
        <w:jc w:val="left"/>
        <w:rPr>
          <w:b/>
          <w:sz w:val="20"/>
        </w:rPr>
      </w:pPr>
      <w:r>
        <w:rPr>
          <w:sz w:val="20"/>
        </w:rPr>
        <w:t>Guy</w:t>
      </w:r>
      <w:r>
        <w:rPr>
          <w:spacing w:val="-3"/>
          <w:sz w:val="20"/>
        </w:rPr>
        <w:t> </w:t>
      </w:r>
      <w:r>
        <w:rPr>
          <w:sz w:val="20"/>
        </w:rPr>
        <w:t>Whitby</w:t>
      </w:r>
      <w:r>
        <w:rPr>
          <w:spacing w:val="-3"/>
          <w:sz w:val="20"/>
        </w:rPr>
        <w:t> </w:t>
      </w:r>
      <w:r>
        <w:rPr>
          <w:sz w:val="20"/>
        </w:rPr>
        <w:t>Smith</w:t>
        <w:tab/>
      </w:r>
      <w:r>
        <w:rPr>
          <w:b/>
          <w:sz w:val="20"/>
        </w:rPr>
        <w:t>Legal &amp; General Investment</w:t>
      </w:r>
      <w:r>
        <w:rPr>
          <w:b/>
          <w:spacing w:val="-6"/>
          <w:sz w:val="20"/>
        </w:rPr>
        <w:t> </w:t>
      </w:r>
      <w:r>
        <w:rPr>
          <w:b/>
          <w:sz w:val="20"/>
        </w:rPr>
        <w:t>Management</w:t>
      </w:r>
    </w:p>
    <w:p>
      <w:pPr>
        <w:tabs>
          <w:tab w:pos="3342" w:val="left" w:leader="none"/>
        </w:tabs>
        <w:spacing w:before="70"/>
        <w:ind w:left="223" w:right="0" w:firstLine="0"/>
        <w:jc w:val="left"/>
        <w:rPr>
          <w:b/>
          <w:sz w:val="20"/>
        </w:rPr>
      </w:pPr>
      <w:r>
        <w:rPr>
          <w:sz w:val="20"/>
        </w:rPr>
        <w:t>Ian</w:t>
      </w:r>
      <w:r>
        <w:rPr>
          <w:spacing w:val="-2"/>
          <w:sz w:val="20"/>
        </w:rPr>
        <w:t> </w:t>
      </w:r>
      <w:r>
        <w:rPr>
          <w:sz w:val="20"/>
        </w:rPr>
        <w:t>Fox</w:t>
        <w:tab/>
      </w:r>
      <w:r>
        <w:rPr>
          <w:b/>
          <w:sz w:val="20"/>
        </w:rPr>
        <w:t>Lloyds Banking</w:t>
      </w:r>
      <w:r>
        <w:rPr>
          <w:b/>
          <w:spacing w:val="-2"/>
          <w:sz w:val="20"/>
        </w:rPr>
        <w:t> </w:t>
      </w:r>
      <w:r>
        <w:rPr>
          <w:b/>
          <w:sz w:val="20"/>
        </w:rPr>
        <w:t>Group</w:t>
      </w:r>
    </w:p>
    <w:p>
      <w:pPr>
        <w:tabs>
          <w:tab w:pos="3342" w:val="left" w:leader="none"/>
        </w:tabs>
        <w:spacing w:before="70"/>
        <w:ind w:left="223" w:right="0" w:firstLine="0"/>
        <w:jc w:val="left"/>
        <w:rPr>
          <w:b/>
          <w:sz w:val="20"/>
        </w:rPr>
      </w:pPr>
      <w:r>
        <w:rPr>
          <w:sz w:val="20"/>
        </w:rPr>
        <w:t>Clare</w:t>
      </w:r>
      <w:r>
        <w:rPr>
          <w:spacing w:val="-3"/>
          <w:sz w:val="20"/>
        </w:rPr>
        <w:t> </w:t>
      </w:r>
      <w:r>
        <w:rPr>
          <w:sz w:val="20"/>
        </w:rPr>
        <w:t>Dawson</w:t>
        <w:tab/>
      </w:r>
      <w:r>
        <w:rPr>
          <w:b/>
          <w:sz w:val="20"/>
        </w:rPr>
        <w:t>Loan Market</w:t>
      </w:r>
      <w:r>
        <w:rPr>
          <w:b/>
          <w:spacing w:val="-2"/>
          <w:sz w:val="20"/>
        </w:rPr>
        <w:t> </w:t>
      </w:r>
      <w:r>
        <w:rPr>
          <w:b/>
          <w:sz w:val="20"/>
        </w:rPr>
        <w:t>Association</w:t>
      </w:r>
    </w:p>
    <w:p>
      <w:pPr>
        <w:pStyle w:val="BodyText"/>
        <w:tabs>
          <w:tab w:pos="3342" w:val="left" w:leader="none"/>
        </w:tabs>
        <w:spacing w:before="70"/>
        <w:ind w:left="223" w:firstLine="0"/>
        <w:rPr>
          <w:b/>
        </w:rPr>
      </w:pPr>
      <w:r>
        <w:rPr/>
        <w:t>Siobhan</w:t>
      </w:r>
      <w:r>
        <w:rPr>
          <w:spacing w:val="-2"/>
        </w:rPr>
        <w:t> </w:t>
      </w:r>
      <w:r>
        <w:rPr/>
        <w:t>Clarke</w:t>
        <w:tab/>
      </w:r>
      <w:r>
        <w:rPr>
          <w:b/>
        </w:rPr>
        <w:t>M&amp;G</w:t>
      </w:r>
    </w:p>
    <w:p>
      <w:pPr>
        <w:tabs>
          <w:tab w:pos="3342" w:val="left" w:leader="none"/>
        </w:tabs>
        <w:spacing w:before="70"/>
        <w:ind w:left="223" w:right="0" w:firstLine="0"/>
        <w:jc w:val="left"/>
        <w:rPr>
          <w:b/>
          <w:sz w:val="20"/>
        </w:rPr>
      </w:pPr>
      <w:r>
        <w:rPr>
          <w:sz w:val="20"/>
        </w:rPr>
        <w:t>David</w:t>
      </w:r>
      <w:r>
        <w:rPr>
          <w:spacing w:val="-3"/>
          <w:sz w:val="20"/>
        </w:rPr>
        <w:t> </w:t>
      </w:r>
      <w:r>
        <w:rPr>
          <w:sz w:val="20"/>
        </w:rPr>
        <w:t>Covey</w:t>
        <w:tab/>
      </w:r>
      <w:r>
        <w:rPr>
          <w:b/>
          <w:sz w:val="20"/>
        </w:rPr>
        <w:t>M&amp;G</w:t>
      </w:r>
      <w:r>
        <w:rPr>
          <w:b/>
          <w:spacing w:val="-1"/>
          <w:sz w:val="20"/>
        </w:rPr>
        <w:t> </w:t>
      </w:r>
      <w:r>
        <w:rPr>
          <w:b/>
          <w:sz w:val="20"/>
        </w:rPr>
        <w:t>Investments</w:t>
      </w:r>
    </w:p>
    <w:p>
      <w:pPr>
        <w:tabs>
          <w:tab w:pos="3342" w:val="left" w:leader="none"/>
        </w:tabs>
        <w:spacing w:before="70"/>
        <w:ind w:left="223" w:right="0" w:firstLine="0"/>
        <w:jc w:val="left"/>
        <w:rPr>
          <w:b/>
          <w:sz w:val="20"/>
        </w:rPr>
      </w:pPr>
      <w:r>
        <w:rPr>
          <w:sz w:val="20"/>
        </w:rPr>
        <w:t>Richard</w:t>
      </w:r>
      <w:r>
        <w:rPr>
          <w:spacing w:val="-4"/>
          <w:sz w:val="20"/>
        </w:rPr>
        <w:t> </w:t>
      </w:r>
      <w:r>
        <w:rPr>
          <w:sz w:val="20"/>
        </w:rPr>
        <w:t>Merrett</w:t>
        <w:tab/>
      </w:r>
      <w:r>
        <w:rPr>
          <w:b/>
          <w:sz w:val="20"/>
        </w:rPr>
        <w:t>Nationwide Building</w:t>
      </w:r>
      <w:r>
        <w:rPr>
          <w:b/>
          <w:spacing w:val="-3"/>
          <w:sz w:val="20"/>
        </w:rPr>
        <w:t> </w:t>
      </w:r>
      <w:r>
        <w:rPr>
          <w:b/>
          <w:sz w:val="20"/>
        </w:rPr>
        <w:t>Society</w:t>
      </w:r>
    </w:p>
    <w:p>
      <w:pPr>
        <w:tabs>
          <w:tab w:pos="3342" w:val="left" w:leader="none"/>
        </w:tabs>
        <w:spacing w:before="70"/>
        <w:ind w:left="223" w:right="0" w:firstLine="0"/>
        <w:jc w:val="left"/>
        <w:rPr>
          <w:b/>
          <w:sz w:val="20"/>
        </w:rPr>
      </w:pPr>
      <w:r>
        <w:rPr>
          <w:sz w:val="20"/>
        </w:rPr>
        <w:t>Oliver</w:t>
      </w:r>
      <w:r>
        <w:rPr>
          <w:spacing w:val="-4"/>
          <w:sz w:val="20"/>
        </w:rPr>
        <w:t> </w:t>
      </w:r>
      <w:r>
        <w:rPr>
          <w:sz w:val="20"/>
        </w:rPr>
        <w:t>Cooke</w:t>
        <w:tab/>
      </w:r>
      <w:r>
        <w:rPr>
          <w:b/>
          <w:sz w:val="20"/>
        </w:rPr>
        <w:t>Natwest Markets</w:t>
      </w:r>
    </w:p>
    <w:p>
      <w:pPr>
        <w:tabs>
          <w:tab w:pos="3342" w:val="left" w:leader="none"/>
        </w:tabs>
        <w:spacing w:before="70"/>
        <w:ind w:left="223" w:right="0" w:firstLine="0"/>
        <w:jc w:val="left"/>
        <w:rPr>
          <w:b/>
          <w:sz w:val="20"/>
        </w:rPr>
      </w:pPr>
      <w:r>
        <w:rPr>
          <w:sz w:val="20"/>
        </w:rPr>
        <w:t>Kieran</w:t>
      </w:r>
      <w:r>
        <w:rPr>
          <w:spacing w:val="-2"/>
          <w:sz w:val="20"/>
        </w:rPr>
        <w:t> </w:t>
      </w:r>
      <w:r>
        <w:rPr>
          <w:sz w:val="20"/>
        </w:rPr>
        <w:t>Higgins</w:t>
        <w:tab/>
      </w:r>
      <w:r>
        <w:rPr>
          <w:b/>
          <w:sz w:val="20"/>
        </w:rPr>
        <w:t>Royal Bank of</w:t>
      </w:r>
      <w:r>
        <w:rPr>
          <w:b/>
          <w:spacing w:val="-1"/>
          <w:sz w:val="20"/>
        </w:rPr>
        <w:t> </w:t>
      </w:r>
      <w:r>
        <w:rPr>
          <w:b/>
          <w:sz w:val="20"/>
        </w:rPr>
        <w:t>Scotland</w:t>
      </w:r>
    </w:p>
    <w:p>
      <w:pPr>
        <w:pStyle w:val="BodyText"/>
        <w:ind w:left="0" w:firstLine="0"/>
        <w:rPr>
          <w:b/>
          <w:sz w:val="22"/>
        </w:rPr>
      </w:pPr>
    </w:p>
    <w:p>
      <w:pPr>
        <w:pStyle w:val="BodyText"/>
        <w:spacing w:before="4"/>
        <w:ind w:left="0" w:firstLine="0"/>
        <w:rPr>
          <w:b/>
          <w:sz w:val="21"/>
        </w:rPr>
      </w:pPr>
    </w:p>
    <w:p>
      <w:pPr>
        <w:pStyle w:val="Heading1"/>
        <w:spacing w:before="0"/>
      </w:pPr>
      <w:r>
        <w:rPr/>
        <w:t>Official sector attendees</w:t>
      </w:r>
    </w:p>
    <w:p>
      <w:pPr>
        <w:pStyle w:val="BodyText"/>
        <w:spacing w:before="10"/>
        <w:ind w:left="0" w:firstLine="0"/>
        <w:rPr>
          <w:b/>
          <w:sz w:val="22"/>
        </w:rPr>
      </w:pPr>
    </w:p>
    <w:p>
      <w:pPr>
        <w:tabs>
          <w:tab w:pos="3385" w:val="left" w:leader="none"/>
        </w:tabs>
        <w:spacing w:before="1"/>
        <w:ind w:left="223" w:right="0" w:firstLine="0"/>
        <w:jc w:val="left"/>
        <w:rPr>
          <w:b/>
          <w:sz w:val="20"/>
        </w:rPr>
      </w:pPr>
      <w:r>
        <w:rPr>
          <w:sz w:val="20"/>
        </w:rPr>
        <w:t>Andrew</w:t>
      </w:r>
      <w:r>
        <w:rPr>
          <w:spacing w:val="-3"/>
          <w:sz w:val="20"/>
        </w:rPr>
        <w:t> </w:t>
      </w:r>
      <w:r>
        <w:rPr>
          <w:sz w:val="20"/>
        </w:rPr>
        <w:t>Hauser</w:t>
        <w:tab/>
      </w:r>
      <w:r>
        <w:rPr>
          <w:b/>
          <w:sz w:val="20"/>
        </w:rPr>
        <w:t>Bank of</w:t>
      </w:r>
      <w:r>
        <w:rPr>
          <w:b/>
          <w:spacing w:val="-12"/>
          <w:sz w:val="20"/>
        </w:rPr>
        <w:t> </w:t>
      </w:r>
      <w:r>
        <w:rPr>
          <w:b/>
          <w:sz w:val="20"/>
        </w:rPr>
        <w:t>England</w:t>
      </w:r>
    </w:p>
    <w:p>
      <w:pPr>
        <w:tabs>
          <w:tab w:pos="3385" w:val="left" w:leader="none"/>
        </w:tabs>
        <w:spacing w:before="55"/>
        <w:ind w:left="223" w:right="0" w:firstLine="0"/>
        <w:jc w:val="left"/>
        <w:rPr>
          <w:b/>
          <w:sz w:val="20"/>
        </w:rPr>
      </w:pPr>
      <w:r>
        <w:rPr>
          <w:sz w:val="20"/>
        </w:rPr>
        <w:t>Alastair</w:t>
      </w:r>
      <w:r>
        <w:rPr>
          <w:spacing w:val="-5"/>
          <w:sz w:val="20"/>
        </w:rPr>
        <w:t> </w:t>
      </w:r>
      <w:r>
        <w:rPr>
          <w:sz w:val="20"/>
        </w:rPr>
        <w:t>Hughes</w:t>
        <w:tab/>
      </w:r>
      <w:r>
        <w:rPr>
          <w:b/>
          <w:sz w:val="20"/>
        </w:rPr>
        <w:t>Bank of</w:t>
      </w:r>
      <w:r>
        <w:rPr>
          <w:b/>
          <w:spacing w:val="-11"/>
          <w:sz w:val="20"/>
        </w:rPr>
        <w:t> </w:t>
      </w:r>
      <w:r>
        <w:rPr>
          <w:b/>
          <w:sz w:val="20"/>
        </w:rPr>
        <w:t>England</w:t>
      </w:r>
    </w:p>
    <w:p>
      <w:pPr>
        <w:tabs>
          <w:tab w:pos="3385" w:val="left" w:leader="none"/>
        </w:tabs>
        <w:spacing w:before="57"/>
        <w:ind w:left="223" w:right="0" w:firstLine="0"/>
        <w:jc w:val="left"/>
        <w:rPr>
          <w:b/>
          <w:sz w:val="20"/>
        </w:rPr>
      </w:pPr>
      <w:r>
        <w:rPr>
          <w:sz w:val="20"/>
        </w:rPr>
        <w:t>Hannah</w:t>
      </w:r>
      <w:r>
        <w:rPr>
          <w:spacing w:val="-6"/>
          <w:sz w:val="20"/>
        </w:rPr>
        <w:t> </w:t>
      </w:r>
      <w:r>
        <w:rPr>
          <w:sz w:val="20"/>
        </w:rPr>
        <w:t>Reynolds</w:t>
        <w:tab/>
      </w:r>
      <w:r>
        <w:rPr>
          <w:b/>
          <w:sz w:val="20"/>
        </w:rPr>
        <w:t>Bank of</w:t>
      </w:r>
      <w:r>
        <w:rPr>
          <w:b/>
          <w:spacing w:val="-11"/>
          <w:sz w:val="20"/>
        </w:rPr>
        <w:t> </w:t>
      </w:r>
      <w:r>
        <w:rPr>
          <w:b/>
          <w:sz w:val="20"/>
        </w:rPr>
        <w:t>England</w:t>
      </w:r>
    </w:p>
    <w:p>
      <w:pPr>
        <w:tabs>
          <w:tab w:pos="3385" w:val="left" w:leader="none"/>
        </w:tabs>
        <w:spacing w:before="56"/>
        <w:ind w:left="223" w:right="0" w:firstLine="0"/>
        <w:jc w:val="left"/>
        <w:rPr>
          <w:b/>
          <w:sz w:val="20"/>
        </w:rPr>
      </w:pPr>
      <w:r>
        <w:rPr>
          <w:sz w:val="20"/>
        </w:rPr>
        <w:t>Jugvinder</w:t>
      </w:r>
      <w:r>
        <w:rPr>
          <w:spacing w:val="-2"/>
          <w:sz w:val="20"/>
        </w:rPr>
        <w:t> </w:t>
      </w:r>
      <w:r>
        <w:rPr>
          <w:sz w:val="20"/>
        </w:rPr>
        <w:t>Singh</w:t>
        <w:tab/>
      </w:r>
      <w:r>
        <w:rPr>
          <w:b/>
          <w:sz w:val="20"/>
        </w:rPr>
        <w:t>Bank of</w:t>
      </w:r>
      <w:r>
        <w:rPr>
          <w:b/>
          <w:spacing w:val="-11"/>
          <w:sz w:val="20"/>
        </w:rPr>
        <w:t> </w:t>
      </w:r>
      <w:r>
        <w:rPr>
          <w:b/>
          <w:sz w:val="20"/>
        </w:rPr>
        <w:t>England</w:t>
      </w:r>
    </w:p>
    <w:p>
      <w:pPr>
        <w:tabs>
          <w:tab w:pos="3385" w:val="left" w:leader="none"/>
        </w:tabs>
        <w:spacing w:before="55"/>
        <w:ind w:left="223" w:right="0" w:firstLine="0"/>
        <w:jc w:val="left"/>
        <w:rPr>
          <w:b/>
          <w:sz w:val="20"/>
        </w:rPr>
      </w:pPr>
      <w:r>
        <w:rPr>
          <w:sz w:val="20"/>
        </w:rPr>
        <w:t>Joshua</w:t>
      </w:r>
      <w:r>
        <w:rPr>
          <w:spacing w:val="-2"/>
          <w:sz w:val="20"/>
        </w:rPr>
        <w:t> </w:t>
      </w:r>
      <w:r>
        <w:rPr>
          <w:sz w:val="20"/>
        </w:rPr>
        <w:t>Jones</w:t>
        <w:tab/>
      </w:r>
      <w:r>
        <w:rPr>
          <w:b/>
          <w:sz w:val="20"/>
        </w:rPr>
        <w:t>Bank of</w:t>
      </w:r>
      <w:r>
        <w:rPr>
          <w:b/>
          <w:spacing w:val="-11"/>
          <w:sz w:val="20"/>
        </w:rPr>
        <w:t> </w:t>
      </w:r>
      <w:r>
        <w:rPr>
          <w:b/>
          <w:sz w:val="20"/>
        </w:rPr>
        <w:t>England</w:t>
      </w:r>
    </w:p>
    <w:p>
      <w:pPr>
        <w:tabs>
          <w:tab w:pos="3385" w:val="left" w:leader="none"/>
        </w:tabs>
        <w:spacing w:before="57"/>
        <w:ind w:left="223" w:right="0" w:firstLine="0"/>
        <w:jc w:val="left"/>
        <w:rPr>
          <w:b/>
          <w:sz w:val="20"/>
        </w:rPr>
      </w:pPr>
      <w:r>
        <w:rPr>
          <w:sz w:val="20"/>
        </w:rPr>
        <w:t>Nadia</w:t>
      </w:r>
      <w:r>
        <w:rPr>
          <w:spacing w:val="-3"/>
          <w:sz w:val="20"/>
        </w:rPr>
        <w:t> </w:t>
      </w:r>
      <w:r>
        <w:rPr>
          <w:sz w:val="20"/>
        </w:rPr>
        <w:t>Glasspool</w:t>
        <w:tab/>
      </w:r>
      <w:r>
        <w:rPr>
          <w:b/>
          <w:sz w:val="20"/>
        </w:rPr>
        <w:t>Bank of</w:t>
      </w:r>
      <w:r>
        <w:rPr>
          <w:b/>
          <w:spacing w:val="-11"/>
          <w:sz w:val="20"/>
        </w:rPr>
        <w:t> </w:t>
      </w:r>
      <w:r>
        <w:rPr>
          <w:b/>
          <w:sz w:val="20"/>
        </w:rPr>
        <w:t>England</w:t>
      </w:r>
    </w:p>
    <w:p>
      <w:pPr>
        <w:tabs>
          <w:tab w:pos="3385" w:val="left" w:leader="none"/>
        </w:tabs>
        <w:spacing w:before="56"/>
        <w:ind w:left="223" w:right="0" w:firstLine="0"/>
        <w:jc w:val="left"/>
        <w:rPr>
          <w:b/>
          <w:sz w:val="20"/>
        </w:rPr>
      </w:pPr>
      <w:r>
        <w:rPr>
          <w:sz w:val="20"/>
        </w:rPr>
        <w:t>Edwin</w:t>
      </w:r>
      <w:r>
        <w:rPr>
          <w:spacing w:val="-5"/>
          <w:sz w:val="20"/>
        </w:rPr>
        <w:t> </w:t>
      </w:r>
      <w:r>
        <w:rPr>
          <w:sz w:val="20"/>
        </w:rPr>
        <w:t>Schooling</w:t>
      </w:r>
      <w:r>
        <w:rPr>
          <w:spacing w:val="-4"/>
          <w:sz w:val="20"/>
        </w:rPr>
        <w:t> </w:t>
      </w:r>
      <w:r>
        <w:rPr>
          <w:sz w:val="20"/>
        </w:rPr>
        <w:t>Latter</w:t>
        <w:tab/>
      </w:r>
      <w:r>
        <w:rPr>
          <w:b/>
          <w:sz w:val="20"/>
        </w:rPr>
        <w:t>Financial Conduct</w:t>
      </w:r>
      <w:r>
        <w:rPr>
          <w:b/>
          <w:spacing w:val="-7"/>
          <w:sz w:val="20"/>
        </w:rPr>
        <w:t> </w:t>
      </w:r>
      <w:r>
        <w:rPr>
          <w:b/>
          <w:sz w:val="20"/>
        </w:rPr>
        <w:t>Authority</w:t>
      </w:r>
    </w:p>
    <w:p>
      <w:pPr>
        <w:tabs>
          <w:tab w:pos="3385" w:val="left" w:leader="none"/>
        </w:tabs>
        <w:spacing w:before="55"/>
        <w:ind w:left="223" w:right="0" w:firstLine="0"/>
        <w:jc w:val="left"/>
        <w:rPr>
          <w:b/>
          <w:sz w:val="20"/>
        </w:rPr>
      </w:pPr>
      <w:r>
        <w:rPr>
          <w:sz w:val="20"/>
        </w:rPr>
        <w:t>Richard</w:t>
      </w:r>
      <w:r>
        <w:rPr>
          <w:spacing w:val="-3"/>
          <w:sz w:val="20"/>
        </w:rPr>
        <w:t> </w:t>
      </w:r>
      <w:r>
        <w:rPr>
          <w:sz w:val="20"/>
        </w:rPr>
        <w:t>Fox</w:t>
        <w:tab/>
      </w:r>
      <w:r>
        <w:rPr>
          <w:b/>
          <w:sz w:val="20"/>
        </w:rPr>
        <w:t>Financial Conduct</w:t>
      </w:r>
      <w:r>
        <w:rPr>
          <w:b/>
          <w:spacing w:val="-7"/>
          <w:sz w:val="20"/>
        </w:rPr>
        <w:t> </w:t>
      </w:r>
      <w:r>
        <w:rPr>
          <w:b/>
          <w:sz w:val="20"/>
        </w:rPr>
        <w:t>Authority</w:t>
      </w:r>
    </w:p>
    <w:p>
      <w:pPr>
        <w:tabs>
          <w:tab w:pos="3385" w:val="left" w:leader="none"/>
        </w:tabs>
        <w:spacing w:before="57"/>
        <w:ind w:left="223" w:right="0" w:firstLine="0"/>
        <w:jc w:val="left"/>
        <w:rPr>
          <w:b/>
          <w:sz w:val="20"/>
        </w:rPr>
      </w:pPr>
      <w:r>
        <w:rPr>
          <w:sz w:val="20"/>
        </w:rPr>
        <w:t>Harriet</w:t>
      </w:r>
      <w:r>
        <w:rPr>
          <w:spacing w:val="-4"/>
          <w:sz w:val="20"/>
        </w:rPr>
        <w:t> </w:t>
      </w:r>
      <w:r>
        <w:rPr>
          <w:sz w:val="20"/>
        </w:rPr>
        <w:t>Hunnable</w:t>
        <w:tab/>
      </w:r>
      <w:r>
        <w:rPr>
          <w:b/>
          <w:sz w:val="20"/>
        </w:rPr>
        <w:t>Financial Conduct</w:t>
      </w:r>
      <w:r>
        <w:rPr>
          <w:b/>
          <w:spacing w:val="-7"/>
          <w:sz w:val="20"/>
        </w:rPr>
        <w:t> </w:t>
      </w:r>
      <w:r>
        <w:rPr>
          <w:b/>
          <w:sz w:val="20"/>
        </w:rPr>
        <w:t>Authority</w:t>
      </w:r>
    </w:p>
    <w:p>
      <w:pPr>
        <w:tabs>
          <w:tab w:pos="3385" w:val="left" w:leader="none"/>
        </w:tabs>
        <w:spacing w:before="56"/>
        <w:ind w:left="223" w:right="0" w:firstLine="0"/>
        <w:jc w:val="left"/>
        <w:rPr>
          <w:b/>
          <w:sz w:val="20"/>
        </w:rPr>
      </w:pPr>
      <w:r>
        <w:rPr>
          <w:sz w:val="20"/>
        </w:rPr>
        <w:t>Toby</w:t>
      </w:r>
      <w:r>
        <w:rPr>
          <w:spacing w:val="-2"/>
          <w:sz w:val="20"/>
        </w:rPr>
        <w:t> </w:t>
      </w:r>
      <w:r>
        <w:rPr>
          <w:sz w:val="20"/>
        </w:rPr>
        <w:t>Williams</w:t>
        <w:tab/>
      </w:r>
      <w:r>
        <w:rPr>
          <w:b/>
          <w:sz w:val="20"/>
        </w:rPr>
        <w:t>Financial Conduct</w:t>
      </w:r>
      <w:r>
        <w:rPr>
          <w:b/>
          <w:spacing w:val="-7"/>
          <w:sz w:val="20"/>
        </w:rPr>
        <w:t> </w:t>
      </w:r>
      <w:r>
        <w:rPr>
          <w:b/>
          <w:sz w:val="20"/>
        </w:rPr>
        <w:t>Authority</w:t>
      </w:r>
    </w:p>
    <w:sectPr>
      <w:pgSz w:w="11910" w:h="16840"/>
      <w:pgMar w:header="0" w:footer="719" w:top="1200" w:bottom="900" w:left="11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type id="_x0000_t202" o:spt="202" coordsize="21600,21600" path="m,l,21600r21600,l21600,xe">
          <v:stroke joinstyle="miter"/>
          <v:path gradientshapeok="t" o:connecttype="rect"/>
        </v:shapetype>
        <v:shape style="position:absolute;margin-left:529.97937pt;margin-top:795.064697pt;width:11.6pt;height:13pt;mso-position-horizontal-relative:page;mso-position-vertical-relative:page;z-index:-251845632" type="#_x0000_t202" filled="false" stroked="false">
          <v:textbox inset="0,0,0,0">
            <w:txbxContent>
              <w:p>
                <w:pPr>
                  <w:spacing w:line="244" w:lineRule="exact" w:before="0"/>
                  <w:ind w:left="60" w:right="0" w:firstLine="0"/>
                  <w:jc w:val="left"/>
                  <w:rPr>
                    <w:rFonts w:ascii="Calibri"/>
                    <w:sz w:val="22"/>
                  </w:rPr>
                </w:pPr>
                <w:r>
                  <w:rPr/>
                  <w:fldChar w:fldCharType="begin"/>
                </w:r>
                <w:r>
                  <w:rPr>
                    <w:rFonts w:ascii="Calibri"/>
                    <w:w w:val="99"/>
                    <w:sz w:val="22"/>
                  </w:rPr>
                  <w:instrText> PAGE </w:instrText>
                </w:r>
                <w:r>
                  <w:rPr/>
                  <w:fldChar w:fldCharType="separate"/>
                </w:r>
                <w:r>
                  <w:rPr/>
                  <w:t>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75" w:hanging="361"/>
        <w:jc w:val="left"/>
      </w:pPr>
      <w:rPr>
        <w:rFonts w:hint="default" w:ascii="Arial" w:hAnsi="Arial" w:eastAsia="Arial" w:cs="Arial"/>
        <w:w w:val="100"/>
        <w:sz w:val="20"/>
        <w:szCs w:val="20"/>
      </w:rPr>
    </w:lvl>
    <w:lvl w:ilvl="1">
      <w:start w:val="1"/>
      <w:numFmt w:val="lowerLetter"/>
      <w:lvlText w:val="%2."/>
      <w:lvlJc w:val="left"/>
      <w:pPr>
        <w:ind w:left="1195" w:hanging="360"/>
        <w:jc w:val="left"/>
      </w:pPr>
      <w:rPr>
        <w:rFonts w:hint="default" w:ascii="Arial" w:hAnsi="Arial" w:eastAsia="Arial" w:cs="Arial"/>
        <w:spacing w:val="-1"/>
        <w:w w:val="100"/>
        <w:sz w:val="20"/>
        <w:szCs w:val="20"/>
      </w:rPr>
    </w:lvl>
    <w:lvl w:ilvl="2">
      <w:start w:val="0"/>
      <w:numFmt w:val="bullet"/>
      <w:lvlText w:val="•"/>
      <w:lvlJc w:val="left"/>
      <w:pPr>
        <w:ind w:left="2147" w:hanging="360"/>
      </w:pPr>
      <w:rPr>
        <w:rFonts w:hint="default"/>
      </w:rPr>
    </w:lvl>
    <w:lvl w:ilvl="3">
      <w:start w:val="0"/>
      <w:numFmt w:val="bullet"/>
      <w:lvlText w:val="•"/>
      <w:lvlJc w:val="left"/>
      <w:pPr>
        <w:ind w:left="3094" w:hanging="360"/>
      </w:pPr>
      <w:rPr>
        <w:rFonts w:hint="default"/>
      </w:rPr>
    </w:lvl>
    <w:lvl w:ilvl="4">
      <w:start w:val="0"/>
      <w:numFmt w:val="bullet"/>
      <w:lvlText w:val="•"/>
      <w:lvlJc w:val="left"/>
      <w:pPr>
        <w:ind w:left="4041" w:hanging="360"/>
      </w:pPr>
      <w:rPr>
        <w:rFonts w:hint="default"/>
      </w:rPr>
    </w:lvl>
    <w:lvl w:ilvl="5">
      <w:start w:val="0"/>
      <w:numFmt w:val="bullet"/>
      <w:lvlText w:val="•"/>
      <w:lvlJc w:val="left"/>
      <w:pPr>
        <w:ind w:left="4988" w:hanging="360"/>
      </w:pPr>
      <w:rPr>
        <w:rFonts w:hint="default"/>
      </w:rPr>
    </w:lvl>
    <w:lvl w:ilvl="6">
      <w:start w:val="0"/>
      <w:numFmt w:val="bullet"/>
      <w:lvlText w:val="•"/>
      <w:lvlJc w:val="left"/>
      <w:pPr>
        <w:ind w:left="5935" w:hanging="360"/>
      </w:pPr>
      <w:rPr>
        <w:rFonts w:hint="default"/>
      </w:rPr>
    </w:lvl>
    <w:lvl w:ilvl="7">
      <w:start w:val="0"/>
      <w:numFmt w:val="bullet"/>
      <w:lvlText w:val="•"/>
      <w:lvlJc w:val="left"/>
      <w:pPr>
        <w:ind w:left="6882" w:hanging="360"/>
      </w:pPr>
      <w:rPr>
        <w:rFonts w:hint="default"/>
      </w:rPr>
    </w:lvl>
    <w:lvl w:ilvl="8">
      <w:start w:val="0"/>
      <w:numFmt w:val="bullet"/>
      <w:lvlText w:val="•"/>
      <w:lvlJc w:val="left"/>
      <w:pPr>
        <w:ind w:left="7830" w:hanging="360"/>
      </w:pPr>
      <w:rPr>
        <w:rFonts w:hint="default"/>
      </w:rPr>
    </w:lvl>
  </w:abstractNum>
  <w:abstractNum w:abstractNumId="0">
    <w:multiLevelType w:val="hybridMultilevel"/>
    <w:lvl w:ilvl="0">
      <w:start w:val="1"/>
      <w:numFmt w:val="decimal"/>
      <w:lvlText w:val="%1."/>
      <w:lvlJc w:val="left"/>
      <w:pPr>
        <w:ind w:left="835" w:hanging="361"/>
        <w:jc w:val="left"/>
      </w:pPr>
      <w:rPr>
        <w:rFonts w:hint="default" w:ascii="Arial" w:hAnsi="Arial" w:eastAsia="Arial" w:cs="Arial"/>
        <w:spacing w:val="-1"/>
        <w:w w:val="100"/>
        <w:sz w:val="20"/>
        <w:szCs w:val="20"/>
      </w:rPr>
    </w:lvl>
    <w:lvl w:ilvl="1">
      <w:start w:val="0"/>
      <w:numFmt w:val="bullet"/>
      <w:lvlText w:val="•"/>
      <w:lvlJc w:val="left"/>
      <w:pPr>
        <w:ind w:left="1728" w:hanging="361"/>
      </w:pPr>
      <w:rPr>
        <w:rFonts w:hint="default"/>
      </w:rPr>
    </w:lvl>
    <w:lvl w:ilvl="2">
      <w:start w:val="0"/>
      <w:numFmt w:val="bullet"/>
      <w:lvlText w:val="•"/>
      <w:lvlJc w:val="left"/>
      <w:pPr>
        <w:ind w:left="2616" w:hanging="361"/>
      </w:pPr>
      <w:rPr>
        <w:rFonts w:hint="default"/>
      </w:rPr>
    </w:lvl>
    <w:lvl w:ilvl="3">
      <w:start w:val="0"/>
      <w:numFmt w:val="bullet"/>
      <w:lvlText w:val="•"/>
      <w:lvlJc w:val="left"/>
      <w:pPr>
        <w:ind w:left="3505" w:hanging="361"/>
      </w:pPr>
      <w:rPr>
        <w:rFonts w:hint="default"/>
      </w:rPr>
    </w:lvl>
    <w:lvl w:ilvl="4">
      <w:start w:val="0"/>
      <w:numFmt w:val="bullet"/>
      <w:lvlText w:val="•"/>
      <w:lvlJc w:val="left"/>
      <w:pPr>
        <w:ind w:left="4393" w:hanging="361"/>
      </w:pPr>
      <w:rPr>
        <w:rFonts w:hint="default"/>
      </w:rPr>
    </w:lvl>
    <w:lvl w:ilvl="5">
      <w:start w:val="0"/>
      <w:numFmt w:val="bullet"/>
      <w:lvlText w:val="•"/>
      <w:lvlJc w:val="left"/>
      <w:pPr>
        <w:ind w:left="5282" w:hanging="361"/>
      </w:pPr>
      <w:rPr>
        <w:rFonts w:hint="default"/>
      </w:rPr>
    </w:lvl>
    <w:lvl w:ilvl="6">
      <w:start w:val="0"/>
      <w:numFmt w:val="bullet"/>
      <w:lvlText w:val="•"/>
      <w:lvlJc w:val="left"/>
      <w:pPr>
        <w:ind w:left="6170" w:hanging="361"/>
      </w:pPr>
      <w:rPr>
        <w:rFonts w:hint="default"/>
      </w:rPr>
    </w:lvl>
    <w:lvl w:ilvl="7">
      <w:start w:val="0"/>
      <w:numFmt w:val="bullet"/>
      <w:lvlText w:val="•"/>
      <w:lvlJc w:val="left"/>
      <w:pPr>
        <w:ind w:left="7059" w:hanging="361"/>
      </w:pPr>
      <w:rPr>
        <w:rFonts w:hint="default"/>
      </w:rPr>
    </w:lvl>
    <w:lvl w:ilvl="8">
      <w:start w:val="0"/>
      <w:numFmt w:val="bullet"/>
      <w:lvlText w:val="•"/>
      <w:lvlJc w:val="left"/>
      <w:pPr>
        <w:ind w:left="7947"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475" w:hanging="360"/>
    </w:pPr>
    <w:rPr>
      <w:rFonts w:ascii="Arial" w:hAnsi="Arial" w:eastAsia="Arial" w:cs="Arial"/>
      <w:sz w:val="20"/>
      <w:szCs w:val="20"/>
    </w:rPr>
  </w:style>
  <w:style w:styleId="Heading1" w:type="paragraph">
    <w:name w:val="Heading 1"/>
    <w:basedOn w:val="Normal"/>
    <w:uiPriority w:val="1"/>
    <w:qFormat/>
    <w:pPr>
      <w:spacing w:before="121"/>
      <w:ind w:left="115"/>
      <w:outlineLvl w:val="1"/>
    </w:pPr>
    <w:rPr>
      <w:rFonts w:ascii="Arial" w:hAnsi="Arial" w:eastAsia="Arial" w:cs="Arial"/>
      <w:b/>
      <w:bCs/>
      <w:sz w:val="20"/>
      <w:szCs w:val="20"/>
    </w:rPr>
  </w:style>
  <w:style w:styleId="ListParagraph" w:type="paragraph">
    <w:name w:val="List Paragraph"/>
    <w:basedOn w:val="Normal"/>
    <w:uiPriority w:val="1"/>
    <w:qFormat/>
    <w:pPr>
      <w:spacing w:before="120"/>
      <w:ind w:left="475" w:right="110" w:hanging="360"/>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Working Group on Sterling Risk-Free Reference Rates - 7 February 2018</dc:title>
  <dcterms:created xsi:type="dcterms:W3CDTF">2020-06-01T02:23:38Z</dcterms:created>
  <dcterms:modified xsi:type="dcterms:W3CDTF">2020-06-01T02:23:38Z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2019-03-18T00:00:00Z</vt:filetime>
  </property>
  <property fmtid="{D5CDD505-2E9C-101B-9397-08002B2CF9AE}" pid="3" name="Creator">
    <vt:lpwstr>PScript5.dll Version 5.2.2</vt:lpwstr>
  </property>
  <property fmtid="{D5CDD505-2E9C-101B-9397-08002B2CF9AE}" pid="4" name="LastSaved">
    <vt:filetime>2020-06-01T00:00:00Z</vt:filetime>
  </property>
</Properties>
</file>