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firstLine="0"/>
        <w:rPr>
          <w:rFonts w:ascii="Times New Roman"/>
          <w:sz w:val="13"/>
        </w:rPr>
      </w:pPr>
    </w:p>
    <w:p>
      <w:pPr>
        <w:pStyle w:val="Heading1"/>
        <w:spacing w:before="89"/>
      </w:pPr>
      <w:r>
        <w:rPr/>
        <w:pict>
          <v:line style="position:absolute;mso-position-horizontal-relative:page;mso-position-vertical-relative:paragraph;z-index:251658240" from="60.25pt,61.587783pt" to="60.25pt,-7.862217pt" stroked="true" strokeweight="2pt" strokecolor="#497dba">
            <v:stroke dashstyle="solid"/>
            <w10:wrap type="none"/>
          </v:line>
        </w:pict>
      </w:r>
      <w:r>
        <w:rPr>
          <w:spacing w:val="7"/>
        </w:rPr>
        <w:t>The </w:t>
      </w:r>
      <w:r>
        <w:rPr>
          <w:spacing w:val="9"/>
        </w:rPr>
        <w:t>Working Group </w:t>
      </w:r>
      <w:r>
        <w:rPr>
          <w:spacing w:val="5"/>
        </w:rPr>
        <w:t>on</w:t>
      </w:r>
    </w:p>
    <w:p>
      <w:pPr>
        <w:spacing w:before="9"/>
        <w:ind w:left="203" w:right="0" w:firstLine="0"/>
        <w:jc w:val="left"/>
        <w:rPr>
          <w:b/>
          <w:sz w:val="32"/>
        </w:rPr>
      </w:pPr>
      <w:r>
        <w:rPr>
          <w:b/>
          <w:sz w:val="32"/>
        </w:rPr>
        <w:t>Sterling Risk-Free Reference Rates</w:t>
      </w:r>
    </w:p>
    <w:p>
      <w:pPr>
        <w:pStyle w:val="BodyText"/>
        <w:spacing w:before="3"/>
        <w:ind w:left="0" w:firstLine="0"/>
        <w:rPr>
          <w:b/>
          <w:sz w:val="27"/>
        </w:rPr>
      </w:pPr>
    </w:p>
    <w:p>
      <w:pPr>
        <w:pStyle w:val="Heading2"/>
        <w:spacing w:line="357" w:lineRule="auto" w:before="93"/>
        <w:ind w:left="1586" w:right="1584"/>
        <w:jc w:val="center"/>
      </w:pPr>
      <w:r>
        <w:rPr/>
        <w:t>Minutes of the Working Group on Sterling Risk-Free Reference Rates Tuesday 28</w:t>
      </w:r>
      <w:r>
        <w:rPr>
          <w:position w:val="7"/>
          <w:sz w:val="13"/>
        </w:rPr>
        <w:t>th </w:t>
      </w:r>
      <w:r>
        <w:rPr/>
        <w:t>January 2020</w:t>
      </w:r>
    </w:p>
    <w:p>
      <w:pPr>
        <w:spacing w:before="9"/>
        <w:ind w:left="1584" w:right="1584" w:firstLine="0"/>
        <w:jc w:val="center"/>
        <w:rPr>
          <w:b/>
          <w:sz w:val="20"/>
        </w:rPr>
      </w:pPr>
      <w:r>
        <w:rPr>
          <w:b/>
          <w:sz w:val="20"/>
        </w:rPr>
        <w:t>Bank of England, Threadneedle Street, EC2R 8AH</w:t>
      </w:r>
    </w:p>
    <w:p>
      <w:pPr>
        <w:pStyle w:val="BodyText"/>
        <w:spacing w:before="11"/>
        <w:ind w:left="0" w:firstLine="0"/>
        <w:rPr>
          <w:b/>
          <w:sz w:val="30"/>
        </w:rPr>
      </w:pPr>
    </w:p>
    <w:p>
      <w:pPr>
        <w:spacing w:before="0"/>
        <w:ind w:left="117" w:right="0" w:firstLine="0"/>
        <w:jc w:val="left"/>
        <w:rPr>
          <w:b/>
          <w:sz w:val="20"/>
        </w:rPr>
      </w:pPr>
      <w:r>
        <w:rPr>
          <w:b/>
          <w:sz w:val="20"/>
        </w:rPr>
        <w:t>Agenda</w:t>
      </w:r>
    </w:p>
    <w:p>
      <w:pPr>
        <w:pStyle w:val="ListParagraph"/>
        <w:numPr>
          <w:ilvl w:val="0"/>
          <w:numId w:val="1"/>
        </w:numPr>
        <w:tabs>
          <w:tab w:pos="838" w:val="left" w:leader="none"/>
        </w:tabs>
        <w:spacing w:line="240" w:lineRule="auto" w:before="118" w:after="0"/>
        <w:ind w:left="837" w:right="0" w:hanging="361"/>
        <w:jc w:val="left"/>
        <w:rPr>
          <w:sz w:val="20"/>
        </w:rPr>
      </w:pPr>
      <w:r>
        <w:rPr>
          <w:sz w:val="20"/>
        </w:rPr>
        <w:t>Standing items</w:t>
      </w:r>
    </w:p>
    <w:p>
      <w:pPr>
        <w:pStyle w:val="ListParagraph"/>
        <w:numPr>
          <w:ilvl w:val="1"/>
          <w:numId w:val="1"/>
        </w:numPr>
        <w:tabs>
          <w:tab w:pos="1558" w:val="left" w:leader="none"/>
        </w:tabs>
        <w:spacing w:line="240" w:lineRule="auto" w:before="113" w:after="0"/>
        <w:ind w:left="1557" w:right="0" w:hanging="361"/>
        <w:jc w:val="left"/>
        <w:rPr>
          <w:sz w:val="20"/>
        </w:rPr>
      </w:pPr>
      <w:r>
        <w:rPr>
          <w:sz w:val="20"/>
        </w:rPr>
        <w:t>Welcome &amp;</w:t>
      </w:r>
      <w:r>
        <w:rPr>
          <w:spacing w:val="-4"/>
          <w:sz w:val="20"/>
        </w:rPr>
        <w:t> </w:t>
      </w:r>
      <w:r>
        <w:rPr>
          <w:sz w:val="20"/>
        </w:rPr>
        <w:t>Introductions</w:t>
      </w:r>
    </w:p>
    <w:p>
      <w:pPr>
        <w:pStyle w:val="ListParagraph"/>
        <w:numPr>
          <w:ilvl w:val="1"/>
          <w:numId w:val="1"/>
        </w:numPr>
        <w:tabs>
          <w:tab w:pos="1558" w:val="left" w:leader="none"/>
        </w:tabs>
        <w:spacing w:line="240" w:lineRule="auto" w:before="116" w:after="0"/>
        <w:ind w:left="1557" w:right="0" w:hanging="361"/>
        <w:jc w:val="left"/>
        <w:rPr>
          <w:sz w:val="20"/>
        </w:rPr>
      </w:pPr>
      <w:r>
        <w:rPr>
          <w:sz w:val="20"/>
        </w:rPr>
        <w:t>Competition</w:t>
      </w:r>
      <w:r>
        <w:rPr>
          <w:spacing w:val="-2"/>
          <w:sz w:val="20"/>
        </w:rPr>
        <w:t> </w:t>
      </w:r>
      <w:r>
        <w:rPr>
          <w:sz w:val="20"/>
        </w:rPr>
        <w:t>law</w:t>
      </w:r>
    </w:p>
    <w:p>
      <w:pPr>
        <w:pStyle w:val="ListParagraph"/>
        <w:numPr>
          <w:ilvl w:val="1"/>
          <w:numId w:val="1"/>
        </w:numPr>
        <w:tabs>
          <w:tab w:pos="1557" w:val="left" w:leader="none"/>
          <w:tab w:pos="1558" w:val="left" w:leader="none"/>
        </w:tabs>
        <w:spacing w:line="240" w:lineRule="auto" w:before="115" w:after="0"/>
        <w:ind w:left="1557" w:right="0" w:hanging="361"/>
        <w:jc w:val="left"/>
        <w:rPr>
          <w:sz w:val="20"/>
        </w:rPr>
      </w:pPr>
      <w:r>
        <w:rPr>
          <w:sz w:val="20"/>
        </w:rPr>
        <w:t>Minutes of previous meeting</w:t>
      </w:r>
    </w:p>
    <w:p>
      <w:pPr>
        <w:pStyle w:val="ListParagraph"/>
        <w:numPr>
          <w:ilvl w:val="0"/>
          <w:numId w:val="1"/>
        </w:numPr>
        <w:tabs>
          <w:tab w:pos="838" w:val="left" w:leader="none"/>
        </w:tabs>
        <w:spacing w:line="240" w:lineRule="auto" w:before="116" w:after="0"/>
        <w:ind w:left="837" w:right="0" w:hanging="361"/>
        <w:jc w:val="left"/>
        <w:rPr>
          <w:sz w:val="20"/>
        </w:rPr>
      </w:pPr>
      <w:r>
        <w:rPr>
          <w:sz w:val="20"/>
        </w:rPr>
        <w:t>Start of 2020</w:t>
      </w:r>
      <w:r>
        <w:rPr>
          <w:spacing w:val="3"/>
          <w:sz w:val="20"/>
        </w:rPr>
        <w:t> </w:t>
      </w:r>
      <w:r>
        <w:rPr>
          <w:sz w:val="20"/>
        </w:rPr>
        <w:t>update</w:t>
      </w:r>
    </w:p>
    <w:p>
      <w:pPr>
        <w:pStyle w:val="ListParagraph"/>
        <w:numPr>
          <w:ilvl w:val="1"/>
          <w:numId w:val="1"/>
        </w:numPr>
        <w:tabs>
          <w:tab w:pos="1558" w:val="left" w:leader="none"/>
        </w:tabs>
        <w:spacing w:line="240" w:lineRule="auto" w:before="114" w:after="0"/>
        <w:ind w:left="1557" w:right="0" w:hanging="361"/>
        <w:jc w:val="left"/>
        <w:rPr>
          <w:sz w:val="20"/>
        </w:rPr>
      </w:pPr>
      <w:r>
        <w:rPr>
          <w:sz w:val="20"/>
        </w:rPr>
        <w:t>OSSG summary</w:t>
      </w:r>
    </w:p>
    <w:p>
      <w:pPr>
        <w:pStyle w:val="ListParagraph"/>
        <w:numPr>
          <w:ilvl w:val="1"/>
          <w:numId w:val="1"/>
        </w:numPr>
        <w:tabs>
          <w:tab w:pos="1558" w:val="left" w:leader="none"/>
        </w:tabs>
        <w:spacing w:line="240" w:lineRule="auto" w:before="115" w:after="0"/>
        <w:ind w:left="1557" w:right="0" w:hanging="361"/>
        <w:jc w:val="left"/>
        <w:rPr>
          <w:sz w:val="20"/>
        </w:rPr>
      </w:pPr>
      <w:r>
        <w:rPr>
          <w:sz w:val="20"/>
        </w:rPr>
        <w:t>Update and developments from recent</w:t>
      </w:r>
      <w:r>
        <w:rPr>
          <w:spacing w:val="-4"/>
          <w:sz w:val="20"/>
        </w:rPr>
        <w:t> </w:t>
      </w:r>
      <w:r>
        <w:rPr>
          <w:sz w:val="20"/>
        </w:rPr>
        <w:t>publications</w:t>
      </w:r>
    </w:p>
    <w:p>
      <w:pPr>
        <w:pStyle w:val="ListParagraph"/>
        <w:numPr>
          <w:ilvl w:val="0"/>
          <w:numId w:val="1"/>
        </w:numPr>
        <w:tabs>
          <w:tab w:pos="838" w:val="left" w:leader="none"/>
        </w:tabs>
        <w:spacing w:line="240" w:lineRule="auto" w:before="116" w:after="0"/>
        <w:ind w:left="837" w:right="0" w:hanging="361"/>
        <w:jc w:val="left"/>
        <w:rPr>
          <w:sz w:val="20"/>
        </w:rPr>
      </w:pPr>
      <w:r>
        <w:rPr>
          <w:sz w:val="20"/>
        </w:rPr>
        <w:t>Meeting the end of Q3 headline</w:t>
      </w:r>
      <w:r>
        <w:rPr>
          <w:spacing w:val="-1"/>
          <w:sz w:val="20"/>
        </w:rPr>
        <w:t> </w:t>
      </w:r>
      <w:r>
        <w:rPr>
          <w:sz w:val="20"/>
        </w:rPr>
        <w:t>target</w:t>
      </w:r>
    </w:p>
    <w:p>
      <w:pPr>
        <w:pStyle w:val="ListParagraph"/>
        <w:numPr>
          <w:ilvl w:val="1"/>
          <w:numId w:val="1"/>
        </w:numPr>
        <w:tabs>
          <w:tab w:pos="1558" w:val="left" w:leader="none"/>
        </w:tabs>
        <w:spacing w:line="240" w:lineRule="auto" w:before="116" w:after="0"/>
        <w:ind w:left="1557" w:right="0" w:hanging="361"/>
        <w:jc w:val="left"/>
        <w:rPr>
          <w:sz w:val="20"/>
        </w:rPr>
      </w:pPr>
      <w:r>
        <w:rPr>
          <w:sz w:val="20"/>
        </w:rPr>
        <w:t>Communications and Outreach</w:t>
      </w:r>
      <w:r>
        <w:rPr>
          <w:spacing w:val="-3"/>
          <w:sz w:val="20"/>
        </w:rPr>
        <w:t> </w:t>
      </w:r>
      <w:r>
        <w:rPr>
          <w:sz w:val="20"/>
        </w:rPr>
        <w:t>Sub-Group</w:t>
      </w:r>
    </w:p>
    <w:p>
      <w:pPr>
        <w:pStyle w:val="ListParagraph"/>
        <w:numPr>
          <w:ilvl w:val="1"/>
          <w:numId w:val="1"/>
        </w:numPr>
        <w:tabs>
          <w:tab w:pos="1558" w:val="left" w:leader="none"/>
        </w:tabs>
        <w:spacing w:line="240" w:lineRule="auto" w:before="113" w:after="0"/>
        <w:ind w:left="1557" w:right="0" w:hanging="361"/>
        <w:jc w:val="left"/>
        <w:rPr>
          <w:sz w:val="20"/>
        </w:rPr>
      </w:pPr>
      <w:r>
        <w:rPr>
          <w:sz w:val="20"/>
        </w:rPr>
        <w:t>Loan Flow Enablers Task</w:t>
      </w:r>
      <w:r>
        <w:rPr>
          <w:spacing w:val="3"/>
          <w:sz w:val="20"/>
        </w:rPr>
        <w:t> </w:t>
      </w:r>
      <w:r>
        <w:rPr>
          <w:sz w:val="20"/>
        </w:rPr>
        <w:t>Force</w:t>
      </w:r>
    </w:p>
    <w:p>
      <w:pPr>
        <w:pStyle w:val="ListParagraph"/>
        <w:numPr>
          <w:ilvl w:val="0"/>
          <w:numId w:val="1"/>
        </w:numPr>
        <w:tabs>
          <w:tab w:pos="838" w:val="left" w:leader="none"/>
        </w:tabs>
        <w:spacing w:line="240" w:lineRule="auto" w:before="115" w:after="0"/>
        <w:ind w:left="837" w:right="0" w:hanging="361"/>
        <w:jc w:val="left"/>
        <w:rPr>
          <w:sz w:val="20"/>
        </w:rPr>
      </w:pPr>
      <w:r>
        <w:rPr>
          <w:sz w:val="20"/>
        </w:rPr>
        <w:t>ISDA</w:t>
      </w:r>
      <w:r>
        <w:rPr>
          <w:spacing w:val="-1"/>
          <w:sz w:val="20"/>
        </w:rPr>
        <w:t> </w:t>
      </w:r>
      <w:r>
        <w:rPr>
          <w:sz w:val="20"/>
        </w:rPr>
        <w:t>update</w:t>
      </w:r>
    </w:p>
    <w:p>
      <w:pPr>
        <w:pStyle w:val="ListParagraph"/>
        <w:numPr>
          <w:ilvl w:val="0"/>
          <w:numId w:val="1"/>
        </w:numPr>
        <w:tabs>
          <w:tab w:pos="838" w:val="left" w:leader="none"/>
        </w:tabs>
        <w:spacing w:line="240" w:lineRule="auto" w:before="116" w:after="0"/>
        <w:ind w:left="837" w:right="0" w:hanging="361"/>
        <w:jc w:val="left"/>
        <w:rPr>
          <w:sz w:val="20"/>
        </w:rPr>
      </w:pPr>
      <w:r>
        <w:rPr>
          <w:sz w:val="20"/>
        </w:rPr>
        <w:t>International - Progress by the ARRC (Tom</w:t>
      </w:r>
      <w:r>
        <w:rPr>
          <w:spacing w:val="-4"/>
          <w:sz w:val="20"/>
        </w:rPr>
        <w:t> </w:t>
      </w:r>
      <w:r>
        <w:rPr>
          <w:sz w:val="20"/>
        </w:rPr>
        <w:t>Wipf)</w:t>
      </w:r>
    </w:p>
    <w:p>
      <w:pPr>
        <w:pStyle w:val="ListParagraph"/>
        <w:numPr>
          <w:ilvl w:val="0"/>
          <w:numId w:val="1"/>
        </w:numPr>
        <w:tabs>
          <w:tab w:pos="838" w:val="left" w:leader="none"/>
        </w:tabs>
        <w:spacing w:line="240" w:lineRule="auto" w:before="116" w:after="0"/>
        <w:ind w:left="837" w:right="0" w:hanging="361"/>
        <w:jc w:val="left"/>
        <w:rPr>
          <w:sz w:val="20"/>
        </w:rPr>
      </w:pPr>
      <w:r>
        <w:rPr>
          <w:sz w:val="20"/>
        </w:rPr>
        <w:t>Non-Linear Products Work</w:t>
      </w:r>
      <w:r>
        <w:rPr>
          <w:spacing w:val="-7"/>
          <w:sz w:val="20"/>
        </w:rPr>
        <w:t> </w:t>
      </w:r>
      <w:r>
        <w:rPr>
          <w:sz w:val="20"/>
        </w:rPr>
        <w:t>Stream</w:t>
      </w:r>
    </w:p>
    <w:p>
      <w:pPr>
        <w:pStyle w:val="ListParagraph"/>
        <w:numPr>
          <w:ilvl w:val="1"/>
          <w:numId w:val="1"/>
        </w:numPr>
        <w:tabs>
          <w:tab w:pos="1558" w:val="left" w:leader="none"/>
        </w:tabs>
        <w:spacing w:line="360" w:lineRule="auto" w:before="113" w:after="0"/>
        <w:ind w:left="1557" w:right="404" w:hanging="360"/>
        <w:jc w:val="left"/>
        <w:rPr>
          <w:sz w:val="20"/>
        </w:rPr>
      </w:pPr>
      <w:r>
        <w:rPr>
          <w:sz w:val="20"/>
        </w:rPr>
        <w:t>Summary of results from dealer questionnaire on conventions for sterling swaptions</w:t>
      </w:r>
      <w:r>
        <w:rPr>
          <w:spacing w:val="-34"/>
          <w:sz w:val="20"/>
        </w:rPr>
        <w:t> </w:t>
      </w:r>
      <w:r>
        <w:rPr>
          <w:sz w:val="20"/>
        </w:rPr>
        <w:t>and non-linear</w:t>
      </w:r>
      <w:r>
        <w:rPr>
          <w:spacing w:val="-1"/>
          <w:sz w:val="20"/>
        </w:rPr>
        <w:t> </w:t>
      </w:r>
      <w:r>
        <w:rPr>
          <w:sz w:val="20"/>
        </w:rPr>
        <w:t>products</w:t>
      </w:r>
    </w:p>
    <w:p>
      <w:pPr>
        <w:pStyle w:val="ListParagraph"/>
        <w:numPr>
          <w:ilvl w:val="1"/>
          <w:numId w:val="1"/>
        </w:numPr>
        <w:tabs>
          <w:tab w:pos="1558" w:val="left" w:leader="none"/>
        </w:tabs>
        <w:spacing w:line="240" w:lineRule="auto" w:before="1" w:after="0"/>
        <w:ind w:left="1557" w:right="0" w:hanging="361"/>
        <w:jc w:val="left"/>
        <w:rPr>
          <w:sz w:val="20"/>
        </w:rPr>
      </w:pPr>
      <w:r>
        <w:rPr>
          <w:sz w:val="20"/>
        </w:rPr>
        <w:t>Further work required in the non-linear</w:t>
      </w:r>
      <w:r>
        <w:rPr>
          <w:spacing w:val="-1"/>
          <w:sz w:val="20"/>
        </w:rPr>
        <w:t> </w:t>
      </w:r>
      <w:r>
        <w:rPr>
          <w:sz w:val="20"/>
        </w:rPr>
        <w:t>market?</w:t>
      </w:r>
    </w:p>
    <w:p>
      <w:pPr>
        <w:pStyle w:val="ListParagraph"/>
        <w:numPr>
          <w:ilvl w:val="0"/>
          <w:numId w:val="1"/>
        </w:numPr>
        <w:tabs>
          <w:tab w:pos="838" w:val="left" w:leader="none"/>
        </w:tabs>
        <w:spacing w:line="240" w:lineRule="auto" w:before="116" w:after="0"/>
        <w:ind w:left="837" w:right="0" w:hanging="361"/>
        <w:jc w:val="left"/>
        <w:rPr>
          <w:sz w:val="20"/>
        </w:rPr>
      </w:pPr>
      <w:r>
        <w:rPr>
          <w:sz w:val="20"/>
        </w:rPr>
        <w:t>Loan conventions – update from international</w:t>
      </w:r>
      <w:r>
        <w:rPr>
          <w:spacing w:val="5"/>
          <w:sz w:val="20"/>
        </w:rPr>
        <w:t> </w:t>
      </w:r>
      <w:r>
        <w:rPr>
          <w:sz w:val="20"/>
        </w:rPr>
        <w:t>workshops</w:t>
      </w:r>
    </w:p>
    <w:p>
      <w:pPr>
        <w:pStyle w:val="ListParagraph"/>
        <w:numPr>
          <w:ilvl w:val="0"/>
          <w:numId w:val="1"/>
        </w:numPr>
        <w:tabs>
          <w:tab w:pos="838" w:val="left" w:leader="none"/>
        </w:tabs>
        <w:spacing w:line="240" w:lineRule="auto" w:before="113" w:after="0"/>
        <w:ind w:left="837" w:right="0" w:hanging="361"/>
        <w:jc w:val="left"/>
        <w:rPr>
          <w:sz w:val="20"/>
        </w:rPr>
      </w:pPr>
      <w:r>
        <w:rPr>
          <w:sz w:val="20"/>
        </w:rPr>
        <w:t>Sub-Group and Task Force</w:t>
      </w:r>
      <w:r>
        <w:rPr>
          <w:spacing w:val="-1"/>
          <w:sz w:val="20"/>
        </w:rPr>
        <w:t> </w:t>
      </w:r>
      <w:r>
        <w:rPr>
          <w:sz w:val="20"/>
        </w:rPr>
        <w:t>Updates</w:t>
      </w:r>
    </w:p>
    <w:p>
      <w:pPr>
        <w:pStyle w:val="ListParagraph"/>
        <w:numPr>
          <w:ilvl w:val="1"/>
          <w:numId w:val="1"/>
        </w:numPr>
        <w:tabs>
          <w:tab w:pos="1558" w:val="left" w:leader="none"/>
        </w:tabs>
        <w:spacing w:line="240" w:lineRule="auto" w:before="116" w:after="0"/>
        <w:ind w:left="1557" w:right="0" w:hanging="361"/>
        <w:jc w:val="left"/>
        <w:rPr>
          <w:sz w:val="20"/>
        </w:rPr>
      </w:pPr>
      <w:r>
        <w:rPr>
          <w:sz w:val="20"/>
        </w:rPr>
        <w:t>Pensions and</w:t>
      </w:r>
      <w:r>
        <w:rPr>
          <w:spacing w:val="-2"/>
          <w:sz w:val="20"/>
        </w:rPr>
        <w:t> </w:t>
      </w:r>
      <w:r>
        <w:rPr>
          <w:sz w:val="20"/>
        </w:rPr>
        <w:t>Insurers</w:t>
      </w:r>
    </w:p>
    <w:p>
      <w:pPr>
        <w:pStyle w:val="ListParagraph"/>
        <w:numPr>
          <w:ilvl w:val="1"/>
          <w:numId w:val="1"/>
        </w:numPr>
        <w:tabs>
          <w:tab w:pos="1558" w:val="left" w:leader="none"/>
        </w:tabs>
        <w:spacing w:line="240" w:lineRule="auto" w:before="116" w:after="0"/>
        <w:ind w:left="1557" w:right="0" w:hanging="361"/>
        <w:jc w:val="left"/>
        <w:rPr>
          <w:sz w:val="20"/>
        </w:rPr>
      </w:pPr>
      <w:r>
        <w:rPr>
          <w:sz w:val="20"/>
        </w:rPr>
        <w:t>Infrastructure</w:t>
      </w:r>
    </w:p>
    <w:p>
      <w:pPr>
        <w:pStyle w:val="ListParagraph"/>
        <w:numPr>
          <w:ilvl w:val="1"/>
          <w:numId w:val="1"/>
        </w:numPr>
        <w:tabs>
          <w:tab w:pos="1557" w:val="left" w:leader="none"/>
          <w:tab w:pos="1558" w:val="left" w:leader="none"/>
        </w:tabs>
        <w:spacing w:line="240" w:lineRule="auto" w:before="113" w:after="0"/>
        <w:ind w:left="1557" w:right="0" w:hanging="361"/>
        <w:jc w:val="left"/>
        <w:rPr>
          <w:sz w:val="20"/>
        </w:rPr>
      </w:pPr>
      <w:r>
        <w:rPr>
          <w:sz w:val="20"/>
        </w:rPr>
        <w:t>Legacy Cash</w:t>
      </w:r>
      <w:r>
        <w:rPr>
          <w:spacing w:val="-4"/>
          <w:sz w:val="20"/>
        </w:rPr>
        <w:t> </w:t>
      </w:r>
      <w:r>
        <w:rPr>
          <w:sz w:val="20"/>
        </w:rPr>
        <w:t>Market</w:t>
      </w:r>
    </w:p>
    <w:p>
      <w:pPr>
        <w:pStyle w:val="ListParagraph"/>
        <w:numPr>
          <w:ilvl w:val="1"/>
          <w:numId w:val="1"/>
        </w:numPr>
        <w:tabs>
          <w:tab w:pos="1558" w:val="left" w:leader="none"/>
        </w:tabs>
        <w:spacing w:line="240" w:lineRule="auto" w:before="115" w:after="0"/>
        <w:ind w:left="1557" w:right="0" w:hanging="361"/>
        <w:jc w:val="left"/>
        <w:rPr>
          <w:sz w:val="20"/>
        </w:rPr>
      </w:pPr>
      <w:r>
        <w:rPr>
          <w:sz w:val="20"/>
        </w:rPr>
        <w:t>Tough</w:t>
      </w:r>
      <w:r>
        <w:rPr>
          <w:spacing w:val="-1"/>
          <w:sz w:val="20"/>
        </w:rPr>
        <w:t> </w:t>
      </w:r>
      <w:r>
        <w:rPr>
          <w:sz w:val="20"/>
        </w:rPr>
        <w:t>Legacy</w:t>
      </w:r>
    </w:p>
    <w:p>
      <w:pPr>
        <w:pStyle w:val="ListParagraph"/>
        <w:numPr>
          <w:ilvl w:val="1"/>
          <w:numId w:val="1"/>
        </w:numPr>
        <w:tabs>
          <w:tab w:pos="1558" w:val="left" w:leader="none"/>
        </w:tabs>
        <w:spacing w:line="240" w:lineRule="auto" w:before="116" w:after="0"/>
        <w:ind w:left="1557" w:right="0" w:hanging="361"/>
        <w:jc w:val="left"/>
        <w:rPr>
          <w:sz w:val="20"/>
        </w:rPr>
      </w:pPr>
      <w:r>
        <w:rPr>
          <w:sz w:val="20"/>
        </w:rPr>
        <w:t>Bond Market</w:t>
      </w:r>
      <w:r>
        <w:rPr>
          <w:spacing w:val="-3"/>
          <w:sz w:val="20"/>
        </w:rPr>
        <w:t> </w:t>
      </w:r>
      <w:r>
        <w:rPr>
          <w:sz w:val="20"/>
        </w:rPr>
        <w:t>Sub-Group</w:t>
      </w:r>
    </w:p>
    <w:p>
      <w:pPr>
        <w:pStyle w:val="ListParagraph"/>
        <w:numPr>
          <w:ilvl w:val="1"/>
          <w:numId w:val="1"/>
        </w:numPr>
        <w:tabs>
          <w:tab w:pos="1557" w:val="left" w:leader="none"/>
          <w:tab w:pos="1558" w:val="left" w:leader="none"/>
        </w:tabs>
        <w:spacing w:line="240" w:lineRule="auto" w:before="116" w:after="0"/>
        <w:ind w:left="1557" w:right="0" w:hanging="361"/>
        <w:jc w:val="left"/>
        <w:rPr>
          <w:sz w:val="20"/>
        </w:rPr>
      </w:pPr>
      <w:r>
        <w:rPr>
          <w:sz w:val="20"/>
        </w:rPr>
        <w:t>Loans</w:t>
      </w:r>
      <w:r>
        <w:rPr>
          <w:spacing w:val="1"/>
          <w:sz w:val="20"/>
        </w:rPr>
        <w:t> </w:t>
      </w:r>
      <w:r>
        <w:rPr>
          <w:sz w:val="20"/>
        </w:rPr>
        <w:t>Sub-Group</w:t>
      </w:r>
    </w:p>
    <w:p>
      <w:pPr>
        <w:pStyle w:val="ListParagraph"/>
        <w:numPr>
          <w:ilvl w:val="1"/>
          <w:numId w:val="1"/>
        </w:numPr>
        <w:tabs>
          <w:tab w:pos="1558" w:val="left" w:leader="none"/>
        </w:tabs>
        <w:spacing w:line="240" w:lineRule="auto" w:before="113" w:after="0"/>
        <w:ind w:left="1557" w:right="0" w:hanging="361"/>
        <w:jc w:val="left"/>
        <w:rPr>
          <w:sz w:val="20"/>
        </w:rPr>
      </w:pPr>
      <w:r>
        <w:rPr>
          <w:sz w:val="20"/>
        </w:rPr>
        <w:t>Term Rate Use Case Task</w:t>
      </w:r>
      <w:r>
        <w:rPr>
          <w:spacing w:val="3"/>
          <w:sz w:val="20"/>
        </w:rPr>
        <w:t> </w:t>
      </w:r>
      <w:r>
        <w:rPr>
          <w:sz w:val="20"/>
        </w:rPr>
        <w:t>Force</w:t>
      </w:r>
    </w:p>
    <w:p>
      <w:pPr>
        <w:pStyle w:val="ListParagraph"/>
        <w:numPr>
          <w:ilvl w:val="0"/>
          <w:numId w:val="1"/>
        </w:numPr>
        <w:tabs>
          <w:tab w:pos="838" w:val="left" w:leader="none"/>
        </w:tabs>
        <w:spacing w:line="240" w:lineRule="auto" w:before="115" w:after="0"/>
        <w:ind w:left="837" w:right="0" w:hanging="361"/>
        <w:jc w:val="left"/>
        <w:rPr>
          <w:sz w:val="20"/>
        </w:rPr>
      </w:pPr>
      <w:r>
        <w:rPr>
          <w:sz w:val="20"/>
        </w:rPr>
        <w:t>OIS streaming</w:t>
      </w:r>
      <w:r>
        <w:rPr>
          <w:spacing w:val="-4"/>
          <w:sz w:val="20"/>
        </w:rPr>
        <w:t> </w:t>
      </w:r>
      <w:r>
        <w:rPr>
          <w:sz w:val="20"/>
        </w:rPr>
        <w:t>update</w:t>
      </w:r>
    </w:p>
    <w:p>
      <w:pPr>
        <w:pStyle w:val="ListParagraph"/>
        <w:numPr>
          <w:ilvl w:val="0"/>
          <w:numId w:val="1"/>
        </w:numPr>
        <w:tabs>
          <w:tab w:pos="838" w:val="left" w:leader="none"/>
        </w:tabs>
        <w:spacing w:line="240" w:lineRule="auto" w:before="116" w:after="0"/>
        <w:ind w:left="837" w:right="0" w:hanging="361"/>
        <w:jc w:val="left"/>
        <w:rPr>
          <w:sz w:val="20"/>
        </w:rPr>
      </w:pPr>
      <w:r>
        <w:rPr>
          <w:sz w:val="20"/>
        </w:rPr>
        <w:t>AOB</w:t>
      </w:r>
    </w:p>
    <w:p>
      <w:pPr>
        <w:spacing w:after="0" w:line="240" w:lineRule="auto"/>
        <w:jc w:val="left"/>
        <w:rPr>
          <w:sz w:val="20"/>
        </w:rPr>
        <w:sectPr>
          <w:footerReference w:type="default" r:id="rId5"/>
          <w:type w:val="continuous"/>
          <w:pgSz w:w="11910" w:h="16840"/>
          <w:pgMar w:footer="717" w:top="960" w:bottom="900" w:left="1160" w:right="1020"/>
          <w:pgNumType w:start="1"/>
        </w:sectPr>
      </w:pPr>
    </w:p>
    <w:p>
      <w:pPr>
        <w:pStyle w:val="Heading2"/>
        <w:spacing w:before="81"/>
      </w:pPr>
      <w:r>
        <w:rPr/>
        <w:t>Welcome, introductions and competition law principles</w:t>
      </w:r>
    </w:p>
    <w:p>
      <w:pPr>
        <w:pStyle w:val="BodyText"/>
        <w:spacing w:before="8"/>
        <w:ind w:left="0" w:firstLine="0"/>
        <w:rPr>
          <w:b/>
        </w:rPr>
      </w:pPr>
    </w:p>
    <w:p>
      <w:pPr>
        <w:pStyle w:val="ListParagraph"/>
        <w:numPr>
          <w:ilvl w:val="0"/>
          <w:numId w:val="2"/>
        </w:numPr>
        <w:tabs>
          <w:tab w:pos="478" w:val="left" w:leader="none"/>
        </w:tabs>
        <w:spacing w:line="360" w:lineRule="auto" w:before="0" w:after="0"/>
        <w:ind w:left="477" w:right="108" w:hanging="360"/>
        <w:jc w:val="both"/>
        <w:rPr>
          <w:sz w:val="20"/>
        </w:rPr>
      </w:pPr>
      <w:r>
        <w:rPr>
          <w:sz w:val="20"/>
        </w:rPr>
        <w:t>The Chair welcomed attendees and requested comments on the minutes from the previous meeting to be</w:t>
      </w:r>
      <w:r>
        <w:rPr>
          <w:spacing w:val="-11"/>
          <w:sz w:val="20"/>
        </w:rPr>
        <w:t> </w:t>
      </w:r>
      <w:r>
        <w:rPr>
          <w:sz w:val="20"/>
        </w:rPr>
        <w:t>sent</w:t>
      </w:r>
      <w:r>
        <w:rPr>
          <w:spacing w:val="-10"/>
          <w:sz w:val="20"/>
        </w:rPr>
        <w:t> </w:t>
      </w:r>
      <w:r>
        <w:rPr>
          <w:sz w:val="20"/>
        </w:rPr>
        <w:t>to</w:t>
      </w:r>
      <w:r>
        <w:rPr>
          <w:spacing w:val="-10"/>
          <w:sz w:val="20"/>
        </w:rPr>
        <w:t> </w:t>
      </w:r>
      <w:r>
        <w:rPr>
          <w:sz w:val="20"/>
        </w:rPr>
        <w:t>the</w:t>
      </w:r>
      <w:r>
        <w:rPr>
          <w:spacing w:val="-10"/>
          <w:sz w:val="20"/>
        </w:rPr>
        <w:t> </w:t>
      </w:r>
      <w:r>
        <w:rPr>
          <w:sz w:val="20"/>
        </w:rPr>
        <w:t>RFR</w:t>
      </w:r>
      <w:r>
        <w:rPr>
          <w:spacing w:val="-6"/>
          <w:sz w:val="20"/>
        </w:rPr>
        <w:t> </w:t>
      </w:r>
      <w:r>
        <w:rPr>
          <w:sz w:val="20"/>
        </w:rPr>
        <w:t>Secretariat.</w:t>
      </w:r>
      <w:r>
        <w:rPr>
          <w:spacing w:val="-10"/>
          <w:sz w:val="20"/>
        </w:rPr>
        <w:t> </w:t>
      </w:r>
      <w:r>
        <w:rPr>
          <w:sz w:val="20"/>
        </w:rPr>
        <w:t>The</w:t>
      </w:r>
      <w:r>
        <w:rPr>
          <w:spacing w:val="-16"/>
          <w:sz w:val="20"/>
        </w:rPr>
        <w:t> </w:t>
      </w:r>
      <w:r>
        <w:rPr>
          <w:sz w:val="20"/>
        </w:rPr>
        <w:t>Working</w:t>
      </w:r>
      <w:r>
        <w:rPr>
          <w:spacing w:val="-10"/>
          <w:sz w:val="20"/>
        </w:rPr>
        <w:t> </w:t>
      </w:r>
      <w:r>
        <w:rPr>
          <w:sz w:val="20"/>
        </w:rPr>
        <w:t>Group’s</w:t>
      </w:r>
      <w:r>
        <w:rPr>
          <w:spacing w:val="-8"/>
          <w:sz w:val="20"/>
        </w:rPr>
        <w:t> </w:t>
      </w:r>
      <w:r>
        <w:rPr>
          <w:sz w:val="20"/>
        </w:rPr>
        <w:t>General</w:t>
      </w:r>
      <w:r>
        <w:rPr>
          <w:spacing w:val="-11"/>
          <w:sz w:val="20"/>
        </w:rPr>
        <w:t> </w:t>
      </w:r>
      <w:r>
        <w:rPr>
          <w:sz w:val="20"/>
        </w:rPr>
        <w:t>Counsel</w:t>
      </w:r>
      <w:r>
        <w:rPr>
          <w:spacing w:val="-9"/>
          <w:sz w:val="20"/>
        </w:rPr>
        <w:t> </w:t>
      </w:r>
      <w:r>
        <w:rPr>
          <w:sz w:val="20"/>
        </w:rPr>
        <w:t>gave</w:t>
      </w:r>
      <w:r>
        <w:rPr>
          <w:spacing w:val="-8"/>
          <w:sz w:val="20"/>
        </w:rPr>
        <w:t> </w:t>
      </w:r>
      <w:r>
        <w:rPr>
          <w:sz w:val="20"/>
        </w:rPr>
        <w:t>a</w:t>
      </w:r>
      <w:r>
        <w:rPr>
          <w:spacing w:val="-7"/>
          <w:sz w:val="20"/>
        </w:rPr>
        <w:t> </w:t>
      </w:r>
      <w:r>
        <w:rPr>
          <w:sz w:val="20"/>
        </w:rPr>
        <w:t>competition</w:t>
      </w:r>
      <w:r>
        <w:rPr>
          <w:spacing w:val="-9"/>
          <w:sz w:val="20"/>
        </w:rPr>
        <w:t> </w:t>
      </w:r>
      <w:r>
        <w:rPr>
          <w:sz w:val="20"/>
        </w:rPr>
        <w:t>law</w:t>
      </w:r>
      <w:r>
        <w:rPr>
          <w:spacing w:val="-12"/>
          <w:sz w:val="20"/>
        </w:rPr>
        <w:t> </w:t>
      </w:r>
      <w:r>
        <w:rPr>
          <w:sz w:val="20"/>
        </w:rPr>
        <w:t>reminder.</w:t>
      </w:r>
    </w:p>
    <w:p>
      <w:pPr>
        <w:pStyle w:val="Heading2"/>
        <w:spacing w:before="117"/>
      </w:pPr>
      <w:r>
        <w:rPr/>
        <w:t>Summary of the Financial Stability Board’s Official Sector Steering Group meeting (OSSG)</w:t>
      </w:r>
    </w:p>
    <w:p>
      <w:pPr>
        <w:pStyle w:val="BodyText"/>
        <w:spacing w:before="8"/>
        <w:ind w:left="0" w:firstLine="0"/>
        <w:rPr>
          <w:b/>
        </w:rPr>
      </w:pPr>
    </w:p>
    <w:p>
      <w:pPr>
        <w:pStyle w:val="ListParagraph"/>
        <w:numPr>
          <w:ilvl w:val="0"/>
          <w:numId w:val="2"/>
        </w:numPr>
        <w:tabs>
          <w:tab w:pos="478" w:val="left" w:leader="none"/>
        </w:tabs>
        <w:spacing w:line="360" w:lineRule="auto" w:before="0" w:after="0"/>
        <w:ind w:left="477" w:right="107" w:hanging="360"/>
        <w:jc w:val="both"/>
        <w:rPr>
          <w:sz w:val="20"/>
        </w:rPr>
      </w:pPr>
      <w:r>
        <w:rPr>
          <w:sz w:val="20"/>
        </w:rPr>
        <w:t>The</w:t>
      </w:r>
      <w:r>
        <w:rPr>
          <w:spacing w:val="-7"/>
          <w:sz w:val="20"/>
        </w:rPr>
        <w:t> </w:t>
      </w:r>
      <w:r>
        <w:rPr>
          <w:sz w:val="20"/>
        </w:rPr>
        <w:t>January</w:t>
      </w:r>
      <w:r>
        <w:rPr>
          <w:spacing w:val="-10"/>
          <w:sz w:val="20"/>
        </w:rPr>
        <w:t> </w:t>
      </w:r>
      <w:r>
        <w:rPr>
          <w:sz w:val="20"/>
        </w:rPr>
        <w:t>OSSG</w:t>
      </w:r>
      <w:r>
        <w:rPr>
          <w:spacing w:val="-4"/>
          <w:sz w:val="20"/>
        </w:rPr>
        <w:t> </w:t>
      </w:r>
      <w:r>
        <w:rPr>
          <w:sz w:val="20"/>
        </w:rPr>
        <w:t>meeting</w:t>
      </w:r>
      <w:r>
        <w:rPr>
          <w:spacing w:val="-7"/>
          <w:sz w:val="20"/>
        </w:rPr>
        <w:t> </w:t>
      </w:r>
      <w:r>
        <w:rPr>
          <w:sz w:val="20"/>
        </w:rPr>
        <w:t>had</w:t>
      </w:r>
      <w:r>
        <w:rPr>
          <w:spacing w:val="-7"/>
          <w:sz w:val="20"/>
        </w:rPr>
        <w:t> </w:t>
      </w:r>
      <w:r>
        <w:rPr>
          <w:sz w:val="20"/>
        </w:rPr>
        <w:t>been</w:t>
      </w:r>
      <w:r>
        <w:rPr>
          <w:spacing w:val="-4"/>
          <w:sz w:val="20"/>
        </w:rPr>
        <w:t> </w:t>
      </w:r>
      <w:r>
        <w:rPr>
          <w:sz w:val="20"/>
        </w:rPr>
        <w:t>hosted</w:t>
      </w:r>
      <w:r>
        <w:rPr>
          <w:spacing w:val="-5"/>
          <w:sz w:val="20"/>
        </w:rPr>
        <w:t> </w:t>
      </w:r>
      <w:r>
        <w:rPr>
          <w:sz w:val="20"/>
        </w:rPr>
        <w:t>by</w:t>
      </w:r>
      <w:r>
        <w:rPr>
          <w:spacing w:val="-10"/>
          <w:sz w:val="20"/>
        </w:rPr>
        <w:t> </w:t>
      </w:r>
      <w:r>
        <w:rPr>
          <w:sz w:val="20"/>
        </w:rPr>
        <w:t>the</w:t>
      </w:r>
      <w:r>
        <w:rPr>
          <w:spacing w:val="-7"/>
          <w:sz w:val="20"/>
        </w:rPr>
        <w:t> </w:t>
      </w:r>
      <w:r>
        <w:rPr>
          <w:sz w:val="20"/>
        </w:rPr>
        <w:t>UK</w:t>
      </w:r>
      <w:r>
        <w:rPr>
          <w:spacing w:val="-6"/>
          <w:sz w:val="20"/>
        </w:rPr>
        <w:t> </w:t>
      </w:r>
      <w:r>
        <w:rPr>
          <w:sz w:val="20"/>
        </w:rPr>
        <w:t>at</w:t>
      </w:r>
      <w:r>
        <w:rPr>
          <w:spacing w:val="-7"/>
          <w:sz w:val="20"/>
        </w:rPr>
        <w:t> </w:t>
      </w:r>
      <w:r>
        <w:rPr>
          <w:sz w:val="20"/>
        </w:rPr>
        <w:t>the</w:t>
      </w:r>
      <w:r>
        <w:rPr>
          <w:spacing w:val="-7"/>
          <w:sz w:val="20"/>
        </w:rPr>
        <w:t> </w:t>
      </w:r>
      <w:r>
        <w:rPr>
          <w:sz w:val="20"/>
        </w:rPr>
        <w:t>FCA</w:t>
      </w:r>
      <w:r>
        <w:rPr>
          <w:spacing w:val="-7"/>
          <w:sz w:val="20"/>
        </w:rPr>
        <w:t> </w:t>
      </w:r>
      <w:r>
        <w:rPr>
          <w:sz w:val="20"/>
        </w:rPr>
        <w:t>offices.</w:t>
      </w:r>
      <w:r>
        <w:rPr>
          <w:spacing w:val="40"/>
          <w:sz w:val="20"/>
        </w:rPr>
        <w:t> </w:t>
      </w:r>
      <w:r>
        <w:rPr>
          <w:sz w:val="20"/>
        </w:rPr>
        <w:t>The</w:t>
      </w:r>
      <w:r>
        <w:rPr>
          <w:spacing w:val="-7"/>
          <w:sz w:val="20"/>
        </w:rPr>
        <w:t> </w:t>
      </w:r>
      <w:r>
        <w:rPr>
          <w:sz w:val="20"/>
        </w:rPr>
        <w:t>first</w:t>
      </w:r>
      <w:r>
        <w:rPr>
          <w:spacing w:val="-7"/>
          <w:sz w:val="20"/>
        </w:rPr>
        <w:t> </w:t>
      </w:r>
      <w:r>
        <w:rPr>
          <w:sz w:val="20"/>
        </w:rPr>
        <w:t>part</w:t>
      </w:r>
      <w:r>
        <w:rPr>
          <w:spacing w:val="-7"/>
          <w:sz w:val="20"/>
        </w:rPr>
        <w:t> </w:t>
      </w:r>
      <w:r>
        <w:rPr>
          <w:sz w:val="20"/>
        </w:rPr>
        <w:t>of</w:t>
      </w:r>
      <w:r>
        <w:rPr>
          <w:spacing w:val="-5"/>
          <w:sz w:val="20"/>
        </w:rPr>
        <w:t> </w:t>
      </w:r>
      <w:r>
        <w:rPr>
          <w:sz w:val="20"/>
        </w:rPr>
        <w:t>the</w:t>
      </w:r>
      <w:r>
        <w:rPr>
          <w:spacing w:val="-10"/>
          <w:sz w:val="20"/>
        </w:rPr>
        <w:t> </w:t>
      </w:r>
      <w:r>
        <w:rPr>
          <w:sz w:val="20"/>
        </w:rPr>
        <w:t>meeting was attended by the private sector chairs of the various national working groups, including the RFRWG Chair. A brief update on the meeting was provided including on various initiatives supporting continuing international co-operation on transition. Attendees noted particular progress in Sterling and the impact of the RFRWG January publications. There was general acknowledgement that loan markets were lagging behind</w:t>
      </w:r>
      <w:r>
        <w:rPr>
          <w:spacing w:val="-1"/>
          <w:sz w:val="20"/>
        </w:rPr>
        <w:t> </w:t>
      </w:r>
      <w:r>
        <w:rPr>
          <w:sz w:val="20"/>
        </w:rPr>
        <w:t>globally.</w:t>
      </w:r>
    </w:p>
    <w:p>
      <w:pPr>
        <w:pStyle w:val="ListParagraph"/>
        <w:numPr>
          <w:ilvl w:val="0"/>
          <w:numId w:val="2"/>
        </w:numPr>
        <w:tabs>
          <w:tab w:pos="478" w:val="left" w:leader="none"/>
        </w:tabs>
        <w:spacing w:line="360" w:lineRule="auto" w:before="119" w:after="0"/>
        <w:ind w:left="477" w:right="111" w:hanging="360"/>
        <w:jc w:val="both"/>
        <w:rPr>
          <w:sz w:val="20"/>
        </w:rPr>
      </w:pPr>
      <w:r>
        <w:rPr>
          <w:sz w:val="20"/>
        </w:rPr>
        <w:t>A joint FSB/BCBS survey was sent out to c.90 jurisdictions that were members of the FSB and its Regional Consultative Groups. This two part survey covered qualitative exposures data and qualitative supervisory</w:t>
      </w:r>
      <w:r>
        <w:rPr>
          <w:spacing w:val="-18"/>
          <w:sz w:val="20"/>
        </w:rPr>
        <w:t> </w:t>
      </w:r>
      <w:r>
        <w:rPr>
          <w:sz w:val="20"/>
        </w:rPr>
        <w:t>measures</w:t>
      </w:r>
      <w:r>
        <w:rPr>
          <w:spacing w:val="-14"/>
          <w:sz w:val="20"/>
        </w:rPr>
        <w:t> </w:t>
      </w:r>
      <w:r>
        <w:rPr>
          <w:sz w:val="20"/>
        </w:rPr>
        <w:t>to</w:t>
      </w:r>
      <w:r>
        <w:rPr>
          <w:spacing w:val="-14"/>
          <w:sz w:val="20"/>
        </w:rPr>
        <w:t> </w:t>
      </w:r>
      <w:r>
        <w:rPr>
          <w:sz w:val="20"/>
        </w:rPr>
        <w:t>address</w:t>
      </w:r>
      <w:r>
        <w:rPr>
          <w:spacing w:val="-14"/>
          <w:sz w:val="20"/>
        </w:rPr>
        <w:t> </w:t>
      </w:r>
      <w:r>
        <w:rPr>
          <w:sz w:val="20"/>
        </w:rPr>
        <w:t>benchmark</w:t>
      </w:r>
      <w:r>
        <w:rPr>
          <w:spacing w:val="-11"/>
          <w:sz w:val="20"/>
        </w:rPr>
        <w:t> </w:t>
      </w:r>
      <w:r>
        <w:rPr>
          <w:sz w:val="20"/>
        </w:rPr>
        <w:t>transition</w:t>
      </w:r>
      <w:r>
        <w:rPr>
          <w:spacing w:val="-13"/>
          <w:sz w:val="20"/>
        </w:rPr>
        <w:t> </w:t>
      </w:r>
      <w:r>
        <w:rPr>
          <w:sz w:val="20"/>
        </w:rPr>
        <w:t>issues.</w:t>
      </w:r>
      <w:r>
        <w:rPr>
          <w:spacing w:val="-14"/>
          <w:sz w:val="20"/>
        </w:rPr>
        <w:t> </w:t>
      </w:r>
      <w:r>
        <w:rPr>
          <w:sz w:val="20"/>
        </w:rPr>
        <w:t>The</w:t>
      </w:r>
      <w:r>
        <w:rPr>
          <w:spacing w:val="-16"/>
          <w:sz w:val="20"/>
        </w:rPr>
        <w:t> </w:t>
      </w:r>
      <w:r>
        <w:rPr>
          <w:sz w:val="20"/>
        </w:rPr>
        <w:t>purpose</w:t>
      </w:r>
      <w:r>
        <w:rPr>
          <w:spacing w:val="-14"/>
          <w:sz w:val="20"/>
        </w:rPr>
        <w:t> </w:t>
      </w:r>
      <w:r>
        <w:rPr>
          <w:sz w:val="20"/>
        </w:rPr>
        <w:t>of</w:t>
      </w:r>
      <w:r>
        <w:rPr>
          <w:spacing w:val="-13"/>
          <w:sz w:val="20"/>
        </w:rPr>
        <w:t> </w:t>
      </w:r>
      <w:r>
        <w:rPr>
          <w:sz w:val="20"/>
        </w:rPr>
        <w:t>the</w:t>
      </w:r>
      <w:r>
        <w:rPr>
          <w:spacing w:val="-16"/>
          <w:sz w:val="20"/>
        </w:rPr>
        <w:t> </w:t>
      </w:r>
      <w:r>
        <w:rPr>
          <w:sz w:val="20"/>
        </w:rPr>
        <w:t>survey</w:t>
      </w:r>
      <w:r>
        <w:rPr>
          <w:spacing w:val="-9"/>
          <w:sz w:val="20"/>
        </w:rPr>
        <w:t> </w:t>
      </w:r>
      <w:r>
        <w:rPr>
          <w:sz w:val="20"/>
        </w:rPr>
        <w:t>was</w:t>
      </w:r>
      <w:r>
        <w:rPr>
          <w:spacing w:val="-13"/>
          <w:sz w:val="20"/>
        </w:rPr>
        <w:t> </w:t>
      </w:r>
      <w:r>
        <w:rPr>
          <w:sz w:val="20"/>
        </w:rPr>
        <w:t>to</w:t>
      </w:r>
      <w:r>
        <w:rPr>
          <w:spacing w:val="-15"/>
          <w:sz w:val="20"/>
        </w:rPr>
        <w:t> </w:t>
      </w:r>
      <w:r>
        <w:rPr>
          <w:sz w:val="20"/>
        </w:rPr>
        <w:t>improve collective understanding of progress on LIBOR transition globally and increase awareness of the need to accelerate transition</w:t>
      </w:r>
      <w:r>
        <w:rPr>
          <w:spacing w:val="-2"/>
          <w:sz w:val="20"/>
        </w:rPr>
        <w:t> </w:t>
      </w:r>
      <w:r>
        <w:rPr>
          <w:sz w:val="20"/>
        </w:rPr>
        <w:t>efforts.</w:t>
      </w:r>
    </w:p>
    <w:p>
      <w:pPr>
        <w:pStyle w:val="ListParagraph"/>
        <w:numPr>
          <w:ilvl w:val="0"/>
          <w:numId w:val="2"/>
        </w:numPr>
        <w:tabs>
          <w:tab w:pos="478" w:val="left" w:leader="none"/>
        </w:tabs>
        <w:spacing w:line="360" w:lineRule="auto" w:before="121" w:after="0"/>
        <w:ind w:left="477" w:right="111" w:hanging="360"/>
        <w:jc w:val="both"/>
        <w:rPr>
          <w:sz w:val="20"/>
        </w:rPr>
      </w:pPr>
      <w:r>
        <w:rPr>
          <w:sz w:val="20"/>
        </w:rPr>
        <w:t>Progress</w:t>
      </w:r>
      <w:r>
        <w:rPr>
          <w:spacing w:val="-10"/>
          <w:sz w:val="20"/>
        </w:rPr>
        <w:t> </w:t>
      </w:r>
      <w:r>
        <w:rPr>
          <w:sz w:val="20"/>
        </w:rPr>
        <w:t>on</w:t>
      </w:r>
      <w:r>
        <w:rPr>
          <w:spacing w:val="-11"/>
          <w:sz w:val="20"/>
        </w:rPr>
        <w:t> </w:t>
      </w:r>
      <w:r>
        <w:rPr>
          <w:sz w:val="20"/>
        </w:rPr>
        <w:t>the</w:t>
      </w:r>
      <w:r>
        <w:rPr>
          <w:spacing w:val="-10"/>
          <w:sz w:val="20"/>
        </w:rPr>
        <w:t> </w:t>
      </w:r>
      <w:r>
        <w:rPr>
          <w:sz w:val="20"/>
        </w:rPr>
        <w:t>development</w:t>
      </w:r>
      <w:r>
        <w:rPr>
          <w:spacing w:val="-10"/>
          <w:sz w:val="20"/>
        </w:rPr>
        <w:t> </w:t>
      </w:r>
      <w:r>
        <w:rPr>
          <w:sz w:val="20"/>
        </w:rPr>
        <w:t>of</w:t>
      </w:r>
      <w:r>
        <w:rPr>
          <w:spacing w:val="-6"/>
          <w:sz w:val="20"/>
        </w:rPr>
        <w:t> </w:t>
      </w:r>
      <w:r>
        <w:rPr>
          <w:sz w:val="20"/>
        </w:rPr>
        <w:t>the</w:t>
      </w:r>
      <w:r>
        <w:rPr>
          <w:spacing w:val="-11"/>
          <w:sz w:val="20"/>
        </w:rPr>
        <w:t> </w:t>
      </w:r>
      <w:r>
        <w:rPr>
          <w:sz w:val="20"/>
        </w:rPr>
        <w:t>ISDA</w:t>
      </w:r>
      <w:r>
        <w:rPr>
          <w:spacing w:val="-8"/>
          <w:sz w:val="20"/>
        </w:rPr>
        <w:t> </w:t>
      </w:r>
      <w:r>
        <w:rPr>
          <w:sz w:val="20"/>
        </w:rPr>
        <w:t>protocol</w:t>
      </w:r>
      <w:r>
        <w:rPr>
          <w:spacing w:val="-8"/>
          <w:sz w:val="20"/>
        </w:rPr>
        <w:t> </w:t>
      </w:r>
      <w:r>
        <w:rPr>
          <w:sz w:val="20"/>
        </w:rPr>
        <w:t>was</w:t>
      </w:r>
      <w:r>
        <w:rPr>
          <w:spacing w:val="-7"/>
          <w:sz w:val="20"/>
        </w:rPr>
        <w:t> </w:t>
      </w:r>
      <w:r>
        <w:rPr>
          <w:sz w:val="20"/>
        </w:rPr>
        <w:t>also</w:t>
      </w:r>
      <w:r>
        <w:rPr>
          <w:spacing w:val="-10"/>
          <w:sz w:val="20"/>
        </w:rPr>
        <w:t> </w:t>
      </w:r>
      <w:r>
        <w:rPr>
          <w:sz w:val="20"/>
        </w:rPr>
        <w:t>covered</w:t>
      </w:r>
      <w:r>
        <w:rPr>
          <w:spacing w:val="-8"/>
          <w:sz w:val="20"/>
        </w:rPr>
        <w:t> </w:t>
      </w:r>
      <w:r>
        <w:rPr>
          <w:sz w:val="20"/>
        </w:rPr>
        <w:t>during</w:t>
      </w:r>
      <w:r>
        <w:rPr>
          <w:spacing w:val="-11"/>
          <w:sz w:val="20"/>
        </w:rPr>
        <w:t> </w:t>
      </w:r>
      <w:r>
        <w:rPr>
          <w:sz w:val="20"/>
        </w:rPr>
        <w:t>the</w:t>
      </w:r>
      <w:r>
        <w:rPr>
          <w:spacing w:val="-11"/>
          <w:sz w:val="20"/>
        </w:rPr>
        <w:t> </w:t>
      </w:r>
      <w:r>
        <w:rPr>
          <w:sz w:val="20"/>
        </w:rPr>
        <w:t>OSSG</w:t>
      </w:r>
      <w:r>
        <w:rPr>
          <w:spacing w:val="-9"/>
          <w:sz w:val="20"/>
        </w:rPr>
        <w:t> </w:t>
      </w:r>
      <w:r>
        <w:rPr>
          <w:sz w:val="20"/>
        </w:rPr>
        <w:t>meeting</w:t>
      </w:r>
      <w:r>
        <w:rPr>
          <w:spacing w:val="-8"/>
          <w:sz w:val="20"/>
        </w:rPr>
        <w:t> </w:t>
      </w:r>
      <w:r>
        <w:rPr>
          <w:sz w:val="20"/>
        </w:rPr>
        <w:t>including the importance of wide market adoption once it was</w:t>
      </w:r>
      <w:r>
        <w:rPr>
          <w:spacing w:val="2"/>
          <w:sz w:val="20"/>
        </w:rPr>
        <w:t> </w:t>
      </w:r>
      <w:r>
        <w:rPr>
          <w:sz w:val="20"/>
        </w:rPr>
        <w:t>finalised.</w:t>
      </w:r>
    </w:p>
    <w:p>
      <w:pPr>
        <w:pStyle w:val="Heading2"/>
        <w:spacing w:before="119"/>
      </w:pPr>
      <w:r>
        <w:rPr/>
        <w:t>January 16th publications</w:t>
      </w:r>
    </w:p>
    <w:p>
      <w:pPr>
        <w:pStyle w:val="BodyText"/>
        <w:spacing w:before="5"/>
        <w:ind w:left="0" w:firstLine="0"/>
        <w:rPr>
          <w:b/>
        </w:rPr>
      </w:pPr>
    </w:p>
    <w:p>
      <w:pPr>
        <w:pStyle w:val="ListParagraph"/>
        <w:numPr>
          <w:ilvl w:val="0"/>
          <w:numId w:val="2"/>
        </w:numPr>
        <w:tabs>
          <w:tab w:pos="533" w:val="left" w:leader="none"/>
        </w:tabs>
        <w:spacing w:line="360" w:lineRule="auto" w:before="1" w:after="0"/>
        <w:ind w:left="477" w:right="110" w:hanging="360"/>
        <w:jc w:val="both"/>
        <w:rPr>
          <w:sz w:val="20"/>
        </w:rPr>
      </w:pPr>
      <w:r>
        <w:rPr/>
        <w:tab/>
      </w:r>
      <w:r>
        <w:rPr>
          <w:sz w:val="20"/>
        </w:rPr>
        <w:t>A substantial package of Working Group documents was released on January 16th. The parallel letter from the Bank and FCA to senior managers added further weight to these releases helping to generate substantial press coverage, including from the mainstream press in addition to industry/trade publications.</w:t>
      </w:r>
    </w:p>
    <w:p>
      <w:pPr>
        <w:pStyle w:val="Heading2"/>
        <w:spacing w:before="118"/>
      </w:pPr>
      <w:r>
        <w:rPr/>
        <w:t>Communications and Outreach Sub-Group</w:t>
      </w:r>
    </w:p>
    <w:p>
      <w:pPr>
        <w:pStyle w:val="BodyText"/>
        <w:spacing w:before="8"/>
        <w:ind w:left="0" w:firstLine="0"/>
        <w:rPr>
          <w:b/>
        </w:rPr>
      </w:pPr>
    </w:p>
    <w:p>
      <w:pPr>
        <w:pStyle w:val="ListParagraph"/>
        <w:numPr>
          <w:ilvl w:val="0"/>
          <w:numId w:val="2"/>
        </w:numPr>
        <w:tabs>
          <w:tab w:pos="478" w:val="left" w:leader="none"/>
        </w:tabs>
        <w:spacing w:line="360" w:lineRule="auto" w:before="0" w:after="0"/>
        <w:ind w:left="477" w:right="113" w:hanging="360"/>
        <w:jc w:val="both"/>
        <w:rPr>
          <w:sz w:val="20"/>
        </w:rPr>
      </w:pPr>
      <w:r>
        <w:rPr>
          <w:sz w:val="20"/>
        </w:rPr>
        <w:t>In response to questions from RFRWG members the official sector set out that press queries could be redirected to the FCA or Bank of</w:t>
      </w:r>
      <w:r>
        <w:rPr>
          <w:spacing w:val="1"/>
          <w:sz w:val="20"/>
        </w:rPr>
        <w:t> </w:t>
      </w:r>
      <w:r>
        <w:rPr>
          <w:sz w:val="20"/>
        </w:rPr>
        <w:t>England.</w:t>
      </w:r>
    </w:p>
    <w:p>
      <w:pPr>
        <w:pStyle w:val="ListParagraph"/>
        <w:numPr>
          <w:ilvl w:val="0"/>
          <w:numId w:val="2"/>
        </w:numPr>
        <w:tabs>
          <w:tab w:pos="478" w:val="left" w:leader="none"/>
        </w:tabs>
        <w:spacing w:line="360" w:lineRule="auto" w:before="119" w:after="0"/>
        <w:ind w:left="477" w:right="108" w:hanging="360"/>
        <w:jc w:val="both"/>
        <w:rPr>
          <w:sz w:val="20"/>
        </w:rPr>
      </w:pPr>
      <w:r>
        <w:rPr>
          <w:sz w:val="20"/>
        </w:rPr>
        <w:t>Planning for an event with relevant trade associations had begun. This was expected to provide background information on transition with the intention that those who attend would then pass on the information to members of their respective</w:t>
      </w:r>
      <w:r>
        <w:rPr>
          <w:spacing w:val="-2"/>
          <w:sz w:val="20"/>
        </w:rPr>
        <w:t> </w:t>
      </w:r>
      <w:r>
        <w:rPr>
          <w:sz w:val="20"/>
        </w:rPr>
        <w:t>associations.</w:t>
      </w:r>
    </w:p>
    <w:p>
      <w:pPr>
        <w:pStyle w:val="Heading2"/>
        <w:spacing w:before="119"/>
      </w:pPr>
      <w:r>
        <w:rPr/>
        <w:t>Loan Flow Enablers Task Force</w:t>
      </w:r>
    </w:p>
    <w:p>
      <w:pPr>
        <w:pStyle w:val="BodyText"/>
        <w:spacing w:before="6"/>
        <w:ind w:left="0" w:firstLine="0"/>
        <w:rPr>
          <w:b/>
        </w:rPr>
      </w:pPr>
    </w:p>
    <w:p>
      <w:pPr>
        <w:pStyle w:val="ListParagraph"/>
        <w:numPr>
          <w:ilvl w:val="0"/>
          <w:numId w:val="2"/>
        </w:numPr>
        <w:tabs>
          <w:tab w:pos="478" w:val="left" w:leader="none"/>
        </w:tabs>
        <w:spacing w:line="362" w:lineRule="auto" w:before="0" w:after="0"/>
        <w:ind w:left="477" w:right="110" w:hanging="360"/>
        <w:jc w:val="both"/>
        <w:rPr>
          <w:sz w:val="20"/>
        </w:rPr>
      </w:pPr>
      <w:r>
        <w:rPr>
          <w:sz w:val="20"/>
        </w:rPr>
        <w:t>The</w:t>
      </w:r>
      <w:r>
        <w:rPr>
          <w:spacing w:val="-17"/>
          <w:sz w:val="20"/>
        </w:rPr>
        <w:t> </w:t>
      </w:r>
      <w:r>
        <w:rPr>
          <w:sz w:val="20"/>
        </w:rPr>
        <w:t>Task</w:t>
      </w:r>
      <w:r>
        <w:rPr>
          <w:spacing w:val="-13"/>
          <w:sz w:val="20"/>
        </w:rPr>
        <w:t> </w:t>
      </w:r>
      <w:r>
        <w:rPr>
          <w:sz w:val="20"/>
        </w:rPr>
        <w:t>Force</w:t>
      </w:r>
      <w:r>
        <w:rPr>
          <w:spacing w:val="-16"/>
          <w:sz w:val="20"/>
        </w:rPr>
        <w:t> </w:t>
      </w:r>
      <w:r>
        <w:rPr>
          <w:sz w:val="20"/>
        </w:rPr>
        <w:t>was</w:t>
      </w:r>
      <w:r>
        <w:rPr>
          <w:spacing w:val="-15"/>
          <w:sz w:val="20"/>
        </w:rPr>
        <w:t> </w:t>
      </w:r>
      <w:r>
        <w:rPr>
          <w:sz w:val="20"/>
        </w:rPr>
        <w:t>focussing</w:t>
      </w:r>
      <w:r>
        <w:rPr>
          <w:spacing w:val="-15"/>
          <w:sz w:val="20"/>
        </w:rPr>
        <w:t> </w:t>
      </w:r>
      <w:r>
        <w:rPr>
          <w:sz w:val="20"/>
        </w:rPr>
        <w:t>on</w:t>
      </w:r>
      <w:r>
        <w:rPr>
          <w:spacing w:val="-14"/>
          <w:sz w:val="20"/>
        </w:rPr>
        <w:t> </w:t>
      </w:r>
      <w:r>
        <w:rPr>
          <w:sz w:val="20"/>
        </w:rPr>
        <w:t>how</w:t>
      </w:r>
      <w:r>
        <w:rPr>
          <w:spacing w:val="-16"/>
          <w:sz w:val="20"/>
        </w:rPr>
        <w:t> </w:t>
      </w:r>
      <w:r>
        <w:rPr>
          <w:sz w:val="20"/>
        </w:rPr>
        <w:t>to</w:t>
      </w:r>
      <w:r>
        <w:rPr>
          <w:spacing w:val="-14"/>
          <w:sz w:val="20"/>
        </w:rPr>
        <w:t> </w:t>
      </w:r>
      <w:r>
        <w:rPr>
          <w:sz w:val="20"/>
        </w:rPr>
        <w:t>overcome</w:t>
      </w:r>
      <w:r>
        <w:rPr>
          <w:spacing w:val="-15"/>
          <w:sz w:val="20"/>
        </w:rPr>
        <w:t> </w:t>
      </w:r>
      <w:r>
        <w:rPr>
          <w:sz w:val="20"/>
        </w:rPr>
        <w:t>any</w:t>
      </w:r>
      <w:r>
        <w:rPr>
          <w:spacing w:val="-15"/>
          <w:sz w:val="20"/>
        </w:rPr>
        <w:t> </w:t>
      </w:r>
      <w:r>
        <w:rPr>
          <w:sz w:val="20"/>
        </w:rPr>
        <w:t>potential</w:t>
      </w:r>
      <w:r>
        <w:rPr>
          <w:spacing w:val="-15"/>
          <w:sz w:val="20"/>
        </w:rPr>
        <w:t> </w:t>
      </w:r>
      <w:r>
        <w:rPr>
          <w:sz w:val="20"/>
        </w:rPr>
        <w:t>barriers</w:t>
      </w:r>
      <w:r>
        <w:rPr>
          <w:spacing w:val="-12"/>
          <w:sz w:val="20"/>
        </w:rPr>
        <w:t> </w:t>
      </w:r>
      <w:r>
        <w:rPr>
          <w:sz w:val="20"/>
        </w:rPr>
        <w:t>to</w:t>
      </w:r>
      <w:r>
        <w:rPr>
          <w:spacing w:val="-15"/>
          <w:sz w:val="20"/>
        </w:rPr>
        <w:t> </w:t>
      </w:r>
      <w:r>
        <w:rPr>
          <w:sz w:val="20"/>
        </w:rPr>
        <w:t>developing</w:t>
      </w:r>
      <w:r>
        <w:rPr>
          <w:spacing w:val="-15"/>
          <w:sz w:val="20"/>
        </w:rPr>
        <w:t> </w:t>
      </w:r>
      <w:r>
        <w:rPr>
          <w:sz w:val="20"/>
        </w:rPr>
        <w:t>liquidity</w:t>
      </w:r>
      <w:r>
        <w:rPr>
          <w:spacing w:val="-17"/>
          <w:sz w:val="20"/>
        </w:rPr>
        <w:t> </w:t>
      </w:r>
      <w:r>
        <w:rPr>
          <w:sz w:val="20"/>
        </w:rPr>
        <w:t>in</w:t>
      </w:r>
      <w:r>
        <w:rPr>
          <w:spacing w:val="-13"/>
          <w:sz w:val="20"/>
        </w:rPr>
        <w:t> </w:t>
      </w:r>
      <w:r>
        <w:rPr>
          <w:sz w:val="20"/>
        </w:rPr>
        <w:t>SONIA loans.</w:t>
      </w:r>
    </w:p>
    <w:p>
      <w:pPr>
        <w:pStyle w:val="ListParagraph"/>
        <w:numPr>
          <w:ilvl w:val="0"/>
          <w:numId w:val="2"/>
        </w:numPr>
        <w:tabs>
          <w:tab w:pos="478" w:val="left" w:leader="none"/>
        </w:tabs>
        <w:spacing w:line="360" w:lineRule="auto" w:before="117" w:after="0"/>
        <w:ind w:left="477" w:right="109" w:hanging="360"/>
        <w:jc w:val="both"/>
        <w:rPr>
          <w:sz w:val="20"/>
        </w:rPr>
      </w:pPr>
      <w:r>
        <w:rPr>
          <w:sz w:val="20"/>
        </w:rPr>
        <w:t>The Chair of the Task Force felt that further representation from borrowers was needed on the Group</w:t>
      </w:r>
      <w:r>
        <w:rPr>
          <w:spacing w:val="-36"/>
          <w:sz w:val="20"/>
        </w:rPr>
        <w:t> </w:t>
      </w:r>
      <w:r>
        <w:rPr>
          <w:sz w:val="20"/>
        </w:rPr>
        <w:t>to make sure end-users were represented and said that this would be addressed.</w:t>
      </w:r>
    </w:p>
    <w:p>
      <w:pPr>
        <w:pStyle w:val="ListParagraph"/>
        <w:numPr>
          <w:ilvl w:val="0"/>
          <w:numId w:val="2"/>
        </w:numPr>
        <w:tabs>
          <w:tab w:pos="478" w:val="left" w:leader="none"/>
        </w:tabs>
        <w:spacing w:line="360" w:lineRule="auto" w:before="119" w:after="0"/>
        <w:ind w:left="477" w:right="110" w:hanging="360"/>
        <w:jc w:val="both"/>
        <w:rPr>
          <w:sz w:val="20"/>
        </w:rPr>
      </w:pPr>
      <w:r>
        <w:rPr>
          <w:sz w:val="20"/>
        </w:rPr>
        <w:t>The Task Force was working on a granular plan for transitioning to SONIA linked lending aligned to the Working</w:t>
      </w:r>
      <w:r>
        <w:rPr>
          <w:spacing w:val="-15"/>
          <w:sz w:val="20"/>
        </w:rPr>
        <w:t> </w:t>
      </w:r>
      <w:r>
        <w:rPr>
          <w:sz w:val="20"/>
        </w:rPr>
        <w:t>Group’s</w:t>
      </w:r>
      <w:r>
        <w:rPr>
          <w:spacing w:val="-11"/>
          <w:sz w:val="20"/>
        </w:rPr>
        <w:t> </w:t>
      </w:r>
      <w:r>
        <w:rPr>
          <w:sz w:val="20"/>
        </w:rPr>
        <w:t>headline</w:t>
      </w:r>
      <w:r>
        <w:rPr>
          <w:spacing w:val="-15"/>
          <w:sz w:val="20"/>
        </w:rPr>
        <w:t> </w:t>
      </w:r>
      <w:r>
        <w:rPr>
          <w:sz w:val="20"/>
        </w:rPr>
        <w:t>target</w:t>
      </w:r>
      <w:r>
        <w:rPr>
          <w:spacing w:val="-13"/>
          <w:sz w:val="20"/>
        </w:rPr>
        <w:t> </w:t>
      </w:r>
      <w:r>
        <w:rPr>
          <w:sz w:val="20"/>
        </w:rPr>
        <w:t>to</w:t>
      </w:r>
      <w:r>
        <w:rPr>
          <w:spacing w:val="-14"/>
          <w:sz w:val="20"/>
        </w:rPr>
        <w:t> </w:t>
      </w:r>
      <w:r>
        <w:rPr>
          <w:sz w:val="20"/>
        </w:rPr>
        <w:t>cease</w:t>
      </w:r>
      <w:r>
        <w:rPr>
          <w:spacing w:val="-13"/>
          <w:sz w:val="20"/>
        </w:rPr>
        <w:t> </w:t>
      </w:r>
      <w:r>
        <w:rPr>
          <w:sz w:val="20"/>
        </w:rPr>
        <w:t>issuance</w:t>
      </w:r>
      <w:r>
        <w:rPr>
          <w:spacing w:val="-13"/>
          <w:sz w:val="20"/>
        </w:rPr>
        <w:t> </w:t>
      </w:r>
      <w:r>
        <w:rPr>
          <w:sz w:val="20"/>
        </w:rPr>
        <w:t>of</w:t>
      </w:r>
      <w:r>
        <w:rPr>
          <w:spacing w:val="-9"/>
          <w:sz w:val="20"/>
        </w:rPr>
        <w:t> </w:t>
      </w:r>
      <w:r>
        <w:rPr>
          <w:sz w:val="20"/>
        </w:rPr>
        <w:t>sterling</w:t>
      </w:r>
      <w:r>
        <w:rPr>
          <w:spacing w:val="-13"/>
          <w:sz w:val="20"/>
        </w:rPr>
        <w:t> </w:t>
      </w:r>
      <w:r>
        <w:rPr>
          <w:sz w:val="20"/>
        </w:rPr>
        <w:t>LIBOR</w:t>
      </w:r>
      <w:r>
        <w:rPr>
          <w:spacing w:val="-14"/>
          <w:sz w:val="20"/>
        </w:rPr>
        <w:t> </w:t>
      </w:r>
      <w:r>
        <w:rPr>
          <w:sz w:val="20"/>
        </w:rPr>
        <w:t>based</w:t>
      </w:r>
      <w:r>
        <w:rPr>
          <w:spacing w:val="-13"/>
          <w:sz w:val="20"/>
        </w:rPr>
        <w:t> </w:t>
      </w:r>
      <w:r>
        <w:rPr>
          <w:sz w:val="20"/>
        </w:rPr>
        <w:t>cash</w:t>
      </w:r>
      <w:r>
        <w:rPr>
          <w:spacing w:val="-15"/>
          <w:sz w:val="20"/>
        </w:rPr>
        <w:t> </w:t>
      </w:r>
      <w:r>
        <w:rPr>
          <w:sz w:val="20"/>
        </w:rPr>
        <w:t>products</w:t>
      </w:r>
      <w:r>
        <w:rPr>
          <w:spacing w:val="-13"/>
          <w:sz w:val="20"/>
        </w:rPr>
        <w:t> </w:t>
      </w:r>
      <w:r>
        <w:rPr>
          <w:sz w:val="20"/>
        </w:rPr>
        <w:t>maturing</w:t>
      </w:r>
      <w:r>
        <w:rPr>
          <w:spacing w:val="-13"/>
          <w:sz w:val="20"/>
        </w:rPr>
        <w:t> </w:t>
      </w:r>
      <w:r>
        <w:rPr>
          <w:sz w:val="20"/>
        </w:rPr>
        <w:t>after 2021 by the end of Q3 2020. Conventions were another key focus and the group was working closely with the Infrastructure and Loans</w:t>
      </w:r>
      <w:r>
        <w:rPr>
          <w:spacing w:val="1"/>
          <w:sz w:val="20"/>
        </w:rPr>
        <w:t> </w:t>
      </w:r>
      <w:r>
        <w:rPr>
          <w:sz w:val="20"/>
        </w:rPr>
        <w:t>sub-groups.</w:t>
      </w:r>
    </w:p>
    <w:p>
      <w:pPr>
        <w:spacing w:after="0" w:line="360" w:lineRule="auto"/>
        <w:jc w:val="both"/>
        <w:rPr>
          <w:sz w:val="20"/>
        </w:rPr>
        <w:sectPr>
          <w:pgSz w:w="11910" w:h="16840"/>
          <w:pgMar w:header="0" w:footer="717" w:top="1340" w:bottom="900" w:left="1160" w:right="1020"/>
        </w:sectPr>
      </w:pPr>
    </w:p>
    <w:p>
      <w:pPr>
        <w:pStyle w:val="ListParagraph"/>
        <w:numPr>
          <w:ilvl w:val="0"/>
          <w:numId w:val="2"/>
        </w:numPr>
        <w:tabs>
          <w:tab w:pos="478" w:val="left" w:leader="none"/>
        </w:tabs>
        <w:spacing w:line="360" w:lineRule="auto" w:before="78" w:after="0"/>
        <w:ind w:left="477" w:right="110" w:hanging="360"/>
        <w:jc w:val="both"/>
        <w:rPr>
          <w:sz w:val="20"/>
        </w:rPr>
      </w:pPr>
      <w:r>
        <w:rPr>
          <w:sz w:val="20"/>
        </w:rPr>
        <w:t>The Task Force was initially focussing on bilateral sterling loans with a view to building confidence in these simpler products that could then translate into club and syndicated</w:t>
      </w:r>
      <w:r>
        <w:rPr>
          <w:spacing w:val="-5"/>
          <w:sz w:val="20"/>
        </w:rPr>
        <w:t> </w:t>
      </w:r>
      <w:r>
        <w:rPr>
          <w:sz w:val="20"/>
        </w:rPr>
        <w:t>deals.</w:t>
      </w:r>
    </w:p>
    <w:p>
      <w:pPr>
        <w:pStyle w:val="Heading2"/>
        <w:spacing w:before="119"/>
      </w:pPr>
      <w:r>
        <w:rPr/>
        <w:t>ISDA update</w:t>
      </w:r>
    </w:p>
    <w:p>
      <w:pPr>
        <w:pStyle w:val="BodyText"/>
        <w:spacing w:before="8"/>
        <w:ind w:left="0" w:firstLine="0"/>
        <w:rPr>
          <w:b/>
        </w:rPr>
      </w:pPr>
    </w:p>
    <w:p>
      <w:pPr>
        <w:pStyle w:val="ListParagraph"/>
        <w:numPr>
          <w:ilvl w:val="0"/>
          <w:numId w:val="2"/>
        </w:numPr>
        <w:tabs>
          <w:tab w:pos="478" w:val="left" w:leader="none"/>
        </w:tabs>
        <w:spacing w:line="360" w:lineRule="auto" w:before="0" w:after="0"/>
        <w:ind w:left="477" w:right="107" w:hanging="360"/>
        <w:jc w:val="both"/>
        <w:rPr>
          <w:sz w:val="20"/>
        </w:rPr>
      </w:pPr>
      <w:r>
        <w:rPr>
          <w:sz w:val="20"/>
        </w:rPr>
        <w:t>It was noted that the FCA and ICE Benchmark Administration had both sent letters to ISDA regarding the</w:t>
      </w:r>
      <w:r>
        <w:rPr>
          <w:spacing w:val="-11"/>
          <w:sz w:val="20"/>
        </w:rPr>
        <w:t> </w:t>
      </w:r>
      <w:r>
        <w:rPr>
          <w:sz w:val="20"/>
        </w:rPr>
        <w:t>potential</w:t>
      </w:r>
      <w:r>
        <w:rPr>
          <w:spacing w:val="-11"/>
          <w:sz w:val="20"/>
        </w:rPr>
        <w:t> </w:t>
      </w:r>
      <w:r>
        <w:rPr>
          <w:sz w:val="20"/>
        </w:rPr>
        <w:t>for</w:t>
      </w:r>
      <w:r>
        <w:rPr>
          <w:spacing w:val="-9"/>
          <w:sz w:val="20"/>
        </w:rPr>
        <w:t> </w:t>
      </w:r>
      <w:r>
        <w:rPr>
          <w:sz w:val="20"/>
        </w:rPr>
        <w:t>continued</w:t>
      </w:r>
      <w:r>
        <w:rPr>
          <w:spacing w:val="-10"/>
          <w:sz w:val="20"/>
        </w:rPr>
        <w:t> </w:t>
      </w:r>
      <w:r>
        <w:rPr>
          <w:sz w:val="20"/>
        </w:rPr>
        <w:t>production</w:t>
      </w:r>
      <w:r>
        <w:rPr>
          <w:spacing w:val="-10"/>
          <w:sz w:val="20"/>
        </w:rPr>
        <w:t> </w:t>
      </w:r>
      <w:r>
        <w:rPr>
          <w:sz w:val="20"/>
        </w:rPr>
        <w:t>of</w:t>
      </w:r>
      <w:r>
        <w:rPr>
          <w:spacing w:val="-6"/>
          <w:sz w:val="20"/>
        </w:rPr>
        <w:t> </w:t>
      </w:r>
      <w:r>
        <w:rPr>
          <w:sz w:val="20"/>
        </w:rPr>
        <w:t>non-representative</w:t>
      </w:r>
      <w:r>
        <w:rPr>
          <w:spacing w:val="-9"/>
          <w:sz w:val="20"/>
        </w:rPr>
        <w:t> </w:t>
      </w:r>
      <w:r>
        <w:rPr>
          <w:sz w:val="20"/>
        </w:rPr>
        <w:t>Libor.</w:t>
      </w:r>
      <w:r>
        <w:rPr>
          <w:spacing w:val="-10"/>
          <w:sz w:val="20"/>
        </w:rPr>
        <w:t> </w:t>
      </w:r>
      <w:r>
        <w:rPr>
          <w:sz w:val="20"/>
        </w:rPr>
        <w:t>The</w:t>
      </w:r>
      <w:r>
        <w:rPr>
          <w:spacing w:val="-10"/>
          <w:sz w:val="20"/>
        </w:rPr>
        <w:t> </w:t>
      </w:r>
      <w:r>
        <w:rPr>
          <w:sz w:val="20"/>
        </w:rPr>
        <w:t>FCA</w:t>
      </w:r>
      <w:r>
        <w:rPr>
          <w:spacing w:val="-10"/>
          <w:sz w:val="20"/>
        </w:rPr>
        <w:t> </w:t>
      </w:r>
      <w:r>
        <w:rPr>
          <w:sz w:val="20"/>
        </w:rPr>
        <w:t>letter</w:t>
      </w:r>
      <w:r>
        <w:rPr>
          <w:spacing w:val="-9"/>
          <w:sz w:val="20"/>
        </w:rPr>
        <w:t> </w:t>
      </w:r>
      <w:r>
        <w:rPr>
          <w:sz w:val="20"/>
        </w:rPr>
        <w:t>provided</w:t>
      </w:r>
      <w:r>
        <w:rPr>
          <w:spacing w:val="-10"/>
          <w:sz w:val="20"/>
        </w:rPr>
        <w:t> </w:t>
      </w:r>
      <w:r>
        <w:rPr>
          <w:sz w:val="20"/>
        </w:rPr>
        <w:t>greater</w:t>
      </w:r>
      <w:r>
        <w:rPr>
          <w:spacing w:val="-9"/>
          <w:sz w:val="20"/>
        </w:rPr>
        <w:t> </w:t>
      </w:r>
      <w:r>
        <w:rPr>
          <w:sz w:val="20"/>
        </w:rPr>
        <w:t>clarity on the potential length of production of a non-representative rate (a period of months not</w:t>
      </w:r>
      <w:r>
        <w:rPr>
          <w:spacing w:val="-6"/>
          <w:sz w:val="20"/>
        </w:rPr>
        <w:t> </w:t>
      </w:r>
      <w:r>
        <w:rPr>
          <w:sz w:val="20"/>
        </w:rPr>
        <w:t>years).</w:t>
      </w:r>
    </w:p>
    <w:p>
      <w:pPr>
        <w:pStyle w:val="ListParagraph"/>
        <w:numPr>
          <w:ilvl w:val="0"/>
          <w:numId w:val="2"/>
        </w:numPr>
        <w:tabs>
          <w:tab w:pos="478" w:val="left" w:leader="none"/>
        </w:tabs>
        <w:spacing w:line="360" w:lineRule="auto" w:before="119" w:after="0"/>
        <w:ind w:left="477" w:right="110" w:hanging="360"/>
        <w:jc w:val="both"/>
        <w:rPr>
          <w:sz w:val="20"/>
        </w:rPr>
      </w:pPr>
      <w:r>
        <w:rPr>
          <w:sz w:val="20"/>
        </w:rPr>
        <w:t>LCH had released a consultation on a rulebook change to align automatic fallback triggers with a declaration</w:t>
      </w:r>
      <w:r>
        <w:rPr>
          <w:spacing w:val="-7"/>
          <w:sz w:val="20"/>
        </w:rPr>
        <w:t> </w:t>
      </w:r>
      <w:r>
        <w:rPr>
          <w:sz w:val="20"/>
        </w:rPr>
        <w:t>from</w:t>
      </w:r>
      <w:r>
        <w:rPr>
          <w:spacing w:val="-1"/>
          <w:sz w:val="20"/>
        </w:rPr>
        <w:t> </w:t>
      </w:r>
      <w:r>
        <w:rPr>
          <w:sz w:val="20"/>
        </w:rPr>
        <w:t>the</w:t>
      </w:r>
      <w:r>
        <w:rPr>
          <w:spacing w:val="-6"/>
          <w:sz w:val="20"/>
        </w:rPr>
        <w:t> </w:t>
      </w:r>
      <w:r>
        <w:rPr>
          <w:sz w:val="20"/>
        </w:rPr>
        <w:t>relevant</w:t>
      </w:r>
      <w:r>
        <w:rPr>
          <w:spacing w:val="-6"/>
          <w:sz w:val="20"/>
        </w:rPr>
        <w:t> </w:t>
      </w:r>
      <w:r>
        <w:rPr>
          <w:sz w:val="20"/>
        </w:rPr>
        <w:t>authority</w:t>
      </w:r>
      <w:r>
        <w:rPr>
          <w:spacing w:val="-9"/>
          <w:sz w:val="20"/>
        </w:rPr>
        <w:t> </w:t>
      </w:r>
      <w:r>
        <w:rPr>
          <w:sz w:val="20"/>
        </w:rPr>
        <w:t>that</w:t>
      </w:r>
      <w:r>
        <w:rPr>
          <w:spacing w:val="-3"/>
          <w:sz w:val="20"/>
        </w:rPr>
        <w:t> </w:t>
      </w:r>
      <w:r>
        <w:rPr>
          <w:sz w:val="20"/>
        </w:rPr>
        <w:t>a</w:t>
      </w:r>
      <w:r>
        <w:rPr>
          <w:spacing w:val="-6"/>
          <w:sz w:val="20"/>
        </w:rPr>
        <w:t> </w:t>
      </w:r>
      <w:r>
        <w:rPr>
          <w:sz w:val="20"/>
        </w:rPr>
        <w:t>relevant</w:t>
      </w:r>
      <w:r>
        <w:rPr>
          <w:spacing w:val="-3"/>
          <w:sz w:val="20"/>
        </w:rPr>
        <w:t> </w:t>
      </w:r>
      <w:r>
        <w:rPr>
          <w:sz w:val="20"/>
        </w:rPr>
        <w:t>benchmark</w:t>
      </w:r>
      <w:r>
        <w:rPr>
          <w:spacing w:val="-2"/>
          <w:sz w:val="20"/>
        </w:rPr>
        <w:t> </w:t>
      </w:r>
      <w:r>
        <w:rPr>
          <w:sz w:val="20"/>
        </w:rPr>
        <w:t>is</w:t>
      </w:r>
      <w:r>
        <w:rPr>
          <w:spacing w:val="-4"/>
          <w:sz w:val="20"/>
        </w:rPr>
        <w:t> </w:t>
      </w:r>
      <w:r>
        <w:rPr>
          <w:sz w:val="20"/>
        </w:rPr>
        <w:t>no</w:t>
      </w:r>
      <w:r>
        <w:rPr>
          <w:spacing w:val="-6"/>
          <w:sz w:val="20"/>
        </w:rPr>
        <w:t> </w:t>
      </w:r>
      <w:r>
        <w:rPr>
          <w:sz w:val="20"/>
        </w:rPr>
        <w:t>longer</w:t>
      </w:r>
      <w:r>
        <w:rPr>
          <w:spacing w:val="-6"/>
          <w:sz w:val="20"/>
        </w:rPr>
        <w:t> </w:t>
      </w:r>
      <w:r>
        <w:rPr>
          <w:sz w:val="20"/>
        </w:rPr>
        <w:t>representative.</w:t>
      </w:r>
      <w:r>
        <w:rPr>
          <w:spacing w:val="4"/>
          <w:sz w:val="20"/>
        </w:rPr>
        <w:t> </w:t>
      </w:r>
      <w:r>
        <w:rPr>
          <w:sz w:val="20"/>
        </w:rPr>
        <w:t>These</w:t>
      </w:r>
      <w:r>
        <w:rPr>
          <w:spacing w:val="-5"/>
          <w:sz w:val="20"/>
        </w:rPr>
        <w:t> </w:t>
      </w:r>
      <w:r>
        <w:rPr>
          <w:sz w:val="20"/>
        </w:rPr>
        <w:t>two clarifications</w:t>
      </w:r>
      <w:r>
        <w:rPr>
          <w:spacing w:val="-1"/>
          <w:sz w:val="20"/>
        </w:rPr>
        <w:t> </w:t>
      </w:r>
      <w:r>
        <w:rPr>
          <w:sz w:val="20"/>
        </w:rPr>
        <w:t>were</w:t>
      </w:r>
      <w:r>
        <w:rPr>
          <w:spacing w:val="-3"/>
          <w:sz w:val="20"/>
        </w:rPr>
        <w:t> </w:t>
      </w:r>
      <w:r>
        <w:rPr>
          <w:sz w:val="20"/>
        </w:rPr>
        <w:t>viewed</w:t>
      </w:r>
      <w:r>
        <w:rPr>
          <w:spacing w:val="-3"/>
          <w:sz w:val="20"/>
        </w:rPr>
        <w:t> </w:t>
      </w:r>
      <w:r>
        <w:rPr>
          <w:sz w:val="20"/>
        </w:rPr>
        <w:t>as</w:t>
      </w:r>
      <w:r>
        <w:rPr>
          <w:spacing w:val="-4"/>
          <w:sz w:val="20"/>
        </w:rPr>
        <w:t> </w:t>
      </w:r>
      <w:r>
        <w:rPr>
          <w:sz w:val="20"/>
        </w:rPr>
        <w:t>important</w:t>
      </w:r>
      <w:r>
        <w:rPr>
          <w:spacing w:val="-4"/>
          <w:sz w:val="20"/>
        </w:rPr>
        <w:t> </w:t>
      </w:r>
      <w:r>
        <w:rPr>
          <w:sz w:val="20"/>
        </w:rPr>
        <w:t>by</w:t>
      </w:r>
      <w:r>
        <w:rPr>
          <w:spacing w:val="-9"/>
          <w:sz w:val="20"/>
        </w:rPr>
        <w:t> </w:t>
      </w:r>
      <w:r>
        <w:rPr>
          <w:sz w:val="20"/>
        </w:rPr>
        <w:t>members</w:t>
      </w:r>
      <w:r>
        <w:rPr>
          <w:spacing w:val="-3"/>
          <w:sz w:val="20"/>
        </w:rPr>
        <w:t> </w:t>
      </w:r>
      <w:r>
        <w:rPr>
          <w:sz w:val="20"/>
        </w:rPr>
        <w:t>who</w:t>
      </w:r>
      <w:r>
        <w:rPr>
          <w:spacing w:val="-6"/>
          <w:sz w:val="20"/>
        </w:rPr>
        <w:t> </w:t>
      </w:r>
      <w:r>
        <w:rPr>
          <w:sz w:val="20"/>
        </w:rPr>
        <w:t>felt</w:t>
      </w:r>
      <w:r>
        <w:rPr>
          <w:spacing w:val="-2"/>
          <w:sz w:val="20"/>
        </w:rPr>
        <w:t> </w:t>
      </w:r>
      <w:r>
        <w:rPr>
          <w:sz w:val="20"/>
        </w:rPr>
        <w:t>this</w:t>
      </w:r>
      <w:r>
        <w:rPr>
          <w:spacing w:val="3"/>
          <w:sz w:val="20"/>
        </w:rPr>
        <w:t> </w:t>
      </w:r>
      <w:r>
        <w:rPr>
          <w:sz w:val="20"/>
        </w:rPr>
        <w:t>moved</w:t>
      </w:r>
      <w:r>
        <w:rPr>
          <w:spacing w:val="-6"/>
          <w:sz w:val="20"/>
        </w:rPr>
        <w:t> </w:t>
      </w:r>
      <w:r>
        <w:rPr>
          <w:sz w:val="20"/>
        </w:rPr>
        <w:t>the</w:t>
      </w:r>
      <w:r>
        <w:rPr>
          <w:spacing w:val="-2"/>
          <w:sz w:val="20"/>
        </w:rPr>
        <w:t> </w:t>
      </w:r>
      <w:r>
        <w:rPr>
          <w:sz w:val="20"/>
        </w:rPr>
        <w:t>debate</w:t>
      </w:r>
      <w:r>
        <w:rPr>
          <w:spacing w:val="-4"/>
          <w:sz w:val="20"/>
        </w:rPr>
        <w:t> </w:t>
      </w:r>
      <w:r>
        <w:rPr>
          <w:sz w:val="20"/>
        </w:rPr>
        <w:t>about</w:t>
      </w:r>
      <w:r>
        <w:rPr>
          <w:spacing w:val="-2"/>
          <w:sz w:val="20"/>
        </w:rPr>
        <w:t> </w:t>
      </w:r>
      <w:r>
        <w:rPr>
          <w:sz w:val="20"/>
        </w:rPr>
        <w:t>pre-cessation on from where it had been during the previous ISDA</w:t>
      </w:r>
      <w:r>
        <w:rPr>
          <w:spacing w:val="-5"/>
          <w:sz w:val="20"/>
        </w:rPr>
        <w:t> </w:t>
      </w:r>
      <w:r>
        <w:rPr>
          <w:sz w:val="20"/>
        </w:rPr>
        <w:t>consultation.</w:t>
      </w:r>
    </w:p>
    <w:p>
      <w:pPr>
        <w:pStyle w:val="Heading2"/>
        <w:spacing w:before="118"/>
      </w:pPr>
      <w:r>
        <w:rPr/>
        <w:t>Alternative Reference Rates Committee (ARRC) update</w:t>
      </w:r>
    </w:p>
    <w:p>
      <w:pPr>
        <w:pStyle w:val="BodyText"/>
        <w:spacing w:before="6"/>
        <w:ind w:left="0" w:firstLine="0"/>
        <w:rPr>
          <w:b/>
        </w:rPr>
      </w:pPr>
    </w:p>
    <w:p>
      <w:pPr>
        <w:pStyle w:val="ListParagraph"/>
        <w:numPr>
          <w:ilvl w:val="0"/>
          <w:numId w:val="3"/>
        </w:numPr>
        <w:tabs>
          <w:tab w:pos="478" w:val="left" w:leader="none"/>
        </w:tabs>
        <w:spacing w:line="362" w:lineRule="auto" w:before="0" w:after="0"/>
        <w:ind w:left="477" w:right="110" w:hanging="360"/>
        <w:jc w:val="both"/>
        <w:rPr>
          <w:sz w:val="20"/>
        </w:rPr>
      </w:pPr>
      <w:r>
        <w:rPr>
          <w:sz w:val="20"/>
        </w:rPr>
        <w:t>The Chair of the ARRC (attending as an observer at the invitation of the RFRWG Chair) provided an update on its work in the</w:t>
      </w:r>
      <w:r>
        <w:rPr>
          <w:spacing w:val="2"/>
          <w:sz w:val="20"/>
        </w:rPr>
        <w:t> </w:t>
      </w:r>
      <w:r>
        <w:rPr>
          <w:sz w:val="20"/>
        </w:rPr>
        <w:t>US.</w:t>
      </w:r>
    </w:p>
    <w:p>
      <w:pPr>
        <w:pStyle w:val="ListParagraph"/>
        <w:numPr>
          <w:ilvl w:val="0"/>
          <w:numId w:val="3"/>
        </w:numPr>
        <w:tabs>
          <w:tab w:pos="478" w:val="left" w:leader="none"/>
        </w:tabs>
        <w:spacing w:line="360" w:lineRule="auto" w:before="117" w:after="0"/>
        <w:ind w:left="477" w:right="111" w:hanging="360"/>
        <w:jc w:val="both"/>
        <w:rPr>
          <w:sz w:val="20"/>
        </w:rPr>
      </w:pPr>
      <w:r>
        <w:rPr>
          <w:sz w:val="20"/>
        </w:rPr>
        <w:t>There was positive progress regarding tax and accounting issues; building liquidity in floating rate notes and; volumes in SOFR futures. Freddie Mac and Fannie Mae </w:t>
      </w:r>
      <w:r>
        <w:rPr>
          <w:spacing w:val="2"/>
          <w:sz w:val="20"/>
        </w:rPr>
        <w:t>had </w:t>
      </w:r>
      <w:r>
        <w:rPr>
          <w:sz w:val="20"/>
        </w:rPr>
        <w:t>announced that they will stop purchasing mortgages tied to the Libor after 2020 and indicated that they soon will start accepting mortgages linked to the SOFR.</w:t>
      </w:r>
    </w:p>
    <w:p>
      <w:pPr>
        <w:pStyle w:val="ListParagraph"/>
        <w:numPr>
          <w:ilvl w:val="0"/>
          <w:numId w:val="3"/>
        </w:numPr>
        <w:tabs>
          <w:tab w:pos="478" w:val="left" w:leader="none"/>
        </w:tabs>
        <w:spacing w:line="360" w:lineRule="auto" w:before="120" w:after="0"/>
        <w:ind w:left="477" w:right="108" w:hanging="360"/>
        <w:jc w:val="both"/>
        <w:rPr>
          <w:sz w:val="20"/>
        </w:rPr>
      </w:pPr>
      <w:r>
        <w:rPr>
          <w:sz w:val="20"/>
        </w:rPr>
        <w:t>The ARRC was pursuing a potential New York State legislative solution that ARRC members believed would have very positive policy benefits for those holding or having issued legacy contracts referencing LIBOR, but the outcome would depend on the views and actions of lawmakers and could not be guaranteed. The ARRC therefore urged market participants to not rely solely on this</w:t>
      </w:r>
      <w:r>
        <w:rPr>
          <w:spacing w:val="-18"/>
          <w:sz w:val="20"/>
        </w:rPr>
        <w:t> </w:t>
      </w:r>
      <w:r>
        <w:rPr>
          <w:sz w:val="20"/>
        </w:rPr>
        <w:t>workstream.</w:t>
      </w:r>
    </w:p>
    <w:p>
      <w:pPr>
        <w:pStyle w:val="ListParagraph"/>
        <w:numPr>
          <w:ilvl w:val="0"/>
          <w:numId w:val="3"/>
        </w:numPr>
        <w:tabs>
          <w:tab w:pos="478" w:val="left" w:leader="none"/>
        </w:tabs>
        <w:spacing w:line="360" w:lineRule="auto" w:before="120" w:after="0"/>
        <w:ind w:left="477" w:right="112" w:hanging="360"/>
        <w:jc w:val="both"/>
        <w:rPr>
          <w:sz w:val="20"/>
        </w:rPr>
      </w:pPr>
      <w:r>
        <w:rPr>
          <w:sz w:val="20"/>
        </w:rPr>
        <w:t>The Chair of the ARRC noted the intermediate milestones released by RFRWG in early January and thought they were a positive development. He set out an intention to look at whether the development of similar milestones could have a role in the</w:t>
      </w:r>
      <w:r>
        <w:rPr>
          <w:spacing w:val="1"/>
          <w:sz w:val="20"/>
        </w:rPr>
        <w:t> </w:t>
      </w:r>
      <w:r>
        <w:rPr>
          <w:sz w:val="20"/>
        </w:rPr>
        <w:t>US.</w:t>
      </w:r>
    </w:p>
    <w:p>
      <w:pPr>
        <w:pStyle w:val="ListParagraph"/>
        <w:numPr>
          <w:ilvl w:val="0"/>
          <w:numId w:val="3"/>
        </w:numPr>
        <w:tabs>
          <w:tab w:pos="478" w:val="left" w:leader="none"/>
        </w:tabs>
        <w:spacing w:line="360" w:lineRule="auto" w:before="120" w:after="0"/>
        <w:ind w:left="477" w:right="111" w:hanging="360"/>
        <w:jc w:val="both"/>
        <w:rPr>
          <w:sz w:val="20"/>
        </w:rPr>
      </w:pPr>
      <w:r>
        <w:rPr>
          <w:sz w:val="20"/>
        </w:rPr>
        <w:t>Working Group members raised that some banks in the United States were advocating use of a credit sensitive</w:t>
      </w:r>
      <w:r>
        <w:rPr>
          <w:spacing w:val="-6"/>
          <w:sz w:val="20"/>
        </w:rPr>
        <w:t> </w:t>
      </w:r>
      <w:r>
        <w:rPr>
          <w:sz w:val="20"/>
        </w:rPr>
        <w:t>benchmark</w:t>
      </w:r>
      <w:r>
        <w:rPr>
          <w:spacing w:val="-3"/>
          <w:sz w:val="20"/>
        </w:rPr>
        <w:t> </w:t>
      </w:r>
      <w:r>
        <w:rPr>
          <w:sz w:val="20"/>
        </w:rPr>
        <w:t>in</w:t>
      </w:r>
      <w:r>
        <w:rPr>
          <w:spacing w:val="-8"/>
          <w:sz w:val="20"/>
        </w:rPr>
        <w:t> </w:t>
      </w:r>
      <w:r>
        <w:rPr>
          <w:sz w:val="20"/>
        </w:rPr>
        <w:t>addition</w:t>
      </w:r>
      <w:r>
        <w:rPr>
          <w:spacing w:val="-5"/>
          <w:sz w:val="20"/>
        </w:rPr>
        <w:t> </w:t>
      </w:r>
      <w:r>
        <w:rPr>
          <w:sz w:val="20"/>
        </w:rPr>
        <w:t>to</w:t>
      </w:r>
      <w:r>
        <w:rPr>
          <w:spacing w:val="-3"/>
          <w:sz w:val="20"/>
        </w:rPr>
        <w:t> </w:t>
      </w:r>
      <w:r>
        <w:rPr>
          <w:sz w:val="20"/>
        </w:rPr>
        <w:t>SOFR</w:t>
      </w:r>
      <w:r>
        <w:rPr>
          <w:spacing w:val="-6"/>
          <w:sz w:val="20"/>
        </w:rPr>
        <w:t> </w:t>
      </w:r>
      <w:r>
        <w:rPr>
          <w:sz w:val="20"/>
        </w:rPr>
        <w:t>as</w:t>
      </w:r>
      <w:r>
        <w:rPr>
          <w:spacing w:val="-7"/>
          <w:sz w:val="20"/>
        </w:rPr>
        <w:t> </w:t>
      </w:r>
      <w:r>
        <w:rPr>
          <w:sz w:val="20"/>
        </w:rPr>
        <w:t>the</w:t>
      </w:r>
      <w:r>
        <w:rPr>
          <w:spacing w:val="-7"/>
          <w:sz w:val="20"/>
        </w:rPr>
        <w:t> </w:t>
      </w:r>
      <w:r>
        <w:rPr>
          <w:sz w:val="20"/>
        </w:rPr>
        <w:t>US</w:t>
      </w:r>
      <w:r>
        <w:rPr>
          <w:spacing w:val="-6"/>
          <w:sz w:val="20"/>
        </w:rPr>
        <w:t> </w:t>
      </w:r>
      <w:r>
        <w:rPr>
          <w:sz w:val="20"/>
        </w:rPr>
        <w:t>alternative</w:t>
      </w:r>
      <w:r>
        <w:rPr>
          <w:spacing w:val="-4"/>
          <w:sz w:val="20"/>
        </w:rPr>
        <w:t> </w:t>
      </w:r>
      <w:r>
        <w:rPr>
          <w:sz w:val="20"/>
        </w:rPr>
        <w:t>risk-free</w:t>
      </w:r>
      <w:r>
        <w:rPr>
          <w:spacing w:val="-7"/>
          <w:sz w:val="20"/>
        </w:rPr>
        <w:t> </w:t>
      </w:r>
      <w:r>
        <w:rPr>
          <w:sz w:val="20"/>
        </w:rPr>
        <w:t>rate.</w:t>
      </w:r>
      <w:r>
        <w:rPr>
          <w:spacing w:val="47"/>
          <w:sz w:val="20"/>
        </w:rPr>
        <w:t> </w:t>
      </w:r>
      <w:r>
        <w:rPr>
          <w:sz w:val="20"/>
        </w:rPr>
        <w:t>The</w:t>
      </w:r>
      <w:r>
        <w:rPr>
          <w:spacing w:val="-7"/>
          <w:sz w:val="20"/>
        </w:rPr>
        <w:t> </w:t>
      </w:r>
      <w:r>
        <w:rPr>
          <w:sz w:val="20"/>
        </w:rPr>
        <w:t>use</w:t>
      </w:r>
      <w:r>
        <w:rPr>
          <w:spacing w:val="-8"/>
          <w:sz w:val="20"/>
        </w:rPr>
        <w:t> </w:t>
      </w:r>
      <w:r>
        <w:rPr>
          <w:sz w:val="20"/>
        </w:rPr>
        <w:t>of</w:t>
      </w:r>
      <w:r>
        <w:rPr>
          <w:spacing w:val="-5"/>
          <w:sz w:val="20"/>
        </w:rPr>
        <w:t> </w:t>
      </w:r>
      <w:r>
        <w:rPr>
          <w:sz w:val="20"/>
        </w:rPr>
        <w:t>such</w:t>
      </w:r>
      <w:r>
        <w:rPr>
          <w:spacing w:val="-7"/>
          <w:sz w:val="20"/>
        </w:rPr>
        <w:t> </w:t>
      </w:r>
      <w:r>
        <w:rPr>
          <w:sz w:val="20"/>
        </w:rPr>
        <w:t>rates</w:t>
      </w:r>
      <w:r>
        <w:rPr>
          <w:spacing w:val="-4"/>
          <w:sz w:val="20"/>
        </w:rPr>
        <w:t> </w:t>
      </w:r>
      <w:r>
        <w:rPr>
          <w:sz w:val="20"/>
        </w:rPr>
        <w:t>was viewed</w:t>
      </w:r>
      <w:r>
        <w:rPr>
          <w:spacing w:val="-12"/>
          <w:sz w:val="20"/>
        </w:rPr>
        <w:t> </w:t>
      </w:r>
      <w:r>
        <w:rPr>
          <w:sz w:val="20"/>
        </w:rPr>
        <w:t>negatively</w:t>
      </w:r>
      <w:r>
        <w:rPr>
          <w:spacing w:val="-12"/>
          <w:sz w:val="20"/>
        </w:rPr>
        <w:t> </w:t>
      </w:r>
      <w:r>
        <w:rPr>
          <w:sz w:val="20"/>
        </w:rPr>
        <w:t>with</w:t>
      </w:r>
      <w:r>
        <w:rPr>
          <w:spacing w:val="-10"/>
          <w:sz w:val="20"/>
        </w:rPr>
        <w:t> </w:t>
      </w:r>
      <w:r>
        <w:rPr>
          <w:sz w:val="20"/>
        </w:rPr>
        <w:t>one</w:t>
      </w:r>
      <w:r>
        <w:rPr>
          <w:spacing w:val="-10"/>
          <w:sz w:val="20"/>
        </w:rPr>
        <w:t> </w:t>
      </w:r>
      <w:r>
        <w:rPr>
          <w:sz w:val="20"/>
        </w:rPr>
        <w:t>corporate</w:t>
      </w:r>
      <w:r>
        <w:rPr>
          <w:spacing w:val="-10"/>
          <w:sz w:val="20"/>
        </w:rPr>
        <w:t> </w:t>
      </w:r>
      <w:r>
        <w:rPr>
          <w:sz w:val="20"/>
        </w:rPr>
        <w:t>attendee</w:t>
      </w:r>
      <w:r>
        <w:rPr>
          <w:spacing w:val="-13"/>
          <w:sz w:val="20"/>
        </w:rPr>
        <w:t> </w:t>
      </w:r>
      <w:r>
        <w:rPr>
          <w:sz w:val="20"/>
        </w:rPr>
        <w:t>highlighting</w:t>
      </w:r>
      <w:r>
        <w:rPr>
          <w:spacing w:val="-11"/>
          <w:sz w:val="20"/>
        </w:rPr>
        <w:t> </w:t>
      </w:r>
      <w:r>
        <w:rPr>
          <w:sz w:val="20"/>
        </w:rPr>
        <w:t>such</w:t>
      </w:r>
      <w:r>
        <w:rPr>
          <w:spacing w:val="-13"/>
          <w:sz w:val="20"/>
        </w:rPr>
        <w:t> </w:t>
      </w:r>
      <w:r>
        <w:rPr>
          <w:sz w:val="20"/>
        </w:rPr>
        <w:t>benchmarks</w:t>
      </w:r>
      <w:r>
        <w:rPr>
          <w:spacing w:val="-11"/>
          <w:sz w:val="20"/>
        </w:rPr>
        <w:t> </w:t>
      </w:r>
      <w:r>
        <w:rPr>
          <w:sz w:val="20"/>
        </w:rPr>
        <w:t>passed</w:t>
      </w:r>
      <w:r>
        <w:rPr>
          <w:spacing w:val="-13"/>
          <w:sz w:val="20"/>
        </w:rPr>
        <w:t> </w:t>
      </w:r>
      <w:r>
        <w:rPr>
          <w:sz w:val="20"/>
        </w:rPr>
        <w:t>generic</w:t>
      </w:r>
      <w:r>
        <w:rPr>
          <w:spacing w:val="-11"/>
          <w:sz w:val="20"/>
        </w:rPr>
        <w:t> </w:t>
      </w:r>
      <w:r>
        <w:rPr>
          <w:sz w:val="20"/>
        </w:rPr>
        <w:t>bank</w:t>
      </w:r>
      <w:r>
        <w:rPr>
          <w:spacing w:val="-9"/>
          <w:sz w:val="20"/>
        </w:rPr>
        <w:t> </w:t>
      </w:r>
      <w:r>
        <w:rPr>
          <w:sz w:val="20"/>
        </w:rPr>
        <w:t>credit risk onto end users who were ill-suited to managing those</w:t>
      </w:r>
      <w:r>
        <w:rPr>
          <w:spacing w:val="-2"/>
          <w:sz w:val="20"/>
        </w:rPr>
        <w:t> </w:t>
      </w:r>
      <w:r>
        <w:rPr>
          <w:sz w:val="20"/>
        </w:rPr>
        <w:t>risks.</w:t>
      </w:r>
    </w:p>
    <w:p>
      <w:pPr>
        <w:pStyle w:val="Heading2"/>
        <w:spacing w:before="118"/>
      </w:pPr>
      <w:r>
        <w:rPr/>
        <w:t>Non-linear product questionnaire summary</w:t>
      </w:r>
    </w:p>
    <w:p>
      <w:pPr>
        <w:pStyle w:val="BodyText"/>
        <w:spacing w:before="8"/>
        <w:ind w:left="0" w:firstLine="0"/>
        <w:rPr>
          <w:b/>
        </w:rPr>
      </w:pPr>
    </w:p>
    <w:p>
      <w:pPr>
        <w:pStyle w:val="ListParagraph"/>
        <w:numPr>
          <w:ilvl w:val="0"/>
          <w:numId w:val="4"/>
        </w:numPr>
        <w:tabs>
          <w:tab w:pos="478" w:val="left" w:leader="none"/>
        </w:tabs>
        <w:spacing w:line="360" w:lineRule="auto" w:before="0" w:after="0"/>
        <w:ind w:left="477" w:right="110" w:hanging="360"/>
        <w:jc w:val="both"/>
        <w:rPr>
          <w:sz w:val="20"/>
        </w:rPr>
      </w:pPr>
      <w:r>
        <w:rPr>
          <w:sz w:val="20"/>
        </w:rPr>
        <w:t>There</w:t>
      </w:r>
      <w:r>
        <w:rPr>
          <w:spacing w:val="-13"/>
          <w:sz w:val="20"/>
        </w:rPr>
        <w:t> </w:t>
      </w:r>
      <w:r>
        <w:rPr>
          <w:sz w:val="20"/>
        </w:rPr>
        <w:t>was</w:t>
      </w:r>
      <w:r>
        <w:rPr>
          <w:spacing w:val="-11"/>
          <w:sz w:val="20"/>
        </w:rPr>
        <w:t> </w:t>
      </w:r>
      <w:r>
        <w:rPr>
          <w:sz w:val="20"/>
        </w:rPr>
        <w:t>consensus</w:t>
      </w:r>
      <w:r>
        <w:rPr>
          <w:spacing w:val="-11"/>
          <w:sz w:val="20"/>
        </w:rPr>
        <w:t> </w:t>
      </w:r>
      <w:r>
        <w:rPr>
          <w:sz w:val="20"/>
        </w:rPr>
        <w:t>on</w:t>
      </w:r>
      <w:r>
        <w:rPr>
          <w:spacing w:val="-11"/>
          <w:sz w:val="20"/>
        </w:rPr>
        <w:t> </w:t>
      </w:r>
      <w:r>
        <w:rPr>
          <w:sz w:val="20"/>
        </w:rPr>
        <w:t>most</w:t>
      </w:r>
      <w:r>
        <w:rPr>
          <w:spacing w:val="-11"/>
          <w:sz w:val="20"/>
        </w:rPr>
        <w:t> </w:t>
      </w:r>
      <w:r>
        <w:rPr>
          <w:sz w:val="20"/>
        </w:rPr>
        <w:t>questions</w:t>
      </w:r>
      <w:r>
        <w:rPr>
          <w:spacing w:val="-11"/>
          <w:sz w:val="20"/>
        </w:rPr>
        <w:t> </w:t>
      </w:r>
      <w:r>
        <w:rPr>
          <w:sz w:val="20"/>
        </w:rPr>
        <w:t>asked</w:t>
      </w:r>
      <w:r>
        <w:rPr>
          <w:spacing w:val="-12"/>
          <w:sz w:val="20"/>
        </w:rPr>
        <w:t> </w:t>
      </w:r>
      <w:r>
        <w:rPr>
          <w:sz w:val="20"/>
        </w:rPr>
        <w:t>by</w:t>
      </w:r>
      <w:r>
        <w:rPr>
          <w:spacing w:val="-15"/>
          <w:sz w:val="20"/>
        </w:rPr>
        <w:t> </w:t>
      </w:r>
      <w:r>
        <w:rPr>
          <w:sz w:val="20"/>
        </w:rPr>
        <w:t>the</w:t>
      </w:r>
      <w:r>
        <w:rPr>
          <w:spacing w:val="-9"/>
          <w:sz w:val="20"/>
        </w:rPr>
        <w:t> </w:t>
      </w:r>
      <w:r>
        <w:rPr>
          <w:sz w:val="20"/>
        </w:rPr>
        <w:t>official</w:t>
      </w:r>
      <w:r>
        <w:rPr>
          <w:spacing w:val="-14"/>
          <w:sz w:val="20"/>
        </w:rPr>
        <w:t> </w:t>
      </w:r>
      <w:r>
        <w:rPr>
          <w:sz w:val="20"/>
        </w:rPr>
        <w:t>sector</w:t>
      </w:r>
      <w:r>
        <w:rPr>
          <w:spacing w:val="-9"/>
          <w:sz w:val="20"/>
        </w:rPr>
        <w:t> </w:t>
      </w:r>
      <w:r>
        <w:rPr>
          <w:sz w:val="20"/>
        </w:rPr>
        <w:t>regarding</w:t>
      </w:r>
      <w:r>
        <w:rPr>
          <w:spacing w:val="-11"/>
          <w:sz w:val="20"/>
        </w:rPr>
        <w:t> </w:t>
      </w:r>
      <w:r>
        <w:rPr>
          <w:sz w:val="20"/>
        </w:rPr>
        <w:t>conventions</w:t>
      </w:r>
      <w:r>
        <w:rPr>
          <w:spacing w:val="-11"/>
          <w:sz w:val="20"/>
        </w:rPr>
        <w:t> </w:t>
      </w:r>
      <w:r>
        <w:rPr>
          <w:sz w:val="20"/>
        </w:rPr>
        <w:t>in</w:t>
      </w:r>
      <w:r>
        <w:rPr>
          <w:spacing w:val="-9"/>
          <w:sz w:val="20"/>
        </w:rPr>
        <w:t> </w:t>
      </w:r>
      <w:r>
        <w:rPr>
          <w:sz w:val="20"/>
        </w:rPr>
        <w:t>the</w:t>
      </w:r>
      <w:r>
        <w:rPr>
          <w:spacing w:val="-11"/>
          <w:sz w:val="20"/>
        </w:rPr>
        <w:t> </w:t>
      </w:r>
      <w:r>
        <w:rPr>
          <w:sz w:val="20"/>
        </w:rPr>
        <w:t>SONIA inter-dealer non-linear product markets. It was stated that an aggregated and anonymised summary of responses would be published on the Working Group’s webpage.</w:t>
      </w:r>
    </w:p>
    <w:p>
      <w:pPr>
        <w:pStyle w:val="ListParagraph"/>
        <w:numPr>
          <w:ilvl w:val="0"/>
          <w:numId w:val="4"/>
        </w:numPr>
        <w:tabs>
          <w:tab w:pos="478" w:val="left" w:leader="none"/>
        </w:tabs>
        <w:spacing w:line="360" w:lineRule="auto" w:before="120" w:after="0"/>
        <w:ind w:left="477" w:right="111" w:hanging="360"/>
        <w:jc w:val="both"/>
        <w:rPr>
          <w:sz w:val="20"/>
        </w:rPr>
      </w:pPr>
      <w:r>
        <w:rPr>
          <w:sz w:val="20"/>
        </w:rPr>
        <w:t>The Chair asked for feedback to the RFR Secretariat from members regarding further work that was needed to support development of RFR linked non-linear</w:t>
      </w:r>
      <w:r>
        <w:rPr>
          <w:spacing w:val="-2"/>
          <w:sz w:val="20"/>
        </w:rPr>
        <w:t> </w:t>
      </w:r>
      <w:r>
        <w:rPr>
          <w:sz w:val="20"/>
        </w:rPr>
        <w:t>products.</w:t>
      </w:r>
    </w:p>
    <w:p>
      <w:pPr>
        <w:pStyle w:val="Heading2"/>
        <w:spacing w:before="117"/>
      </w:pPr>
      <w:r>
        <w:rPr/>
        <w:t>Loan Conventions</w:t>
      </w:r>
    </w:p>
    <w:p>
      <w:pPr>
        <w:pStyle w:val="BodyText"/>
        <w:spacing w:before="7"/>
        <w:ind w:left="0" w:firstLine="0"/>
        <w:rPr>
          <w:b/>
        </w:rPr>
      </w:pPr>
    </w:p>
    <w:p>
      <w:pPr>
        <w:pStyle w:val="ListParagraph"/>
        <w:numPr>
          <w:ilvl w:val="0"/>
          <w:numId w:val="4"/>
        </w:numPr>
        <w:tabs>
          <w:tab w:pos="478" w:val="left" w:leader="none"/>
        </w:tabs>
        <w:spacing w:line="240" w:lineRule="auto" w:before="0" w:after="0"/>
        <w:ind w:left="477" w:right="0" w:hanging="361"/>
        <w:jc w:val="left"/>
        <w:rPr>
          <w:sz w:val="20"/>
        </w:rPr>
      </w:pPr>
      <w:r>
        <w:rPr>
          <w:sz w:val="20"/>
        </w:rPr>
        <w:t>Work on a paper was underway and there was communication with other currency jurisdictions e.g.</w:t>
      </w:r>
      <w:r>
        <w:rPr>
          <w:spacing w:val="-28"/>
          <w:sz w:val="20"/>
        </w:rPr>
        <w:t> </w:t>
      </w:r>
      <w:r>
        <w:rPr>
          <w:sz w:val="20"/>
        </w:rPr>
        <w:t>US.</w:t>
      </w:r>
    </w:p>
    <w:p>
      <w:pPr>
        <w:spacing w:after="0" w:line="240" w:lineRule="auto"/>
        <w:jc w:val="left"/>
        <w:rPr>
          <w:sz w:val="20"/>
        </w:rPr>
        <w:sectPr>
          <w:pgSz w:w="11910" w:h="16840"/>
          <w:pgMar w:header="0" w:footer="717" w:top="880" w:bottom="900" w:left="1160" w:right="1020"/>
        </w:sectPr>
      </w:pPr>
    </w:p>
    <w:p>
      <w:pPr>
        <w:pStyle w:val="Heading2"/>
        <w:spacing w:before="75"/>
      </w:pPr>
      <w:r>
        <w:rPr/>
        <w:t>Overnight indexed swap (OIS) streaming:</w:t>
      </w:r>
    </w:p>
    <w:p>
      <w:pPr>
        <w:pStyle w:val="BodyText"/>
        <w:spacing w:before="8"/>
        <w:ind w:left="0" w:firstLine="0"/>
        <w:rPr>
          <w:b/>
        </w:rPr>
      </w:pPr>
    </w:p>
    <w:p>
      <w:pPr>
        <w:pStyle w:val="ListParagraph"/>
        <w:numPr>
          <w:ilvl w:val="0"/>
          <w:numId w:val="4"/>
        </w:numPr>
        <w:tabs>
          <w:tab w:pos="478" w:val="left" w:leader="none"/>
        </w:tabs>
        <w:spacing w:line="360" w:lineRule="auto" w:before="0" w:after="0"/>
        <w:ind w:left="477" w:right="111" w:hanging="360"/>
        <w:jc w:val="both"/>
        <w:rPr>
          <w:sz w:val="20"/>
        </w:rPr>
      </w:pPr>
      <w:r>
        <w:rPr>
          <w:sz w:val="20"/>
        </w:rPr>
        <w:t>February</w:t>
      </w:r>
      <w:r>
        <w:rPr>
          <w:spacing w:val="-11"/>
          <w:sz w:val="20"/>
        </w:rPr>
        <w:t> </w:t>
      </w:r>
      <w:r>
        <w:rPr>
          <w:sz w:val="20"/>
        </w:rPr>
        <w:t>3</w:t>
      </w:r>
      <w:r>
        <w:rPr>
          <w:position w:val="6"/>
          <w:sz w:val="13"/>
        </w:rPr>
        <w:t>rd</w:t>
      </w:r>
      <w:r>
        <w:rPr>
          <w:spacing w:val="12"/>
          <w:position w:val="6"/>
          <w:sz w:val="13"/>
        </w:rPr>
        <w:t> </w:t>
      </w:r>
      <w:r>
        <w:rPr>
          <w:sz w:val="20"/>
        </w:rPr>
        <w:t>was</w:t>
      </w:r>
      <w:r>
        <w:rPr>
          <w:spacing w:val="-8"/>
          <w:sz w:val="20"/>
        </w:rPr>
        <w:t> </w:t>
      </w:r>
      <w:r>
        <w:rPr>
          <w:sz w:val="20"/>
        </w:rPr>
        <w:t>the</w:t>
      </w:r>
      <w:r>
        <w:rPr>
          <w:spacing w:val="-8"/>
          <w:sz w:val="20"/>
        </w:rPr>
        <w:t> </w:t>
      </w:r>
      <w:r>
        <w:rPr>
          <w:sz w:val="20"/>
        </w:rPr>
        <w:t>target</w:t>
      </w:r>
      <w:r>
        <w:rPr>
          <w:spacing w:val="-8"/>
          <w:sz w:val="20"/>
        </w:rPr>
        <w:t> </w:t>
      </w:r>
      <w:r>
        <w:rPr>
          <w:sz w:val="20"/>
        </w:rPr>
        <w:t>date</w:t>
      </w:r>
      <w:r>
        <w:rPr>
          <w:spacing w:val="-10"/>
          <w:sz w:val="20"/>
        </w:rPr>
        <w:t> </w:t>
      </w:r>
      <w:r>
        <w:rPr>
          <w:sz w:val="20"/>
        </w:rPr>
        <w:t>for</w:t>
      </w:r>
      <w:r>
        <w:rPr>
          <w:spacing w:val="-9"/>
          <w:sz w:val="20"/>
        </w:rPr>
        <w:t> </w:t>
      </w:r>
      <w:r>
        <w:rPr>
          <w:sz w:val="20"/>
        </w:rPr>
        <w:t>OIS</w:t>
      </w:r>
      <w:r>
        <w:rPr>
          <w:spacing w:val="-9"/>
          <w:sz w:val="20"/>
        </w:rPr>
        <w:t> </w:t>
      </w:r>
      <w:r>
        <w:rPr>
          <w:sz w:val="20"/>
        </w:rPr>
        <w:t>dealers</w:t>
      </w:r>
      <w:r>
        <w:rPr>
          <w:spacing w:val="-7"/>
          <w:sz w:val="20"/>
        </w:rPr>
        <w:t> </w:t>
      </w:r>
      <w:r>
        <w:rPr>
          <w:sz w:val="20"/>
        </w:rPr>
        <w:t>to</w:t>
      </w:r>
      <w:r>
        <w:rPr>
          <w:spacing w:val="-8"/>
          <w:sz w:val="20"/>
        </w:rPr>
        <w:t> </w:t>
      </w:r>
      <w:r>
        <w:rPr>
          <w:sz w:val="20"/>
        </w:rPr>
        <w:t>begin</w:t>
      </w:r>
      <w:r>
        <w:rPr>
          <w:spacing w:val="-10"/>
          <w:sz w:val="20"/>
        </w:rPr>
        <w:t> </w:t>
      </w:r>
      <w:r>
        <w:rPr>
          <w:sz w:val="20"/>
        </w:rPr>
        <w:t>streaming</w:t>
      </w:r>
      <w:r>
        <w:rPr>
          <w:spacing w:val="-6"/>
          <w:sz w:val="20"/>
        </w:rPr>
        <w:t> </w:t>
      </w:r>
      <w:r>
        <w:rPr>
          <w:sz w:val="20"/>
        </w:rPr>
        <w:t>SONIA</w:t>
      </w:r>
      <w:r>
        <w:rPr>
          <w:spacing w:val="-11"/>
          <w:sz w:val="20"/>
        </w:rPr>
        <w:t> </w:t>
      </w:r>
      <w:r>
        <w:rPr>
          <w:sz w:val="20"/>
        </w:rPr>
        <w:t>quotes</w:t>
      </w:r>
      <w:r>
        <w:rPr>
          <w:spacing w:val="-6"/>
          <w:sz w:val="20"/>
        </w:rPr>
        <w:t> </w:t>
      </w:r>
      <w:r>
        <w:rPr>
          <w:sz w:val="20"/>
        </w:rPr>
        <w:t>to</w:t>
      </w:r>
      <w:r>
        <w:rPr>
          <w:spacing w:val="-10"/>
          <w:sz w:val="20"/>
        </w:rPr>
        <w:t> </w:t>
      </w:r>
      <w:r>
        <w:rPr>
          <w:sz w:val="20"/>
        </w:rPr>
        <w:t>multi-lateral</w:t>
      </w:r>
      <w:r>
        <w:rPr>
          <w:spacing w:val="-8"/>
          <w:sz w:val="20"/>
        </w:rPr>
        <w:t> </w:t>
      </w:r>
      <w:r>
        <w:rPr>
          <w:sz w:val="20"/>
        </w:rPr>
        <w:t>trading facilities.</w:t>
      </w:r>
      <w:r>
        <w:rPr>
          <w:spacing w:val="-15"/>
          <w:sz w:val="20"/>
        </w:rPr>
        <w:t> </w:t>
      </w:r>
      <w:r>
        <w:rPr>
          <w:sz w:val="20"/>
        </w:rPr>
        <w:t>The</w:t>
      </w:r>
      <w:r>
        <w:rPr>
          <w:spacing w:val="-16"/>
          <w:sz w:val="20"/>
        </w:rPr>
        <w:t> </w:t>
      </w:r>
      <w:r>
        <w:rPr>
          <w:sz w:val="20"/>
        </w:rPr>
        <w:t>FCA</w:t>
      </w:r>
      <w:r>
        <w:rPr>
          <w:spacing w:val="-14"/>
          <w:sz w:val="20"/>
        </w:rPr>
        <w:t> </w:t>
      </w:r>
      <w:r>
        <w:rPr>
          <w:sz w:val="20"/>
        </w:rPr>
        <w:t>said</w:t>
      </w:r>
      <w:r>
        <w:rPr>
          <w:spacing w:val="-15"/>
          <w:sz w:val="20"/>
        </w:rPr>
        <w:t> </w:t>
      </w:r>
      <w:r>
        <w:rPr>
          <w:sz w:val="20"/>
        </w:rPr>
        <w:t>that</w:t>
      </w:r>
      <w:r>
        <w:rPr>
          <w:spacing w:val="-12"/>
          <w:sz w:val="20"/>
        </w:rPr>
        <w:t> </w:t>
      </w:r>
      <w:r>
        <w:rPr>
          <w:sz w:val="20"/>
        </w:rPr>
        <w:t>dealers</w:t>
      </w:r>
      <w:r>
        <w:rPr>
          <w:spacing w:val="-13"/>
          <w:sz w:val="20"/>
        </w:rPr>
        <w:t> </w:t>
      </w:r>
      <w:r>
        <w:rPr>
          <w:sz w:val="20"/>
        </w:rPr>
        <w:t>should</w:t>
      </w:r>
      <w:r>
        <w:rPr>
          <w:spacing w:val="-15"/>
          <w:sz w:val="20"/>
        </w:rPr>
        <w:t> </w:t>
      </w:r>
      <w:r>
        <w:rPr>
          <w:sz w:val="20"/>
        </w:rPr>
        <w:t>expect</w:t>
      </w:r>
      <w:r>
        <w:rPr>
          <w:spacing w:val="-12"/>
          <w:sz w:val="20"/>
        </w:rPr>
        <w:t> </w:t>
      </w:r>
      <w:r>
        <w:rPr>
          <w:sz w:val="20"/>
        </w:rPr>
        <w:t>communication</w:t>
      </w:r>
      <w:r>
        <w:rPr>
          <w:spacing w:val="-16"/>
          <w:sz w:val="20"/>
        </w:rPr>
        <w:t> </w:t>
      </w:r>
      <w:r>
        <w:rPr>
          <w:sz w:val="20"/>
        </w:rPr>
        <w:t>from</w:t>
      </w:r>
      <w:r>
        <w:rPr>
          <w:spacing w:val="-11"/>
          <w:sz w:val="20"/>
        </w:rPr>
        <w:t> </w:t>
      </w:r>
      <w:r>
        <w:rPr>
          <w:sz w:val="20"/>
        </w:rPr>
        <w:t>the</w:t>
      </w:r>
      <w:r>
        <w:rPr>
          <w:spacing w:val="-15"/>
          <w:sz w:val="20"/>
        </w:rPr>
        <w:t> </w:t>
      </w:r>
      <w:r>
        <w:rPr>
          <w:sz w:val="20"/>
        </w:rPr>
        <w:t>FCA</w:t>
      </w:r>
      <w:r>
        <w:rPr>
          <w:spacing w:val="-15"/>
          <w:sz w:val="20"/>
        </w:rPr>
        <w:t> </w:t>
      </w:r>
      <w:r>
        <w:rPr>
          <w:sz w:val="20"/>
        </w:rPr>
        <w:t>on</w:t>
      </w:r>
      <w:r>
        <w:rPr>
          <w:spacing w:val="-13"/>
          <w:sz w:val="20"/>
        </w:rPr>
        <w:t> </w:t>
      </w:r>
      <w:r>
        <w:rPr>
          <w:sz w:val="20"/>
        </w:rPr>
        <w:t>this</w:t>
      </w:r>
      <w:r>
        <w:rPr>
          <w:spacing w:val="-13"/>
          <w:sz w:val="20"/>
        </w:rPr>
        <w:t> </w:t>
      </w:r>
      <w:r>
        <w:rPr>
          <w:sz w:val="20"/>
        </w:rPr>
        <w:t>in</w:t>
      </w:r>
      <w:r>
        <w:rPr>
          <w:spacing w:val="-13"/>
          <w:sz w:val="20"/>
        </w:rPr>
        <w:t> </w:t>
      </w:r>
      <w:r>
        <w:rPr>
          <w:sz w:val="20"/>
        </w:rPr>
        <w:t>the</w:t>
      </w:r>
      <w:r>
        <w:rPr>
          <w:spacing w:val="-13"/>
          <w:sz w:val="20"/>
        </w:rPr>
        <w:t> </w:t>
      </w:r>
      <w:r>
        <w:rPr>
          <w:sz w:val="20"/>
        </w:rPr>
        <w:t>near</w:t>
      </w:r>
      <w:r>
        <w:rPr>
          <w:spacing w:val="-13"/>
          <w:sz w:val="20"/>
        </w:rPr>
        <w:t> </w:t>
      </w:r>
      <w:r>
        <w:rPr>
          <w:sz w:val="20"/>
        </w:rPr>
        <w:t>future.</w:t>
      </w:r>
    </w:p>
    <w:p>
      <w:pPr>
        <w:pStyle w:val="ListParagraph"/>
        <w:numPr>
          <w:ilvl w:val="0"/>
          <w:numId w:val="4"/>
        </w:numPr>
        <w:tabs>
          <w:tab w:pos="478" w:val="left" w:leader="none"/>
        </w:tabs>
        <w:spacing w:line="360" w:lineRule="auto" w:before="122" w:after="0"/>
        <w:ind w:left="477" w:right="115" w:hanging="360"/>
        <w:jc w:val="both"/>
        <w:rPr>
          <w:sz w:val="20"/>
        </w:rPr>
      </w:pPr>
      <w:r>
        <w:rPr>
          <w:sz w:val="20"/>
        </w:rPr>
        <w:t>With regard to ongoing work to look at the development of a forward looking term SONIA reference</w:t>
      </w:r>
      <w:r>
        <w:rPr>
          <w:spacing w:val="-28"/>
          <w:sz w:val="20"/>
        </w:rPr>
        <w:t> </w:t>
      </w:r>
      <w:r>
        <w:rPr>
          <w:sz w:val="20"/>
        </w:rPr>
        <w:t>rate the plan was for beta testing to take place in the spring. Depending on progress this could mean a forward term rate being available in</w:t>
      </w:r>
      <w:r>
        <w:rPr>
          <w:spacing w:val="-2"/>
          <w:sz w:val="20"/>
        </w:rPr>
        <w:t> </w:t>
      </w:r>
      <w:r>
        <w:rPr>
          <w:sz w:val="20"/>
        </w:rPr>
        <w:t>Q3.</w:t>
      </w:r>
    </w:p>
    <w:p>
      <w:pPr>
        <w:spacing w:before="119"/>
        <w:ind w:left="117" w:right="0" w:firstLine="0"/>
        <w:jc w:val="both"/>
        <w:rPr>
          <w:rFonts w:ascii="Calibri"/>
          <w:b/>
          <w:sz w:val="22"/>
        </w:rPr>
      </w:pPr>
      <w:r>
        <w:rPr>
          <w:rFonts w:ascii="Calibri"/>
          <w:b/>
          <w:sz w:val="22"/>
        </w:rPr>
        <w:t>Pensions and Insurance Sub-Group</w:t>
      </w:r>
    </w:p>
    <w:p>
      <w:pPr>
        <w:pStyle w:val="BodyText"/>
        <w:spacing w:before="9"/>
        <w:ind w:left="0" w:firstLine="0"/>
        <w:rPr>
          <w:rFonts w:ascii="Calibri"/>
          <w:b/>
          <w:sz w:val="19"/>
        </w:rPr>
      </w:pPr>
    </w:p>
    <w:p>
      <w:pPr>
        <w:pStyle w:val="ListParagraph"/>
        <w:numPr>
          <w:ilvl w:val="0"/>
          <w:numId w:val="4"/>
        </w:numPr>
        <w:tabs>
          <w:tab w:pos="478" w:val="left" w:leader="none"/>
        </w:tabs>
        <w:spacing w:line="357" w:lineRule="auto" w:before="0" w:after="0"/>
        <w:ind w:left="477" w:right="112" w:hanging="360"/>
        <w:jc w:val="both"/>
        <w:rPr>
          <w:sz w:val="20"/>
        </w:rPr>
      </w:pPr>
      <w:r>
        <w:rPr>
          <w:sz w:val="20"/>
        </w:rPr>
        <w:t>The first buy-side roundtable had recently been held. This was attended by asset managers, with a second session planned that would have wider buy-side</w:t>
      </w:r>
      <w:r>
        <w:rPr>
          <w:spacing w:val="2"/>
          <w:sz w:val="20"/>
        </w:rPr>
        <w:t> </w:t>
      </w:r>
      <w:r>
        <w:rPr>
          <w:sz w:val="20"/>
        </w:rPr>
        <w:t>attendance.</w:t>
      </w:r>
    </w:p>
    <w:p>
      <w:pPr>
        <w:pStyle w:val="ListParagraph"/>
        <w:numPr>
          <w:ilvl w:val="0"/>
          <w:numId w:val="4"/>
        </w:numPr>
        <w:tabs>
          <w:tab w:pos="478" w:val="left" w:leader="none"/>
        </w:tabs>
        <w:spacing w:line="360" w:lineRule="auto" w:before="123" w:after="0"/>
        <w:ind w:left="477" w:right="111" w:hanging="360"/>
        <w:jc w:val="both"/>
        <w:rPr>
          <w:sz w:val="20"/>
        </w:rPr>
      </w:pPr>
      <w:r>
        <w:rPr>
          <w:sz w:val="20"/>
        </w:rPr>
        <w:t>The first event saw discussion of the importance of pre-cessation triggers, with the official sector encouraging firms to take-up the eventual ISDA protocol. Barriers and dependencies around transition were also discussed and problems regarding communication with end-users raised by some</w:t>
      </w:r>
      <w:r>
        <w:rPr>
          <w:spacing w:val="-22"/>
          <w:sz w:val="20"/>
        </w:rPr>
        <w:t> </w:t>
      </w:r>
      <w:r>
        <w:rPr>
          <w:sz w:val="20"/>
        </w:rPr>
        <w:t>attendees.</w:t>
      </w:r>
    </w:p>
    <w:p>
      <w:pPr>
        <w:pStyle w:val="ListParagraph"/>
        <w:numPr>
          <w:ilvl w:val="0"/>
          <w:numId w:val="4"/>
        </w:numPr>
        <w:tabs>
          <w:tab w:pos="478" w:val="left" w:leader="none"/>
        </w:tabs>
        <w:spacing w:line="240" w:lineRule="auto" w:before="120" w:after="0"/>
        <w:ind w:left="477" w:right="0" w:hanging="361"/>
        <w:jc w:val="both"/>
        <w:rPr>
          <w:sz w:val="20"/>
        </w:rPr>
      </w:pPr>
      <w:r>
        <w:rPr>
          <w:sz w:val="20"/>
        </w:rPr>
        <w:t>The Working Group would receive a further update after the second</w:t>
      </w:r>
      <w:r>
        <w:rPr>
          <w:spacing w:val="-12"/>
          <w:sz w:val="20"/>
        </w:rPr>
        <w:t> </w:t>
      </w:r>
      <w:r>
        <w:rPr>
          <w:sz w:val="20"/>
        </w:rPr>
        <w:t>roundtable.</w:t>
      </w:r>
    </w:p>
    <w:p>
      <w:pPr>
        <w:pStyle w:val="BodyText"/>
        <w:spacing w:before="3"/>
        <w:ind w:left="0" w:firstLine="0"/>
      </w:pPr>
    </w:p>
    <w:p>
      <w:pPr>
        <w:pStyle w:val="Heading2"/>
        <w:spacing w:before="1"/>
      </w:pPr>
      <w:r>
        <w:rPr/>
        <w:t>Infrastructure Sub-Group</w:t>
      </w:r>
    </w:p>
    <w:p>
      <w:pPr>
        <w:pStyle w:val="BodyText"/>
        <w:spacing w:before="7"/>
        <w:ind w:left="0" w:firstLine="0"/>
        <w:rPr>
          <w:b/>
        </w:rPr>
      </w:pPr>
    </w:p>
    <w:p>
      <w:pPr>
        <w:pStyle w:val="ListParagraph"/>
        <w:numPr>
          <w:ilvl w:val="0"/>
          <w:numId w:val="4"/>
        </w:numPr>
        <w:tabs>
          <w:tab w:pos="478" w:val="left" w:leader="none"/>
        </w:tabs>
        <w:spacing w:line="360" w:lineRule="auto" w:before="1" w:after="0"/>
        <w:ind w:left="477" w:right="113" w:hanging="360"/>
        <w:jc w:val="both"/>
        <w:rPr>
          <w:sz w:val="20"/>
        </w:rPr>
      </w:pPr>
      <w:r>
        <w:rPr>
          <w:sz w:val="20"/>
        </w:rPr>
        <w:t>An event for treasury management system providers had been held. This included presentations and a Q&amp;A session. There were concerns about conventions from the providers who nonetheless noted that they appreciated the clarity on timeframes that had been provided by the Working Group so far through the publication of its targets and</w:t>
      </w:r>
      <w:r>
        <w:rPr>
          <w:spacing w:val="1"/>
          <w:sz w:val="20"/>
        </w:rPr>
        <w:t> </w:t>
      </w:r>
      <w:r>
        <w:rPr>
          <w:sz w:val="20"/>
        </w:rPr>
        <w:t>milestones.</w:t>
      </w:r>
    </w:p>
    <w:p>
      <w:pPr>
        <w:pStyle w:val="Heading2"/>
        <w:spacing w:before="117"/>
      </w:pPr>
      <w:r>
        <w:rPr/>
        <w:t>Cash Market Legacy Task Force</w:t>
      </w:r>
    </w:p>
    <w:p>
      <w:pPr>
        <w:pStyle w:val="BodyText"/>
        <w:spacing w:before="8"/>
        <w:ind w:left="0" w:firstLine="0"/>
        <w:rPr>
          <w:b/>
        </w:rPr>
      </w:pPr>
    </w:p>
    <w:p>
      <w:pPr>
        <w:pStyle w:val="ListParagraph"/>
        <w:numPr>
          <w:ilvl w:val="0"/>
          <w:numId w:val="4"/>
        </w:numPr>
        <w:tabs>
          <w:tab w:pos="478" w:val="left" w:leader="none"/>
        </w:tabs>
        <w:spacing w:line="240" w:lineRule="auto" w:before="0" w:after="0"/>
        <w:ind w:left="477" w:right="0" w:hanging="361"/>
        <w:jc w:val="both"/>
        <w:rPr>
          <w:sz w:val="20"/>
        </w:rPr>
      </w:pPr>
      <w:r>
        <w:rPr>
          <w:sz w:val="20"/>
        </w:rPr>
        <w:t>The priority of the group was a discussion paper on transition of legacy</w:t>
      </w:r>
      <w:r>
        <w:rPr>
          <w:spacing w:val="-7"/>
          <w:sz w:val="20"/>
        </w:rPr>
        <w:t> </w:t>
      </w:r>
      <w:r>
        <w:rPr>
          <w:sz w:val="20"/>
        </w:rPr>
        <w:t>loans.</w:t>
      </w:r>
    </w:p>
    <w:p>
      <w:pPr>
        <w:pStyle w:val="BodyText"/>
        <w:spacing w:before="1"/>
        <w:ind w:left="0" w:firstLine="0"/>
      </w:pPr>
    </w:p>
    <w:p>
      <w:pPr>
        <w:pStyle w:val="Heading2"/>
      </w:pPr>
      <w:r>
        <w:rPr/>
        <w:t>Tough Legacy Task Force</w:t>
      </w:r>
    </w:p>
    <w:p>
      <w:pPr>
        <w:pStyle w:val="BodyText"/>
        <w:spacing w:before="8"/>
        <w:ind w:left="0" w:firstLine="0"/>
        <w:rPr>
          <w:b/>
        </w:rPr>
      </w:pPr>
    </w:p>
    <w:p>
      <w:pPr>
        <w:pStyle w:val="ListParagraph"/>
        <w:numPr>
          <w:ilvl w:val="0"/>
          <w:numId w:val="4"/>
        </w:numPr>
        <w:tabs>
          <w:tab w:pos="478" w:val="left" w:leader="none"/>
        </w:tabs>
        <w:spacing w:line="360" w:lineRule="auto" w:before="1" w:after="0"/>
        <w:ind w:left="477" w:right="110" w:hanging="360"/>
        <w:jc w:val="both"/>
        <w:rPr>
          <w:sz w:val="20"/>
        </w:rPr>
      </w:pPr>
      <w:r>
        <w:rPr>
          <w:sz w:val="20"/>
        </w:rPr>
        <w:t>The target of the group was to bring an update to the next Working Group meeting. This was to include an asset class by asset class breakdown as to whether a tough legacy problem</w:t>
      </w:r>
      <w:r>
        <w:rPr>
          <w:spacing w:val="-3"/>
          <w:sz w:val="20"/>
        </w:rPr>
        <w:t> </w:t>
      </w:r>
      <w:r>
        <w:rPr>
          <w:sz w:val="20"/>
        </w:rPr>
        <w:t>exists.</w:t>
      </w:r>
    </w:p>
    <w:p>
      <w:pPr>
        <w:pStyle w:val="Heading2"/>
        <w:spacing w:before="119"/>
      </w:pPr>
      <w:r>
        <w:rPr/>
        <w:t>Bond Market Sub-Group</w:t>
      </w:r>
    </w:p>
    <w:p>
      <w:pPr>
        <w:pStyle w:val="BodyText"/>
        <w:spacing w:before="5"/>
        <w:ind w:left="0" w:firstLine="0"/>
        <w:rPr>
          <w:b/>
        </w:rPr>
      </w:pPr>
    </w:p>
    <w:p>
      <w:pPr>
        <w:pStyle w:val="ListParagraph"/>
        <w:numPr>
          <w:ilvl w:val="0"/>
          <w:numId w:val="4"/>
        </w:numPr>
        <w:tabs>
          <w:tab w:pos="478" w:val="left" w:leader="none"/>
        </w:tabs>
        <w:spacing w:line="240" w:lineRule="auto" w:before="0" w:after="0"/>
        <w:ind w:left="477" w:right="0" w:hanging="361"/>
        <w:jc w:val="both"/>
        <w:rPr>
          <w:sz w:val="20"/>
        </w:rPr>
      </w:pPr>
      <w:r>
        <w:rPr>
          <w:sz w:val="20"/>
        </w:rPr>
        <w:t>The group was working on sizing the legacy bonds</w:t>
      </w:r>
      <w:r>
        <w:rPr>
          <w:spacing w:val="3"/>
          <w:sz w:val="20"/>
        </w:rPr>
        <w:t> </w:t>
      </w:r>
      <w:r>
        <w:rPr>
          <w:sz w:val="20"/>
        </w:rPr>
        <w:t>challenge.</w:t>
      </w:r>
    </w:p>
    <w:p>
      <w:pPr>
        <w:pStyle w:val="BodyText"/>
        <w:spacing w:before="6"/>
        <w:ind w:left="0" w:firstLine="0"/>
      </w:pPr>
    </w:p>
    <w:p>
      <w:pPr>
        <w:pStyle w:val="ListParagraph"/>
        <w:numPr>
          <w:ilvl w:val="0"/>
          <w:numId w:val="4"/>
        </w:numPr>
        <w:tabs>
          <w:tab w:pos="478" w:val="left" w:leader="none"/>
        </w:tabs>
        <w:spacing w:line="240" w:lineRule="auto" w:before="0" w:after="0"/>
        <w:ind w:left="477" w:right="0" w:hanging="361"/>
        <w:jc w:val="left"/>
        <w:rPr>
          <w:sz w:val="20"/>
        </w:rPr>
      </w:pPr>
      <w:r>
        <w:rPr>
          <w:sz w:val="20"/>
        </w:rPr>
        <w:t>The group had also provided input to the Cash Market Legacy and Tough Legacy Task</w:t>
      </w:r>
      <w:r>
        <w:rPr>
          <w:spacing w:val="-11"/>
          <w:sz w:val="20"/>
        </w:rPr>
        <w:t> </w:t>
      </w:r>
      <w:r>
        <w:rPr>
          <w:sz w:val="20"/>
        </w:rPr>
        <w:t>Forces.</w:t>
      </w:r>
    </w:p>
    <w:p>
      <w:pPr>
        <w:pStyle w:val="BodyText"/>
        <w:spacing w:before="3"/>
        <w:ind w:left="0" w:firstLine="0"/>
      </w:pPr>
    </w:p>
    <w:p>
      <w:pPr>
        <w:pStyle w:val="Heading2"/>
      </w:pPr>
      <w:r>
        <w:rPr/>
        <w:t>Loans Sub-Group</w:t>
      </w:r>
    </w:p>
    <w:p>
      <w:pPr>
        <w:pStyle w:val="BodyText"/>
        <w:spacing w:before="8"/>
        <w:ind w:left="0" w:firstLine="0"/>
        <w:rPr>
          <w:b/>
        </w:rPr>
      </w:pPr>
    </w:p>
    <w:p>
      <w:pPr>
        <w:pStyle w:val="ListParagraph"/>
        <w:numPr>
          <w:ilvl w:val="0"/>
          <w:numId w:val="4"/>
        </w:numPr>
        <w:tabs>
          <w:tab w:pos="478" w:val="left" w:leader="none"/>
        </w:tabs>
        <w:spacing w:line="357" w:lineRule="auto" w:before="0" w:after="0"/>
        <w:ind w:left="477" w:right="110" w:hanging="360"/>
        <w:jc w:val="both"/>
        <w:rPr>
          <w:sz w:val="20"/>
        </w:rPr>
      </w:pPr>
      <w:r>
        <w:rPr>
          <w:sz w:val="20"/>
        </w:rPr>
        <w:t>The cash spread adjustment paper had been published. The RFR Secretariat had requested</w:t>
      </w:r>
      <w:r>
        <w:rPr>
          <w:spacing w:val="-34"/>
          <w:sz w:val="20"/>
        </w:rPr>
        <w:t> </w:t>
      </w:r>
      <w:r>
        <w:rPr>
          <w:sz w:val="20"/>
        </w:rPr>
        <w:t>responses by 6</w:t>
      </w:r>
      <w:r>
        <w:rPr>
          <w:spacing w:val="-4"/>
          <w:sz w:val="20"/>
        </w:rPr>
        <w:t> </w:t>
      </w:r>
      <w:r>
        <w:rPr>
          <w:sz w:val="20"/>
        </w:rPr>
        <w:t>February.</w:t>
      </w:r>
    </w:p>
    <w:p>
      <w:pPr>
        <w:pStyle w:val="Heading2"/>
        <w:spacing w:before="124"/>
        <w:jc w:val="left"/>
      </w:pPr>
      <w:r>
        <w:rPr/>
        <w:t>AOB</w:t>
      </w:r>
    </w:p>
    <w:p>
      <w:pPr>
        <w:pStyle w:val="BodyText"/>
        <w:spacing w:before="6"/>
        <w:ind w:left="0" w:firstLine="0"/>
        <w:rPr>
          <w:b/>
        </w:rPr>
      </w:pPr>
    </w:p>
    <w:p>
      <w:pPr>
        <w:pStyle w:val="ListParagraph"/>
        <w:numPr>
          <w:ilvl w:val="0"/>
          <w:numId w:val="4"/>
        </w:numPr>
        <w:tabs>
          <w:tab w:pos="478" w:val="left" w:leader="none"/>
        </w:tabs>
        <w:spacing w:line="357" w:lineRule="auto" w:before="0" w:after="0"/>
        <w:ind w:left="477" w:right="114" w:hanging="360"/>
        <w:jc w:val="both"/>
        <w:rPr>
          <w:sz w:val="20"/>
        </w:rPr>
      </w:pPr>
      <w:r>
        <w:rPr>
          <w:sz w:val="20"/>
        </w:rPr>
        <w:t>The Chair asked again for RFRWG members to provide feedback to the RFR Secretariat on the credit spread adjustment</w:t>
      </w:r>
      <w:r>
        <w:rPr>
          <w:spacing w:val="-3"/>
          <w:sz w:val="20"/>
        </w:rPr>
        <w:t> </w:t>
      </w:r>
      <w:r>
        <w:rPr>
          <w:sz w:val="20"/>
        </w:rPr>
        <w:t>paper.</w:t>
      </w:r>
    </w:p>
    <w:p>
      <w:pPr>
        <w:spacing w:after="0" w:line="357" w:lineRule="auto"/>
        <w:jc w:val="both"/>
        <w:rPr>
          <w:sz w:val="20"/>
        </w:rPr>
        <w:sectPr>
          <w:pgSz w:w="11910" w:h="16840"/>
          <w:pgMar w:header="0" w:footer="717" w:top="880" w:bottom="900" w:left="1160" w:right="1020"/>
        </w:sectPr>
      </w:pPr>
    </w:p>
    <w:p>
      <w:pPr>
        <w:pStyle w:val="Heading2"/>
        <w:spacing w:before="75"/>
        <w:jc w:val="left"/>
      </w:pPr>
      <w:r>
        <w:rPr/>
        <w:t>Private sector attendees</w:t>
      </w:r>
    </w:p>
    <w:p>
      <w:pPr>
        <w:pStyle w:val="BodyText"/>
        <w:spacing w:before="7" w:after="1"/>
        <w:ind w:left="0" w:firstLine="0"/>
        <w:rPr>
          <w:b/>
          <w:sz w:val="23"/>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5423"/>
      </w:tblGrid>
      <w:tr>
        <w:trPr>
          <w:trHeight w:val="262" w:hRule="atLeast"/>
        </w:trPr>
        <w:tc>
          <w:tcPr>
            <w:tcW w:w="2914" w:type="dxa"/>
          </w:tcPr>
          <w:p>
            <w:pPr>
              <w:pStyle w:val="TableParagraph"/>
              <w:spacing w:line="225" w:lineRule="exact" w:before="0"/>
              <w:rPr>
                <w:sz w:val="20"/>
              </w:rPr>
            </w:pPr>
            <w:r>
              <w:rPr>
                <w:sz w:val="20"/>
              </w:rPr>
              <w:t>Tushar Morzaria</w:t>
            </w:r>
          </w:p>
        </w:tc>
        <w:tc>
          <w:tcPr>
            <w:tcW w:w="5423" w:type="dxa"/>
          </w:tcPr>
          <w:p>
            <w:pPr>
              <w:pStyle w:val="TableParagraph"/>
              <w:spacing w:line="223" w:lineRule="exact" w:before="0"/>
              <w:ind w:left="404"/>
              <w:rPr>
                <w:b/>
                <w:sz w:val="20"/>
              </w:rPr>
            </w:pPr>
            <w:r>
              <w:rPr>
                <w:b/>
                <w:sz w:val="20"/>
              </w:rPr>
              <w:t>Barclays (Chair)</w:t>
            </w:r>
          </w:p>
        </w:tc>
      </w:tr>
      <w:tr>
        <w:trPr>
          <w:trHeight w:val="300" w:hRule="atLeast"/>
        </w:trPr>
        <w:tc>
          <w:tcPr>
            <w:tcW w:w="2914" w:type="dxa"/>
          </w:tcPr>
          <w:p>
            <w:pPr>
              <w:pStyle w:val="TableParagraph"/>
              <w:spacing w:before="33"/>
              <w:rPr>
                <w:sz w:val="20"/>
              </w:rPr>
            </w:pPr>
            <w:r>
              <w:rPr>
                <w:sz w:val="20"/>
              </w:rPr>
              <w:t>Paul Mansour</w:t>
            </w:r>
          </w:p>
        </w:tc>
        <w:tc>
          <w:tcPr>
            <w:tcW w:w="5423" w:type="dxa"/>
          </w:tcPr>
          <w:p>
            <w:pPr>
              <w:pStyle w:val="TableParagraph"/>
              <w:ind w:left="404"/>
              <w:rPr>
                <w:b/>
                <w:sz w:val="20"/>
              </w:rPr>
            </w:pPr>
            <w:r>
              <w:rPr>
                <w:b/>
                <w:sz w:val="20"/>
              </w:rPr>
              <w:t>Barclays (Chair’s office)</w:t>
            </w:r>
          </w:p>
        </w:tc>
      </w:tr>
      <w:tr>
        <w:trPr>
          <w:trHeight w:val="300" w:hRule="atLeast"/>
        </w:trPr>
        <w:tc>
          <w:tcPr>
            <w:tcW w:w="2914" w:type="dxa"/>
          </w:tcPr>
          <w:p>
            <w:pPr>
              <w:pStyle w:val="TableParagraph"/>
              <w:spacing w:before="32"/>
              <w:rPr>
                <w:sz w:val="20"/>
              </w:rPr>
            </w:pPr>
            <w:r>
              <w:rPr>
                <w:sz w:val="20"/>
              </w:rPr>
              <w:t>Andreas Giannopoulos</w:t>
            </w:r>
          </w:p>
        </w:tc>
        <w:tc>
          <w:tcPr>
            <w:tcW w:w="5423" w:type="dxa"/>
          </w:tcPr>
          <w:p>
            <w:pPr>
              <w:pStyle w:val="TableParagraph"/>
              <w:ind w:left="404"/>
              <w:rPr>
                <w:b/>
                <w:sz w:val="20"/>
              </w:rPr>
            </w:pPr>
            <w:r>
              <w:rPr>
                <w:b/>
                <w:sz w:val="20"/>
              </w:rPr>
              <w:t>Barclays (Chair’s office)</w:t>
            </w:r>
          </w:p>
        </w:tc>
      </w:tr>
      <w:tr>
        <w:trPr>
          <w:trHeight w:val="300" w:hRule="atLeast"/>
        </w:trPr>
        <w:tc>
          <w:tcPr>
            <w:tcW w:w="2914" w:type="dxa"/>
          </w:tcPr>
          <w:p>
            <w:pPr>
              <w:pStyle w:val="TableParagraph"/>
              <w:spacing w:before="32"/>
              <w:rPr>
                <w:sz w:val="20"/>
              </w:rPr>
            </w:pPr>
            <w:r>
              <w:rPr>
                <w:sz w:val="20"/>
              </w:rPr>
              <w:t>Robert de Roeck</w:t>
            </w:r>
          </w:p>
        </w:tc>
        <w:tc>
          <w:tcPr>
            <w:tcW w:w="5423" w:type="dxa"/>
          </w:tcPr>
          <w:p>
            <w:pPr>
              <w:pStyle w:val="TableParagraph"/>
              <w:ind w:left="404"/>
              <w:rPr>
                <w:b/>
                <w:sz w:val="20"/>
              </w:rPr>
            </w:pPr>
            <w:r>
              <w:rPr>
                <w:b/>
                <w:sz w:val="20"/>
              </w:rPr>
              <w:t>Aberdeen Standard</w:t>
            </w:r>
          </w:p>
        </w:tc>
      </w:tr>
      <w:tr>
        <w:trPr>
          <w:trHeight w:val="300" w:hRule="atLeast"/>
        </w:trPr>
        <w:tc>
          <w:tcPr>
            <w:tcW w:w="2914" w:type="dxa"/>
          </w:tcPr>
          <w:p>
            <w:pPr>
              <w:pStyle w:val="TableParagraph"/>
              <w:spacing w:before="32"/>
              <w:rPr>
                <w:sz w:val="20"/>
              </w:rPr>
            </w:pPr>
            <w:r>
              <w:rPr>
                <w:sz w:val="20"/>
              </w:rPr>
              <w:t>Shaun Kennedy</w:t>
            </w:r>
          </w:p>
        </w:tc>
        <w:tc>
          <w:tcPr>
            <w:tcW w:w="5423" w:type="dxa"/>
          </w:tcPr>
          <w:p>
            <w:pPr>
              <w:pStyle w:val="TableParagraph"/>
              <w:ind w:left="404"/>
              <w:rPr>
                <w:b/>
                <w:sz w:val="20"/>
              </w:rPr>
            </w:pPr>
            <w:r>
              <w:rPr>
                <w:b/>
                <w:sz w:val="20"/>
              </w:rPr>
              <w:t>Associated British Ports</w:t>
            </w:r>
          </w:p>
        </w:tc>
      </w:tr>
      <w:tr>
        <w:trPr>
          <w:trHeight w:val="300" w:hRule="atLeast"/>
        </w:trPr>
        <w:tc>
          <w:tcPr>
            <w:tcW w:w="2914" w:type="dxa"/>
          </w:tcPr>
          <w:p>
            <w:pPr>
              <w:pStyle w:val="TableParagraph"/>
              <w:spacing w:before="32"/>
              <w:rPr>
                <w:sz w:val="20"/>
              </w:rPr>
            </w:pPr>
            <w:r>
              <w:rPr>
                <w:sz w:val="20"/>
              </w:rPr>
              <w:t>Sarah Boyce</w:t>
            </w:r>
          </w:p>
        </w:tc>
        <w:tc>
          <w:tcPr>
            <w:tcW w:w="5423" w:type="dxa"/>
          </w:tcPr>
          <w:p>
            <w:pPr>
              <w:pStyle w:val="TableParagraph"/>
              <w:ind w:left="404"/>
              <w:rPr>
                <w:b/>
                <w:sz w:val="20"/>
              </w:rPr>
            </w:pPr>
            <w:r>
              <w:rPr>
                <w:b/>
                <w:sz w:val="20"/>
              </w:rPr>
              <w:t>Association of Corporate Treasurers</w:t>
            </w:r>
          </w:p>
        </w:tc>
      </w:tr>
      <w:tr>
        <w:trPr>
          <w:trHeight w:val="300" w:hRule="atLeast"/>
        </w:trPr>
        <w:tc>
          <w:tcPr>
            <w:tcW w:w="2914" w:type="dxa"/>
          </w:tcPr>
          <w:p>
            <w:pPr>
              <w:pStyle w:val="TableParagraph"/>
              <w:spacing w:before="32"/>
              <w:rPr>
                <w:sz w:val="20"/>
              </w:rPr>
            </w:pPr>
            <w:r>
              <w:rPr>
                <w:sz w:val="20"/>
              </w:rPr>
              <w:t>Alexandre Pappadacci</w:t>
            </w:r>
          </w:p>
        </w:tc>
        <w:tc>
          <w:tcPr>
            <w:tcW w:w="5423" w:type="dxa"/>
          </w:tcPr>
          <w:p>
            <w:pPr>
              <w:pStyle w:val="TableParagraph"/>
              <w:ind w:left="404"/>
              <w:rPr>
                <w:b/>
                <w:sz w:val="20"/>
              </w:rPr>
            </w:pPr>
            <w:r>
              <w:rPr>
                <w:b/>
                <w:sz w:val="20"/>
              </w:rPr>
              <w:t>AXA (Vice-Chair)</w:t>
            </w:r>
          </w:p>
        </w:tc>
      </w:tr>
      <w:tr>
        <w:trPr>
          <w:trHeight w:val="300" w:hRule="atLeast"/>
        </w:trPr>
        <w:tc>
          <w:tcPr>
            <w:tcW w:w="2914" w:type="dxa"/>
          </w:tcPr>
          <w:p>
            <w:pPr>
              <w:pStyle w:val="TableParagraph"/>
              <w:spacing w:before="32"/>
              <w:rPr>
                <w:sz w:val="20"/>
              </w:rPr>
            </w:pPr>
            <w:r>
              <w:rPr>
                <w:sz w:val="20"/>
              </w:rPr>
              <w:t>Snigdha Singh</w:t>
            </w:r>
          </w:p>
        </w:tc>
        <w:tc>
          <w:tcPr>
            <w:tcW w:w="5423" w:type="dxa"/>
          </w:tcPr>
          <w:p>
            <w:pPr>
              <w:pStyle w:val="TableParagraph"/>
              <w:ind w:left="404"/>
              <w:rPr>
                <w:b/>
                <w:sz w:val="20"/>
              </w:rPr>
            </w:pPr>
            <w:r>
              <w:rPr>
                <w:b/>
                <w:sz w:val="20"/>
              </w:rPr>
              <w:t>Bank of America Merrill Lynch</w:t>
            </w:r>
          </w:p>
        </w:tc>
      </w:tr>
      <w:tr>
        <w:trPr>
          <w:trHeight w:val="300" w:hRule="atLeast"/>
        </w:trPr>
        <w:tc>
          <w:tcPr>
            <w:tcW w:w="2914" w:type="dxa"/>
          </w:tcPr>
          <w:p>
            <w:pPr>
              <w:pStyle w:val="TableParagraph"/>
              <w:spacing w:before="32"/>
              <w:rPr>
                <w:sz w:val="20"/>
              </w:rPr>
            </w:pPr>
            <w:r>
              <w:rPr>
                <w:sz w:val="20"/>
              </w:rPr>
              <w:t>Doug Laurie</w:t>
            </w:r>
          </w:p>
        </w:tc>
        <w:tc>
          <w:tcPr>
            <w:tcW w:w="5423" w:type="dxa"/>
          </w:tcPr>
          <w:p>
            <w:pPr>
              <w:pStyle w:val="TableParagraph"/>
              <w:ind w:left="404"/>
              <w:rPr>
                <w:b/>
                <w:sz w:val="20"/>
              </w:rPr>
            </w:pPr>
            <w:r>
              <w:rPr>
                <w:b/>
                <w:sz w:val="20"/>
              </w:rPr>
              <w:t>Barclays</w:t>
            </w:r>
          </w:p>
        </w:tc>
      </w:tr>
      <w:tr>
        <w:trPr>
          <w:trHeight w:val="300" w:hRule="atLeast"/>
        </w:trPr>
        <w:tc>
          <w:tcPr>
            <w:tcW w:w="2914" w:type="dxa"/>
          </w:tcPr>
          <w:p>
            <w:pPr>
              <w:pStyle w:val="TableParagraph"/>
              <w:spacing w:before="32"/>
              <w:rPr>
                <w:sz w:val="20"/>
              </w:rPr>
            </w:pPr>
            <w:r>
              <w:rPr>
                <w:sz w:val="20"/>
              </w:rPr>
              <w:t>Tejonidhi Kashyap</w:t>
            </w:r>
          </w:p>
        </w:tc>
        <w:tc>
          <w:tcPr>
            <w:tcW w:w="5423" w:type="dxa"/>
          </w:tcPr>
          <w:p>
            <w:pPr>
              <w:pStyle w:val="TableParagraph"/>
              <w:ind w:left="404"/>
              <w:rPr>
                <w:b/>
                <w:sz w:val="20"/>
              </w:rPr>
            </w:pPr>
            <w:r>
              <w:rPr>
                <w:b/>
                <w:sz w:val="20"/>
              </w:rPr>
              <w:t>Barclays</w:t>
            </w:r>
          </w:p>
        </w:tc>
      </w:tr>
      <w:tr>
        <w:trPr>
          <w:trHeight w:val="300" w:hRule="atLeast"/>
        </w:trPr>
        <w:tc>
          <w:tcPr>
            <w:tcW w:w="2914" w:type="dxa"/>
          </w:tcPr>
          <w:p>
            <w:pPr>
              <w:pStyle w:val="TableParagraph"/>
              <w:spacing w:before="32"/>
              <w:rPr>
                <w:sz w:val="20"/>
              </w:rPr>
            </w:pPr>
            <w:r>
              <w:rPr>
                <w:sz w:val="20"/>
              </w:rPr>
              <w:t>Rob Mitchelson</w:t>
            </w:r>
          </w:p>
        </w:tc>
        <w:tc>
          <w:tcPr>
            <w:tcW w:w="5423" w:type="dxa"/>
          </w:tcPr>
          <w:p>
            <w:pPr>
              <w:pStyle w:val="TableParagraph"/>
              <w:ind w:left="404"/>
              <w:rPr>
                <w:b/>
                <w:sz w:val="20"/>
              </w:rPr>
            </w:pPr>
            <w:r>
              <w:rPr>
                <w:b/>
                <w:sz w:val="20"/>
              </w:rPr>
              <w:t>Blackrock</w:t>
            </w:r>
          </w:p>
        </w:tc>
      </w:tr>
      <w:tr>
        <w:trPr>
          <w:trHeight w:val="300" w:hRule="atLeast"/>
        </w:trPr>
        <w:tc>
          <w:tcPr>
            <w:tcW w:w="2914" w:type="dxa"/>
          </w:tcPr>
          <w:p>
            <w:pPr>
              <w:pStyle w:val="TableParagraph"/>
              <w:spacing w:before="32"/>
              <w:rPr>
                <w:sz w:val="20"/>
              </w:rPr>
            </w:pPr>
            <w:r>
              <w:rPr>
                <w:sz w:val="20"/>
              </w:rPr>
              <w:t>Greg Olsen</w:t>
            </w:r>
          </w:p>
        </w:tc>
        <w:tc>
          <w:tcPr>
            <w:tcW w:w="5423" w:type="dxa"/>
          </w:tcPr>
          <w:p>
            <w:pPr>
              <w:pStyle w:val="TableParagraph"/>
              <w:ind w:left="404"/>
              <w:rPr>
                <w:b/>
                <w:sz w:val="20"/>
              </w:rPr>
            </w:pPr>
            <w:r>
              <w:rPr>
                <w:b/>
                <w:sz w:val="20"/>
              </w:rPr>
              <w:t>Clifford Chance (General Counsel)</w:t>
            </w:r>
          </w:p>
        </w:tc>
      </w:tr>
      <w:tr>
        <w:trPr>
          <w:trHeight w:val="300" w:hRule="atLeast"/>
        </w:trPr>
        <w:tc>
          <w:tcPr>
            <w:tcW w:w="2914" w:type="dxa"/>
          </w:tcPr>
          <w:p>
            <w:pPr>
              <w:pStyle w:val="TableParagraph"/>
              <w:spacing w:before="32"/>
              <w:rPr>
                <w:sz w:val="20"/>
              </w:rPr>
            </w:pPr>
            <w:r>
              <w:rPr>
                <w:sz w:val="20"/>
              </w:rPr>
              <w:t>Sebastien Angles-Dauriac</w:t>
            </w:r>
          </w:p>
        </w:tc>
        <w:tc>
          <w:tcPr>
            <w:tcW w:w="5423" w:type="dxa"/>
          </w:tcPr>
          <w:p>
            <w:pPr>
              <w:pStyle w:val="TableParagraph"/>
              <w:ind w:left="404"/>
              <w:rPr>
                <w:b/>
                <w:sz w:val="20"/>
              </w:rPr>
            </w:pPr>
            <w:r>
              <w:rPr>
                <w:b/>
                <w:sz w:val="20"/>
              </w:rPr>
              <w:t>Deutsche Bank</w:t>
            </w:r>
          </w:p>
        </w:tc>
      </w:tr>
      <w:tr>
        <w:trPr>
          <w:trHeight w:val="300" w:hRule="atLeast"/>
        </w:trPr>
        <w:tc>
          <w:tcPr>
            <w:tcW w:w="2914" w:type="dxa"/>
          </w:tcPr>
          <w:p>
            <w:pPr>
              <w:pStyle w:val="TableParagraph"/>
              <w:spacing w:before="32"/>
              <w:rPr>
                <w:sz w:val="20"/>
              </w:rPr>
            </w:pPr>
            <w:r>
              <w:rPr>
                <w:sz w:val="20"/>
              </w:rPr>
              <w:t>Jasper Lillingston</w:t>
            </w:r>
          </w:p>
        </w:tc>
        <w:tc>
          <w:tcPr>
            <w:tcW w:w="5423" w:type="dxa"/>
          </w:tcPr>
          <w:p>
            <w:pPr>
              <w:pStyle w:val="TableParagraph"/>
              <w:ind w:left="404"/>
              <w:rPr>
                <w:b/>
                <w:sz w:val="20"/>
              </w:rPr>
            </w:pPr>
            <w:r>
              <w:rPr>
                <w:b/>
                <w:sz w:val="20"/>
              </w:rPr>
              <w:t>European Bank for Reconstruction &amp; Development</w:t>
            </w:r>
          </w:p>
        </w:tc>
      </w:tr>
      <w:tr>
        <w:trPr>
          <w:trHeight w:val="300" w:hRule="atLeast"/>
        </w:trPr>
        <w:tc>
          <w:tcPr>
            <w:tcW w:w="2914" w:type="dxa"/>
          </w:tcPr>
          <w:p>
            <w:pPr>
              <w:pStyle w:val="TableParagraph"/>
              <w:spacing w:before="33"/>
              <w:rPr>
                <w:sz w:val="20"/>
              </w:rPr>
            </w:pPr>
            <w:r>
              <w:rPr>
                <w:sz w:val="20"/>
              </w:rPr>
              <w:t>Chirag Dave</w:t>
            </w:r>
          </w:p>
        </w:tc>
        <w:tc>
          <w:tcPr>
            <w:tcW w:w="5423" w:type="dxa"/>
          </w:tcPr>
          <w:p>
            <w:pPr>
              <w:pStyle w:val="TableParagraph"/>
              <w:ind w:left="404"/>
              <w:rPr>
                <w:b/>
                <w:sz w:val="20"/>
              </w:rPr>
            </w:pPr>
            <w:r>
              <w:rPr>
                <w:b/>
                <w:sz w:val="20"/>
              </w:rPr>
              <w:t>Goldman Sachs</w:t>
            </w:r>
          </w:p>
        </w:tc>
      </w:tr>
      <w:tr>
        <w:trPr>
          <w:trHeight w:val="300" w:hRule="atLeast"/>
        </w:trPr>
        <w:tc>
          <w:tcPr>
            <w:tcW w:w="2914" w:type="dxa"/>
          </w:tcPr>
          <w:p>
            <w:pPr>
              <w:pStyle w:val="TableParagraph"/>
              <w:spacing w:before="32"/>
              <w:rPr>
                <w:sz w:val="20"/>
              </w:rPr>
            </w:pPr>
            <w:r>
              <w:rPr>
                <w:sz w:val="20"/>
              </w:rPr>
              <w:t>Sander Slotema</w:t>
            </w:r>
          </w:p>
        </w:tc>
        <w:tc>
          <w:tcPr>
            <w:tcW w:w="5423" w:type="dxa"/>
          </w:tcPr>
          <w:p>
            <w:pPr>
              <w:pStyle w:val="TableParagraph"/>
              <w:ind w:left="404"/>
              <w:rPr>
                <w:b/>
                <w:sz w:val="20"/>
              </w:rPr>
            </w:pPr>
            <w:r>
              <w:rPr>
                <w:b/>
                <w:sz w:val="20"/>
              </w:rPr>
              <w:t>HSBC</w:t>
            </w:r>
          </w:p>
        </w:tc>
      </w:tr>
      <w:tr>
        <w:trPr>
          <w:trHeight w:val="300" w:hRule="atLeast"/>
        </w:trPr>
        <w:tc>
          <w:tcPr>
            <w:tcW w:w="2914" w:type="dxa"/>
          </w:tcPr>
          <w:p>
            <w:pPr>
              <w:pStyle w:val="TableParagraph"/>
              <w:spacing w:before="32"/>
              <w:rPr>
                <w:sz w:val="20"/>
              </w:rPr>
            </w:pPr>
            <w:r>
              <w:rPr>
                <w:sz w:val="20"/>
              </w:rPr>
              <w:t>Chris Rhodes</w:t>
            </w:r>
          </w:p>
        </w:tc>
        <w:tc>
          <w:tcPr>
            <w:tcW w:w="5423" w:type="dxa"/>
          </w:tcPr>
          <w:p>
            <w:pPr>
              <w:pStyle w:val="TableParagraph"/>
              <w:ind w:left="404"/>
              <w:rPr>
                <w:b/>
                <w:sz w:val="20"/>
              </w:rPr>
            </w:pPr>
            <w:r>
              <w:rPr>
                <w:b/>
                <w:sz w:val="20"/>
              </w:rPr>
              <w:t>ICE Group</w:t>
            </w:r>
          </w:p>
        </w:tc>
      </w:tr>
      <w:tr>
        <w:trPr>
          <w:trHeight w:val="300" w:hRule="atLeast"/>
        </w:trPr>
        <w:tc>
          <w:tcPr>
            <w:tcW w:w="2914" w:type="dxa"/>
          </w:tcPr>
          <w:p>
            <w:pPr>
              <w:pStyle w:val="TableParagraph"/>
              <w:spacing w:before="32"/>
              <w:rPr>
                <w:sz w:val="20"/>
              </w:rPr>
            </w:pPr>
            <w:r>
              <w:rPr>
                <w:sz w:val="20"/>
              </w:rPr>
              <w:t>Paul Richards</w:t>
            </w:r>
          </w:p>
        </w:tc>
        <w:tc>
          <w:tcPr>
            <w:tcW w:w="5423" w:type="dxa"/>
          </w:tcPr>
          <w:p>
            <w:pPr>
              <w:pStyle w:val="TableParagraph"/>
              <w:ind w:left="404"/>
              <w:rPr>
                <w:b/>
                <w:sz w:val="20"/>
              </w:rPr>
            </w:pPr>
            <w:r>
              <w:rPr>
                <w:b/>
                <w:sz w:val="20"/>
              </w:rPr>
              <w:t>ICMA</w:t>
            </w:r>
          </w:p>
        </w:tc>
      </w:tr>
      <w:tr>
        <w:trPr>
          <w:trHeight w:val="300" w:hRule="atLeast"/>
        </w:trPr>
        <w:tc>
          <w:tcPr>
            <w:tcW w:w="2914" w:type="dxa"/>
          </w:tcPr>
          <w:p>
            <w:pPr>
              <w:pStyle w:val="TableParagraph"/>
              <w:spacing w:before="32"/>
              <w:rPr>
                <w:sz w:val="20"/>
              </w:rPr>
            </w:pPr>
            <w:r>
              <w:rPr>
                <w:sz w:val="20"/>
              </w:rPr>
              <w:t>David Jamieson</w:t>
            </w:r>
          </w:p>
        </w:tc>
        <w:tc>
          <w:tcPr>
            <w:tcW w:w="5423" w:type="dxa"/>
          </w:tcPr>
          <w:p>
            <w:pPr>
              <w:pStyle w:val="TableParagraph"/>
              <w:ind w:left="404"/>
              <w:rPr>
                <w:b/>
                <w:sz w:val="20"/>
              </w:rPr>
            </w:pPr>
            <w:r>
              <w:rPr>
                <w:b/>
                <w:sz w:val="20"/>
              </w:rPr>
              <w:t>Insight Investment</w:t>
            </w:r>
          </w:p>
        </w:tc>
      </w:tr>
      <w:tr>
        <w:trPr>
          <w:trHeight w:val="300" w:hRule="atLeast"/>
        </w:trPr>
        <w:tc>
          <w:tcPr>
            <w:tcW w:w="2914" w:type="dxa"/>
          </w:tcPr>
          <w:p>
            <w:pPr>
              <w:pStyle w:val="TableParagraph"/>
              <w:spacing w:before="32"/>
              <w:rPr>
                <w:sz w:val="20"/>
              </w:rPr>
            </w:pPr>
            <w:r>
              <w:rPr>
                <w:sz w:val="20"/>
              </w:rPr>
              <w:t>Rick Sandilands</w:t>
            </w:r>
          </w:p>
        </w:tc>
        <w:tc>
          <w:tcPr>
            <w:tcW w:w="5423" w:type="dxa"/>
          </w:tcPr>
          <w:p>
            <w:pPr>
              <w:pStyle w:val="TableParagraph"/>
              <w:ind w:left="404"/>
              <w:rPr>
                <w:b/>
                <w:sz w:val="20"/>
              </w:rPr>
            </w:pPr>
            <w:r>
              <w:rPr>
                <w:b/>
                <w:sz w:val="20"/>
              </w:rPr>
              <w:t>ISDA</w:t>
            </w:r>
          </w:p>
        </w:tc>
      </w:tr>
      <w:tr>
        <w:trPr>
          <w:trHeight w:val="300" w:hRule="atLeast"/>
        </w:trPr>
        <w:tc>
          <w:tcPr>
            <w:tcW w:w="2914" w:type="dxa"/>
          </w:tcPr>
          <w:p>
            <w:pPr>
              <w:pStyle w:val="TableParagraph"/>
              <w:spacing w:before="32"/>
              <w:rPr>
                <w:sz w:val="20"/>
              </w:rPr>
            </w:pPr>
            <w:r>
              <w:rPr>
                <w:sz w:val="20"/>
              </w:rPr>
              <w:t>Philip Whitehurst</w:t>
            </w:r>
          </w:p>
        </w:tc>
        <w:tc>
          <w:tcPr>
            <w:tcW w:w="5423" w:type="dxa"/>
          </w:tcPr>
          <w:p>
            <w:pPr>
              <w:pStyle w:val="TableParagraph"/>
              <w:ind w:left="404"/>
              <w:rPr>
                <w:b/>
                <w:sz w:val="20"/>
              </w:rPr>
            </w:pPr>
            <w:r>
              <w:rPr>
                <w:b/>
                <w:sz w:val="20"/>
              </w:rPr>
              <w:t>LCH</w:t>
            </w:r>
          </w:p>
        </w:tc>
      </w:tr>
      <w:tr>
        <w:trPr>
          <w:trHeight w:val="300" w:hRule="atLeast"/>
        </w:trPr>
        <w:tc>
          <w:tcPr>
            <w:tcW w:w="2914" w:type="dxa"/>
          </w:tcPr>
          <w:p>
            <w:pPr>
              <w:pStyle w:val="TableParagraph"/>
              <w:spacing w:before="32"/>
              <w:rPr>
                <w:sz w:val="20"/>
              </w:rPr>
            </w:pPr>
            <w:r>
              <w:rPr>
                <w:sz w:val="20"/>
              </w:rPr>
              <w:t>Chi-Kit Pang</w:t>
            </w:r>
          </w:p>
        </w:tc>
        <w:tc>
          <w:tcPr>
            <w:tcW w:w="5423" w:type="dxa"/>
          </w:tcPr>
          <w:p>
            <w:pPr>
              <w:pStyle w:val="TableParagraph"/>
              <w:ind w:left="404"/>
              <w:rPr>
                <w:b/>
                <w:sz w:val="20"/>
              </w:rPr>
            </w:pPr>
            <w:r>
              <w:rPr>
                <w:b/>
                <w:sz w:val="20"/>
              </w:rPr>
              <w:t>Legal &amp; General Investment Management</w:t>
            </w:r>
          </w:p>
        </w:tc>
      </w:tr>
      <w:tr>
        <w:trPr>
          <w:trHeight w:val="300" w:hRule="atLeast"/>
        </w:trPr>
        <w:tc>
          <w:tcPr>
            <w:tcW w:w="2914" w:type="dxa"/>
          </w:tcPr>
          <w:p>
            <w:pPr>
              <w:pStyle w:val="TableParagraph"/>
              <w:spacing w:before="32"/>
              <w:rPr>
                <w:sz w:val="20"/>
              </w:rPr>
            </w:pPr>
            <w:r>
              <w:rPr>
                <w:sz w:val="20"/>
              </w:rPr>
              <w:t>Ian Fox</w:t>
            </w:r>
          </w:p>
        </w:tc>
        <w:tc>
          <w:tcPr>
            <w:tcW w:w="5423" w:type="dxa"/>
          </w:tcPr>
          <w:p>
            <w:pPr>
              <w:pStyle w:val="TableParagraph"/>
              <w:ind w:left="404"/>
              <w:rPr>
                <w:b/>
                <w:sz w:val="20"/>
              </w:rPr>
            </w:pPr>
            <w:r>
              <w:rPr>
                <w:b/>
                <w:sz w:val="20"/>
              </w:rPr>
              <w:t>Lloyds Banking Group</w:t>
            </w:r>
          </w:p>
        </w:tc>
      </w:tr>
      <w:tr>
        <w:trPr>
          <w:trHeight w:val="300" w:hRule="atLeast"/>
        </w:trPr>
        <w:tc>
          <w:tcPr>
            <w:tcW w:w="2914" w:type="dxa"/>
          </w:tcPr>
          <w:p>
            <w:pPr>
              <w:pStyle w:val="TableParagraph"/>
              <w:spacing w:before="32"/>
              <w:rPr>
                <w:sz w:val="20"/>
              </w:rPr>
            </w:pPr>
            <w:r>
              <w:rPr>
                <w:sz w:val="20"/>
              </w:rPr>
              <w:t>Kam Mahil</w:t>
            </w:r>
          </w:p>
        </w:tc>
        <w:tc>
          <w:tcPr>
            <w:tcW w:w="5423" w:type="dxa"/>
          </w:tcPr>
          <w:p>
            <w:pPr>
              <w:pStyle w:val="TableParagraph"/>
              <w:ind w:left="404"/>
              <w:rPr>
                <w:b/>
                <w:sz w:val="20"/>
              </w:rPr>
            </w:pPr>
            <w:r>
              <w:rPr>
                <w:b/>
                <w:sz w:val="20"/>
              </w:rPr>
              <w:t>Loan Market Association</w:t>
            </w:r>
          </w:p>
        </w:tc>
      </w:tr>
      <w:tr>
        <w:trPr>
          <w:trHeight w:val="300" w:hRule="atLeast"/>
        </w:trPr>
        <w:tc>
          <w:tcPr>
            <w:tcW w:w="2914" w:type="dxa"/>
          </w:tcPr>
          <w:p>
            <w:pPr>
              <w:pStyle w:val="TableParagraph"/>
              <w:spacing w:before="32"/>
              <w:rPr>
                <w:sz w:val="20"/>
              </w:rPr>
            </w:pPr>
            <w:r>
              <w:rPr>
                <w:sz w:val="20"/>
              </w:rPr>
              <w:t>Siobhan Clarke</w:t>
            </w:r>
          </w:p>
        </w:tc>
        <w:tc>
          <w:tcPr>
            <w:tcW w:w="5423" w:type="dxa"/>
          </w:tcPr>
          <w:p>
            <w:pPr>
              <w:pStyle w:val="TableParagraph"/>
              <w:ind w:left="404"/>
              <w:rPr>
                <w:b/>
                <w:sz w:val="20"/>
              </w:rPr>
            </w:pPr>
            <w:r>
              <w:rPr>
                <w:b/>
                <w:sz w:val="20"/>
              </w:rPr>
              <w:t>M&amp;G</w:t>
            </w:r>
          </w:p>
        </w:tc>
      </w:tr>
      <w:tr>
        <w:trPr>
          <w:trHeight w:val="300" w:hRule="atLeast"/>
        </w:trPr>
        <w:tc>
          <w:tcPr>
            <w:tcW w:w="2914" w:type="dxa"/>
          </w:tcPr>
          <w:p>
            <w:pPr>
              <w:pStyle w:val="TableParagraph"/>
              <w:spacing w:before="32"/>
              <w:rPr>
                <w:sz w:val="20"/>
              </w:rPr>
            </w:pPr>
            <w:r>
              <w:rPr>
                <w:sz w:val="20"/>
              </w:rPr>
              <w:t>David Covey</w:t>
            </w:r>
          </w:p>
        </w:tc>
        <w:tc>
          <w:tcPr>
            <w:tcW w:w="5423" w:type="dxa"/>
          </w:tcPr>
          <w:p>
            <w:pPr>
              <w:pStyle w:val="TableParagraph"/>
              <w:ind w:left="404"/>
              <w:rPr>
                <w:b/>
                <w:sz w:val="20"/>
              </w:rPr>
            </w:pPr>
            <w:r>
              <w:rPr>
                <w:b/>
                <w:sz w:val="20"/>
              </w:rPr>
              <w:t>M&amp;G Investments</w:t>
            </w:r>
          </w:p>
        </w:tc>
      </w:tr>
      <w:tr>
        <w:trPr>
          <w:trHeight w:val="300" w:hRule="atLeast"/>
        </w:trPr>
        <w:tc>
          <w:tcPr>
            <w:tcW w:w="2914" w:type="dxa"/>
          </w:tcPr>
          <w:p>
            <w:pPr>
              <w:pStyle w:val="TableParagraph"/>
              <w:spacing w:before="33"/>
              <w:rPr>
                <w:sz w:val="20"/>
              </w:rPr>
            </w:pPr>
            <w:r>
              <w:rPr>
                <w:sz w:val="20"/>
              </w:rPr>
              <w:t>Kwok Liu</w:t>
            </w:r>
          </w:p>
        </w:tc>
        <w:tc>
          <w:tcPr>
            <w:tcW w:w="5423" w:type="dxa"/>
          </w:tcPr>
          <w:p>
            <w:pPr>
              <w:pStyle w:val="TableParagraph"/>
              <w:ind w:left="404"/>
              <w:rPr>
                <w:b/>
                <w:sz w:val="20"/>
              </w:rPr>
            </w:pPr>
            <w:r>
              <w:rPr>
                <w:b/>
                <w:sz w:val="20"/>
              </w:rPr>
              <w:t>National Grid</w:t>
            </w:r>
          </w:p>
        </w:tc>
      </w:tr>
      <w:tr>
        <w:trPr>
          <w:trHeight w:val="300" w:hRule="atLeast"/>
        </w:trPr>
        <w:tc>
          <w:tcPr>
            <w:tcW w:w="2914" w:type="dxa"/>
          </w:tcPr>
          <w:p>
            <w:pPr>
              <w:pStyle w:val="TableParagraph"/>
              <w:spacing w:before="32"/>
              <w:rPr>
                <w:sz w:val="20"/>
              </w:rPr>
            </w:pPr>
            <w:r>
              <w:rPr>
                <w:sz w:val="20"/>
              </w:rPr>
              <w:t>Richard Merrett</w:t>
            </w:r>
          </w:p>
        </w:tc>
        <w:tc>
          <w:tcPr>
            <w:tcW w:w="5423" w:type="dxa"/>
          </w:tcPr>
          <w:p>
            <w:pPr>
              <w:pStyle w:val="TableParagraph"/>
              <w:ind w:left="404"/>
              <w:rPr>
                <w:b/>
                <w:sz w:val="20"/>
              </w:rPr>
            </w:pPr>
            <w:r>
              <w:rPr>
                <w:b/>
                <w:sz w:val="20"/>
              </w:rPr>
              <w:t>Nationwide Building Society</w:t>
            </w:r>
          </w:p>
        </w:tc>
      </w:tr>
      <w:tr>
        <w:trPr>
          <w:trHeight w:val="300" w:hRule="atLeast"/>
        </w:trPr>
        <w:tc>
          <w:tcPr>
            <w:tcW w:w="2914" w:type="dxa"/>
          </w:tcPr>
          <w:p>
            <w:pPr>
              <w:pStyle w:val="TableParagraph"/>
              <w:spacing w:before="32"/>
              <w:rPr>
                <w:sz w:val="20"/>
              </w:rPr>
            </w:pPr>
            <w:r>
              <w:rPr>
                <w:sz w:val="20"/>
              </w:rPr>
              <w:t>Phil Lloyd</w:t>
            </w:r>
          </w:p>
        </w:tc>
        <w:tc>
          <w:tcPr>
            <w:tcW w:w="5423" w:type="dxa"/>
          </w:tcPr>
          <w:p>
            <w:pPr>
              <w:pStyle w:val="TableParagraph"/>
              <w:ind w:left="404"/>
              <w:rPr>
                <w:b/>
                <w:sz w:val="20"/>
              </w:rPr>
            </w:pPr>
            <w:r>
              <w:rPr>
                <w:b/>
                <w:sz w:val="20"/>
              </w:rPr>
              <w:t>NatWest Markets</w:t>
            </w:r>
          </w:p>
        </w:tc>
      </w:tr>
      <w:tr>
        <w:trPr>
          <w:trHeight w:val="300" w:hRule="atLeast"/>
        </w:trPr>
        <w:tc>
          <w:tcPr>
            <w:tcW w:w="2914" w:type="dxa"/>
          </w:tcPr>
          <w:p>
            <w:pPr>
              <w:pStyle w:val="TableParagraph"/>
              <w:spacing w:before="32"/>
              <w:rPr>
                <w:sz w:val="20"/>
              </w:rPr>
            </w:pPr>
            <w:r>
              <w:rPr>
                <w:sz w:val="20"/>
              </w:rPr>
              <w:t>Kieran Higgins</w:t>
            </w:r>
          </w:p>
        </w:tc>
        <w:tc>
          <w:tcPr>
            <w:tcW w:w="5423" w:type="dxa"/>
          </w:tcPr>
          <w:p>
            <w:pPr>
              <w:pStyle w:val="TableParagraph"/>
              <w:ind w:left="404"/>
              <w:rPr>
                <w:b/>
                <w:sz w:val="20"/>
              </w:rPr>
            </w:pPr>
            <w:r>
              <w:rPr>
                <w:b/>
                <w:sz w:val="20"/>
              </w:rPr>
              <w:t>Royal Bank of Scotland</w:t>
            </w:r>
          </w:p>
        </w:tc>
      </w:tr>
      <w:tr>
        <w:trPr>
          <w:trHeight w:val="300" w:hRule="atLeast"/>
        </w:trPr>
        <w:tc>
          <w:tcPr>
            <w:tcW w:w="2914" w:type="dxa"/>
          </w:tcPr>
          <w:p>
            <w:pPr>
              <w:pStyle w:val="TableParagraph"/>
              <w:spacing w:before="32"/>
              <w:rPr>
                <w:sz w:val="20"/>
              </w:rPr>
            </w:pPr>
            <w:r>
              <w:rPr>
                <w:sz w:val="20"/>
              </w:rPr>
              <w:t>Ronald Kent</w:t>
            </w:r>
          </w:p>
        </w:tc>
        <w:tc>
          <w:tcPr>
            <w:tcW w:w="5423" w:type="dxa"/>
          </w:tcPr>
          <w:p>
            <w:pPr>
              <w:pStyle w:val="TableParagraph"/>
              <w:ind w:left="404"/>
              <w:rPr>
                <w:b/>
                <w:sz w:val="20"/>
              </w:rPr>
            </w:pPr>
            <w:r>
              <w:rPr>
                <w:b/>
                <w:sz w:val="20"/>
              </w:rPr>
              <w:t>UK Finance</w:t>
            </w:r>
          </w:p>
        </w:tc>
      </w:tr>
      <w:tr>
        <w:trPr>
          <w:trHeight w:val="262" w:hRule="atLeast"/>
        </w:trPr>
        <w:tc>
          <w:tcPr>
            <w:tcW w:w="2914" w:type="dxa"/>
          </w:tcPr>
          <w:p>
            <w:pPr>
              <w:pStyle w:val="TableParagraph"/>
              <w:spacing w:line="210" w:lineRule="exact" w:before="32"/>
              <w:rPr>
                <w:sz w:val="20"/>
              </w:rPr>
            </w:pPr>
            <w:r>
              <w:rPr>
                <w:sz w:val="20"/>
              </w:rPr>
              <w:t>Imed Souki</w:t>
            </w:r>
          </w:p>
        </w:tc>
        <w:tc>
          <w:tcPr>
            <w:tcW w:w="5423" w:type="dxa"/>
          </w:tcPr>
          <w:p>
            <w:pPr>
              <w:pStyle w:val="TableParagraph"/>
              <w:spacing w:line="212" w:lineRule="exact"/>
              <w:ind w:left="404"/>
              <w:rPr>
                <w:b/>
                <w:sz w:val="20"/>
              </w:rPr>
            </w:pPr>
            <w:r>
              <w:rPr>
                <w:b/>
                <w:sz w:val="20"/>
              </w:rPr>
              <w:t>UBS</w:t>
            </w:r>
          </w:p>
        </w:tc>
      </w:tr>
    </w:tbl>
    <w:p>
      <w:pPr>
        <w:pStyle w:val="BodyText"/>
        <w:ind w:left="0" w:firstLine="0"/>
        <w:rPr>
          <w:b/>
          <w:sz w:val="23"/>
        </w:rPr>
      </w:pPr>
    </w:p>
    <w:p>
      <w:pPr>
        <w:spacing w:before="0"/>
        <w:ind w:left="172" w:right="0" w:firstLine="0"/>
        <w:jc w:val="left"/>
        <w:rPr>
          <w:b/>
          <w:sz w:val="20"/>
        </w:rPr>
      </w:pPr>
      <w:r>
        <w:rPr>
          <w:b/>
          <w:sz w:val="20"/>
        </w:rPr>
        <w:t>Official sector attendees</w:t>
      </w:r>
    </w:p>
    <w:p>
      <w:pPr>
        <w:pStyle w:val="BodyText"/>
        <w:ind w:left="0" w:firstLine="0"/>
        <w:rPr>
          <w:b/>
          <w:sz w:val="23"/>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5"/>
      </w:tblGrid>
      <w:tr>
        <w:trPr>
          <w:trHeight w:val="255" w:hRule="atLeast"/>
        </w:trPr>
        <w:tc>
          <w:tcPr>
            <w:tcW w:w="2802" w:type="dxa"/>
          </w:tcPr>
          <w:p>
            <w:pPr>
              <w:pStyle w:val="TableParagraph"/>
              <w:spacing w:line="225" w:lineRule="exact" w:before="0"/>
              <w:rPr>
                <w:sz w:val="20"/>
              </w:rPr>
            </w:pPr>
            <w:r>
              <w:rPr>
                <w:sz w:val="20"/>
              </w:rPr>
              <w:t>Alastair Hughes</w:t>
            </w:r>
          </w:p>
        </w:tc>
        <w:tc>
          <w:tcPr>
            <w:tcW w:w="3435" w:type="dxa"/>
          </w:tcPr>
          <w:p>
            <w:pPr>
              <w:pStyle w:val="TableParagraph"/>
              <w:spacing w:line="223" w:lineRule="exact" w:before="0"/>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Wayne Leslie</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Norah Ali</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5"/>
              <w:rPr>
                <w:sz w:val="20"/>
              </w:rPr>
            </w:pPr>
            <w:r>
              <w:rPr>
                <w:sz w:val="20"/>
              </w:rPr>
              <w:t>Leman Menguturk</w:t>
            </w:r>
          </w:p>
        </w:tc>
        <w:tc>
          <w:tcPr>
            <w:tcW w:w="3435" w:type="dxa"/>
          </w:tcPr>
          <w:p>
            <w:pPr>
              <w:pStyle w:val="TableParagraph"/>
              <w:spacing w:before="23"/>
              <w:ind w:left="559"/>
              <w:rPr>
                <w:b/>
                <w:sz w:val="20"/>
              </w:rPr>
            </w:pPr>
            <w:r>
              <w:rPr>
                <w:b/>
                <w:sz w:val="20"/>
              </w:rPr>
              <w:t>Bank of England</w:t>
            </w:r>
          </w:p>
        </w:tc>
      </w:tr>
      <w:tr>
        <w:trPr>
          <w:trHeight w:val="287" w:hRule="atLeast"/>
        </w:trPr>
        <w:tc>
          <w:tcPr>
            <w:tcW w:w="2802" w:type="dxa"/>
          </w:tcPr>
          <w:p>
            <w:pPr>
              <w:pStyle w:val="TableParagraph"/>
              <w:spacing w:before="26"/>
              <w:rPr>
                <w:sz w:val="20"/>
              </w:rPr>
            </w:pPr>
            <w:r>
              <w:rPr>
                <w:sz w:val="20"/>
              </w:rPr>
              <w:t>Edwin Schooling Latter</w:t>
            </w:r>
          </w:p>
        </w:tc>
        <w:tc>
          <w:tcPr>
            <w:tcW w:w="3435" w:type="dxa"/>
          </w:tcPr>
          <w:p>
            <w:pPr>
              <w:pStyle w:val="TableParagraph"/>
              <w:spacing w:before="24"/>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Richard Fox</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Rachel Ward</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Toby Williams</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Heather Pilley</w:t>
            </w:r>
          </w:p>
        </w:tc>
        <w:tc>
          <w:tcPr>
            <w:tcW w:w="3435" w:type="dxa"/>
          </w:tcPr>
          <w:p>
            <w:pPr>
              <w:pStyle w:val="TableParagraph"/>
              <w:spacing w:before="23"/>
              <w:ind w:left="559"/>
              <w:rPr>
                <w:b/>
                <w:sz w:val="20"/>
              </w:rPr>
            </w:pPr>
            <w:r>
              <w:rPr>
                <w:b/>
                <w:sz w:val="20"/>
              </w:rPr>
              <w:t>Financial Conduct Authority</w:t>
            </w:r>
          </w:p>
        </w:tc>
      </w:tr>
      <w:tr>
        <w:trPr>
          <w:trHeight w:val="255" w:hRule="atLeast"/>
        </w:trPr>
        <w:tc>
          <w:tcPr>
            <w:tcW w:w="2802" w:type="dxa"/>
          </w:tcPr>
          <w:p>
            <w:pPr>
              <w:pStyle w:val="TableParagraph"/>
              <w:spacing w:line="210" w:lineRule="exact" w:before="25"/>
              <w:rPr>
                <w:sz w:val="20"/>
              </w:rPr>
            </w:pPr>
            <w:r>
              <w:rPr>
                <w:sz w:val="20"/>
              </w:rPr>
              <w:t>Will Davies</w:t>
            </w:r>
          </w:p>
        </w:tc>
        <w:tc>
          <w:tcPr>
            <w:tcW w:w="3435" w:type="dxa"/>
          </w:tcPr>
          <w:p>
            <w:pPr>
              <w:pStyle w:val="TableParagraph"/>
              <w:spacing w:line="212" w:lineRule="exact" w:before="23"/>
              <w:ind w:left="559"/>
              <w:rPr>
                <w:b/>
                <w:sz w:val="20"/>
              </w:rPr>
            </w:pPr>
            <w:r>
              <w:rPr>
                <w:b/>
                <w:sz w:val="20"/>
              </w:rPr>
              <w:t>Financial Conduct Authority</w:t>
            </w:r>
          </w:p>
        </w:tc>
      </w:tr>
    </w:tbl>
    <w:sectPr>
      <w:pgSz w:w="11910" w:h="16840"/>
      <w:pgMar w:header="0" w:footer="717" w:top="880" w:bottom="900" w:left="11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type id="_x0000_t202" o:spt="202" coordsize="21600,21600" path="m,l,21600r21600,l21600,xe">
          <v:stroke joinstyle="miter"/>
          <v:path gradientshapeok="t" o:connecttype="rect"/>
        </v:shapetype>
        <v:shape style="position:absolute;margin-left:530.280029pt;margin-top:795.055969pt;width:11.6pt;height:13.05pt;mso-position-horizontal-relative:page;mso-position-vertical-relative:page;z-index:-252083200"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4"/>
      <w:numFmt w:val="decimal"/>
      <w:lvlText w:val="%1."/>
      <w:lvlJc w:val="left"/>
      <w:pPr>
        <w:ind w:left="47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04" w:hanging="360"/>
      </w:pPr>
      <w:rPr>
        <w:rFonts w:hint="default"/>
        <w:lang w:val="en-gb" w:eastAsia="en-gb" w:bidi="en-gb"/>
      </w:rPr>
    </w:lvl>
    <w:lvl w:ilvl="2">
      <w:start w:val="0"/>
      <w:numFmt w:val="bullet"/>
      <w:lvlText w:val="•"/>
      <w:lvlJc w:val="left"/>
      <w:pPr>
        <w:ind w:left="2329" w:hanging="360"/>
      </w:pPr>
      <w:rPr>
        <w:rFonts w:hint="default"/>
        <w:lang w:val="en-gb" w:eastAsia="en-gb" w:bidi="en-gb"/>
      </w:rPr>
    </w:lvl>
    <w:lvl w:ilvl="3">
      <w:start w:val="0"/>
      <w:numFmt w:val="bullet"/>
      <w:lvlText w:val="•"/>
      <w:lvlJc w:val="left"/>
      <w:pPr>
        <w:ind w:left="3253" w:hanging="360"/>
      </w:pPr>
      <w:rPr>
        <w:rFonts w:hint="default"/>
        <w:lang w:val="en-gb" w:eastAsia="en-gb" w:bidi="en-gb"/>
      </w:rPr>
    </w:lvl>
    <w:lvl w:ilvl="4">
      <w:start w:val="0"/>
      <w:numFmt w:val="bullet"/>
      <w:lvlText w:val="•"/>
      <w:lvlJc w:val="left"/>
      <w:pPr>
        <w:ind w:left="4178" w:hanging="360"/>
      </w:pPr>
      <w:rPr>
        <w:rFonts w:hint="default"/>
        <w:lang w:val="en-gb" w:eastAsia="en-gb" w:bidi="en-gb"/>
      </w:rPr>
    </w:lvl>
    <w:lvl w:ilvl="5">
      <w:start w:val="0"/>
      <w:numFmt w:val="bullet"/>
      <w:lvlText w:val="•"/>
      <w:lvlJc w:val="left"/>
      <w:pPr>
        <w:ind w:left="5103" w:hanging="360"/>
      </w:pPr>
      <w:rPr>
        <w:rFonts w:hint="default"/>
        <w:lang w:val="en-gb" w:eastAsia="en-gb" w:bidi="en-gb"/>
      </w:rPr>
    </w:lvl>
    <w:lvl w:ilvl="6">
      <w:start w:val="0"/>
      <w:numFmt w:val="bullet"/>
      <w:lvlText w:val="•"/>
      <w:lvlJc w:val="left"/>
      <w:pPr>
        <w:ind w:left="6027" w:hanging="360"/>
      </w:pPr>
      <w:rPr>
        <w:rFonts w:hint="default"/>
        <w:lang w:val="en-gb" w:eastAsia="en-gb" w:bidi="en-gb"/>
      </w:rPr>
    </w:lvl>
    <w:lvl w:ilvl="7">
      <w:start w:val="0"/>
      <w:numFmt w:val="bullet"/>
      <w:lvlText w:val="•"/>
      <w:lvlJc w:val="left"/>
      <w:pPr>
        <w:ind w:left="6952" w:hanging="360"/>
      </w:pPr>
      <w:rPr>
        <w:rFonts w:hint="default"/>
        <w:lang w:val="en-gb" w:eastAsia="en-gb" w:bidi="en-gb"/>
      </w:rPr>
    </w:lvl>
    <w:lvl w:ilvl="8">
      <w:start w:val="0"/>
      <w:numFmt w:val="bullet"/>
      <w:lvlText w:val="•"/>
      <w:lvlJc w:val="left"/>
      <w:pPr>
        <w:ind w:left="7877" w:hanging="360"/>
      </w:pPr>
      <w:rPr>
        <w:rFonts w:hint="default"/>
        <w:lang w:val="en-gb" w:eastAsia="en-gb" w:bidi="en-gb"/>
      </w:rPr>
    </w:lvl>
  </w:abstractNum>
  <w:abstractNum w:abstractNumId="2">
    <w:multiLevelType w:val="hybridMultilevel"/>
    <w:lvl w:ilvl="0">
      <w:start w:val="11"/>
      <w:numFmt w:val="decimal"/>
      <w:lvlText w:val="%1."/>
      <w:lvlJc w:val="left"/>
      <w:pPr>
        <w:ind w:left="47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04" w:hanging="360"/>
      </w:pPr>
      <w:rPr>
        <w:rFonts w:hint="default"/>
        <w:lang w:val="en-gb" w:eastAsia="en-gb" w:bidi="en-gb"/>
      </w:rPr>
    </w:lvl>
    <w:lvl w:ilvl="2">
      <w:start w:val="0"/>
      <w:numFmt w:val="bullet"/>
      <w:lvlText w:val="•"/>
      <w:lvlJc w:val="left"/>
      <w:pPr>
        <w:ind w:left="2329" w:hanging="360"/>
      </w:pPr>
      <w:rPr>
        <w:rFonts w:hint="default"/>
        <w:lang w:val="en-gb" w:eastAsia="en-gb" w:bidi="en-gb"/>
      </w:rPr>
    </w:lvl>
    <w:lvl w:ilvl="3">
      <w:start w:val="0"/>
      <w:numFmt w:val="bullet"/>
      <w:lvlText w:val="•"/>
      <w:lvlJc w:val="left"/>
      <w:pPr>
        <w:ind w:left="3253" w:hanging="360"/>
      </w:pPr>
      <w:rPr>
        <w:rFonts w:hint="default"/>
        <w:lang w:val="en-gb" w:eastAsia="en-gb" w:bidi="en-gb"/>
      </w:rPr>
    </w:lvl>
    <w:lvl w:ilvl="4">
      <w:start w:val="0"/>
      <w:numFmt w:val="bullet"/>
      <w:lvlText w:val="•"/>
      <w:lvlJc w:val="left"/>
      <w:pPr>
        <w:ind w:left="4178" w:hanging="360"/>
      </w:pPr>
      <w:rPr>
        <w:rFonts w:hint="default"/>
        <w:lang w:val="en-gb" w:eastAsia="en-gb" w:bidi="en-gb"/>
      </w:rPr>
    </w:lvl>
    <w:lvl w:ilvl="5">
      <w:start w:val="0"/>
      <w:numFmt w:val="bullet"/>
      <w:lvlText w:val="•"/>
      <w:lvlJc w:val="left"/>
      <w:pPr>
        <w:ind w:left="5103" w:hanging="360"/>
      </w:pPr>
      <w:rPr>
        <w:rFonts w:hint="default"/>
        <w:lang w:val="en-gb" w:eastAsia="en-gb" w:bidi="en-gb"/>
      </w:rPr>
    </w:lvl>
    <w:lvl w:ilvl="6">
      <w:start w:val="0"/>
      <w:numFmt w:val="bullet"/>
      <w:lvlText w:val="•"/>
      <w:lvlJc w:val="left"/>
      <w:pPr>
        <w:ind w:left="6027" w:hanging="360"/>
      </w:pPr>
      <w:rPr>
        <w:rFonts w:hint="default"/>
        <w:lang w:val="en-gb" w:eastAsia="en-gb" w:bidi="en-gb"/>
      </w:rPr>
    </w:lvl>
    <w:lvl w:ilvl="7">
      <w:start w:val="0"/>
      <w:numFmt w:val="bullet"/>
      <w:lvlText w:val="•"/>
      <w:lvlJc w:val="left"/>
      <w:pPr>
        <w:ind w:left="6952" w:hanging="360"/>
      </w:pPr>
      <w:rPr>
        <w:rFonts w:hint="default"/>
        <w:lang w:val="en-gb" w:eastAsia="en-gb" w:bidi="en-gb"/>
      </w:rPr>
    </w:lvl>
    <w:lvl w:ilvl="8">
      <w:start w:val="0"/>
      <w:numFmt w:val="bullet"/>
      <w:lvlText w:val="•"/>
      <w:lvlJc w:val="left"/>
      <w:pPr>
        <w:ind w:left="7877" w:hanging="360"/>
      </w:pPr>
      <w:rPr>
        <w:rFonts w:hint="default"/>
        <w:lang w:val="en-gb" w:eastAsia="en-gb" w:bidi="en-gb"/>
      </w:rPr>
    </w:lvl>
  </w:abstractNum>
  <w:abstractNum w:abstractNumId="1">
    <w:multiLevelType w:val="hybridMultilevel"/>
    <w:lvl w:ilvl="0">
      <w:start w:val="1"/>
      <w:numFmt w:val="decimal"/>
      <w:lvlText w:val="%1."/>
      <w:lvlJc w:val="left"/>
      <w:pPr>
        <w:ind w:left="47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04" w:hanging="360"/>
      </w:pPr>
      <w:rPr>
        <w:rFonts w:hint="default"/>
        <w:lang w:val="en-gb" w:eastAsia="en-gb" w:bidi="en-gb"/>
      </w:rPr>
    </w:lvl>
    <w:lvl w:ilvl="2">
      <w:start w:val="0"/>
      <w:numFmt w:val="bullet"/>
      <w:lvlText w:val="•"/>
      <w:lvlJc w:val="left"/>
      <w:pPr>
        <w:ind w:left="2329" w:hanging="360"/>
      </w:pPr>
      <w:rPr>
        <w:rFonts w:hint="default"/>
        <w:lang w:val="en-gb" w:eastAsia="en-gb" w:bidi="en-gb"/>
      </w:rPr>
    </w:lvl>
    <w:lvl w:ilvl="3">
      <w:start w:val="0"/>
      <w:numFmt w:val="bullet"/>
      <w:lvlText w:val="•"/>
      <w:lvlJc w:val="left"/>
      <w:pPr>
        <w:ind w:left="3253" w:hanging="360"/>
      </w:pPr>
      <w:rPr>
        <w:rFonts w:hint="default"/>
        <w:lang w:val="en-gb" w:eastAsia="en-gb" w:bidi="en-gb"/>
      </w:rPr>
    </w:lvl>
    <w:lvl w:ilvl="4">
      <w:start w:val="0"/>
      <w:numFmt w:val="bullet"/>
      <w:lvlText w:val="•"/>
      <w:lvlJc w:val="left"/>
      <w:pPr>
        <w:ind w:left="4178" w:hanging="360"/>
      </w:pPr>
      <w:rPr>
        <w:rFonts w:hint="default"/>
        <w:lang w:val="en-gb" w:eastAsia="en-gb" w:bidi="en-gb"/>
      </w:rPr>
    </w:lvl>
    <w:lvl w:ilvl="5">
      <w:start w:val="0"/>
      <w:numFmt w:val="bullet"/>
      <w:lvlText w:val="•"/>
      <w:lvlJc w:val="left"/>
      <w:pPr>
        <w:ind w:left="5103" w:hanging="360"/>
      </w:pPr>
      <w:rPr>
        <w:rFonts w:hint="default"/>
        <w:lang w:val="en-gb" w:eastAsia="en-gb" w:bidi="en-gb"/>
      </w:rPr>
    </w:lvl>
    <w:lvl w:ilvl="6">
      <w:start w:val="0"/>
      <w:numFmt w:val="bullet"/>
      <w:lvlText w:val="•"/>
      <w:lvlJc w:val="left"/>
      <w:pPr>
        <w:ind w:left="6027" w:hanging="360"/>
      </w:pPr>
      <w:rPr>
        <w:rFonts w:hint="default"/>
        <w:lang w:val="en-gb" w:eastAsia="en-gb" w:bidi="en-gb"/>
      </w:rPr>
    </w:lvl>
    <w:lvl w:ilvl="7">
      <w:start w:val="0"/>
      <w:numFmt w:val="bullet"/>
      <w:lvlText w:val="•"/>
      <w:lvlJc w:val="left"/>
      <w:pPr>
        <w:ind w:left="6952" w:hanging="360"/>
      </w:pPr>
      <w:rPr>
        <w:rFonts w:hint="default"/>
        <w:lang w:val="en-gb" w:eastAsia="en-gb" w:bidi="en-gb"/>
      </w:rPr>
    </w:lvl>
    <w:lvl w:ilvl="8">
      <w:start w:val="0"/>
      <w:numFmt w:val="bullet"/>
      <w:lvlText w:val="•"/>
      <w:lvlJc w:val="left"/>
      <w:pPr>
        <w:ind w:left="7877" w:hanging="360"/>
      </w:pPr>
      <w:rPr>
        <w:rFonts w:hint="default"/>
        <w:lang w:val="en-gb" w:eastAsia="en-gb" w:bidi="en-gb"/>
      </w:rPr>
    </w:lvl>
  </w:abstractNum>
  <w:abstractNum w:abstractNumId="0">
    <w:multiLevelType w:val="hybridMultilevel"/>
    <w:lvl w:ilvl="0">
      <w:start w:val="1"/>
      <w:numFmt w:val="decimal"/>
      <w:lvlText w:val="%1."/>
      <w:lvlJc w:val="left"/>
      <w:pPr>
        <w:ind w:left="837" w:hanging="360"/>
        <w:jc w:val="left"/>
      </w:pPr>
      <w:rPr>
        <w:rFonts w:hint="default" w:ascii="Arial" w:hAnsi="Arial" w:eastAsia="Arial" w:cs="Arial"/>
        <w:spacing w:val="-1"/>
        <w:w w:val="99"/>
        <w:sz w:val="20"/>
        <w:szCs w:val="20"/>
        <w:lang w:val="en-gb" w:eastAsia="en-gb" w:bidi="en-gb"/>
      </w:rPr>
    </w:lvl>
    <w:lvl w:ilvl="1">
      <w:start w:val="1"/>
      <w:numFmt w:val="lowerLetter"/>
      <w:lvlText w:val="%2."/>
      <w:lvlJc w:val="left"/>
      <w:pPr>
        <w:ind w:left="1557"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467" w:hanging="360"/>
      </w:pPr>
      <w:rPr>
        <w:rFonts w:hint="default"/>
        <w:lang w:val="en-gb" w:eastAsia="en-gb" w:bidi="en-gb"/>
      </w:rPr>
    </w:lvl>
    <w:lvl w:ilvl="3">
      <w:start w:val="0"/>
      <w:numFmt w:val="bullet"/>
      <w:lvlText w:val="•"/>
      <w:lvlJc w:val="left"/>
      <w:pPr>
        <w:ind w:left="3374" w:hanging="360"/>
      </w:pPr>
      <w:rPr>
        <w:rFonts w:hint="default"/>
        <w:lang w:val="en-gb" w:eastAsia="en-gb" w:bidi="en-gb"/>
      </w:rPr>
    </w:lvl>
    <w:lvl w:ilvl="4">
      <w:start w:val="0"/>
      <w:numFmt w:val="bullet"/>
      <w:lvlText w:val="•"/>
      <w:lvlJc w:val="left"/>
      <w:pPr>
        <w:ind w:left="4282" w:hanging="360"/>
      </w:pPr>
      <w:rPr>
        <w:rFonts w:hint="default"/>
        <w:lang w:val="en-gb" w:eastAsia="en-gb" w:bidi="en-gb"/>
      </w:rPr>
    </w:lvl>
    <w:lvl w:ilvl="5">
      <w:start w:val="0"/>
      <w:numFmt w:val="bullet"/>
      <w:lvlText w:val="•"/>
      <w:lvlJc w:val="left"/>
      <w:pPr>
        <w:ind w:left="5189" w:hanging="360"/>
      </w:pPr>
      <w:rPr>
        <w:rFonts w:hint="default"/>
        <w:lang w:val="en-gb" w:eastAsia="en-gb" w:bidi="en-gb"/>
      </w:rPr>
    </w:lvl>
    <w:lvl w:ilvl="6">
      <w:start w:val="0"/>
      <w:numFmt w:val="bullet"/>
      <w:lvlText w:val="•"/>
      <w:lvlJc w:val="left"/>
      <w:pPr>
        <w:ind w:left="6096" w:hanging="360"/>
      </w:pPr>
      <w:rPr>
        <w:rFonts w:hint="default"/>
        <w:lang w:val="en-gb" w:eastAsia="en-gb" w:bidi="en-gb"/>
      </w:rPr>
    </w:lvl>
    <w:lvl w:ilvl="7">
      <w:start w:val="0"/>
      <w:numFmt w:val="bullet"/>
      <w:lvlText w:val="•"/>
      <w:lvlJc w:val="left"/>
      <w:pPr>
        <w:ind w:left="7004" w:hanging="360"/>
      </w:pPr>
      <w:rPr>
        <w:rFonts w:hint="default"/>
        <w:lang w:val="en-gb" w:eastAsia="en-gb" w:bidi="en-gb"/>
      </w:rPr>
    </w:lvl>
    <w:lvl w:ilvl="8">
      <w:start w:val="0"/>
      <w:numFmt w:val="bullet"/>
      <w:lvlText w:val="•"/>
      <w:lvlJc w:val="left"/>
      <w:pPr>
        <w:ind w:left="7911"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477" w:hanging="361"/>
    </w:pPr>
    <w:rPr>
      <w:rFonts w:ascii="Arial" w:hAnsi="Arial" w:eastAsia="Arial" w:cs="Arial"/>
      <w:sz w:val="20"/>
      <w:szCs w:val="20"/>
      <w:lang w:val="en-gb" w:eastAsia="en-gb" w:bidi="en-gb"/>
    </w:rPr>
  </w:style>
  <w:style w:styleId="Heading1" w:type="paragraph">
    <w:name w:val="Heading 1"/>
    <w:basedOn w:val="Normal"/>
    <w:uiPriority w:val="1"/>
    <w:qFormat/>
    <w:pPr>
      <w:spacing w:before="9"/>
      <w:ind w:left="203"/>
      <w:outlineLvl w:val="1"/>
    </w:pPr>
    <w:rPr>
      <w:rFonts w:ascii="Arial" w:hAnsi="Arial" w:eastAsia="Arial" w:cs="Arial"/>
      <w:b/>
      <w:bCs/>
      <w:sz w:val="32"/>
      <w:szCs w:val="32"/>
      <w:lang w:val="en-gb" w:eastAsia="en-gb" w:bidi="en-gb"/>
    </w:rPr>
  </w:style>
  <w:style w:styleId="Heading2" w:type="paragraph">
    <w:name w:val="Heading 2"/>
    <w:basedOn w:val="Normal"/>
    <w:uiPriority w:val="1"/>
    <w:qFormat/>
    <w:pPr>
      <w:ind w:left="117"/>
      <w:jc w:val="both"/>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477" w:hanging="361"/>
      <w:jc w:val="both"/>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Working Group on Sterling Risk-Free Reference Rates</dc:creator>
  <dc:title>Minutes of the Working Group on Sterling Risk-Free Reference Rates - January 2020</dc:title>
  <dcterms:created xsi:type="dcterms:W3CDTF">2020-06-01T02:23:46Z</dcterms:created>
  <dcterms:modified xsi:type="dcterms:W3CDTF">2020-06-01T02:23:46Z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LastSaved">
    <vt:filetime>2020-06-01T00:00:00Z</vt:filetime>
  </property>
</Properties>
</file>