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line="362" w:lineRule="auto"/>
        <w:ind w:left="1665" w:right="1565"/>
        <w:jc w:val="center"/>
      </w:pPr>
      <w:r>
        <w:rPr/>
        <w:t>Minutes of the Working Group on Sterling Risk-Free Reference Rates Wednesday 2 July 2018</w:t>
      </w:r>
    </w:p>
    <w:p>
      <w:pPr>
        <w:spacing w:before="4"/>
        <w:ind w:left="1665" w:right="1560" w:firstLine="0"/>
        <w:jc w:val="center"/>
        <w:rPr>
          <w:b/>
          <w:sz w:val="20"/>
        </w:rPr>
      </w:pPr>
      <w:r>
        <w:rPr>
          <w:b/>
          <w:sz w:val="20"/>
        </w:rPr>
        <w:t>Shell Centre, London, SE1 7NA</w:t>
      </w:r>
    </w:p>
    <w:p>
      <w:pPr>
        <w:pStyle w:val="BodyText"/>
        <w:spacing w:before="10"/>
        <w:rPr>
          <w:b/>
          <w:sz w:val="22"/>
        </w:rPr>
      </w:pPr>
    </w:p>
    <w:p>
      <w:pPr>
        <w:spacing w:before="92"/>
        <w:ind w:left="196" w:right="0" w:firstLine="0"/>
        <w:jc w:val="left"/>
        <w:rPr>
          <w:b/>
          <w:sz w:val="20"/>
        </w:rPr>
      </w:pPr>
      <w:r>
        <w:rPr>
          <w:b/>
          <w:sz w:val="20"/>
        </w:rPr>
        <w:t>Introduction</w:t>
      </w:r>
    </w:p>
    <w:p>
      <w:pPr>
        <w:pStyle w:val="BodyText"/>
        <w:spacing w:before="8"/>
        <w:rPr>
          <w:b/>
        </w:rPr>
      </w:pPr>
    </w:p>
    <w:p>
      <w:pPr>
        <w:pStyle w:val="ListParagraph"/>
        <w:numPr>
          <w:ilvl w:val="0"/>
          <w:numId w:val="1"/>
        </w:numPr>
        <w:tabs>
          <w:tab w:pos="557" w:val="left" w:leader="none"/>
        </w:tabs>
        <w:spacing w:line="360" w:lineRule="auto" w:before="0" w:after="0"/>
        <w:ind w:left="556" w:right="103" w:hanging="360"/>
        <w:jc w:val="left"/>
        <w:rPr>
          <w:sz w:val="20"/>
        </w:rPr>
      </w:pPr>
      <w:r>
        <w:rPr>
          <w:sz w:val="20"/>
        </w:rPr>
        <w:t>Andrew Hauser introduced himself as the Bank of England’s new Executive Director for Markets and thanked the Working Group for the work done so far to promote the development of RFRs, the selection of SONIA as its preferred alternative RFR, and the initiation of the transition from sterling LIBOR. He noted that LIBOR transition was likely to be a significant challenge and was accordingly one of the highest priorities both for himself and for the Bank as a</w:t>
      </w:r>
      <w:r>
        <w:rPr>
          <w:spacing w:val="-6"/>
          <w:sz w:val="20"/>
        </w:rPr>
        <w:t> </w:t>
      </w:r>
      <w:r>
        <w:rPr>
          <w:sz w:val="20"/>
        </w:rPr>
        <w:t>whole.</w:t>
      </w:r>
    </w:p>
    <w:p>
      <w:pPr>
        <w:pStyle w:val="Heading2"/>
        <w:spacing w:before="116"/>
      </w:pPr>
      <w:r>
        <w:rPr/>
        <w:t>Competition law and conflicts of interest</w:t>
      </w:r>
    </w:p>
    <w:p>
      <w:pPr>
        <w:pStyle w:val="BodyText"/>
        <w:spacing w:before="8"/>
        <w:rPr>
          <w:b/>
        </w:rPr>
      </w:pPr>
    </w:p>
    <w:p>
      <w:pPr>
        <w:pStyle w:val="ListParagraph"/>
        <w:numPr>
          <w:ilvl w:val="0"/>
          <w:numId w:val="1"/>
        </w:numPr>
        <w:tabs>
          <w:tab w:pos="557" w:val="left" w:leader="none"/>
        </w:tabs>
        <w:spacing w:line="360" w:lineRule="auto" w:before="0" w:after="0"/>
        <w:ind w:left="556" w:right="132" w:hanging="360"/>
        <w:jc w:val="left"/>
        <w:rPr>
          <w:sz w:val="20"/>
        </w:rPr>
      </w:pPr>
      <w:r>
        <w:rPr>
          <w:sz w:val="20"/>
        </w:rPr>
        <w:t>The Chair welcomed attendees and reminded them of their responsibilities in relation to competition law and the importance of taking their own independent advice from the legal and/or compliance teams at their respective institution for further</w:t>
      </w:r>
      <w:r>
        <w:rPr>
          <w:spacing w:val="-5"/>
          <w:sz w:val="20"/>
        </w:rPr>
        <w:t> </w:t>
      </w:r>
      <w:r>
        <w:rPr>
          <w:sz w:val="20"/>
        </w:rPr>
        <w:t>guidance.</w:t>
      </w:r>
    </w:p>
    <w:p>
      <w:pPr>
        <w:pStyle w:val="ListParagraph"/>
        <w:numPr>
          <w:ilvl w:val="0"/>
          <w:numId w:val="1"/>
        </w:numPr>
        <w:tabs>
          <w:tab w:pos="557" w:val="left" w:leader="none"/>
        </w:tabs>
        <w:spacing w:line="360" w:lineRule="auto" w:before="120" w:after="0"/>
        <w:ind w:left="556" w:right="217" w:hanging="360"/>
        <w:jc w:val="left"/>
        <w:rPr>
          <w:sz w:val="20"/>
        </w:rPr>
      </w:pPr>
      <w:r>
        <w:rPr>
          <w:sz w:val="20"/>
        </w:rPr>
        <w:t>ICE Group and London Stock Exchange Group had noted at the previous meeting that they had conflicts of interest with regard to the Term SONIA Reference Rate Consultation item as both organisations owned benchmark administrators which could potentially administer a Term SONIA Reference Rate in future. The Chair advised that they should recuse themselves from any vote on</w:t>
      </w:r>
      <w:r>
        <w:rPr>
          <w:spacing w:val="-39"/>
          <w:sz w:val="20"/>
        </w:rPr>
        <w:t> </w:t>
      </w:r>
      <w:r>
        <w:rPr>
          <w:sz w:val="20"/>
        </w:rPr>
        <w:t>this topic.</w:t>
      </w:r>
    </w:p>
    <w:p>
      <w:pPr>
        <w:pStyle w:val="Heading2"/>
        <w:spacing w:before="118"/>
      </w:pPr>
      <w:r>
        <w:rPr/>
        <w:t>Minutes of the previous meeting</w:t>
      </w:r>
    </w:p>
    <w:p>
      <w:pPr>
        <w:pStyle w:val="BodyText"/>
        <w:spacing w:before="8"/>
        <w:rPr>
          <w:b/>
        </w:rPr>
      </w:pPr>
    </w:p>
    <w:p>
      <w:pPr>
        <w:pStyle w:val="ListParagraph"/>
        <w:numPr>
          <w:ilvl w:val="0"/>
          <w:numId w:val="1"/>
        </w:numPr>
        <w:tabs>
          <w:tab w:pos="557" w:val="left" w:leader="none"/>
        </w:tabs>
        <w:spacing w:line="240" w:lineRule="auto" w:before="0" w:after="0"/>
        <w:ind w:left="556" w:right="0" w:hanging="361"/>
        <w:jc w:val="left"/>
        <w:rPr>
          <w:sz w:val="20"/>
        </w:rPr>
      </w:pPr>
      <w:r>
        <w:rPr>
          <w:sz w:val="20"/>
        </w:rPr>
        <w:t>The minutes of the previous meeting were</w:t>
      </w:r>
      <w:r>
        <w:rPr>
          <w:spacing w:val="-4"/>
          <w:sz w:val="20"/>
        </w:rPr>
        <w:t> </w:t>
      </w:r>
      <w:r>
        <w:rPr>
          <w:sz w:val="20"/>
        </w:rPr>
        <w:t>approved.</w:t>
      </w:r>
    </w:p>
    <w:p>
      <w:pPr>
        <w:pStyle w:val="BodyText"/>
        <w:spacing w:before="3"/>
      </w:pPr>
    </w:p>
    <w:p>
      <w:pPr>
        <w:pStyle w:val="Heading2"/>
        <w:spacing w:before="0"/>
      </w:pPr>
      <w:r>
        <w:rPr/>
        <w:t>Items for potential Working Group communication/publication</w:t>
      </w:r>
    </w:p>
    <w:p>
      <w:pPr>
        <w:pStyle w:val="BodyText"/>
        <w:spacing w:before="3"/>
        <w:rPr>
          <w:b/>
        </w:rPr>
      </w:pPr>
    </w:p>
    <w:p>
      <w:pPr>
        <w:spacing w:before="0"/>
        <w:ind w:left="196" w:right="0" w:firstLine="0"/>
        <w:jc w:val="left"/>
        <w:rPr>
          <w:i/>
          <w:sz w:val="20"/>
        </w:rPr>
      </w:pPr>
      <w:r>
        <w:rPr>
          <w:i/>
          <w:sz w:val="20"/>
        </w:rPr>
        <w:t>Term SONIA reference rates (TSRR) consultation</w:t>
      </w:r>
      <w:hyperlink w:history="true" w:anchor="_bookmark0">
        <w:r>
          <w:rPr>
            <w:i/>
            <w:sz w:val="20"/>
            <w:vertAlign w:val="superscript"/>
          </w:rPr>
          <w:t>1</w:t>
        </w:r>
      </w:hyperlink>
    </w:p>
    <w:p>
      <w:pPr>
        <w:pStyle w:val="BodyText"/>
        <w:spacing w:before="9"/>
        <w:rPr>
          <w:i/>
        </w:rPr>
      </w:pPr>
    </w:p>
    <w:p>
      <w:pPr>
        <w:pStyle w:val="ListParagraph"/>
        <w:numPr>
          <w:ilvl w:val="0"/>
          <w:numId w:val="1"/>
        </w:numPr>
        <w:tabs>
          <w:tab w:pos="557" w:val="left" w:leader="none"/>
        </w:tabs>
        <w:spacing w:line="360" w:lineRule="auto" w:before="0" w:after="0"/>
        <w:ind w:left="556" w:right="145" w:hanging="360"/>
        <w:jc w:val="left"/>
        <w:rPr>
          <w:sz w:val="20"/>
        </w:rPr>
      </w:pPr>
      <w:r>
        <w:rPr>
          <w:sz w:val="20"/>
        </w:rPr>
        <w:t>The TSRR Sub-Group chair introduced a revised draft of the consultation. The consultation identified relevant use cases for TSRRs, assessed the feasibility of constructing robust TSRRs, and outlined and recommended a potential methodology for their</w:t>
      </w:r>
      <w:r>
        <w:rPr>
          <w:spacing w:val="-3"/>
          <w:sz w:val="20"/>
        </w:rPr>
        <w:t> </w:t>
      </w:r>
      <w:r>
        <w:rPr>
          <w:sz w:val="20"/>
        </w:rPr>
        <w:t>construction.</w:t>
      </w:r>
    </w:p>
    <w:p>
      <w:pPr>
        <w:pStyle w:val="ListParagraph"/>
        <w:numPr>
          <w:ilvl w:val="0"/>
          <w:numId w:val="1"/>
        </w:numPr>
        <w:tabs>
          <w:tab w:pos="557" w:val="left" w:leader="none"/>
        </w:tabs>
        <w:spacing w:line="360" w:lineRule="auto" w:before="119" w:after="0"/>
        <w:ind w:left="556" w:right="153" w:hanging="360"/>
        <w:jc w:val="left"/>
        <w:rPr>
          <w:sz w:val="20"/>
        </w:rPr>
      </w:pPr>
      <w:r>
        <w:rPr>
          <w:sz w:val="20"/>
        </w:rPr>
        <w:t>The consultation sought feedback on its recommendations and encouraged market participants to take forward work on the development of robust TSRRs, which the Working Group anticipates could be available in the second half of</w:t>
      </w:r>
      <w:r>
        <w:rPr>
          <w:spacing w:val="-1"/>
          <w:sz w:val="20"/>
        </w:rPr>
        <w:t> </w:t>
      </w:r>
      <w:r>
        <w:rPr>
          <w:sz w:val="20"/>
        </w:rPr>
        <w:t>2019.</w:t>
      </w:r>
    </w:p>
    <w:p>
      <w:pPr>
        <w:pStyle w:val="ListParagraph"/>
        <w:numPr>
          <w:ilvl w:val="0"/>
          <w:numId w:val="1"/>
        </w:numPr>
        <w:tabs>
          <w:tab w:pos="557" w:val="left" w:leader="none"/>
        </w:tabs>
        <w:spacing w:line="360" w:lineRule="auto" w:before="122" w:after="0"/>
        <w:ind w:left="556" w:right="347" w:hanging="360"/>
        <w:jc w:val="left"/>
        <w:rPr>
          <w:sz w:val="20"/>
        </w:rPr>
      </w:pPr>
      <w:r>
        <w:rPr>
          <w:sz w:val="20"/>
        </w:rPr>
        <w:t>Under its original terms of reference the Sub-Group was to recommend the use cases for which TSRRs </w:t>
      </w:r>
      <w:r>
        <w:rPr>
          <w:spacing w:val="2"/>
          <w:sz w:val="20"/>
        </w:rPr>
        <w:t>may </w:t>
      </w:r>
      <w:r>
        <w:rPr>
          <w:sz w:val="20"/>
        </w:rPr>
        <w:t>be appropriate and propose measures with the aim of avoiding systemic reliance on TSRRs. After extensive deliberations, members concluded that it would instead be advisable to seek guidance from supervisory authorities on these</w:t>
      </w:r>
      <w:r>
        <w:rPr>
          <w:spacing w:val="3"/>
          <w:sz w:val="20"/>
        </w:rPr>
        <w:t> </w:t>
      </w:r>
      <w:r>
        <w:rPr>
          <w:sz w:val="20"/>
        </w:rPr>
        <w:t>issues.</w:t>
      </w:r>
      <w:hyperlink w:history="true" w:anchor="_bookmark1">
        <w:r>
          <w:rPr>
            <w:sz w:val="20"/>
            <w:vertAlign w:val="superscript"/>
          </w:rPr>
          <w:t>2</w:t>
        </w:r>
      </w:hyperlink>
    </w:p>
    <w:p>
      <w:pPr>
        <w:pStyle w:val="BodyText"/>
        <w:spacing w:before="6"/>
        <w:rPr>
          <w:sz w:val="29"/>
        </w:rPr>
      </w:pPr>
      <w:r>
        <w:rPr/>
        <w:pict>
          <v:shape style="position:absolute;margin-left:63.84pt;margin-top:19.370411pt;width:144pt;height:.1pt;mso-position-horizontal-relative:page;mso-position-vertical-relative:paragraph;z-index:-251658240;mso-wrap-distance-left:0;mso-wrap-distance-right:0" coordorigin="1277,387" coordsize="2880,0" path="m1277,387l4157,387e" filled="false" stroked="true" strokeweight=".72pt" strokecolor="#000000">
            <v:path arrowok="t"/>
            <v:stroke dashstyle="solid"/>
            <w10:wrap type="topAndBottom"/>
          </v:shape>
        </w:pict>
      </w:r>
    </w:p>
    <w:p>
      <w:pPr>
        <w:pStyle w:val="BodyText"/>
        <w:spacing w:before="39"/>
        <w:ind w:left="196" w:right="152"/>
        <w:rPr>
          <w:rFonts w:ascii="Calibri"/>
        </w:rPr>
      </w:pPr>
      <w:bookmarkStart w:name="_bookmark0" w:id="1"/>
      <w:bookmarkEnd w:id="1"/>
      <w:r>
        <w:rPr/>
      </w:r>
      <w:r>
        <w:rPr>
          <w:rFonts w:ascii="Calibri"/>
          <w:position w:val="10"/>
          <w:sz w:val="13"/>
        </w:rPr>
        <w:t>1 </w:t>
      </w:r>
      <w:r>
        <w:rPr>
          <w:rFonts w:ascii="Calibri"/>
        </w:rPr>
        <w:t>Subsequent to the discussion at the meeting, the Working Group published the consultation on Term SONIA Reference Rates: </w:t>
      </w:r>
      <w:hyperlink r:id="rId5">
        <w:r>
          <w:rPr>
            <w:rFonts w:ascii="Calibri"/>
            <w:color w:val="0000FF"/>
            <w:u w:val="single" w:color="0000FF"/>
          </w:rPr>
          <w:t>https://www.bankofengland.co.uk/-/media/boe/files/markets/benchmarks/consultation-on-term-</w:t>
        </w:r>
      </w:hyperlink>
      <w:r>
        <w:rPr>
          <w:rFonts w:ascii="Calibri"/>
          <w:color w:val="0000FF"/>
        </w:rPr>
        <w:t> </w:t>
      </w:r>
      <w:hyperlink r:id="rId5">
        <w:r>
          <w:rPr>
            <w:rFonts w:ascii="Calibri"/>
            <w:color w:val="0000FF"/>
            <w:u w:val="single" w:color="0000FF"/>
          </w:rPr>
          <w:t>sonia-reference-rates.pdf</w:t>
        </w:r>
      </w:hyperlink>
    </w:p>
    <w:p>
      <w:pPr>
        <w:pStyle w:val="BodyText"/>
        <w:spacing w:line="244" w:lineRule="exact"/>
        <w:ind w:left="196"/>
        <w:rPr>
          <w:rFonts w:ascii="Calibri" w:hAnsi="Calibri"/>
        </w:rPr>
      </w:pPr>
      <w:bookmarkStart w:name="_bookmark1" w:id="2"/>
      <w:bookmarkEnd w:id="2"/>
      <w:r>
        <w:rPr/>
      </w:r>
      <w:r>
        <w:rPr>
          <w:rFonts w:ascii="Calibri" w:hAnsi="Calibri"/>
          <w:position w:val="10"/>
          <w:sz w:val="13"/>
        </w:rPr>
        <w:t>2 </w:t>
      </w:r>
      <w:r>
        <w:rPr>
          <w:rFonts w:ascii="Calibri" w:hAnsi="Calibri"/>
        </w:rPr>
        <w:t>Subsequent to the meeting, the Official Sector Steering Group (OSSG) published a paper setting out the authorities’</w:t>
      </w:r>
    </w:p>
    <w:p>
      <w:pPr>
        <w:pStyle w:val="BodyText"/>
        <w:spacing w:before="1"/>
        <w:ind w:left="196" w:right="667"/>
        <w:rPr>
          <w:rFonts w:ascii="Calibri"/>
        </w:rPr>
      </w:pPr>
      <w:r>
        <w:rPr>
          <w:rFonts w:ascii="Calibri"/>
        </w:rPr>
        <w:t>agreed upon views regarding the role of overnight and term risk-free rates in interest rate benchmark reform: </w:t>
      </w:r>
      <w:hyperlink r:id="rId6">
        <w:r>
          <w:rPr>
            <w:rFonts w:ascii="Calibri"/>
            <w:color w:val="0000FF"/>
            <w:u w:val="single" w:color="0000FF"/>
          </w:rPr>
          <w:t>http://www.fsb.org/wp-content/uploads/P120718.pdf</w:t>
        </w:r>
      </w:hyperlink>
    </w:p>
    <w:p>
      <w:pPr>
        <w:spacing w:after="0"/>
        <w:rPr>
          <w:rFonts w:ascii="Calibri"/>
        </w:rPr>
        <w:sectPr>
          <w:type w:val="continuous"/>
          <w:pgSz w:w="11910" w:h="16840"/>
          <w:pgMar w:top="1180" w:bottom="280" w:left="1080" w:right="1040"/>
        </w:sectPr>
      </w:pPr>
    </w:p>
    <w:p>
      <w:pPr>
        <w:pStyle w:val="ListParagraph"/>
        <w:numPr>
          <w:ilvl w:val="0"/>
          <w:numId w:val="1"/>
        </w:numPr>
        <w:tabs>
          <w:tab w:pos="557" w:val="left" w:leader="none"/>
        </w:tabs>
        <w:spacing w:line="360" w:lineRule="auto" w:before="115" w:after="0"/>
        <w:ind w:left="556" w:right="111" w:hanging="360"/>
        <w:jc w:val="left"/>
        <w:rPr>
          <w:sz w:val="20"/>
        </w:rPr>
      </w:pPr>
      <w:r>
        <w:rPr>
          <w:sz w:val="20"/>
        </w:rPr>
        <w:t>In view of the imminent ISDA consultation on new IBOR fallbacks for OTC derivatives contracts,</w:t>
      </w:r>
      <w:hyperlink w:history="true" w:anchor="_bookmark2">
        <w:r>
          <w:rPr>
            <w:sz w:val="20"/>
            <w:vertAlign w:val="superscript"/>
          </w:rPr>
          <w:t>3</w:t>
        </w:r>
        <w:r>
          <w:rPr>
            <w:sz w:val="20"/>
            <w:vertAlign w:val="baseline"/>
          </w:rPr>
          <w:t> </w:t>
        </w:r>
      </w:hyperlink>
      <w:r>
        <w:rPr>
          <w:sz w:val="20"/>
          <w:vertAlign w:val="baseline"/>
        </w:rPr>
        <w:t>it was agreed to add a foreword to the TSRR consultation to provide context and clarity on the different aims of the two consultations. The ISDA consultation was focused on preventing derivatives market disruption in the event a key IBOR was discontinued, while the Working Group’s consultation focussed on how a TSRR could be constructed in order to facilitate sterling LIBOR transition in markets where a term reference might better suit users’ needs.</w:t>
      </w:r>
    </w:p>
    <w:p>
      <w:pPr>
        <w:pStyle w:val="ListParagraph"/>
        <w:numPr>
          <w:ilvl w:val="0"/>
          <w:numId w:val="1"/>
        </w:numPr>
        <w:tabs>
          <w:tab w:pos="557" w:val="left" w:leader="none"/>
        </w:tabs>
        <w:spacing w:line="360" w:lineRule="auto" w:before="119" w:after="0"/>
        <w:ind w:left="556" w:right="1003" w:hanging="360"/>
        <w:jc w:val="left"/>
        <w:rPr>
          <w:sz w:val="20"/>
        </w:rPr>
      </w:pPr>
      <w:r>
        <w:rPr>
          <w:sz w:val="20"/>
        </w:rPr>
        <w:t>The FCA noted that the TSRR consultation did not preclude benchmark administrators taking alternative proposals forward for the construction of a</w:t>
      </w:r>
      <w:r>
        <w:rPr>
          <w:spacing w:val="-5"/>
          <w:sz w:val="20"/>
        </w:rPr>
        <w:t> </w:t>
      </w:r>
      <w:r>
        <w:rPr>
          <w:sz w:val="20"/>
        </w:rPr>
        <w:t>TSRR.</w:t>
      </w:r>
    </w:p>
    <w:p>
      <w:pPr>
        <w:pStyle w:val="ListParagraph"/>
        <w:numPr>
          <w:ilvl w:val="0"/>
          <w:numId w:val="1"/>
        </w:numPr>
        <w:tabs>
          <w:tab w:pos="557" w:val="left" w:leader="none"/>
        </w:tabs>
        <w:spacing w:line="360" w:lineRule="auto" w:before="121" w:after="0"/>
        <w:ind w:left="556" w:right="163" w:hanging="361"/>
        <w:jc w:val="both"/>
        <w:rPr>
          <w:sz w:val="20"/>
        </w:rPr>
      </w:pPr>
      <w:r>
        <w:rPr>
          <w:sz w:val="20"/>
        </w:rPr>
        <w:t>Members noted potential risks, including conflicts of interest related risks, associated with the adoption of TSRRs, particularly in OTC derivative markets. It was agreed that the consultation would seek input on risks, including conflicts of interest, and potential mitigants.</w:t>
      </w:r>
    </w:p>
    <w:p>
      <w:pPr>
        <w:pStyle w:val="ListParagraph"/>
        <w:numPr>
          <w:ilvl w:val="0"/>
          <w:numId w:val="1"/>
        </w:numPr>
        <w:tabs>
          <w:tab w:pos="557" w:val="left" w:leader="none"/>
        </w:tabs>
        <w:spacing w:line="360" w:lineRule="auto" w:before="120" w:after="0"/>
        <w:ind w:left="556" w:right="100" w:hanging="361"/>
        <w:jc w:val="both"/>
        <w:rPr>
          <w:sz w:val="20"/>
        </w:rPr>
      </w:pPr>
      <w:r>
        <w:rPr>
          <w:sz w:val="20"/>
        </w:rPr>
        <w:t>The Working Group agreed by consensus to delegate final drafting of the consultation and the foreword to the Chair, Vice Chair, Sub-Group Chair and RFR Secretariat. Members would be invited to comment via email on a final version ahead of its</w:t>
      </w:r>
      <w:r>
        <w:rPr>
          <w:spacing w:val="-5"/>
          <w:sz w:val="20"/>
        </w:rPr>
        <w:t> </w:t>
      </w:r>
      <w:r>
        <w:rPr>
          <w:sz w:val="20"/>
        </w:rPr>
        <w:t>publication.</w:t>
      </w:r>
    </w:p>
    <w:p>
      <w:pPr>
        <w:spacing w:before="117"/>
        <w:ind w:left="196" w:right="0" w:firstLine="0"/>
        <w:jc w:val="both"/>
        <w:rPr>
          <w:i/>
          <w:sz w:val="20"/>
        </w:rPr>
      </w:pPr>
      <w:r>
        <w:rPr>
          <w:i/>
          <w:sz w:val="20"/>
        </w:rPr>
        <w:t>Bond Sub-Group legal discussion paper on LIBOR-linked</w:t>
      </w:r>
      <w:r>
        <w:rPr>
          <w:i/>
          <w:spacing w:val="-5"/>
          <w:sz w:val="20"/>
        </w:rPr>
        <w:t> </w:t>
      </w:r>
      <w:r>
        <w:rPr>
          <w:i/>
          <w:sz w:val="20"/>
        </w:rPr>
        <w:t>bonds</w:t>
      </w:r>
      <w:hyperlink w:history="true" w:anchor="_bookmark3">
        <w:r>
          <w:rPr>
            <w:i/>
            <w:sz w:val="20"/>
            <w:vertAlign w:val="superscript"/>
          </w:rPr>
          <w:t>4</w:t>
        </w:r>
      </w:hyperlink>
    </w:p>
    <w:p>
      <w:pPr>
        <w:pStyle w:val="BodyText"/>
        <w:spacing w:before="8"/>
        <w:rPr>
          <w:i/>
        </w:rPr>
      </w:pPr>
    </w:p>
    <w:p>
      <w:pPr>
        <w:pStyle w:val="ListParagraph"/>
        <w:numPr>
          <w:ilvl w:val="0"/>
          <w:numId w:val="1"/>
        </w:numPr>
        <w:tabs>
          <w:tab w:pos="557" w:val="left" w:leader="none"/>
        </w:tabs>
        <w:spacing w:line="240" w:lineRule="auto" w:before="0" w:after="0"/>
        <w:ind w:left="557" w:right="0" w:hanging="361"/>
        <w:jc w:val="left"/>
        <w:rPr>
          <w:sz w:val="20"/>
        </w:rPr>
      </w:pPr>
      <w:r>
        <w:rPr>
          <w:sz w:val="20"/>
        </w:rPr>
        <w:t>The Bond Sub-Group Chair introduced the</w:t>
      </w:r>
      <w:r>
        <w:rPr>
          <w:spacing w:val="3"/>
          <w:sz w:val="20"/>
        </w:rPr>
        <w:t> </w:t>
      </w:r>
      <w:r>
        <w:rPr>
          <w:sz w:val="20"/>
        </w:rPr>
        <w:t>paper.</w:t>
      </w:r>
    </w:p>
    <w:p>
      <w:pPr>
        <w:pStyle w:val="BodyText"/>
        <w:spacing w:before="3"/>
      </w:pPr>
    </w:p>
    <w:p>
      <w:pPr>
        <w:pStyle w:val="ListParagraph"/>
        <w:numPr>
          <w:ilvl w:val="0"/>
          <w:numId w:val="1"/>
        </w:numPr>
        <w:tabs>
          <w:tab w:pos="558" w:val="left" w:leader="none"/>
        </w:tabs>
        <w:spacing w:line="360" w:lineRule="auto" w:before="0" w:after="0"/>
        <w:ind w:left="556" w:right="147" w:hanging="360"/>
        <w:jc w:val="left"/>
        <w:rPr>
          <w:sz w:val="20"/>
        </w:rPr>
      </w:pPr>
      <w:r>
        <w:rPr>
          <w:sz w:val="20"/>
        </w:rPr>
        <w:t>The paper had been drafted in recognition that many market participants continued to issue bonds maturing beyond 2021 which referenced LIBOR. The purpose of the paper was to draw attention to the risks of this activity and identify potential mitigants to those risks. The bond Sub-Group supported publishing this paper so that more market participants could be made aware of these risks. Working Group members noted that issuance of SONIA-linked bonds would avoid these</w:t>
      </w:r>
      <w:r>
        <w:rPr>
          <w:spacing w:val="-9"/>
          <w:sz w:val="20"/>
        </w:rPr>
        <w:t> </w:t>
      </w:r>
      <w:r>
        <w:rPr>
          <w:sz w:val="20"/>
        </w:rPr>
        <w:t>risks.</w:t>
      </w:r>
    </w:p>
    <w:p>
      <w:pPr>
        <w:pStyle w:val="ListParagraph"/>
        <w:numPr>
          <w:ilvl w:val="0"/>
          <w:numId w:val="1"/>
        </w:numPr>
        <w:tabs>
          <w:tab w:pos="557" w:val="left" w:leader="none"/>
        </w:tabs>
        <w:spacing w:line="360" w:lineRule="auto" w:before="121" w:after="0"/>
        <w:ind w:left="556" w:right="101" w:hanging="360"/>
        <w:jc w:val="left"/>
        <w:rPr>
          <w:sz w:val="20"/>
        </w:rPr>
      </w:pPr>
      <w:r>
        <w:rPr>
          <w:sz w:val="20"/>
        </w:rPr>
        <w:t>The Working Group agreed to publish the document noting that it would be useful for market participants. It was proposed that the document should include a foreword with some additional context. The Working Group agreed to delegate drafting of this foreword to the Chair, Vice Chairs, Sub- Group Chair and RFR</w:t>
      </w:r>
      <w:r>
        <w:rPr>
          <w:spacing w:val="-4"/>
          <w:sz w:val="20"/>
        </w:rPr>
        <w:t> </w:t>
      </w:r>
      <w:r>
        <w:rPr>
          <w:sz w:val="20"/>
        </w:rPr>
        <w:t>Secretariat.</w:t>
      </w:r>
    </w:p>
    <w:p>
      <w:pPr>
        <w:spacing w:before="118"/>
        <w:ind w:left="196" w:right="0" w:firstLine="0"/>
        <w:jc w:val="left"/>
        <w:rPr>
          <w:i/>
          <w:sz w:val="20"/>
        </w:rPr>
      </w:pPr>
      <w:r>
        <w:rPr>
          <w:i/>
          <w:sz w:val="20"/>
        </w:rPr>
        <w:t>LMA template on draft replacement rate language for syndicated loans</w:t>
      </w:r>
    </w:p>
    <w:p>
      <w:pPr>
        <w:pStyle w:val="BodyText"/>
        <w:spacing w:before="7"/>
        <w:rPr>
          <w:i/>
        </w:rPr>
      </w:pPr>
    </w:p>
    <w:p>
      <w:pPr>
        <w:pStyle w:val="ListParagraph"/>
        <w:numPr>
          <w:ilvl w:val="0"/>
          <w:numId w:val="1"/>
        </w:numPr>
        <w:tabs>
          <w:tab w:pos="557" w:val="left" w:leader="none"/>
        </w:tabs>
        <w:spacing w:line="240" w:lineRule="auto" w:before="1" w:after="0"/>
        <w:ind w:left="556" w:right="0" w:hanging="361"/>
        <w:jc w:val="left"/>
        <w:rPr>
          <w:sz w:val="20"/>
        </w:rPr>
      </w:pPr>
      <w:r>
        <w:rPr>
          <w:sz w:val="20"/>
        </w:rPr>
        <w:t>The Loan Sub-Group Chair, who is also the CEO of the LMA, presented the</w:t>
      </w:r>
      <w:r>
        <w:rPr>
          <w:spacing w:val="-12"/>
          <w:sz w:val="20"/>
        </w:rPr>
        <w:t> </w:t>
      </w:r>
      <w:r>
        <w:rPr>
          <w:sz w:val="20"/>
        </w:rPr>
        <w:t>document.</w:t>
      </w:r>
    </w:p>
    <w:p>
      <w:pPr>
        <w:pStyle w:val="BodyText"/>
        <w:spacing w:before="5"/>
      </w:pPr>
    </w:p>
    <w:p>
      <w:pPr>
        <w:pStyle w:val="ListParagraph"/>
        <w:numPr>
          <w:ilvl w:val="0"/>
          <w:numId w:val="1"/>
        </w:numPr>
        <w:tabs>
          <w:tab w:pos="557" w:val="left" w:leader="none"/>
        </w:tabs>
        <w:spacing w:line="360" w:lineRule="auto" w:before="1" w:after="0"/>
        <w:ind w:left="556" w:right="282" w:hanging="361"/>
        <w:jc w:val="left"/>
        <w:rPr>
          <w:sz w:val="20"/>
        </w:rPr>
      </w:pPr>
      <w:r>
        <w:rPr>
          <w:sz w:val="20"/>
        </w:rPr>
        <w:t>Following Andrew Bailey’s July 2017 speech on the future of LIBOR,</w:t>
      </w:r>
      <w:hyperlink w:history="true" w:anchor="_bookmark4">
        <w:r>
          <w:rPr>
            <w:sz w:val="20"/>
            <w:vertAlign w:val="superscript"/>
          </w:rPr>
          <w:t>5</w:t>
        </w:r>
        <w:r>
          <w:rPr>
            <w:sz w:val="20"/>
            <w:vertAlign w:val="baseline"/>
          </w:rPr>
          <w:t> </w:t>
        </w:r>
      </w:hyperlink>
      <w:r>
        <w:rPr>
          <w:sz w:val="20"/>
          <w:vertAlign w:val="baseline"/>
        </w:rPr>
        <w:t>the LMA had consulted its LIBOR Working Group on amending syndicated loan template documentation to allow transition to an alternative rate. The Loan Sub-Group, also chaired by the LMA, had taken on this work at the beginning of 2018 when it was convened. The language in the template documentation was generic and did not refer to a specific currency or alternative reference rate. It had been shared with relevant RFR Working Groups and trade bodies in other</w:t>
      </w:r>
      <w:r>
        <w:rPr>
          <w:spacing w:val="-11"/>
          <w:sz w:val="20"/>
          <w:vertAlign w:val="baseline"/>
        </w:rPr>
        <w:t> </w:t>
      </w:r>
      <w:r>
        <w:rPr>
          <w:sz w:val="20"/>
          <w:vertAlign w:val="baseline"/>
        </w:rPr>
        <w:t>jurisdictions.</w:t>
      </w:r>
    </w:p>
    <w:p>
      <w:pPr>
        <w:pStyle w:val="BodyText"/>
      </w:pPr>
    </w:p>
    <w:p>
      <w:pPr>
        <w:pStyle w:val="BodyText"/>
        <w:spacing w:before="8"/>
        <w:rPr>
          <w:sz w:val="11"/>
        </w:rPr>
      </w:pPr>
      <w:r>
        <w:rPr/>
        <w:pict>
          <v:shape style="position:absolute;margin-left:63.84pt;margin-top:9.10127pt;width:144pt;height:.1pt;mso-position-horizontal-relative:page;mso-position-vertical-relative:paragraph;z-index:-251657216;mso-wrap-distance-left:0;mso-wrap-distance-right:0" coordorigin="1277,182" coordsize="2880,0" path="m1277,182l4157,182e" filled="false" stroked="true" strokeweight=".72pt" strokecolor="#000000">
            <v:path arrowok="t"/>
            <v:stroke dashstyle="solid"/>
            <w10:wrap type="topAndBottom"/>
          </v:shape>
        </w:pict>
      </w:r>
    </w:p>
    <w:p>
      <w:pPr>
        <w:pStyle w:val="BodyText"/>
        <w:spacing w:before="39"/>
        <w:ind w:left="196" w:right="428"/>
        <w:rPr>
          <w:rFonts w:ascii="Calibri"/>
        </w:rPr>
      </w:pPr>
      <w:bookmarkStart w:name="_bookmark2" w:id="3"/>
      <w:bookmarkEnd w:id="3"/>
      <w:r>
        <w:rPr/>
      </w:r>
      <w:r>
        <w:rPr>
          <w:rFonts w:ascii="Calibri"/>
          <w:position w:val="10"/>
          <w:sz w:val="13"/>
        </w:rPr>
        <w:t>3 </w:t>
      </w:r>
      <w:r>
        <w:rPr>
          <w:rFonts w:ascii="Calibri"/>
        </w:rPr>
        <w:t>The ISDA consultation was published subsequent to the meeting: </w:t>
      </w:r>
      <w:hyperlink r:id="rId7">
        <w:r>
          <w:rPr>
            <w:rFonts w:ascii="Calibri"/>
            <w:color w:val="0000FF"/>
            <w:u w:val="single" w:color="0000FF"/>
          </w:rPr>
          <w:t>https://www.isda.org/2018/07/12/interbank-</w:t>
        </w:r>
      </w:hyperlink>
      <w:r>
        <w:rPr>
          <w:rFonts w:ascii="Calibri"/>
          <w:color w:val="0000FF"/>
        </w:rPr>
        <w:t> </w:t>
      </w:r>
      <w:hyperlink r:id="rId7">
        <w:r>
          <w:rPr>
            <w:rFonts w:ascii="Calibri"/>
            <w:color w:val="0000FF"/>
            <w:u w:val="single" w:color="0000FF"/>
          </w:rPr>
          <w:t>offered-rate-ibor-fallbacks-for-2006-isda-definitions</w:t>
        </w:r>
      </w:hyperlink>
    </w:p>
    <w:p>
      <w:pPr>
        <w:pStyle w:val="BodyText"/>
        <w:spacing w:line="243" w:lineRule="exact"/>
        <w:ind w:left="196"/>
        <w:rPr>
          <w:rFonts w:ascii="Calibri"/>
        </w:rPr>
      </w:pPr>
      <w:bookmarkStart w:name="_bookmark3" w:id="4"/>
      <w:bookmarkEnd w:id="4"/>
      <w:r>
        <w:rPr/>
      </w:r>
      <w:r>
        <w:rPr>
          <w:rFonts w:ascii="Calibri"/>
          <w:position w:val="10"/>
          <w:sz w:val="13"/>
        </w:rPr>
        <w:t>4 </w:t>
      </w:r>
      <w:r>
        <w:rPr>
          <w:rFonts w:ascii="Calibri"/>
        </w:rPr>
        <w:t>Subsequent to the meeting, the Working Group published the paper on LIBOR-linked bonds:</w:t>
      </w:r>
    </w:p>
    <w:p>
      <w:pPr>
        <w:pStyle w:val="BodyText"/>
        <w:spacing w:before="1"/>
        <w:ind w:left="196" w:right="152"/>
        <w:rPr>
          <w:rFonts w:ascii="Calibri"/>
        </w:rPr>
      </w:pPr>
      <w:hyperlink r:id="rId8">
        <w:r>
          <w:rPr>
            <w:rFonts w:ascii="Calibri"/>
            <w:color w:val="0000FF"/>
            <w:w w:val="95"/>
            <w:u w:val="single" w:color="0000FF"/>
          </w:rPr>
          <w:t>https://www.bankofengland.co.uk/-/media/boe/files/markets/benchmarks/risk-free-reference-rates-new-issuance-</w:t>
        </w:r>
      </w:hyperlink>
      <w:r>
        <w:rPr>
          <w:rFonts w:ascii="Calibri"/>
          <w:color w:val="0000FF"/>
          <w:w w:val="95"/>
        </w:rPr>
        <w:t> </w:t>
      </w:r>
      <w:hyperlink r:id="rId8">
        <w:r>
          <w:rPr>
            <w:rFonts w:ascii="Calibri"/>
            <w:color w:val="0000FF"/>
            <w:u w:val="single" w:color="0000FF"/>
          </w:rPr>
          <w:t>of-sterling-bonds-referencing-LIBOR.pdf?la=en&amp;hash=12F13D37E21F4B789813ED7386F34DA347370323</w:t>
        </w:r>
      </w:hyperlink>
    </w:p>
    <w:p>
      <w:pPr>
        <w:pStyle w:val="BodyText"/>
        <w:spacing w:line="243" w:lineRule="exact"/>
        <w:ind w:left="196"/>
        <w:rPr>
          <w:rFonts w:ascii="Calibri"/>
        </w:rPr>
      </w:pPr>
      <w:bookmarkStart w:name="_bookmark4" w:id="5"/>
      <w:bookmarkEnd w:id="5"/>
      <w:r>
        <w:rPr/>
      </w:r>
      <w:r>
        <w:rPr>
          <w:rFonts w:ascii="Calibri"/>
          <w:position w:val="10"/>
          <w:sz w:val="13"/>
        </w:rPr>
        <w:t>5 </w:t>
      </w:r>
      <w:hyperlink r:id="rId9">
        <w:r>
          <w:rPr>
            <w:rFonts w:ascii="Calibri"/>
            <w:color w:val="0000FF"/>
            <w:u w:val="single" w:color="0000FF"/>
          </w:rPr>
          <w:t>https://www.fca.org.uk/news/speeches/the-future-of-LIBOR</w:t>
        </w:r>
      </w:hyperlink>
    </w:p>
    <w:p>
      <w:pPr>
        <w:spacing w:after="0" w:line="243" w:lineRule="exact"/>
        <w:rPr>
          <w:rFonts w:ascii="Calibri"/>
        </w:rPr>
        <w:sectPr>
          <w:pgSz w:w="11910" w:h="16840"/>
          <w:pgMar w:top="1140" w:bottom="280" w:left="1080" w:right="1040"/>
        </w:sectPr>
      </w:pPr>
    </w:p>
    <w:p>
      <w:pPr>
        <w:pStyle w:val="ListParagraph"/>
        <w:numPr>
          <w:ilvl w:val="0"/>
          <w:numId w:val="1"/>
        </w:numPr>
        <w:tabs>
          <w:tab w:pos="557" w:val="left" w:leader="none"/>
        </w:tabs>
        <w:spacing w:line="360" w:lineRule="auto" w:before="75" w:after="0"/>
        <w:ind w:left="556" w:right="286" w:hanging="361"/>
        <w:jc w:val="left"/>
        <w:rPr>
          <w:sz w:val="20"/>
        </w:rPr>
      </w:pPr>
      <w:r>
        <w:rPr>
          <w:sz w:val="20"/>
        </w:rPr>
        <w:t>The template documentation, designed to be used in new syndicated loan contracts, facilitated changing the applicable interest rate benchmark depending on borrower and majority lender consent. Since the language had been drafted without definitive guidance on what the replacement rate or any adjustment spread should be, it referred to an officially sanctioned rate and adjustment spread as a potential alternative. The clause can either apply at any time or upon a “Screen Rate Replacement Event” (with the ‘triggers’ broadly framed). The footnotes of the document also suggested end-users consider the potential read-across to related products such as</w:t>
      </w:r>
      <w:r>
        <w:rPr>
          <w:spacing w:val="-5"/>
          <w:sz w:val="20"/>
        </w:rPr>
        <w:t> </w:t>
      </w:r>
      <w:r>
        <w:rPr>
          <w:sz w:val="20"/>
        </w:rPr>
        <w:t>hedges.</w:t>
      </w:r>
    </w:p>
    <w:p>
      <w:pPr>
        <w:pStyle w:val="ListParagraph"/>
        <w:numPr>
          <w:ilvl w:val="0"/>
          <w:numId w:val="1"/>
        </w:numPr>
        <w:tabs>
          <w:tab w:pos="558" w:val="left" w:leader="none"/>
        </w:tabs>
        <w:spacing w:line="360" w:lineRule="auto" w:before="120" w:after="0"/>
        <w:ind w:left="557" w:right="179" w:hanging="361"/>
        <w:jc w:val="left"/>
        <w:rPr>
          <w:sz w:val="20"/>
        </w:rPr>
      </w:pPr>
      <w:r>
        <w:rPr>
          <w:sz w:val="20"/>
        </w:rPr>
        <w:t>A discussion ensued in which the Sub-Group chair confirmed that that users could choose to transition to a rate in line with that defined by ISDA in</w:t>
      </w:r>
      <w:r>
        <w:rPr>
          <w:spacing w:val="-8"/>
          <w:sz w:val="20"/>
        </w:rPr>
        <w:t> </w:t>
      </w:r>
      <w:r>
        <w:rPr>
          <w:sz w:val="20"/>
        </w:rPr>
        <w:t>future</w:t>
      </w:r>
    </w:p>
    <w:p>
      <w:pPr>
        <w:pStyle w:val="ListParagraph"/>
        <w:numPr>
          <w:ilvl w:val="0"/>
          <w:numId w:val="1"/>
        </w:numPr>
        <w:tabs>
          <w:tab w:pos="558" w:val="left" w:leader="none"/>
        </w:tabs>
        <w:spacing w:line="360" w:lineRule="auto" w:before="119" w:after="0"/>
        <w:ind w:left="557" w:right="145" w:hanging="360"/>
        <w:jc w:val="left"/>
        <w:rPr>
          <w:sz w:val="20"/>
        </w:rPr>
      </w:pPr>
      <w:r>
        <w:rPr>
          <w:sz w:val="20"/>
        </w:rPr>
        <w:t>The template has been made available on the LMA’s website to its members. The Working Group agreed to also publish a version of the template on the Working Group’s website to ensure that it was available to the broader market. The Working Group delegated drafting of a foreword to the Chair, Vice Chairs, Sub-Group Chair and RFR</w:t>
      </w:r>
      <w:r>
        <w:rPr>
          <w:spacing w:val="2"/>
          <w:sz w:val="20"/>
        </w:rPr>
        <w:t> </w:t>
      </w:r>
      <w:r>
        <w:rPr>
          <w:sz w:val="20"/>
        </w:rPr>
        <w:t>Secretariat.</w:t>
      </w:r>
    </w:p>
    <w:p>
      <w:pPr>
        <w:pStyle w:val="Heading2"/>
        <w:spacing w:before="117"/>
        <w:ind w:left="197"/>
      </w:pPr>
      <w:r>
        <w:rPr/>
        <w:t>State of the market</w:t>
      </w:r>
    </w:p>
    <w:p>
      <w:pPr>
        <w:pStyle w:val="BodyText"/>
        <w:spacing w:before="8"/>
        <w:rPr>
          <w:b/>
        </w:rPr>
      </w:pPr>
    </w:p>
    <w:p>
      <w:pPr>
        <w:pStyle w:val="ListParagraph"/>
        <w:numPr>
          <w:ilvl w:val="0"/>
          <w:numId w:val="1"/>
        </w:numPr>
        <w:tabs>
          <w:tab w:pos="558" w:val="left" w:leader="none"/>
        </w:tabs>
        <w:spacing w:line="240" w:lineRule="auto" w:before="0" w:after="0"/>
        <w:ind w:left="557" w:right="0" w:hanging="361"/>
        <w:jc w:val="left"/>
        <w:rPr>
          <w:sz w:val="20"/>
        </w:rPr>
      </w:pPr>
      <w:r>
        <w:rPr>
          <w:sz w:val="20"/>
        </w:rPr>
        <w:t>The Chair introduced a discussion about SONIA usage in the</w:t>
      </w:r>
      <w:r>
        <w:rPr>
          <w:spacing w:val="-4"/>
          <w:sz w:val="20"/>
        </w:rPr>
        <w:t> </w:t>
      </w:r>
      <w:r>
        <w:rPr>
          <w:sz w:val="20"/>
        </w:rPr>
        <w:t>market.</w:t>
      </w:r>
    </w:p>
    <w:p>
      <w:pPr>
        <w:pStyle w:val="BodyText"/>
        <w:spacing w:before="6"/>
      </w:pPr>
    </w:p>
    <w:p>
      <w:pPr>
        <w:pStyle w:val="ListParagraph"/>
        <w:numPr>
          <w:ilvl w:val="0"/>
          <w:numId w:val="1"/>
        </w:numPr>
        <w:tabs>
          <w:tab w:pos="558" w:val="left" w:leader="none"/>
        </w:tabs>
        <w:spacing w:line="360" w:lineRule="auto" w:before="0" w:after="0"/>
        <w:ind w:left="556" w:right="124" w:hanging="360"/>
        <w:jc w:val="left"/>
        <w:rPr>
          <w:sz w:val="20"/>
        </w:rPr>
      </w:pPr>
      <w:r>
        <w:rPr>
          <w:sz w:val="20"/>
        </w:rPr>
        <w:t>Members highlighted the recent European Investment Bank SONIA-linked bond issuance as an important transition milestone.</w:t>
      </w:r>
      <w:hyperlink w:history="true" w:anchor="_bookmark5">
        <w:r>
          <w:rPr>
            <w:sz w:val="20"/>
            <w:vertAlign w:val="superscript"/>
          </w:rPr>
          <w:t>6</w:t>
        </w:r>
      </w:hyperlink>
      <w:r>
        <w:rPr>
          <w:sz w:val="20"/>
          <w:vertAlign w:val="baseline"/>
        </w:rPr>
        <w:t> Some members noted the market would need to become more familiar with these types of transactions, particularly the feature in which the interest observation period lags the coupon period by 5 days in order to provide cash flow</w:t>
      </w:r>
      <w:r>
        <w:rPr>
          <w:spacing w:val="-10"/>
          <w:sz w:val="20"/>
          <w:vertAlign w:val="baseline"/>
        </w:rPr>
        <w:t> </w:t>
      </w:r>
      <w:r>
        <w:rPr>
          <w:sz w:val="20"/>
          <w:vertAlign w:val="baseline"/>
        </w:rPr>
        <w:t>certainty.</w:t>
      </w:r>
    </w:p>
    <w:p>
      <w:pPr>
        <w:pStyle w:val="ListParagraph"/>
        <w:numPr>
          <w:ilvl w:val="0"/>
          <w:numId w:val="1"/>
        </w:numPr>
        <w:tabs>
          <w:tab w:pos="557" w:val="left" w:leader="none"/>
        </w:tabs>
        <w:spacing w:line="360" w:lineRule="auto" w:before="120" w:after="0"/>
        <w:ind w:left="556" w:right="423" w:hanging="361"/>
        <w:jc w:val="left"/>
        <w:rPr>
          <w:sz w:val="20"/>
        </w:rPr>
      </w:pPr>
      <w:r>
        <w:rPr>
          <w:sz w:val="20"/>
        </w:rPr>
        <w:t>ICE Futures provided an update on SONIA futures trading and noted that total ICE SONIA futures outstanding were £15bn. Awareness of transition in the market appeared to be strong but there was still significant scope for volumes to increase. CurveGlobal Futures volumes were also</w:t>
      </w:r>
      <w:r>
        <w:rPr>
          <w:spacing w:val="-27"/>
          <w:sz w:val="20"/>
        </w:rPr>
        <w:t> </w:t>
      </w:r>
      <w:r>
        <w:rPr>
          <w:sz w:val="20"/>
        </w:rPr>
        <w:t>increasing.</w:t>
      </w:r>
    </w:p>
    <w:p>
      <w:pPr>
        <w:pStyle w:val="ListParagraph"/>
        <w:numPr>
          <w:ilvl w:val="0"/>
          <w:numId w:val="1"/>
        </w:numPr>
        <w:tabs>
          <w:tab w:pos="558" w:val="left" w:leader="none"/>
        </w:tabs>
        <w:spacing w:line="360" w:lineRule="auto" w:before="120" w:after="0"/>
        <w:ind w:left="556" w:right="123" w:hanging="360"/>
        <w:jc w:val="left"/>
        <w:rPr>
          <w:sz w:val="20"/>
        </w:rPr>
      </w:pPr>
      <w:r>
        <w:rPr>
          <w:sz w:val="20"/>
        </w:rPr>
        <w:t>In the swap market, one member noted that there had been a pick-up in SONIA swap (OIS) volumes but liquidity could be patchy. Some market participants were nervous about warehousing LIBOR-OIS risk at longer tenors given the potential risks around LIBOR discontinuation and the volatile basis at the long end between OIS and</w:t>
      </w:r>
      <w:r>
        <w:rPr>
          <w:spacing w:val="-4"/>
          <w:sz w:val="20"/>
        </w:rPr>
        <w:t> </w:t>
      </w:r>
      <w:r>
        <w:rPr>
          <w:sz w:val="20"/>
        </w:rPr>
        <w:t>LIBOR.</w:t>
      </w:r>
    </w:p>
    <w:p>
      <w:pPr>
        <w:pStyle w:val="ListParagraph"/>
        <w:numPr>
          <w:ilvl w:val="0"/>
          <w:numId w:val="1"/>
        </w:numPr>
        <w:tabs>
          <w:tab w:pos="558" w:val="left" w:leader="none"/>
        </w:tabs>
        <w:spacing w:line="360" w:lineRule="auto" w:before="120" w:after="0"/>
        <w:ind w:left="556" w:right="199" w:hanging="360"/>
        <w:jc w:val="left"/>
        <w:rPr>
          <w:sz w:val="20"/>
        </w:rPr>
      </w:pPr>
      <w:r>
        <w:rPr>
          <w:sz w:val="20"/>
        </w:rPr>
        <w:t>It was noted that it was not yet possible to clear SONIA referencing swaps with sub-annual interest payment frequencies. LCH noted that they would be looking at how their SONIA swap product offering could be enhanced before the end of the year.</w:t>
      </w:r>
    </w:p>
    <w:p>
      <w:pPr>
        <w:pStyle w:val="ListParagraph"/>
        <w:numPr>
          <w:ilvl w:val="0"/>
          <w:numId w:val="1"/>
        </w:numPr>
        <w:tabs>
          <w:tab w:pos="557" w:val="left" w:leader="none"/>
        </w:tabs>
        <w:spacing w:line="360" w:lineRule="auto" w:before="119" w:after="0"/>
        <w:ind w:left="556" w:right="124" w:hanging="360"/>
        <w:jc w:val="left"/>
        <w:rPr>
          <w:sz w:val="20"/>
        </w:rPr>
      </w:pPr>
      <w:r>
        <w:rPr>
          <w:sz w:val="20"/>
        </w:rPr>
        <w:t>The Bank of England highlighted their recent Financial Stability Report</w:t>
      </w:r>
      <w:hyperlink w:history="true" w:anchor="_bookmark6">
        <w:r>
          <w:rPr>
            <w:sz w:val="20"/>
            <w:vertAlign w:val="superscript"/>
          </w:rPr>
          <w:t>7</w:t>
        </w:r>
        <w:r>
          <w:rPr>
            <w:sz w:val="20"/>
            <w:vertAlign w:val="baseline"/>
          </w:rPr>
          <w:t> </w:t>
        </w:r>
      </w:hyperlink>
      <w:r>
        <w:rPr>
          <w:sz w:val="20"/>
          <w:vertAlign w:val="baseline"/>
        </w:rPr>
        <w:t>which drew attention to the stock of GBP LIBOR reference derivatives which had increased since July 2017. The report highlighted that the financial stability risks associated with LIBOR would only reduce if firms transitioned to alternative reference</w:t>
      </w:r>
      <w:r>
        <w:rPr>
          <w:spacing w:val="-3"/>
          <w:sz w:val="20"/>
          <w:vertAlign w:val="baseline"/>
        </w:rPr>
        <w:t> </w:t>
      </w:r>
      <w:r>
        <w:rPr>
          <w:sz w:val="20"/>
          <w:vertAlign w:val="baseline"/>
        </w:rPr>
        <w:t>rates.</w:t>
      </w:r>
    </w:p>
    <w:p>
      <w:pPr>
        <w:pStyle w:val="BodyText"/>
      </w:pPr>
    </w:p>
    <w:p>
      <w:pPr>
        <w:pStyle w:val="BodyText"/>
      </w:pPr>
    </w:p>
    <w:p>
      <w:pPr>
        <w:pStyle w:val="BodyText"/>
      </w:pPr>
    </w:p>
    <w:p>
      <w:pPr>
        <w:pStyle w:val="BodyText"/>
        <w:spacing w:before="8"/>
        <w:rPr>
          <w:sz w:val="24"/>
        </w:rPr>
      </w:pPr>
      <w:r>
        <w:rPr/>
        <w:pict>
          <v:shape style="position:absolute;margin-left:63.84pt;margin-top:16.562246pt;width:144pt;height:.1pt;mso-position-horizontal-relative:page;mso-position-vertical-relative:paragraph;z-index:-251656192;mso-wrap-distance-left:0;mso-wrap-distance-right:0" coordorigin="1277,331" coordsize="2880,0" path="m1277,331l4157,331e" filled="false" stroked="true" strokeweight=".72pt" strokecolor="#000000">
            <v:path arrowok="t"/>
            <v:stroke dashstyle="solid"/>
            <w10:wrap type="topAndBottom"/>
          </v:shape>
        </w:pict>
      </w:r>
    </w:p>
    <w:p>
      <w:pPr>
        <w:pStyle w:val="BodyText"/>
        <w:spacing w:before="39"/>
        <w:ind w:left="196" w:right="486"/>
        <w:rPr>
          <w:rFonts w:ascii="Calibri"/>
        </w:rPr>
      </w:pPr>
      <w:bookmarkStart w:name="_bookmark5" w:id="6"/>
      <w:bookmarkEnd w:id="6"/>
      <w:r>
        <w:rPr/>
      </w:r>
      <w:r>
        <w:rPr>
          <w:rFonts w:ascii="Calibri"/>
          <w:position w:val="10"/>
          <w:sz w:val="13"/>
        </w:rPr>
        <w:t>6 </w:t>
      </w:r>
      <w:hyperlink r:id="rId10">
        <w:r>
          <w:rPr>
            <w:rFonts w:ascii="Calibri"/>
            <w:color w:val="0000FF"/>
            <w:u w:val="single" w:color="0000FF"/>
          </w:rPr>
          <w:t>http://www.eib.org/investor_relations/press/2018/fi-2018-12-</w:t>
        </w:r>
      </w:hyperlink>
      <w:r>
        <w:rPr>
          <w:rFonts w:ascii="Calibri"/>
          <w:color w:val="0000FF"/>
        </w:rPr>
        <w:t> </w:t>
      </w:r>
      <w:hyperlink r:id="rId10">
        <w:r>
          <w:rPr>
            <w:rFonts w:ascii="Calibri"/>
            <w:color w:val="0000FF"/>
            <w:w w:val="95"/>
            <w:u w:val="single" w:color="0000FF"/>
          </w:rPr>
          <w:t>EIB%20issues%20markets%20first%20SONIA%20GBP%20benchmark%20with%20GBP%201bn%205y%20issuance.ht</w:t>
        </w:r>
      </w:hyperlink>
      <w:r>
        <w:rPr>
          <w:rFonts w:ascii="Calibri"/>
          <w:color w:val="0000FF"/>
          <w:w w:val="95"/>
        </w:rPr>
        <w:t>        </w:t>
      </w:r>
      <w:hyperlink r:id="rId10">
        <w:r>
          <w:rPr>
            <w:rFonts w:ascii="Calibri"/>
            <w:color w:val="0000FF"/>
            <w:u w:val="single" w:color="0000FF"/>
          </w:rPr>
          <w:t>m</w:t>
        </w:r>
      </w:hyperlink>
    </w:p>
    <w:p>
      <w:pPr>
        <w:pStyle w:val="BodyText"/>
        <w:spacing w:line="244" w:lineRule="exact"/>
        <w:ind w:left="196"/>
        <w:rPr>
          <w:rFonts w:ascii="Calibri"/>
        </w:rPr>
      </w:pPr>
      <w:bookmarkStart w:name="_bookmark6" w:id="7"/>
      <w:bookmarkEnd w:id="7"/>
      <w:r>
        <w:rPr/>
      </w:r>
      <w:r>
        <w:rPr>
          <w:rFonts w:ascii="Calibri"/>
          <w:position w:val="10"/>
          <w:sz w:val="13"/>
        </w:rPr>
        <w:t>7 </w:t>
      </w:r>
      <w:hyperlink r:id="rId11">
        <w:r>
          <w:rPr>
            <w:rFonts w:ascii="Calibri"/>
            <w:color w:val="0000FF"/>
            <w:u w:val="single" w:color="0000FF"/>
          </w:rPr>
          <w:t>https://www.bankofengland.co.uk/-/media/boe/files/financial-stability-report/2018/june-2018.pdf</w:t>
        </w:r>
      </w:hyperlink>
    </w:p>
    <w:p>
      <w:pPr>
        <w:spacing w:after="0" w:line="244" w:lineRule="exact"/>
        <w:rPr>
          <w:rFonts w:ascii="Calibri"/>
        </w:rPr>
        <w:sectPr>
          <w:pgSz w:w="11910" w:h="16840"/>
          <w:pgMar w:top="1180" w:bottom="280" w:left="1080" w:right="1040"/>
        </w:sectPr>
      </w:pPr>
    </w:p>
    <w:p>
      <w:pPr>
        <w:pStyle w:val="Heading2"/>
      </w:pPr>
      <w:r>
        <w:rPr/>
        <w:t>Transition metrics</w:t>
      </w:r>
    </w:p>
    <w:p>
      <w:pPr>
        <w:pStyle w:val="BodyText"/>
        <w:spacing w:before="5"/>
        <w:rPr>
          <w:b/>
        </w:rPr>
      </w:pPr>
    </w:p>
    <w:p>
      <w:pPr>
        <w:pStyle w:val="ListParagraph"/>
        <w:numPr>
          <w:ilvl w:val="0"/>
          <w:numId w:val="1"/>
        </w:numPr>
        <w:tabs>
          <w:tab w:pos="557" w:val="left" w:leader="none"/>
        </w:tabs>
        <w:spacing w:line="360" w:lineRule="auto" w:before="0" w:after="0"/>
        <w:ind w:left="556" w:right="381" w:hanging="360"/>
        <w:jc w:val="both"/>
        <w:rPr>
          <w:sz w:val="20"/>
        </w:rPr>
      </w:pPr>
      <w:r>
        <w:rPr>
          <w:sz w:val="20"/>
        </w:rPr>
        <w:t>The Bank of England introduced an initial list of ideas for transition metrics (no actual data sets were included) which the Bank of England and FCA could start gathering and eventually publish following appropriate governance. The proposed list can be found in Annex</w:t>
      </w:r>
      <w:r>
        <w:rPr>
          <w:spacing w:val="-6"/>
          <w:sz w:val="20"/>
        </w:rPr>
        <w:t> </w:t>
      </w:r>
      <w:r>
        <w:rPr>
          <w:sz w:val="20"/>
        </w:rPr>
        <w:t>1.</w:t>
      </w:r>
    </w:p>
    <w:p>
      <w:pPr>
        <w:pStyle w:val="ListParagraph"/>
        <w:numPr>
          <w:ilvl w:val="0"/>
          <w:numId w:val="1"/>
        </w:numPr>
        <w:tabs>
          <w:tab w:pos="557" w:val="left" w:leader="none"/>
        </w:tabs>
        <w:spacing w:line="360" w:lineRule="auto" w:before="122" w:after="0"/>
        <w:ind w:left="556" w:right="558" w:hanging="361"/>
        <w:jc w:val="left"/>
        <w:rPr>
          <w:sz w:val="20"/>
        </w:rPr>
      </w:pPr>
      <w:r>
        <w:rPr>
          <w:sz w:val="20"/>
        </w:rPr>
        <w:t>The Chair asked for the group’s views on whether publishing metrics of this type would be market moving. Some members suggested that these data sets needed to be appropriately aggregated to avoid this risk.</w:t>
      </w:r>
    </w:p>
    <w:p>
      <w:pPr>
        <w:pStyle w:val="ListParagraph"/>
        <w:numPr>
          <w:ilvl w:val="0"/>
          <w:numId w:val="1"/>
        </w:numPr>
        <w:tabs>
          <w:tab w:pos="558" w:val="left" w:leader="none"/>
        </w:tabs>
        <w:spacing w:line="360" w:lineRule="auto" w:before="120" w:after="0"/>
        <w:ind w:left="557" w:right="864" w:hanging="361"/>
        <w:jc w:val="left"/>
        <w:rPr>
          <w:sz w:val="20"/>
        </w:rPr>
      </w:pPr>
      <w:r>
        <w:rPr>
          <w:sz w:val="20"/>
        </w:rPr>
        <w:t>The Chair suggested the group publish regular metrics but also draw particular attention to key milestones demonstrated by the</w:t>
      </w:r>
      <w:r>
        <w:rPr>
          <w:spacing w:val="-3"/>
          <w:sz w:val="20"/>
        </w:rPr>
        <w:t> </w:t>
      </w:r>
      <w:r>
        <w:rPr>
          <w:sz w:val="20"/>
        </w:rPr>
        <w:t>metrics.</w:t>
      </w:r>
    </w:p>
    <w:p>
      <w:pPr>
        <w:pStyle w:val="Heading2"/>
        <w:spacing w:before="116"/>
      </w:pPr>
      <w:r>
        <w:rPr/>
        <w:t>Sub-Group updates</w:t>
      </w:r>
    </w:p>
    <w:p>
      <w:pPr>
        <w:pStyle w:val="BodyText"/>
        <w:spacing w:before="6"/>
        <w:rPr>
          <w:b/>
        </w:rPr>
      </w:pPr>
    </w:p>
    <w:p>
      <w:pPr>
        <w:spacing w:before="0"/>
        <w:ind w:left="196" w:right="0" w:firstLine="0"/>
        <w:jc w:val="left"/>
        <w:rPr>
          <w:i/>
          <w:sz w:val="20"/>
        </w:rPr>
      </w:pPr>
      <w:r>
        <w:rPr>
          <w:i/>
          <w:sz w:val="20"/>
        </w:rPr>
        <w:t>Syndicated loans</w:t>
      </w:r>
    </w:p>
    <w:p>
      <w:pPr>
        <w:pStyle w:val="BodyText"/>
        <w:spacing w:before="8"/>
        <w:rPr>
          <w:i/>
        </w:rPr>
      </w:pPr>
    </w:p>
    <w:p>
      <w:pPr>
        <w:pStyle w:val="ListParagraph"/>
        <w:numPr>
          <w:ilvl w:val="0"/>
          <w:numId w:val="1"/>
        </w:numPr>
        <w:tabs>
          <w:tab w:pos="558" w:val="left" w:leader="none"/>
        </w:tabs>
        <w:spacing w:line="360" w:lineRule="auto" w:before="0" w:after="0"/>
        <w:ind w:left="556" w:right="447" w:hanging="360"/>
        <w:jc w:val="left"/>
        <w:rPr>
          <w:sz w:val="20"/>
        </w:rPr>
      </w:pPr>
      <w:r>
        <w:rPr>
          <w:sz w:val="20"/>
        </w:rPr>
        <w:t>The Sub-Group was considering the challenges of adopting SONIA compounded over the interest period in loan markets. The Sub-Group was also considering the extent to which fallbacks would be needed for SONIA or TSRR referencing loan contracts in the</w:t>
      </w:r>
      <w:r>
        <w:rPr>
          <w:spacing w:val="-7"/>
          <w:sz w:val="20"/>
        </w:rPr>
        <w:t> </w:t>
      </w:r>
      <w:r>
        <w:rPr>
          <w:sz w:val="20"/>
        </w:rPr>
        <w:t>future.</w:t>
      </w:r>
    </w:p>
    <w:p>
      <w:pPr>
        <w:spacing w:before="117"/>
        <w:ind w:left="196" w:right="0" w:firstLine="0"/>
        <w:jc w:val="left"/>
        <w:rPr>
          <w:i/>
          <w:sz w:val="20"/>
        </w:rPr>
      </w:pPr>
      <w:r>
        <w:rPr>
          <w:i/>
          <w:sz w:val="20"/>
        </w:rPr>
        <w:t>Bond markets</w:t>
      </w:r>
    </w:p>
    <w:p>
      <w:pPr>
        <w:pStyle w:val="BodyText"/>
        <w:spacing w:before="8"/>
        <w:rPr>
          <w:i/>
        </w:rPr>
      </w:pPr>
    </w:p>
    <w:p>
      <w:pPr>
        <w:pStyle w:val="ListParagraph"/>
        <w:numPr>
          <w:ilvl w:val="0"/>
          <w:numId w:val="1"/>
        </w:numPr>
        <w:tabs>
          <w:tab w:pos="557" w:val="left" w:leader="none"/>
        </w:tabs>
        <w:spacing w:line="360" w:lineRule="auto" w:before="0" w:after="0"/>
        <w:ind w:left="556" w:right="516" w:hanging="360"/>
        <w:jc w:val="left"/>
        <w:rPr>
          <w:sz w:val="20"/>
        </w:rPr>
      </w:pPr>
      <w:r>
        <w:rPr>
          <w:sz w:val="20"/>
        </w:rPr>
        <w:t>The</w:t>
      </w:r>
      <w:r>
        <w:rPr>
          <w:spacing w:val="-4"/>
          <w:sz w:val="20"/>
        </w:rPr>
        <w:t> </w:t>
      </w:r>
      <w:r>
        <w:rPr>
          <w:sz w:val="20"/>
        </w:rPr>
        <w:t>sub-</w:t>
      </w:r>
      <w:r>
        <w:rPr>
          <w:spacing w:val="-3"/>
          <w:sz w:val="20"/>
        </w:rPr>
        <w:t> </w:t>
      </w:r>
      <w:r>
        <w:rPr>
          <w:sz w:val="20"/>
        </w:rPr>
        <w:t>group</w:t>
      </w:r>
      <w:r>
        <w:rPr>
          <w:spacing w:val="-3"/>
          <w:sz w:val="20"/>
        </w:rPr>
        <w:t> </w:t>
      </w:r>
      <w:r>
        <w:rPr>
          <w:sz w:val="20"/>
        </w:rPr>
        <w:t>was working</w:t>
      </w:r>
      <w:r>
        <w:rPr>
          <w:spacing w:val="-4"/>
          <w:sz w:val="20"/>
        </w:rPr>
        <w:t> </w:t>
      </w:r>
      <w:r>
        <w:rPr>
          <w:sz w:val="20"/>
        </w:rPr>
        <w:t>on</w:t>
      </w:r>
      <w:r>
        <w:rPr>
          <w:spacing w:val="-2"/>
          <w:sz w:val="20"/>
        </w:rPr>
        <w:t> </w:t>
      </w:r>
      <w:r>
        <w:rPr>
          <w:sz w:val="20"/>
        </w:rPr>
        <w:t>a</w:t>
      </w:r>
      <w:r>
        <w:rPr>
          <w:spacing w:val="-4"/>
          <w:sz w:val="20"/>
        </w:rPr>
        <w:t> </w:t>
      </w:r>
      <w:r>
        <w:rPr>
          <w:sz w:val="20"/>
        </w:rPr>
        <w:t>set</w:t>
      </w:r>
      <w:r>
        <w:rPr>
          <w:spacing w:val="-2"/>
          <w:sz w:val="20"/>
        </w:rPr>
        <w:t> </w:t>
      </w:r>
      <w:r>
        <w:rPr>
          <w:sz w:val="20"/>
        </w:rPr>
        <w:t>of</w:t>
      </w:r>
      <w:r>
        <w:rPr>
          <w:spacing w:val="-2"/>
          <w:sz w:val="20"/>
        </w:rPr>
        <w:t> </w:t>
      </w:r>
      <w:r>
        <w:rPr>
          <w:sz w:val="20"/>
        </w:rPr>
        <w:t>preferred</w:t>
      </w:r>
      <w:r>
        <w:rPr>
          <w:spacing w:val="-4"/>
          <w:sz w:val="20"/>
        </w:rPr>
        <w:t> </w:t>
      </w:r>
      <w:r>
        <w:rPr>
          <w:sz w:val="20"/>
        </w:rPr>
        <w:t>conventions</w:t>
      </w:r>
      <w:r>
        <w:rPr>
          <w:spacing w:val="-3"/>
          <w:sz w:val="20"/>
        </w:rPr>
        <w:t> </w:t>
      </w:r>
      <w:r>
        <w:rPr>
          <w:sz w:val="20"/>
        </w:rPr>
        <w:t>for</w:t>
      </w:r>
      <w:r>
        <w:rPr>
          <w:spacing w:val="-3"/>
          <w:sz w:val="20"/>
        </w:rPr>
        <w:t> </w:t>
      </w:r>
      <w:r>
        <w:rPr>
          <w:sz w:val="20"/>
        </w:rPr>
        <w:t>adoption</w:t>
      </w:r>
      <w:r>
        <w:rPr>
          <w:spacing w:val="-2"/>
          <w:sz w:val="20"/>
        </w:rPr>
        <w:t> </w:t>
      </w:r>
      <w:r>
        <w:rPr>
          <w:sz w:val="20"/>
        </w:rPr>
        <w:t>of</w:t>
      </w:r>
      <w:r>
        <w:rPr>
          <w:spacing w:val="-2"/>
          <w:sz w:val="20"/>
        </w:rPr>
        <w:t> </w:t>
      </w:r>
      <w:r>
        <w:rPr>
          <w:sz w:val="20"/>
        </w:rPr>
        <w:t>SONIA</w:t>
      </w:r>
      <w:r>
        <w:rPr>
          <w:spacing w:val="-5"/>
          <w:sz w:val="20"/>
        </w:rPr>
        <w:t> </w:t>
      </w:r>
      <w:r>
        <w:rPr>
          <w:sz w:val="20"/>
        </w:rPr>
        <w:t>compounded over the interest period in bonds. It was also considering how conversion of legacy LIBOR-linked products to SONIA could be done in</w:t>
      </w:r>
      <w:r>
        <w:rPr>
          <w:spacing w:val="-3"/>
          <w:sz w:val="20"/>
        </w:rPr>
        <w:t> </w:t>
      </w:r>
      <w:r>
        <w:rPr>
          <w:sz w:val="20"/>
        </w:rPr>
        <w:t>practice.</w:t>
      </w:r>
    </w:p>
    <w:p>
      <w:pPr>
        <w:spacing w:before="117"/>
        <w:ind w:left="196" w:right="0" w:firstLine="0"/>
        <w:jc w:val="left"/>
        <w:rPr>
          <w:i/>
          <w:sz w:val="20"/>
        </w:rPr>
      </w:pPr>
      <w:r>
        <w:rPr>
          <w:i/>
          <w:sz w:val="20"/>
        </w:rPr>
        <w:t>Pension Funds &amp; Insurance companies</w:t>
      </w:r>
    </w:p>
    <w:p>
      <w:pPr>
        <w:pStyle w:val="BodyText"/>
        <w:spacing w:before="8"/>
        <w:rPr>
          <w:i/>
        </w:rPr>
      </w:pPr>
    </w:p>
    <w:p>
      <w:pPr>
        <w:pStyle w:val="ListParagraph"/>
        <w:numPr>
          <w:ilvl w:val="0"/>
          <w:numId w:val="1"/>
        </w:numPr>
        <w:tabs>
          <w:tab w:pos="557" w:val="left" w:leader="none"/>
        </w:tabs>
        <w:spacing w:line="360" w:lineRule="auto" w:before="0" w:after="0"/>
        <w:ind w:left="555" w:right="190" w:hanging="360"/>
        <w:jc w:val="left"/>
        <w:rPr>
          <w:sz w:val="20"/>
        </w:rPr>
      </w:pPr>
      <w:r>
        <w:rPr>
          <w:sz w:val="20"/>
        </w:rPr>
        <w:t>The Sub-Group had concluded that it did not need to do further work on barriers to adoption for pension funds. It was therefore focussed on adoption for insurance companies where the main barrier was the mandated use of EIOPA LIBOR-based curves for discounting liabilities under Solvency II. The Bank of England had made the Sub-Group aware at its meeting of 19 June 2018 that monitoring LIBOR transition was added as a topic to EIOPA general work on insurance risk free</w:t>
      </w:r>
      <w:r>
        <w:rPr>
          <w:spacing w:val="-14"/>
          <w:sz w:val="20"/>
        </w:rPr>
        <w:t> </w:t>
      </w:r>
      <w:r>
        <w:rPr>
          <w:sz w:val="20"/>
        </w:rPr>
        <w:t>rate.</w:t>
      </w:r>
    </w:p>
    <w:p>
      <w:pPr>
        <w:pStyle w:val="ListParagraph"/>
        <w:numPr>
          <w:ilvl w:val="0"/>
          <w:numId w:val="1"/>
        </w:numPr>
        <w:tabs>
          <w:tab w:pos="556" w:val="left" w:leader="none"/>
        </w:tabs>
        <w:spacing w:line="360" w:lineRule="auto" w:before="118" w:after="0"/>
        <w:ind w:left="555" w:right="161" w:hanging="361"/>
        <w:jc w:val="left"/>
        <w:rPr>
          <w:sz w:val="20"/>
        </w:rPr>
      </w:pPr>
      <w:r>
        <w:rPr>
          <w:sz w:val="20"/>
        </w:rPr>
        <w:t>The Sub-Group was considering sending a letter to the authorities on the EIOPA curve issue and other roadblocks to adoption of SONIA for insurance companies</w:t>
      </w:r>
      <w:r>
        <w:rPr>
          <w:spacing w:val="-4"/>
          <w:sz w:val="20"/>
        </w:rPr>
        <w:t> </w:t>
      </w:r>
      <w:r>
        <w:rPr>
          <w:sz w:val="20"/>
        </w:rPr>
        <w:t>including:</w:t>
      </w:r>
    </w:p>
    <w:p>
      <w:pPr>
        <w:pStyle w:val="ListParagraph"/>
        <w:numPr>
          <w:ilvl w:val="1"/>
          <w:numId w:val="1"/>
        </w:numPr>
        <w:tabs>
          <w:tab w:pos="1276" w:val="left" w:leader="none"/>
        </w:tabs>
        <w:spacing w:line="360" w:lineRule="auto" w:before="121" w:after="0"/>
        <w:ind w:left="1275" w:right="329" w:hanging="360"/>
        <w:jc w:val="left"/>
        <w:rPr>
          <w:sz w:val="20"/>
        </w:rPr>
      </w:pPr>
      <w:r>
        <w:rPr>
          <w:sz w:val="20"/>
        </w:rPr>
        <w:t>The Solvency II valuation framework’s requirement that the SONIA swaps market need to be deep, liquid &amp; transparent (DLT) to be used for discounting</w:t>
      </w:r>
      <w:r>
        <w:rPr>
          <w:spacing w:val="-10"/>
          <w:sz w:val="20"/>
        </w:rPr>
        <w:t> </w:t>
      </w:r>
      <w:r>
        <w:rPr>
          <w:sz w:val="20"/>
        </w:rPr>
        <w:t>purposes;</w:t>
      </w:r>
    </w:p>
    <w:p>
      <w:pPr>
        <w:pStyle w:val="ListParagraph"/>
        <w:numPr>
          <w:ilvl w:val="1"/>
          <w:numId w:val="1"/>
        </w:numPr>
        <w:tabs>
          <w:tab w:pos="1276" w:val="left" w:leader="none"/>
        </w:tabs>
        <w:spacing w:line="360" w:lineRule="auto" w:before="119" w:after="0"/>
        <w:ind w:left="1275" w:right="874" w:hanging="360"/>
        <w:jc w:val="left"/>
        <w:rPr>
          <w:sz w:val="20"/>
        </w:rPr>
      </w:pPr>
      <w:r>
        <w:rPr>
          <w:sz w:val="20"/>
        </w:rPr>
        <w:t>The credit risk adjustment (CRA) to liability discounting curves which would need to be amended to reflect that SONIA is risk</w:t>
      </w:r>
      <w:r>
        <w:rPr>
          <w:spacing w:val="-1"/>
          <w:sz w:val="20"/>
        </w:rPr>
        <w:t> </w:t>
      </w:r>
      <w:r>
        <w:rPr>
          <w:sz w:val="20"/>
        </w:rPr>
        <w:t>free;</w:t>
      </w:r>
    </w:p>
    <w:p>
      <w:pPr>
        <w:pStyle w:val="ListParagraph"/>
        <w:numPr>
          <w:ilvl w:val="1"/>
          <w:numId w:val="1"/>
        </w:numPr>
        <w:tabs>
          <w:tab w:pos="1275" w:val="left" w:leader="none"/>
          <w:tab w:pos="1276" w:val="left" w:leader="none"/>
        </w:tabs>
        <w:spacing w:line="360" w:lineRule="auto" w:before="121" w:after="0"/>
        <w:ind w:left="1275" w:right="575" w:hanging="360"/>
        <w:jc w:val="left"/>
        <w:rPr>
          <w:sz w:val="20"/>
        </w:rPr>
      </w:pPr>
      <w:r>
        <w:rPr>
          <w:sz w:val="20"/>
        </w:rPr>
        <w:t>For the PRA to consider potential basis risk capital relief for firms adopting SONIA (i.e. via LIBOR OIS basis positions) without the liability discounting curve having</w:t>
      </w:r>
      <w:r>
        <w:rPr>
          <w:spacing w:val="-16"/>
          <w:sz w:val="20"/>
        </w:rPr>
        <w:t> </w:t>
      </w:r>
      <w:r>
        <w:rPr>
          <w:sz w:val="20"/>
        </w:rPr>
        <w:t>changed.</w:t>
      </w:r>
    </w:p>
    <w:p>
      <w:pPr>
        <w:pStyle w:val="ListParagraph"/>
        <w:numPr>
          <w:ilvl w:val="0"/>
          <w:numId w:val="1"/>
        </w:numPr>
        <w:tabs>
          <w:tab w:pos="556" w:val="left" w:leader="none"/>
        </w:tabs>
        <w:spacing w:line="360" w:lineRule="auto" w:before="119" w:after="0"/>
        <w:ind w:left="555" w:right="682" w:hanging="361"/>
        <w:jc w:val="left"/>
        <w:rPr>
          <w:sz w:val="20"/>
        </w:rPr>
      </w:pPr>
      <w:r>
        <w:rPr>
          <w:sz w:val="20"/>
        </w:rPr>
        <w:t>The Chair suggested the Sub-Group reach out to the Euro Working Group on Risk-Free Rates to discuss these</w:t>
      </w:r>
      <w:r>
        <w:rPr>
          <w:spacing w:val="1"/>
          <w:sz w:val="20"/>
        </w:rPr>
        <w:t> </w:t>
      </w:r>
      <w:r>
        <w:rPr>
          <w:sz w:val="20"/>
        </w:rPr>
        <w:t>issues.</w:t>
      </w:r>
    </w:p>
    <w:p>
      <w:pPr>
        <w:pStyle w:val="ListParagraph"/>
        <w:numPr>
          <w:ilvl w:val="0"/>
          <w:numId w:val="1"/>
        </w:numPr>
        <w:tabs>
          <w:tab w:pos="557" w:val="left" w:leader="none"/>
        </w:tabs>
        <w:spacing w:line="357" w:lineRule="auto" w:before="121" w:after="0"/>
        <w:ind w:left="556" w:right="587" w:hanging="361"/>
        <w:jc w:val="left"/>
        <w:rPr>
          <w:sz w:val="20"/>
        </w:rPr>
      </w:pPr>
      <w:r>
        <w:rPr>
          <w:sz w:val="20"/>
        </w:rPr>
        <w:t>The Sub-Group Chair also highlighted that there was a concern in the Sub-Group that signing any ISDA protocol to implement an ISDA fallback would have value transfer</w:t>
      </w:r>
      <w:r>
        <w:rPr>
          <w:spacing w:val="-13"/>
          <w:sz w:val="20"/>
        </w:rPr>
        <w:t> </w:t>
      </w:r>
      <w:r>
        <w:rPr>
          <w:sz w:val="20"/>
        </w:rPr>
        <w:t>implications.</w:t>
      </w:r>
    </w:p>
    <w:p>
      <w:pPr>
        <w:spacing w:after="0" w:line="357" w:lineRule="auto"/>
        <w:jc w:val="left"/>
        <w:rPr>
          <w:sz w:val="20"/>
        </w:rPr>
        <w:sectPr>
          <w:pgSz w:w="11910" w:h="16840"/>
          <w:pgMar w:top="1180" w:bottom="280" w:left="1080" w:right="1040"/>
        </w:sectPr>
      </w:pPr>
    </w:p>
    <w:p>
      <w:pPr>
        <w:spacing w:before="73"/>
        <w:ind w:left="196" w:right="0" w:firstLine="0"/>
        <w:jc w:val="left"/>
        <w:rPr>
          <w:i/>
          <w:sz w:val="20"/>
        </w:rPr>
      </w:pPr>
      <w:r>
        <w:rPr>
          <w:i/>
          <w:sz w:val="20"/>
        </w:rPr>
        <w:t>Communication &amp; Outreach</w:t>
      </w:r>
    </w:p>
    <w:p>
      <w:pPr>
        <w:pStyle w:val="BodyText"/>
        <w:spacing w:before="5"/>
        <w:rPr>
          <w:i/>
        </w:rPr>
      </w:pPr>
    </w:p>
    <w:p>
      <w:pPr>
        <w:pStyle w:val="ListParagraph"/>
        <w:numPr>
          <w:ilvl w:val="0"/>
          <w:numId w:val="1"/>
        </w:numPr>
        <w:tabs>
          <w:tab w:pos="557" w:val="left" w:leader="none"/>
        </w:tabs>
        <w:spacing w:line="360" w:lineRule="auto" w:before="0" w:after="0"/>
        <w:ind w:left="556" w:right="137" w:hanging="360"/>
        <w:jc w:val="left"/>
        <w:rPr>
          <w:sz w:val="20"/>
        </w:rPr>
      </w:pPr>
      <w:r>
        <w:rPr>
          <w:sz w:val="20"/>
        </w:rPr>
        <w:t>The Sub-Group had met for the first time one week earlier. Its role will be both to communicate with the market but also to communicate information from the market to the Working Group. It would be developing the Working Group’s communication strategy over the coming weeks including undertaking surveys where necessary and considering how best to engage with the</w:t>
      </w:r>
      <w:r>
        <w:rPr>
          <w:spacing w:val="-2"/>
          <w:sz w:val="20"/>
        </w:rPr>
        <w:t> </w:t>
      </w:r>
      <w:r>
        <w:rPr>
          <w:sz w:val="20"/>
        </w:rPr>
        <w:t>media.</w:t>
      </w:r>
    </w:p>
    <w:p>
      <w:pPr>
        <w:pStyle w:val="Heading2"/>
        <w:spacing w:before="118"/>
      </w:pPr>
      <w:r>
        <w:rPr/>
        <w:t>Next steps</w:t>
      </w:r>
    </w:p>
    <w:p>
      <w:pPr>
        <w:pStyle w:val="BodyText"/>
        <w:spacing w:before="6"/>
        <w:rPr>
          <w:b/>
        </w:rPr>
      </w:pPr>
    </w:p>
    <w:p>
      <w:pPr>
        <w:spacing w:before="0"/>
        <w:ind w:left="196" w:right="0" w:firstLine="0"/>
        <w:jc w:val="left"/>
        <w:rPr>
          <w:i/>
          <w:sz w:val="20"/>
        </w:rPr>
      </w:pPr>
      <w:r>
        <w:rPr>
          <w:i/>
          <w:sz w:val="20"/>
        </w:rPr>
        <w:t>Potential new Sub-Group</w:t>
      </w:r>
    </w:p>
    <w:p>
      <w:pPr>
        <w:pStyle w:val="BodyText"/>
        <w:spacing w:before="8"/>
        <w:rPr>
          <w:i/>
        </w:rPr>
      </w:pPr>
    </w:p>
    <w:p>
      <w:pPr>
        <w:pStyle w:val="ListParagraph"/>
        <w:numPr>
          <w:ilvl w:val="0"/>
          <w:numId w:val="1"/>
        </w:numPr>
        <w:tabs>
          <w:tab w:pos="557" w:val="left" w:leader="none"/>
        </w:tabs>
        <w:spacing w:line="360" w:lineRule="auto" w:before="0" w:after="0"/>
        <w:ind w:left="556" w:right="192" w:hanging="361"/>
        <w:jc w:val="left"/>
        <w:rPr>
          <w:sz w:val="20"/>
        </w:rPr>
      </w:pPr>
      <w:r>
        <w:rPr>
          <w:sz w:val="20"/>
        </w:rPr>
        <w:t>The Chair suggested that now would be the right time to consider convening a new market infrastructure Sub-Group to consider what changes to market infrastructure and systems requirements would be required for SONIA instruments to be more widely traded. He welcomed expressions of interest in engaging in this</w:t>
      </w:r>
      <w:r>
        <w:rPr>
          <w:spacing w:val="3"/>
          <w:sz w:val="20"/>
        </w:rPr>
        <w:t> </w:t>
      </w:r>
      <w:r>
        <w:rPr>
          <w:sz w:val="20"/>
        </w:rPr>
        <w:t>Sub-Group.</w:t>
      </w:r>
    </w:p>
    <w:p>
      <w:pPr>
        <w:spacing w:before="117"/>
        <w:ind w:left="196" w:right="0" w:firstLine="0"/>
        <w:jc w:val="left"/>
        <w:rPr>
          <w:i/>
          <w:sz w:val="20"/>
        </w:rPr>
      </w:pPr>
      <w:r>
        <w:rPr>
          <w:i/>
          <w:sz w:val="20"/>
        </w:rPr>
        <w:t>ISDA fallback consultation and benchmark transition report</w:t>
      </w:r>
    </w:p>
    <w:p>
      <w:pPr>
        <w:pStyle w:val="BodyText"/>
        <w:spacing w:before="9"/>
        <w:rPr>
          <w:i/>
        </w:rPr>
      </w:pPr>
    </w:p>
    <w:p>
      <w:pPr>
        <w:pStyle w:val="ListParagraph"/>
        <w:numPr>
          <w:ilvl w:val="0"/>
          <w:numId w:val="1"/>
        </w:numPr>
        <w:tabs>
          <w:tab w:pos="557" w:val="left" w:leader="none"/>
        </w:tabs>
        <w:spacing w:line="360" w:lineRule="auto" w:before="0" w:after="0"/>
        <w:ind w:left="556" w:right="371" w:hanging="361"/>
        <w:jc w:val="left"/>
        <w:rPr>
          <w:sz w:val="20"/>
        </w:rPr>
      </w:pPr>
      <w:r>
        <w:rPr>
          <w:sz w:val="20"/>
        </w:rPr>
        <w:t>In late June ISDA published its Global Benchmark Transition report</w:t>
      </w:r>
      <w:hyperlink w:history="true" w:anchor="_bookmark7">
        <w:r>
          <w:rPr>
            <w:sz w:val="20"/>
            <w:vertAlign w:val="superscript"/>
          </w:rPr>
          <w:t>8</w:t>
        </w:r>
        <w:r>
          <w:rPr>
            <w:sz w:val="20"/>
            <w:vertAlign w:val="baseline"/>
          </w:rPr>
          <w:t> </w:t>
        </w:r>
      </w:hyperlink>
      <w:r>
        <w:rPr>
          <w:sz w:val="20"/>
          <w:vertAlign w:val="baseline"/>
        </w:rPr>
        <w:t>including results of a survey of market participants. The survey results suggested awareness of transition was very high and a large percentage of respondents showed willingness to transition over the next 4 years. However, a low percentage of firms had plans or budget in place for</w:t>
      </w:r>
      <w:r>
        <w:rPr>
          <w:spacing w:val="-3"/>
          <w:sz w:val="20"/>
          <w:vertAlign w:val="baseline"/>
        </w:rPr>
        <w:t> </w:t>
      </w:r>
      <w:r>
        <w:rPr>
          <w:sz w:val="20"/>
          <w:vertAlign w:val="baseline"/>
        </w:rPr>
        <w:t>transition.</w:t>
      </w:r>
    </w:p>
    <w:p>
      <w:pPr>
        <w:pStyle w:val="ListParagraph"/>
        <w:numPr>
          <w:ilvl w:val="0"/>
          <w:numId w:val="1"/>
        </w:numPr>
        <w:tabs>
          <w:tab w:pos="557" w:val="left" w:leader="none"/>
        </w:tabs>
        <w:spacing w:line="360" w:lineRule="auto" w:before="117" w:after="0"/>
        <w:ind w:left="556" w:right="326" w:hanging="360"/>
        <w:jc w:val="left"/>
        <w:rPr>
          <w:sz w:val="20"/>
        </w:rPr>
      </w:pPr>
      <w:r>
        <w:rPr>
          <w:sz w:val="20"/>
        </w:rPr>
        <w:t>ISDA expected their forthcoming consultation on fallbacks to be published on 11</w:t>
      </w:r>
      <w:r>
        <w:rPr>
          <w:sz w:val="20"/>
          <w:vertAlign w:val="superscript"/>
        </w:rPr>
        <w:t>th</w:t>
      </w:r>
      <w:r>
        <w:rPr>
          <w:sz w:val="20"/>
          <w:vertAlign w:val="baseline"/>
        </w:rPr>
        <w:t> July 2018. It would cover term structures for the fallbacks; proposed credit spread methodologies; triggers; and a governance model. ISDA urged members of the Working Group to respond to this consultation. The Chair suggested that the ISDA consultation should be circulated ahead of the next meeting so that it could be discussed further.</w:t>
      </w:r>
    </w:p>
    <w:p>
      <w:pPr>
        <w:spacing w:before="119"/>
        <w:ind w:left="196" w:right="0" w:firstLine="0"/>
        <w:jc w:val="left"/>
        <w:rPr>
          <w:i/>
          <w:sz w:val="20"/>
        </w:rPr>
      </w:pPr>
      <w:r>
        <w:rPr>
          <w:i/>
          <w:sz w:val="20"/>
        </w:rPr>
        <w:t>Legal risk associated with Working Group’s activities</w:t>
      </w:r>
    </w:p>
    <w:p>
      <w:pPr>
        <w:pStyle w:val="BodyText"/>
        <w:spacing w:before="8"/>
        <w:rPr>
          <w:i/>
        </w:rPr>
      </w:pPr>
    </w:p>
    <w:p>
      <w:pPr>
        <w:pStyle w:val="ListParagraph"/>
        <w:numPr>
          <w:ilvl w:val="0"/>
          <w:numId w:val="1"/>
        </w:numPr>
        <w:tabs>
          <w:tab w:pos="558" w:val="left" w:leader="none"/>
        </w:tabs>
        <w:spacing w:line="360" w:lineRule="auto" w:before="0" w:after="0"/>
        <w:ind w:left="556" w:right="125" w:hanging="360"/>
        <w:jc w:val="left"/>
        <w:rPr>
          <w:sz w:val="20"/>
        </w:rPr>
      </w:pPr>
      <w:r>
        <w:rPr>
          <w:sz w:val="20"/>
        </w:rPr>
        <w:t>The Chair raised for discussion the question of how the Working Group could best ensure that it operated in accordance with relevant laws, in particular competition law. The approach the Sterling Working Group had taken so far was to require members to take their own legal and competition law advice on how to operate on the Working Group. He noted however that the Alternative Reference Rates Committee (“ARRC”) in the US had appointed legal counsel to provide advice to the ARRC, paid for by the committee as a whole. He asked members to liaise with their own legal counsel and consider ahead of the next meeting whether the Working Group should take a similar</w:t>
      </w:r>
      <w:r>
        <w:rPr>
          <w:spacing w:val="-13"/>
          <w:sz w:val="20"/>
        </w:rPr>
        <w:t> </w:t>
      </w:r>
      <w:r>
        <w:rPr>
          <w:sz w:val="20"/>
        </w:rPr>
        <w:t>approach.</w:t>
      </w:r>
    </w:p>
    <w:p>
      <w:pPr>
        <w:pStyle w:val="Heading2"/>
        <w:spacing w:before="117"/>
      </w:pPr>
      <w:r>
        <w:rPr/>
        <w:t>AOB</w:t>
      </w:r>
    </w:p>
    <w:p>
      <w:pPr>
        <w:pStyle w:val="BodyText"/>
        <w:spacing w:before="8"/>
        <w:rPr>
          <w:b/>
        </w:rPr>
      </w:pPr>
    </w:p>
    <w:p>
      <w:pPr>
        <w:pStyle w:val="ListParagraph"/>
        <w:numPr>
          <w:ilvl w:val="0"/>
          <w:numId w:val="1"/>
        </w:numPr>
        <w:tabs>
          <w:tab w:pos="557" w:val="left" w:leader="none"/>
        </w:tabs>
        <w:spacing w:line="360" w:lineRule="auto" w:before="0" w:after="0"/>
        <w:ind w:left="556" w:right="525" w:hanging="360"/>
        <w:jc w:val="left"/>
        <w:rPr>
          <w:sz w:val="20"/>
        </w:rPr>
      </w:pPr>
      <w:r>
        <w:rPr>
          <w:sz w:val="20"/>
        </w:rPr>
        <w:t>The Bank of England had sent a GDPR request to all the firms involved in the Working Group. The Chair reminded members to respond to this</w:t>
      </w:r>
      <w:r>
        <w:rPr>
          <w:spacing w:val="-4"/>
          <w:sz w:val="20"/>
        </w:rPr>
        <w:t> </w:t>
      </w:r>
      <w:r>
        <w:rPr>
          <w:sz w:val="20"/>
        </w:rPr>
        <w:t>request.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7"/>
        </w:rPr>
      </w:pPr>
      <w:r>
        <w:rPr/>
        <w:pict>
          <v:shape style="position:absolute;margin-left:63.84pt;margin-top:12.366641pt;width:144pt;height:.1pt;mso-position-horizontal-relative:page;mso-position-vertical-relative:paragraph;z-index:-251655168;mso-wrap-distance-left:0;mso-wrap-distance-right:0" coordorigin="1277,247" coordsize="2880,0" path="m1277,247l4157,247e" filled="false" stroked="true" strokeweight=".72pt" strokecolor="#000000">
            <v:path arrowok="t"/>
            <v:stroke dashstyle="solid"/>
            <w10:wrap type="topAndBottom"/>
          </v:shape>
        </w:pict>
      </w:r>
    </w:p>
    <w:p>
      <w:pPr>
        <w:pStyle w:val="BodyText"/>
        <w:spacing w:before="39"/>
        <w:ind w:left="196"/>
        <w:rPr>
          <w:rFonts w:ascii="Calibri"/>
        </w:rPr>
      </w:pPr>
      <w:bookmarkStart w:name="_bookmark7" w:id="8"/>
      <w:bookmarkEnd w:id="8"/>
      <w:r>
        <w:rPr/>
      </w:r>
      <w:r>
        <w:rPr>
          <w:rFonts w:ascii="Calibri"/>
          <w:position w:val="10"/>
          <w:sz w:val="13"/>
        </w:rPr>
        <w:t>8 </w:t>
      </w:r>
      <w:r>
        <w:rPr>
          <w:rFonts w:ascii="Calibri"/>
        </w:rPr>
        <w:t>https://</w:t>
      </w:r>
      <w:hyperlink r:id="rId12">
        <w:r>
          <w:rPr>
            <w:rFonts w:ascii="Calibri"/>
          </w:rPr>
          <w:t>www.isda.org/2018/06/25/ibor-global-benchmark-transition-report/</w:t>
        </w:r>
      </w:hyperlink>
    </w:p>
    <w:p>
      <w:pPr>
        <w:spacing w:after="0"/>
        <w:rPr>
          <w:rFonts w:ascii="Calibri"/>
        </w:rPr>
        <w:sectPr>
          <w:pgSz w:w="11910" w:h="16840"/>
          <w:pgMar w:top="1180" w:bottom="280" w:left="1080" w:right="1040"/>
        </w:sectPr>
      </w:pPr>
    </w:p>
    <w:p>
      <w:pPr>
        <w:pStyle w:val="Heading2"/>
      </w:pPr>
      <w:r>
        <w:rPr/>
        <w:t>Private sector</w:t>
      </w:r>
      <w:r>
        <w:rPr>
          <w:spacing w:val="-17"/>
        </w:rPr>
        <w:t> </w:t>
      </w:r>
      <w:r>
        <w:rPr/>
        <w:t>attendees</w:t>
      </w:r>
    </w:p>
    <w:p>
      <w:pPr>
        <w:pStyle w:val="BodyText"/>
        <w:rPr>
          <w:b/>
          <w:sz w:val="2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9"/>
        <w:gridCol w:w="5726"/>
      </w:tblGrid>
      <w:tr>
        <w:trPr>
          <w:trHeight w:val="262" w:hRule="atLeast"/>
        </w:trPr>
        <w:tc>
          <w:tcPr>
            <w:tcW w:w="2869" w:type="dxa"/>
          </w:tcPr>
          <w:p>
            <w:pPr>
              <w:pStyle w:val="TableParagraph"/>
              <w:spacing w:line="225" w:lineRule="exact" w:before="0"/>
              <w:rPr>
                <w:rFonts w:ascii="Arial"/>
                <w:sz w:val="20"/>
              </w:rPr>
            </w:pPr>
            <w:r>
              <w:rPr>
                <w:rFonts w:ascii="Arial"/>
                <w:sz w:val="20"/>
              </w:rPr>
              <w:t>Francois Jourdain</w:t>
            </w:r>
          </w:p>
        </w:tc>
        <w:tc>
          <w:tcPr>
            <w:tcW w:w="5726" w:type="dxa"/>
          </w:tcPr>
          <w:p>
            <w:pPr>
              <w:pStyle w:val="TableParagraph"/>
              <w:spacing w:line="223" w:lineRule="exact" w:before="0"/>
              <w:ind w:left="448"/>
              <w:rPr>
                <w:rFonts w:ascii="Arial"/>
                <w:b/>
                <w:sz w:val="20"/>
              </w:rPr>
            </w:pPr>
            <w:r>
              <w:rPr>
                <w:rFonts w:ascii="Arial"/>
                <w:b/>
                <w:sz w:val="20"/>
              </w:rPr>
              <w:t>Barclays (Chair)</w:t>
            </w:r>
          </w:p>
        </w:tc>
      </w:tr>
      <w:tr>
        <w:trPr>
          <w:trHeight w:val="300" w:hRule="atLeast"/>
        </w:trPr>
        <w:tc>
          <w:tcPr>
            <w:tcW w:w="2869" w:type="dxa"/>
          </w:tcPr>
          <w:p>
            <w:pPr>
              <w:pStyle w:val="TableParagraph"/>
              <w:rPr>
                <w:rFonts w:ascii="Arial"/>
                <w:sz w:val="20"/>
              </w:rPr>
            </w:pPr>
            <w:r>
              <w:rPr>
                <w:rFonts w:ascii="Arial"/>
                <w:sz w:val="20"/>
              </w:rPr>
              <w:t>Andreas Giannopoulos</w:t>
            </w:r>
          </w:p>
        </w:tc>
        <w:tc>
          <w:tcPr>
            <w:tcW w:w="5726" w:type="dxa"/>
          </w:tcPr>
          <w:p>
            <w:pPr>
              <w:pStyle w:val="TableParagraph"/>
              <w:spacing w:before="30"/>
              <w:ind w:left="448"/>
              <w:rPr>
                <w:rFonts w:ascii="Arial" w:hAnsi="Arial"/>
                <w:b/>
                <w:sz w:val="20"/>
              </w:rPr>
            </w:pPr>
            <w:r>
              <w:rPr>
                <w:rFonts w:ascii="Arial" w:hAnsi="Arial"/>
                <w:b/>
                <w:sz w:val="20"/>
              </w:rPr>
              <w:t>Barclays (Chair’s office)</w:t>
            </w:r>
          </w:p>
        </w:tc>
      </w:tr>
      <w:tr>
        <w:trPr>
          <w:trHeight w:val="300" w:hRule="atLeast"/>
        </w:trPr>
        <w:tc>
          <w:tcPr>
            <w:tcW w:w="2869" w:type="dxa"/>
          </w:tcPr>
          <w:p>
            <w:pPr>
              <w:pStyle w:val="TableParagraph"/>
              <w:rPr>
                <w:rFonts w:ascii="Arial"/>
                <w:sz w:val="20"/>
              </w:rPr>
            </w:pPr>
            <w:r>
              <w:rPr>
                <w:rFonts w:ascii="Arial"/>
                <w:sz w:val="20"/>
              </w:rPr>
              <w:t>Frances Hinden</w:t>
            </w:r>
          </w:p>
        </w:tc>
        <w:tc>
          <w:tcPr>
            <w:tcW w:w="5726" w:type="dxa"/>
          </w:tcPr>
          <w:p>
            <w:pPr>
              <w:pStyle w:val="TableParagraph"/>
              <w:spacing w:before="30"/>
              <w:ind w:left="448"/>
              <w:rPr>
                <w:rFonts w:ascii="Arial"/>
                <w:b/>
                <w:sz w:val="20"/>
              </w:rPr>
            </w:pPr>
            <w:r>
              <w:rPr>
                <w:rFonts w:ascii="Arial"/>
                <w:b/>
                <w:sz w:val="20"/>
              </w:rPr>
              <w:t>Shell (Vice Chair)</w:t>
            </w:r>
          </w:p>
        </w:tc>
      </w:tr>
      <w:tr>
        <w:trPr>
          <w:trHeight w:val="300" w:hRule="atLeast"/>
        </w:trPr>
        <w:tc>
          <w:tcPr>
            <w:tcW w:w="2869" w:type="dxa"/>
          </w:tcPr>
          <w:p>
            <w:pPr>
              <w:pStyle w:val="TableParagraph"/>
              <w:rPr>
                <w:rFonts w:ascii="Arial"/>
                <w:sz w:val="20"/>
              </w:rPr>
            </w:pPr>
            <w:r>
              <w:rPr>
                <w:rFonts w:ascii="Arial"/>
                <w:sz w:val="20"/>
              </w:rPr>
              <w:t>Simon Wilkinson</w:t>
            </w:r>
          </w:p>
        </w:tc>
        <w:tc>
          <w:tcPr>
            <w:tcW w:w="5726" w:type="dxa"/>
          </w:tcPr>
          <w:p>
            <w:pPr>
              <w:pStyle w:val="TableParagraph"/>
              <w:spacing w:before="30"/>
              <w:ind w:left="448"/>
              <w:rPr>
                <w:rFonts w:ascii="Arial"/>
                <w:b/>
                <w:sz w:val="20"/>
              </w:rPr>
            </w:pPr>
            <w:r>
              <w:rPr>
                <w:rFonts w:ascii="Arial"/>
                <w:b/>
                <w:sz w:val="20"/>
              </w:rPr>
              <w:t>Legal &amp; General Investment Management (Vice Chair)</w:t>
            </w:r>
          </w:p>
        </w:tc>
      </w:tr>
      <w:tr>
        <w:trPr>
          <w:trHeight w:val="300" w:hRule="atLeast"/>
        </w:trPr>
        <w:tc>
          <w:tcPr>
            <w:tcW w:w="2869" w:type="dxa"/>
          </w:tcPr>
          <w:p>
            <w:pPr>
              <w:pStyle w:val="TableParagraph"/>
              <w:rPr>
                <w:rFonts w:ascii="Arial"/>
                <w:sz w:val="20"/>
              </w:rPr>
            </w:pPr>
            <w:r>
              <w:rPr>
                <w:rFonts w:ascii="Arial"/>
                <w:sz w:val="20"/>
              </w:rPr>
              <w:t>Robert De Roeck</w:t>
            </w:r>
          </w:p>
        </w:tc>
        <w:tc>
          <w:tcPr>
            <w:tcW w:w="5726" w:type="dxa"/>
          </w:tcPr>
          <w:p>
            <w:pPr>
              <w:pStyle w:val="TableParagraph"/>
              <w:spacing w:before="30"/>
              <w:ind w:left="448"/>
              <w:rPr>
                <w:rFonts w:ascii="Arial"/>
                <w:b/>
                <w:sz w:val="20"/>
              </w:rPr>
            </w:pPr>
            <w:r>
              <w:rPr>
                <w:rFonts w:ascii="Arial"/>
                <w:b/>
                <w:sz w:val="20"/>
              </w:rPr>
              <w:t>Aberdeen Standard Investments</w:t>
            </w:r>
          </w:p>
        </w:tc>
      </w:tr>
      <w:tr>
        <w:trPr>
          <w:trHeight w:val="300" w:hRule="atLeast"/>
        </w:trPr>
        <w:tc>
          <w:tcPr>
            <w:tcW w:w="2869" w:type="dxa"/>
          </w:tcPr>
          <w:p>
            <w:pPr>
              <w:pStyle w:val="TableParagraph"/>
              <w:rPr>
                <w:rFonts w:ascii="Arial"/>
                <w:sz w:val="20"/>
              </w:rPr>
            </w:pPr>
            <w:r>
              <w:rPr>
                <w:rFonts w:ascii="Arial"/>
                <w:sz w:val="20"/>
              </w:rPr>
              <w:t>Shaun Kennedy</w:t>
            </w:r>
          </w:p>
        </w:tc>
        <w:tc>
          <w:tcPr>
            <w:tcW w:w="5726" w:type="dxa"/>
          </w:tcPr>
          <w:p>
            <w:pPr>
              <w:pStyle w:val="TableParagraph"/>
              <w:spacing w:before="30"/>
              <w:ind w:left="448"/>
              <w:rPr>
                <w:rFonts w:ascii="Arial"/>
                <w:b/>
                <w:sz w:val="20"/>
              </w:rPr>
            </w:pPr>
            <w:r>
              <w:rPr>
                <w:rFonts w:ascii="Arial"/>
                <w:b/>
                <w:sz w:val="20"/>
              </w:rPr>
              <w:t>Associated British Ports</w:t>
            </w:r>
          </w:p>
        </w:tc>
      </w:tr>
      <w:tr>
        <w:trPr>
          <w:trHeight w:val="300" w:hRule="atLeast"/>
        </w:trPr>
        <w:tc>
          <w:tcPr>
            <w:tcW w:w="2869" w:type="dxa"/>
          </w:tcPr>
          <w:p>
            <w:pPr>
              <w:pStyle w:val="TableParagraph"/>
              <w:rPr>
                <w:rFonts w:ascii="Arial"/>
                <w:sz w:val="20"/>
              </w:rPr>
            </w:pPr>
            <w:r>
              <w:rPr>
                <w:rFonts w:ascii="Arial"/>
                <w:sz w:val="20"/>
              </w:rPr>
              <w:t>Sarah Boyce</w:t>
            </w:r>
          </w:p>
        </w:tc>
        <w:tc>
          <w:tcPr>
            <w:tcW w:w="5726" w:type="dxa"/>
          </w:tcPr>
          <w:p>
            <w:pPr>
              <w:pStyle w:val="TableParagraph"/>
              <w:spacing w:before="30"/>
              <w:ind w:left="448"/>
              <w:rPr>
                <w:rFonts w:ascii="Arial"/>
                <w:b/>
                <w:sz w:val="20"/>
              </w:rPr>
            </w:pPr>
            <w:r>
              <w:rPr>
                <w:rFonts w:ascii="Arial"/>
                <w:b/>
                <w:sz w:val="20"/>
              </w:rPr>
              <w:t>Association of Corporate Treasurers</w:t>
            </w:r>
          </w:p>
        </w:tc>
      </w:tr>
      <w:tr>
        <w:trPr>
          <w:trHeight w:val="300" w:hRule="atLeast"/>
        </w:trPr>
        <w:tc>
          <w:tcPr>
            <w:tcW w:w="2869" w:type="dxa"/>
          </w:tcPr>
          <w:p>
            <w:pPr>
              <w:pStyle w:val="TableParagraph"/>
              <w:rPr>
                <w:rFonts w:ascii="Arial"/>
                <w:sz w:val="20"/>
              </w:rPr>
            </w:pPr>
            <w:r>
              <w:rPr>
                <w:rFonts w:ascii="Arial"/>
                <w:sz w:val="20"/>
              </w:rPr>
              <w:t>Nick Saggers</w:t>
            </w:r>
          </w:p>
        </w:tc>
        <w:tc>
          <w:tcPr>
            <w:tcW w:w="5726" w:type="dxa"/>
          </w:tcPr>
          <w:p>
            <w:pPr>
              <w:pStyle w:val="TableParagraph"/>
              <w:spacing w:before="30"/>
              <w:ind w:left="448"/>
              <w:rPr>
                <w:rFonts w:ascii="Arial"/>
                <w:b/>
                <w:sz w:val="20"/>
              </w:rPr>
            </w:pPr>
            <w:r>
              <w:rPr>
                <w:rFonts w:ascii="Arial"/>
                <w:b/>
                <w:sz w:val="20"/>
              </w:rPr>
              <w:t>Bank of America Merrill Lynch</w:t>
            </w:r>
          </w:p>
        </w:tc>
      </w:tr>
      <w:tr>
        <w:trPr>
          <w:trHeight w:val="300" w:hRule="atLeast"/>
        </w:trPr>
        <w:tc>
          <w:tcPr>
            <w:tcW w:w="2869" w:type="dxa"/>
          </w:tcPr>
          <w:p>
            <w:pPr>
              <w:pStyle w:val="TableParagraph"/>
              <w:rPr>
                <w:rFonts w:ascii="Arial"/>
                <w:sz w:val="20"/>
              </w:rPr>
            </w:pPr>
            <w:r>
              <w:rPr>
                <w:rFonts w:ascii="Arial"/>
                <w:sz w:val="20"/>
              </w:rPr>
              <w:t>Jon Desler</w:t>
            </w:r>
          </w:p>
        </w:tc>
        <w:tc>
          <w:tcPr>
            <w:tcW w:w="5726" w:type="dxa"/>
          </w:tcPr>
          <w:p>
            <w:pPr>
              <w:pStyle w:val="TableParagraph"/>
              <w:spacing w:before="30"/>
              <w:ind w:left="448"/>
              <w:rPr>
                <w:rFonts w:ascii="Arial"/>
                <w:b/>
                <w:sz w:val="20"/>
              </w:rPr>
            </w:pPr>
            <w:r>
              <w:rPr>
                <w:rFonts w:ascii="Arial"/>
                <w:b/>
                <w:sz w:val="20"/>
              </w:rPr>
              <w:t>Barclays</w:t>
            </w:r>
          </w:p>
        </w:tc>
      </w:tr>
      <w:tr>
        <w:trPr>
          <w:trHeight w:val="300" w:hRule="atLeast"/>
        </w:trPr>
        <w:tc>
          <w:tcPr>
            <w:tcW w:w="2869" w:type="dxa"/>
          </w:tcPr>
          <w:p>
            <w:pPr>
              <w:pStyle w:val="TableParagraph"/>
              <w:rPr>
                <w:rFonts w:ascii="Arial"/>
                <w:sz w:val="20"/>
              </w:rPr>
            </w:pPr>
            <w:r>
              <w:rPr>
                <w:rFonts w:ascii="Arial"/>
                <w:sz w:val="20"/>
              </w:rPr>
              <w:t>Robert Mitchelson</w:t>
            </w:r>
          </w:p>
        </w:tc>
        <w:tc>
          <w:tcPr>
            <w:tcW w:w="5726" w:type="dxa"/>
          </w:tcPr>
          <w:p>
            <w:pPr>
              <w:pStyle w:val="TableParagraph"/>
              <w:spacing w:before="30"/>
              <w:ind w:left="448"/>
              <w:rPr>
                <w:rFonts w:ascii="Arial"/>
                <w:b/>
                <w:sz w:val="20"/>
              </w:rPr>
            </w:pPr>
            <w:r>
              <w:rPr>
                <w:rFonts w:ascii="Arial"/>
                <w:b/>
                <w:sz w:val="20"/>
              </w:rPr>
              <w:t>Blackrock</w:t>
            </w:r>
          </w:p>
        </w:tc>
      </w:tr>
      <w:tr>
        <w:trPr>
          <w:trHeight w:val="300" w:hRule="atLeast"/>
        </w:trPr>
        <w:tc>
          <w:tcPr>
            <w:tcW w:w="2869" w:type="dxa"/>
          </w:tcPr>
          <w:p>
            <w:pPr>
              <w:pStyle w:val="TableParagraph"/>
              <w:rPr>
                <w:rFonts w:ascii="Arial"/>
                <w:sz w:val="20"/>
              </w:rPr>
            </w:pPr>
            <w:r>
              <w:rPr>
                <w:rFonts w:ascii="Arial"/>
                <w:sz w:val="20"/>
              </w:rPr>
              <w:t>Timothy Tomalin-Reeves</w:t>
            </w:r>
          </w:p>
        </w:tc>
        <w:tc>
          <w:tcPr>
            <w:tcW w:w="5726" w:type="dxa"/>
          </w:tcPr>
          <w:p>
            <w:pPr>
              <w:pStyle w:val="TableParagraph"/>
              <w:spacing w:before="30"/>
              <w:ind w:left="448"/>
              <w:rPr>
                <w:rFonts w:ascii="Arial"/>
                <w:b/>
                <w:sz w:val="20"/>
              </w:rPr>
            </w:pPr>
            <w:r>
              <w:rPr>
                <w:rFonts w:ascii="Arial"/>
                <w:b/>
                <w:sz w:val="20"/>
              </w:rPr>
              <w:t>Citadel</w:t>
            </w:r>
          </w:p>
        </w:tc>
      </w:tr>
      <w:tr>
        <w:trPr>
          <w:trHeight w:val="300" w:hRule="atLeast"/>
        </w:trPr>
        <w:tc>
          <w:tcPr>
            <w:tcW w:w="2869" w:type="dxa"/>
          </w:tcPr>
          <w:p>
            <w:pPr>
              <w:pStyle w:val="TableParagraph"/>
              <w:rPr>
                <w:rFonts w:ascii="Arial"/>
                <w:sz w:val="20"/>
              </w:rPr>
            </w:pPr>
            <w:r>
              <w:rPr>
                <w:rFonts w:ascii="Arial"/>
                <w:sz w:val="20"/>
              </w:rPr>
              <w:t>Michael Barron</w:t>
            </w:r>
          </w:p>
        </w:tc>
        <w:tc>
          <w:tcPr>
            <w:tcW w:w="5726" w:type="dxa"/>
          </w:tcPr>
          <w:p>
            <w:pPr>
              <w:pStyle w:val="TableParagraph"/>
              <w:spacing w:before="30"/>
              <w:ind w:left="448"/>
              <w:rPr>
                <w:rFonts w:ascii="Arial"/>
                <w:b/>
                <w:sz w:val="20"/>
              </w:rPr>
            </w:pPr>
            <w:r>
              <w:rPr>
                <w:rFonts w:ascii="Arial"/>
                <w:b/>
                <w:sz w:val="20"/>
              </w:rPr>
              <w:t>Deutsche Bank</w:t>
            </w:r>
          </w:p>
        </w:tc>
      </w:tr>
      <w:tr>
        <w:trPr>
          <w:trHeight w:val="300" w:hRule="atLeast"/>
        </w:trPr>
        <w:tc>
          <w:tcPr>
            <w:tcW w:w="2869" w:type="dxa"/>
          </w:tcPr>
          <w:p>
            <w:pPr>
              <w:pStyle w:val="TableParagraph"/>
              <w:rPr>
                <w:rFonts w:ascii="Arial"/>
                <w:sz w:val="20"/>
              </w:rPr>
            </w:pPr>
            <w:r>
              <w:rPr>
                <w:rFonts w:ascii="Arial"/>
                <w:sz w:val="20"/>
              </w:rPr>
              <w:t>Axel van Nederveen</w:t>
            </w:r>
          </w:p>
        </w:tc>
        <w:tc>
          <w:tcPr>
            <w:tcW w:w="5726" w:type="dxa"/>
          </w:tcPr>
          <w:p>
            <w:pPr>
              <w:pStyle w:val="TableParagraph"/>
              <w:spacing w:before="30"/>
              <w:ind w:left="448"/>
              <w:rPr>
                <w:rFonts w:ascii="Arial"/>
                <w:b/>
                <w:sz w:val="20"/>
              </w:rPr>
            </w:pPr>
            <w:r>
              <w:rPr>
                <w:rFonts w:ascii="Arial"/>
                <w:b/>
                <w:sz w:val="20"/>
              </w:rPr>
              <w:t>European Bank for Reconstruction &amp; Development</w:t>
            </w:r>
          </w:p>
        </w:tc>
      </w:tr>
      <w:tr>
        <w:trPr>
          <w:trHeight w:val="300" w:hRule="atLeast"/>
        </w:trPr>
        <w:tc>
          <w:tcPr>
            <w:tcW w:w="2869" w:type="dxa"/>
          </w:tcPr>
          <w:p>
            <w:pPr>
              <w:pStyle w:val="TableParagraph"/>
              <w:rPr>
                <w:rFonts w:ascii="Arial"/>
                <w:sz w:val="20"/>
              </w:rPr>
            </w:pPr>
            <w:r>
              <w:rPr>
                <w:rFonts w:ascii="Arial"/>
                <w:sz w:val="20"/>
              </w:rPr>
              <w:t>Chirag Dave</w:t>
            </w:r>
          </w:p>
        </w:tc>
        <w:tc>
          <w:tcPr>
            <w:tcW w:w="5726" w:type="dxa"/>
          </w:tcPr>
          <w:p>
            <w:pPr>
              <w:pStyle w:val="TableParagraph"/>
              <w:spacing w:before="30"/>
              <w:ind w:left="448"/>
              <w:rPr>
                <w:rFonts w:ascii="Arial"/>
                <w:b/>
                <w:sz w:val="20"/>
              </w:rPr>
            </w:pPr>
            <w:r>
              <w:rPr>
                <w:rFonts w:ascii="Arial"/>
                <w:b/>
                <w:sz w:val="20"/>
              </w:rPr>
              <w:t>Goldman Sachs</w:t>
            </w:r>
          </w:p>
        </w:tc>
      </w:tr>
      <w:tr>
        <w:trPr>
          <w:trHeight w:val="300" w:hRule="atLeast"/>
        </w:trPr>
        <w:tc>
          <w:tcPr>
            <w:tcW w:w="2869" w:type="dxa"/>
          </w:tcPr>
          <w:p>
            <w:pPr>
              <w:pStyle w:val="TableParagraph"/>
              <w:rPr>
                <w:rFonts w:ascii="Arial"/>
                <w:sz w:val="20"/>
              </w:rPr>
            </w:pPr>
            <w:r>
              <w:rPr>
                <w:rFonts w:ascii="Arial"/>
                <w:sz w:val="20"/>
              </w:rPr>
              <w:t>Daniele Forni</w:t>
            </w:r>
          </w:p>
        </w:tc>
        <w:tc>
          <w:tcPr>
            <w:tcW w:w="5726" w:type="dxa"/>
          </w:tcPr>
          <w:p>
            <w:pPr>
              <w:pStyle w:val="TableParagraph"/>
              <w:spacing w:before="30"/>
              <w:ind w:left="448"/>
              <w:rPr>
                <w:rFonts w:ascii="Arial"/>
                <w:b/>
                <w:sz w:val="20"/>
              </w:rPr>
            </w:pPr>
            <w:r>
              <w:rPr>
                <w:rFonts w:ascii="Arial"/>
                <w:b/>
                <w:sz w:val="20"/>
              </w:rPr>
              <w:t>HSBC</w:t>
            </w:r>
          </w:p>
        </w:tc>
      </w:tr>
      <w:tr>
        <w:trPr>
          <w:trHeight w:val="300" w:hRule="atLeast"/>
        </w:trPr>
        <w:tc>
          <w:tcPr>
            <w:tcW w:w="2869" w:type="dxa"/>
          </w:tcPr>
          <w:p>
            <w:pPr>
              <w:pStyle w:val="TableParagraph"/>
              <w:rPr>
                <w:rFonts w:ascii="Arial"/>
                <w:sz w:val="20"/>
              </w:rPr>
            </w:pPr>
            <w:r>
              <w:rPr>
                <w:rFonts w:ascii="Arial"/>
                <w:sz w:val="20"/>
              </w:rPr>
              <w:t>Chris Rhodes</w:t>
            </w:r>
          </w:p>
        </w:tc>
        <w:tc>
          <w:tcPr>
            <w:tcW w:w="5726" w:type="dxa"/>
          </w:tcPr>
          <w:p>
            <w:pPr>
              <w:pStyle w:val="TableParagraph"/>
              <w:spacing w:before="30"/>
              <w:ind w:left="448"/>
              <w:rPr>
                <w:rFonts w:ascii="Arial"/>
                <w:b/>
                <w:sz w:val="20"/>
              </w:rPr>
            </w:pPr>
            <w:r>
              <w:rPr>
                <w:rFonts w:ascii="Arial"/>
                <w:b/>
                <w:sz w:val="20"/>
              </w:rPr>
              <w:t>ICE Group</w:t>
            </w:r>
          </w:p>
        </w:tc>
      </w:tr>
      <w:tr>
        <w:trPr>
          <w:trHeight w:val="300" w:hRule="atLeast"/>
        </w:trPr>
        <w:tc>
          <w:tcPr>
            <w:tcW w:w="2869" w:type="dxa"/>
          </w:tcPr>
          <w:p>
            <w:pPr>
              <w:pStyle w:val="TableParagraph"/>
              <w:rPr>
                <w:rFonts w:ascii="Arial"/>
                <w:sz w:val="20"/>
              </w:rPr>
            </w:pPr>
            <w:r>
              <w:rPr>
                <w:rFonts w:ascii="Arial"/>
                <w:sz w:val="20"/>
              </w:rPr>
              <w:t>Paul Richards</w:t>
            </w:r>
          </w:p>
        </w:tc>
        <w:tc>
          <w:tcPr>
            <w:tcW w:w="5726" w:type="dxa"/>
          </w:tcPr>
          <w:p>
            <w:pPr>
              <w:pStyle w:val="TableParagraph"/>
              <w:spacing w:before="30"/>
              <w:ind w:left="448"/>
              <w:rPr>
                <w:rFonts w:ascii="Arial"/>
                <w:b/>
                <w:sz w:val="20"/>
              </w:rPr>
            </w:pPr>
            <w:r>
              <w:rPr>
                <w:rFonts w:ascii="Arial"/>
                <w:b/>
                <w:sz w:val="20"/>
              </w:rPr>
              <w:t>ICMA</w:t>
            </w:r>
          </w:p>
        </w:tc>
      </w:tr>
      <w:tr>
        <w:trPr>
          <w:trHeight w:val="300" w:hRule="atLeast"/>
        </w:trPr>
        <w:tc>
          <w:tcPr>
            <w:tcW w:w="2869" w:type="dxa"/>
          </w:tcPr>
          <w:p>
            <w:pPr>
              <w:pStyle w:val="TableParagraph"/>
              <w:rPr>
                <w:rFonts w:ascii="Arial"/>
                <w:sz w:val="20"/>
              </w:rPr>
            </w:pPr>
            <w:r>
              <w:rPr>
                <w:rFonts w:ascii="Arial"/>
                <w:sz w:val="20"/>
              </w:rPr>
              <w:t>Robert Gall</w:t>
            </w:r>
          </w:p>
        </w:tc>
        <w:tc>
          <w:tcPr>
            <w:tcW w:w="5726" w:type="dxa"/>
          </w:tcPr>
          <w:p>
            <w:pPr>
              <w:pStyle w:val="TableParagraph"/>
              <w:spacing w:before="30"/>
              <w:ind w:left="448"/>
              <w:rPr>
                <w:rFonts w:ascii="Arial"/>
                <w:b/>
                <w:sz w:val="20"/>
              </w:rPr>
            </w:pPr>
            <w:r>
              <w:rPr>
                <w:rFonts w:ascii="Arial"/>
                <w:b/>
                <w:sz w:val="20"/>
              </w:rPr>
              <w:t>Insight Investment</w:t>
            </w:r>
          </w:p>
        </w:tc>
      </w:tr>
      <w:tr>
        <w:trPr>
          <w:trHeight w:val="300" w:hRule="atLeast"/>
        </w:trPr>
        <w:tc>
          <w:tcPr>
            <w:tcW w:w="2869" w:type="dxa"/>
          </w:tcPr>
          <w:p>
            <w:pPr>
              <w:pStyle w:val="TableParagraph"/>
              <w:rPr>
                <w:rFonts w:ascii="Arial"/>
                <w:sz w:val="20"/>
              </w:rPr>
            </w:pPr>
            <w:r>
              <w:rPr>
                <w:rFonts w:ascii="Arial"/>
                <w:sz w:val="20"/>
              </w:rPr>
              <w:t>Ross Barrett</w:t>
            </w:r>
          </w:p>
        </w:tc>
        <w:tc>
          <w:tcPr>
            <w:tcW w:w="5726" w:type="dxa"/>
          </w:tcPr>
          <w:p>
            <w:pPr>
              <w:pStyle w:val="TableParagraph"/>
              <w:spacing w:before="30"/>
              <w:ind w:left="448"/>
              <w:rPr>
                <w:rFonts w:ascii="Arial"/>
                <w:b/>
                <w:sz w:val="20"/>
              </w:rPr>
            </w:pPr>
            <w:r>
              <w:rPr>
                <w:rFonts w:ascii="Arial"/>
                <w:b/>
                <w:sz w:val="20"/>
              </w:rPr>
              <w:t>Investment Association</w:t>
            </w:r>
          </w:p>
        </w:tc>
      </w:tr>
      <w:tr>
        <w:trPr>
          <w:trHeight w:val="300" w:hRule="atLeast"/>
        </w:trPr>
        <w:tc>
          <w:tcPr>
            <w:tcW w:w="2869" w:type="dxa"/>
          </w:tcPr>
          <w:p>
            <w:pPr>
              <w:pStyle w:val="TableParagraph"/>
              <w:rPr>
                <w:rFonts w:ascii="Arial" w:hAnsi="Arial"/>
                <w:sz w:val="20"/>
              </w:rPr>
            </w:pPr>
            <w:r>
              <w:rPr>
                <w:rFonts w:ascii="Arial" w:hAnsi="Arial"/>
                <w:sz w:val="20"/>
              </w:rPr>
              <w:t>Scott O’Malia</w:t>
            </w:r>
          </w:p>
        </w:tc>
        <w:tc>
          <w:tcPr>
            <w:tcW w:w="5726" w:type="dxa"/>
          </w:tcPr>
          <w:p>
            <w:pPr>
              <w:pStyle w:val="TableParagraph"/>
              <w:spacing w:before="30"/>
              <w:ind w:left="448"/>
              <w:rPr>
                <w:rFonts w:ascii="Arial"/>
                <w:b/>
                <w:sz w:val="20"/>
              </w:rPr>
            </w:pPr>
            <w:r>
              <w:rPr>
                <w:rFonts w:ascii="Arial"/>
                <w:b/>
                <w:sz w:val="20"/>
              </w:rPr>
              <w:t>ISDA</w:t>
            </w:r>
          </w:p>
        </w:tc>
      </w:tr>
      <w:tr>
        <w:trPr>
          <w:trHeight w:val="300" w:hRule="atLeast"/>
        </w:trPr>
        <w:tc>
          <w:tcPr>
            <w:tcW w:w="2869" w:type="dxa"/>
          </w:tcPr>
          <w:p>
            <w:pPr>
              <w:pStyle w:val="TableParagraph"/>
              <w:rPr>
                <w:rFonts w:ascii="Arial"/>
                <w:sz w:val="20"/>
              </w:rPr>
            </w:pPr>
            <w:r>
              <w:rPr>
                <w:rFonts w:ascii="Arial"/>
                <w:sz w:val="20"/>
              </w:rPr>
              <w:t>Rick Sandilands</w:t>
            </w:r>
          </w:p>
        </w:tc>
        <w:tc>
          <w:tcPr>
            <w:tcW w:w="5726" w:type="dxa"/>
          </w:tcPr>
          <w:p>
            <w:pPr>
              <w:pStyle w:val="TableParagraph"/>
              <w:spacing w:before="30"/>
              <w:ind w:left="448"/>
              <w:rPr>
                <w:rFonts w:ascii="Arial"/>
                <w:b/>
                <w:sz w:val="20"/>
              </w:rPr>
            </w:pPr>
            <w:r>
              <w:rPr>
                <w:rFonts w:ascii="Arial"/>
                <w:b/>
                <w:sz w:val="20"/>
              </w:rPr>
              <w:t>ISDA</w:t>
            </w:r>
          </w:p>
        </w:tc>
      </w:tr>
      <w:tr>
        <w:trPr>
          <w:trHeight w:val="300" w:hRule="atLeast"/>
        </w:trPr>
        <w:tc>
          <w:tcPr>
            <w:tcW w:w="2869" w:type="dxa"/>
          </w:tcPr>
          <w:p>
            <w:pPr>
              <w:pStyle w:val="TableParagraph"/>
              <w:rPr>
                <w:rFonts w:ascii="Arial"/>
                <w:sz w:val="20"/>
              </w:rPr>
            </w:pPr>
            <w:r>
              <w:rPr>
                <w:rFonts w:ascii="Arial"/>
                <w:sz w:val="20"/>
              </w:rPr>
              <w:t>Clare Dawson</w:t>
            </w:r>
          </w:p>
        </w:tc>
        <w:tc>
          <w:tcPr>
            <w:tcW w:w="5726" w:type="dxa"/>
          </w:tcPr>
          <w:p>
            <w:pPr>
              <w:pStyle w:val="TableParagraph"/>
              <w:spacing w:before="30"/>
              <w:ind w:left="448"/>
              <w:rPr>
                <w:rFonts w:ascii="Arial"/>
                <w:b/>
                <w:sz w:val="20"/>
              </w:rPr>
            </w:pPr>
            <w:r>
              <w:rPr>
                <w:rFonts w:ascii="Arial"/>
                <w:b/>
                <w:sz w:val="20"/>
              </w:rPr>
              <w:t>Loan Market Association</w:t>
            </w:r>
          </w:p>
        </w:tc>
      </w:tr>
      <w:tr>
        <w:trPr>
          <w:trHeight w:val="300" w:hRule="atLeast"/>
        </w:trPr>
        <w:tc>
          <w:tcPr>
            <w:tcW w:w="2869" w:type="dxa"/>
          </w:tcPr>
          <w:p>
            <w:pPr>
              <w:pStyle w:val="TableParagraph"/>
              <w:rPr>
                <w:rFonts w:ascii="Arial"/>
                <w:sz w:val="20"/>
              </w:rPr>
            </w:pPr>
            <w:r>
              <w:rPr>
                <w:rFonts w:ascii="Arial"/>
                <w:sz w:val="20"/>
              </w:rPr>
              <w:t>Philip Whitehurst</w:t>
            </w:r>
          </w:p>
        </w:tc>
        <w:tc>
          <w:tcPr>
            <w:tcW w:w="5726" w:type="dxa"/>
          </w:tcPr>
          <w:p>
            <w:pPr>
              <w:pStyle w:val="TableParagraph"/>
              <w:spacing w:before="30"/>
              <w:ind w:left="448"/>
              <w:rPr>
                <w:rFonts w:ascii="Arial"/>
                <w:b/>
                <w:sz w:val="20"/>
              </w:rPr>
            </w:pPr>
            <w:r>
              <w:rPr>
                <w:rFonts w:ascii="Arial"/>
                <w:b/>
                <w:sz w:val="20"/>
              </w:rPr>
              <w:t>London Stock Exchange Group</w:t>
            </w:r>
          </w:p>
        </w:tc>
      </w:tr>
      <w:tr>
        <w:trPr>
          <w:trHeight w:val="300" w:hRule="atLeast"/>
        </w:trPr>
        <w:tc>
          <w:tcPr>
            <w:tcW w:w="2869" w:type="dxa"/>
          </w:tcPr>
          <w:p>
            <w:pPr>
              <w:pStyle w:val="TableParagraph"/>
              <w:rPr>
                <w:rFonts w:ascii="Arial"/>
                <w:sz w:val="20"/>
              </w:rPr>
            </w:pPr>
            <w:r>
              <w:rPr>
                <w:rFonts w:ascii="Arial"/>
                <w:sz w:val="20"/>
              </w:rPr>
              <w:t>Steve Bullock</w:t>
            </w:r>
          </w:p>
        </w:tc>
        <w:tc>
          <w:tcPr>
            <w:tcW w:w="5726" w:type="dxa"/>
          </w:tcPr>
          <w:p>
            <w:pPr>
              <w:pStyle w:val="TableParagraph"/>
              <w:spacing w:before="30"/>
              <w:ind w:left="448"/>
              <w:rPr>
                <w:rFonts w:ascii="Arial"/>
                <w:b/>
                <w:sz w:val="20"/>
              </w:rPr>
            </w:pPr>
            <w:r>
              <w:rPr>
                <w:rFonts w:ascii="Arial"/>
                <w:b/>
                <w:sz w:val="20"/>
              </w:rPr>
              <w:t>Lloyds Banking Group</w:t>
            </w:r>
          </w:p>
        </w:tc>
      </w:tr>
      <w:tr>
        <w:trPr>
          <w:trHeight w:val="300" w:hRule="atLeast"/>
        </w:trPr>
        <w:tc>
          <w:tcPr>
            <w:tcW w:w="2869" w:type="dxa"/>
          </w:tcPr>
          <w:p>
            <w:pPr>
              <w:pStyle w:val="TableParagraph"/>
              <w:rPr>
                <w:rFonts w:ascii="Arial"/>
                <w:sz w:val="20"/>
              </w:rPr>
            </w:pPr>
            <w:r>
              <w:rPr>
                <w:rFonts w:ascii="Arial"/>
                <w:sz w:val="20"/>
              </w:rPr>
              <w:t>Rob Marshall</w:t>
            </w:r>
          </w:p>
        </w:tc>
        <w:tc>
          <w:tcPr>
            <w:tcW w:w="5726" w:type="dxa"/>
          </w:tcPr>
          <w:p>
            <w:pPr>
              <w:pStyle w:val="TableParagraph"/>
              <w:spacing w:before="30"/>
              <w:ind w:left="448"/>
              <w:rPr>
                <w:rFonts w:ascii="Arial"/>
                <w:b/>
                <w:sz w:val="20"/>
              </w:rPr>
            </w:pPr>
            <w:r>
              <w:rPr>
                <w:rFonts w:ascii="Arial"/>
                <w:b/>
                <w:sz w:val="20"/>
              </w:rPr>
              <w:t>M&amp;G Investments</w:t>
            </w:r>
          </w:p>
        </w:tc>
      </w:tr>
      <w:tr>
        <w:trPr>
          <w:trHeight w:val="300" w:hRule="atLeast"/>
        </w:trPr>
        <w:tc>
          <w:tcPr>
            <w:tcW w:w="2869" w:type="dxa"/>
          </w:tcPr>
          <w:p>
            <w:pPr>
              <w:pStyle w:val="TableParagraph"/>
              <w:rPr>
                <w:rFonts w:ascii="Arial"/>
                <w:sz w:val="20"/>
              </w:rPr>
            </w:pPr>
            <w:r>
              <w:rPr>
                <w:rFonts w:ascii="Arial"/>
                <w:sz w:val="20"/>
              </w:rPr>
              <w:t>Richard Merrett</w:t>
            </w:r>
          </w:p>
        </w:tc>
        <w:tc>
          <w:tcPr>
            <w:tcW w:w="5726" w:type="dxa"/>
          </w:tcPr>
          <w:p>
            <w:pPr>
              <w:pStyle w:val="TableParagraph"/>
              <w:spacing w:before="30"/>
              <w:ind w:left="448"/>
              <w:rPr>
                <w:rFonts w:ascii="Arial"/>
                <w:b/>
                <w:sz w:val="20"/>
              </w:rPr>
            </w:pPr>
            <w:r>
              <w:rPr>
                <w:rFonts w:ascii="Arial"/>
                <w:b/>
                <w:sz w:val="20"/>
              </w:rPr>
              <w:t>Nationwide Building Society</w:t>
            </w:r>
          </w:p>
        </w:tc>
      </w:tr>
      <w:tr>
        <w:trPr>
          <w:trHeight w:val="262" w:hRule="atLeast"/>
        </w:trPr>
        <w:tc>
          <w:tcPr>
            <w:tcW w:w="2869" w:type="dxa"/>
          </w:tcPr>
          <w:p>
            <w:pPr>
              <w:pStyle w:val="TableParagraph"/>
              <w:spacing w:line="210" w:lineRule="exact"/>
              <w:rPr>
                <w:rFonts w:ascii="Arial"/>
                <w:sz w:val="20"/>
              </w:rPr>
            </w:pPr>
            <w:r>
              <w:rPr>
                <w:rFonts w:ascii="Arial"/>
                <w:sz w:val="20"/>
              </w:rPr>
              <w:t>Kwok Liu</w:t>
            </w:r>
          </w:p>
        </w:tc>
        <w:tc>
          <w:tcPr>
            <w:tcW w:w="5726" w:type="dxa"/>
          </w:tcPr>
          <w:p>
            <w:pPr>
              <w:pStyle w:val="TableParagraph"/>
              <w:spacing w:line="212" w:lineRule="exact" w:before="30"/>
              <w:ind w:left="448"/>
              <w:rPr>
                <w:rFonts w:ascii="Arial"/>
                <w:b/>
                <w:sz w:val="20"/>
              </w:rPr>
            </w:pPr>
            <w:r>
              <w:rPr>
                <w:rFonts w:ascii="Arial"/>
                <w:b/>
                <w:sz w:val="20"/>
              </w:rPr>
              <w:t>National Grid</w:t>
            </w:r>
          </w:p>
        </w:tc>
      </w:tr>
    </w:tbl>
    <w:p>
      <w:pPr>
        <w:pStyle w:val="BodyText"/>
        <w:rPr>
          <w:b/>
          <w:sz w:val="29"/>
        </w:rPr>
      </w:pPr>
    </w:p>
    <w:p>
      <w:pPr>
        <w:spacing w:before="0"/>
        <w:ind w:left="196" w:right="0" w:firstLine="0"/>
        <w:jc w:val="left"/>
        <w:rPr>
          <w:b/>
          <w:sz w:val="20"/>
        </w:rPr>
      </w:pPr>
      <w:r>
        <w:rPr>
          <w:b/>
          <w:sz w:val="20"/>
        </w:rPr>
        <w:t>Official sector</w:t>
      </w:r>
      <w:r>
        <w:rPr>
          <w:b/>
          <w:spacing w:val="-15"/>
          <w:sz w:val="20"/>
        </w:rPr>
        <w:t> </w:t>
      </w:r>
      <w:r>
        <w:rPr>
          <w:b/>
          <w:sz w:val="20"/>
        </w:rPr>
        <w:t>attendees</w:t>
      </w:r>
    </w:p>
    <w:p>
      <w:pPr>
        <w:pStyle w:val="BodyText"/>
        <w:spacing w:before="1"/>
        <w:rPr>
          <w:b/>
          <w:sz w:val="2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4"/>
        <w:gridCol w:w="3386"/>
      </w:tblGrid>
      <w:tr>
        <w:trPr>
          <w:trHeight w:val="263" w:hRule="atLeast"/>
        </w:trPr>
        <w:tc>
          <w:tcPr>
            <w:tcW w:w="2854" w:type="dxa"/>
          </w:tcPr>
          <w:p>
            <w:pPr>
              <w:pStyle w:val="TableParagraph"/>
              <w:spacing w:line="225" w:lineRule="exact" w:before="0"/>
              <w:rPr>
                <w:rFonts w:ascii="Arial"/>
                <w:sz w:val="20"/>
              </w:rPr>
            </w:pPr>
            <w:r>
              <w:rPr>
                <w:rFonts w:ascii="Arial"/>
                <w:sz w:val="20"/>
              </w:rPr>
              <w:t>Andrew Hauser</w:t>
            </w:r>
          </w:p>
        </w:tc>
        <w:tc>
          <w:tcPr>
            <w:tcW w:w="3386" w:type="dxa"/>
          </w:tcPr>
          <w:p>
            <w:pPr>
              <w:pStyle w:val="TableParagraph"/>
              <w:spacing w:line="223" w:lineRule="exact" w:before="0"/>
              <w:ind w:left="506"/>
              <w:rPr>
                <w:rFonts w:ascii="Arial"/>
                <w:b/>
                <w:sz w:val="20"/>
              </w:rPr>
            </w:pPr>
            <w:r>
              <w:rPr>
                <w:rFonts w:ascii="Arial"/>
                <w:b/>
                <w:sz w:val="20"/>
              </w:rPr>
              <w:t>Bank of England</w:t>
            </w:r>
          </w:p>
        </w:tc>
      </w:tr>
      <w:tr>
        <w:trPr>
          <w:trHeight w:val="303" w:hRule="atLeast"/>
        </w:trPr>
        <w:tc>
          <w:tcPr>
            <w:tcW w:w="2854" w:type="dxa"/>
          </w:tcPr>
          <w:p>
            <w:pPr>
              <w:pStyle w:val="TableParagraph"/>
              <w:spacing w:before="34"/>
              <w:rPr>
                <w:rFonts w:ascii="Arial"/>
                <w:sz w:val="20"/>
              </w:rPr>
            </w:pPr>
            <w:r>
              <w:rPr>
                <w:rFonts w:ascii="Arial"/>
                <w:sz w:val="20"/>
              </w:rPr>
              <w:t>Ed Ocampo</w:t>
            </w:r>
          </w:p>
        </w:tc>
        <w:tc>
          <w:tcPr>
            <w:tcW w:w="3386" w:type="dxa"/>
          </w:tcPr>
          <w:p>
            <w:pPr>
              <w:pStyle w:val="TableParagraph"/>
              <w:spacing w:before="31"/>
              <w:ind w:left="506"/>
              <w:rPr>
                <w:rFonts w:ascii="Arial"/>
                <w:b/>
                <w:sz w:val="20"/>
              </w:rPr>
            </w:pPr>
            <w:r>
              <w:rPr>
                <w:rFonts w:ascii="Arial"/>
                <w:b/>
                <w:sz w:val="20"/>
              </w:rPr>
              <w:t>Bank of England</w:t>
            </w:r>
          </w:p>
        </w:tc>
      </w:tr>
      <w:tr>
        <w:trPr>
          <w:trHeight w:val="285" w:hRule="atLeast"/>
        </w:trPr>
        <w:tc>
          <w:tcPr>
            <w:tcW w:w="2854" w:type="dxa"/>
          </w:tcPr>
          <w:p>
            <w:pPr>
              <w:pStyle w:val="TableParagraph"/>
              <w:spacing w:before="35"/>
              <w:rPr>
                <w:rFonts w:ascii="Arial"/>
                <w:sz w:val="20"/>
              </w:rPr>
            </w:pPr>
            <w:r>
              <w:rPr>
                <w:rFonts w:ascii="Arial"/>
                <w:sz w:val="20"/>
              </w:rPr>
              <w:t>Imane Bakkar</w:t>
            </w:r>
          </w:p>
        </w:tc>
        <w:tc>
          <w:tcPr>
            <w:tcW w:w="3386" w:type="dxa"/>
          </w:tcPr>
          <w:p>
            <w:pPr>
              <w:pStyle w:val="TableParagraph"/>
              <w:ind w:left="506"/>
              <w:rPr>
                <w:rFonts w:ascii="Arial"/>
                <w:b/>
                <w:sz w:val="20"/>
              </w:rPr>
            </w:pPr>
            <w:r>
              <w:rPr>
                <w:rFonts w:ascii="Arial"/>
                <w:b/>
                <w:sz w:val="20"/>
              </w:rPr>
              <w:t>Bank of England</w:t>
            </w:r>
          </w:p>
        </w:tc>
      </w:tr>
      <w:tr>
        <w:trPr>
          <w:trHeight w:val="496" w:hRule="atLeast"/>
        </w:trPr>
        <w:tc>
          <w:tcPr>
            <w:tcW w:w="2854" w:type="dxa"/>
          </w:tcPr>
          <w:p>
            <w:pPr>
              <w:pStyle w:val="TableParagraph"/>
              <w:spacing w:before="16"/>
              <w:rPr>
                <w:rFonts w:ascii="Arial"/>
                <w:sz w:val="20"/>
              </w:rPr>
            </w:pPr>
            <w:r>
              <w:rPr>
                <w:rFonts w:ascii="Arial"/>
                <w:sz w:val="20"/>
              </w:rPr>
              <w:t>Josh Jones</w:t>
            </w:r>
          </w:p>
          <w:p>
            <w:pPr>
              <w:pStyle w:val="TableParagraph"/>
              <w:spacing w:before="0"/>
              <w:rPr>
                <w:rFonts w:ascii="Arial"/>
                <w:sz w:val="20"/>
              </w:rPr>
            </w:pPr>
            <w:r>
              <w:rPr>
                <w:rFonts w:ascii="Arial"/>
                <w:sz w:val="20"/>
              </w:rPr>
              <w:t>Charlotte Pope-Williams</w:t>
            </w:r>
          </w:p>
        </w:tc>
        <w:tc>
          <w:tcPr>
            <w:tcW w:w="3386" w:type="dxa"/>
          </w:tcPr>
          <w:p>
            <w:pPr>
              <w:pStyle w:val="TableParagraph"/>
              <w:spacing w:before="13"/>
              <w:ind w:left="506" w:right="1282"/>
              <w:rPr>
                <w:rFonts w:ascii="Arial"/>
                <w:b/>
                <w:sz w:val="20"/>
              </w:rPr>
            </w:pPr>
            <w:r>
              <w:rPr>
                <w:rFonts w:ascii="Arial"/>
                <w:b/>
                <w:sz w:val="20"/>
              </w:rPr>
              <w:t>Bank of England Bank of England</w:t>
            </w:r>
          </w:p>
        </w:tc>
      </w:tr>
      <w:tr>
        <w:trPr>
          <w:trHeight w:val="284" w:hRule="atLeast"/>
        </w:trPr>
        <w:tc>
          <w:tcPr>
            <w:tcW w:w="2854" w:type="dxa"/>
          </w:tcPr>
          <w:p>
            <w:pPr>
              <w:pStyle w:val="TableParagraph"/>
              <w:spacing w:before="16"/>
              <w:rPr>
                <w:rFonts w:ascii="Arial"/>
                <w:sz w:val="20"/>
              </w:rPr>
            </w:pPr>
            <w:r>
              <w:rPr>
                <w:rFonts w:ascii="Arial"/>
                <w:sz w:val="20"/>
              </w:rPr>
              <w:t>Edwin Schooling Latter</w:t>
            </w:r>
          </w:p>
        </w:tc>
        <w:tc>
          <w:tcPr>
            <w:tcW w:w="3386" w:type="dxa"/>
          </w:tcPr>
          <w:p>
            <w:pPr>
              <w:pStyle w:val="TableParagraph"/>
              <w:spacing w:before="13"/>
              <w:ind w:left="506"/>
              <w:rPr>
                <w:rFonts w:ascii="Arial"/>
                <w:b/>
                <w:sz w:val="20"/>
              </w:rPr>
            </w:pPr>
            <w:r>
              <w:rPr>
                <w:rFonts w:ascii="Arial"/>
                <w:b/>
                <w:sz w:val="20"/>
              </w:rPr>
              <w:t>Financial Conduct Authority</w:t>
            </w:r>
          </w:p>
        </w:tc>
      </w:tr>
      <w:tr>
        <w:trPr>
          <w:trHeight w:val="302" w:hRule="atLeast"/>
        </w:trPr>
        <w:tc>
          <w:tcPr>
            <w:tcW w:w="2854" w:type="dxa"/>
          </w:tcPr>
          <w:p>
            <w:pPr>
              <w:pStyle w:val="TableParagraph"/>
              <w:spacing w:before="34"/>
              <w:rPr>
                <w:rFonts w:ascii="Arial"/>
                <w:sz w:val="20"/>
              </w:rPr>
            </w:pPr>
            <w:r>
              <w:rPr>
                <w:rFonts w:ascii="Arial"/>
                <w:sz w:val="20"/>
              </w:rPr>
              <w:t>Harriet Hunnable</w:t>
            </w:r>
          </w:p>
        </w:tc>
        <w:tc>
          <w:tcPr>
            <w:tcW w:w="3386" w:type="dxa"/>
          </w:tcPr>
          <w:p>
            <w:pPr>
              <w:pStyle w:val="TableParagraph"/>
              <w:spacing w:before="31"/>
              <w:ind w:left="506"/>
              <w:rPr>
                <w:rFonts w:ascii="Arial"/>
                <w:b/>
                <w:sz w:val="20"/>
              </w:rPr>
            </w:pPr>
            <w:r>
              <w:rPr>
                <w:rFonts w:ascii="Arial"/>
                <w:b/>
                <w:sz w:val="20"/>
              </w:rPr>
              <w:t>Financial Conduct Authority</w:t>
            </w:r>
          </w:p>
        </w:tc>
      </w:tr>
      <w:tr>
        <w:trPr>
          <w:trHeight w:val="302" w:hRule="atLeast"/>
        </w:trPr>
        <w:tc>
          <w:tcPr>
            <w:tcW w:w="2854" w:type="dxa"/>
          </w:tcPr>
          <w:p>
            <w:pPr>
              <w:pStyle w:val="TableParagraph"/>
              <w:spacing w:before="34"/>
              <w:rPr>
                <w:rFonts w:ascii="Arial"/>
                <w:sz w:val="20"/>
              </w:rPr>
            </w:pPr>
            <w:r>
              <w:rPr>
                <w:rFonts w:ascii="Arial"/>
                <w:sz w:val="20"/>
              </w:rPr>
              <w:t>Adeshini Naidoo</w:t>
            </w:r>
          </w:p>
        </w:tc>
        <w:tc>
          <w:tcPr>
            <w:tcW w:w="3386" w:type="dxa"/>
          </w:tcPr>
          <w:p>
            <w:pPr>
              <w:pStyle w:val="TableParagraph"/>
              <w:spacing w:before="31"/>
              <w:ind w:left="506"/>
              <w:rPr>
                <w:rFonts w:ascii="Arial"/>
                <w:b/>
                <w:sz w:val="20"/>
              </w:rPr>
            </w:pPr>
            <w:r>
              <w:rPr>
                <w:rFonts w:ascii="Arial"/>
                <w:b/>
                <w:sz w:val="20"/>
              </w:rPr>
              <w:t>Financial Conduct Authority</w:t>
            </w:r>
          </w:p>
        </w:tc>
      </w:tr>
      <w:tr>
        <w:trPr>
          <w:trHeight w:val="263" w:hRule="atLeast"/>
        </w:trPr>
        <w:tc>
          <w:tcPr>
            <w:tcW w:w="2854" w:type="dxa"/>
          </w:tcPr>
          <w:p>
            <w:pPr>
              <w:pStyle w:val="TableParagraph"/>
              <w:spacing w:line="210" w:lineRule="exact" w:before="34"/>
              <w:rPr>
                <w:rFonts w:ascii="Arial"/>
                <w:sz w:val="20"/>
              </w:rPr>
            </w:pPr>
            <w:r>
              <w:rPr>
                <w:rFonts w:ascii="Arial"/>
                <w:sz w:val="20"/>
              </w:rPr>
              <w:t>Toby Williams</w:t>
            </w:r>
          </w:p>
        </w:tc>
        <w:tc>
          <w:tcPr>
            <w:tcW w:w="3386" w:type="dxa"/>
          </w:tcPr>
          <w:p>
            <w:pPr>
              <w:pStyle w:val="TableParagraph"/>
              <w:spacing w:line="212" w:lineRule="exact" w:before="31"/>
              <w:ind w:left="506"/>
              <w:rPr>
                <w:rFonts w:ascii="Arial"/>
                <w:b/>
                <w:sz w:val="20"/>
              </w:rPr>
            </w:pPr>
            <w:r>
              <w:rPr>
                <w:rFonts w:ascii="Arial"/>
                <w:b/>
                <w:sz w:val="20"/>
              </w:rPr>
              <w:t>Financial Conduct Authority</w:t>
            </w:r>
          </w:p>
        </w:tc>
      </w:tr>
    </w:tbl>
    <w:p>
      <w:pPr>
        <w:spacing w:after="0" w:line="212" w:lineRule="exact"/>
        <w:rPr>
          <w:rFonts w:ascii="Arial"/>
          <w:sz w:val="20"/>
        </w:rPr>
        <w:sectPr>
          <w:pgSz w:w="11910" w:h="16840"/>
          <w:pgMar w:top="1180" w:bottom="280" w:left="1080" w:right="1040"/>
        </w:sectPr>
      </w:pPr>
    </w:p>
    <w:p>
      <w:pPr>
        <w:spacing w:before="167"/>
        <w:ind w:left="112" w:right="0" w:firstLine="0"/>
        <w:jc w:val="left"/>
        <w:rPr>
          <w:b/>
          <w:sz w:val="20"/>
        </w:rPr>
      </w:pPr>
      <w:r>
        <w:rPr>
          <w:b/>
          <w:sz w:val="20"/>
        </w:rPr>
        <w:t>Annex – proposed transition metrics [DRAFT]</w:t>
      </w:r>
    </w:p>
    <w:p>
      <w:pPr>
        <w:pStyle w:val="BodyText"/>
        <w:rPr>
          <w:b/>
          <w:sz w:val="23"/>
        </w:rPr>
      </w:pPr>
    </w:p>
    <w:p>
      <w:pPr>
        <w:spacing w:before="0"/>
        <w:ind w:left="220" w:right="0" w:firstLine="0"/>
        <w:jc w:val="left"/>
        <w:rPr>
          <w:rFonts w:ascii="Calibri"/>
          <w:b/>
          <w:i/>
          <w:sz w:val="22"/>
        </w:rPr>
      </w:pPr>
      <w:r>
        <w:rPr>
          <w:rFonts w:ascii="Calibri"/>
          <w:b/>
          <w:i/>
          <w:sz w:val="22"/>
        </w:rPr>
        <w:t>Data will be aggregated/anonymised and shared with appropriate care taken to ensure that they are not commercially sensitive.</w:t>
      </w:r>
    </w:p>
    <w:p>
      <w:pPr>
        <w:pStyle w:val="BodyText"/>
        <w:rPr>
          <w:rFonts w:ascii="Calibri"/>
          <w:b/>
          <w:i/>
          <w:sz w:val="26"/>
        </w:rPr>
      </w:pPr>
    </w:p>
    <w:tbl>
      <w:tblPr>
        <w:tblW w:w="0" w:type="auto"/>
        <w:jc w:val="left"/>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683"/>
        <w:gridCol w:w="8369"/>
        <w:gridCol w:w="269"/>
      </w:tblGrid>
      <w:tr>
        <w:trPr>
          <w:trHeight w:val="316" w:hRule="atLeast"/>
        </w:trPr>
        <w:tc>
          <w:tcPr>
            <w:tcW w:w="14321" w:type="dxa"/>
            <w:gridSpan w:val="3"/>
            <w:shd w:val="clear" w:color="auto" w:fill="92D050"/>
          </w:tcPr>
          <w:p>
            <w:pPr>
              <w:pStyle w:val="TableParagraph"/>
              <w:spacing w:line="251" w:lineRule="exact" w:before="44"/>
              <w:ind w:left="107"/>
              <w:rPr>
                <w:sz w:val="22"/>
              </w:rPr>
            </w:pPr>
            <w:r>
              <w:rPr>
                <w:sz w:val="22"/>
              </w:rPr>
              <w:t>Quantifiable data</w:t>
            </w:r>
          </w:p>
        </w:tc>
      </w:tr>
      <w:tr>
        <w:trPr>
          <w:trHeight w:val="294" w:hRule="atLeast"/>
        </w:trPr>
        <w:tc>
          <w:tcPr>
            <w:tcW w:w="5683" w:type="dxa"/>
            <w:tcBorders>
              <w:left w:val="single" w:sz="4" w:space="0" w:color="000000"/>
              <w:bottom w:val="single" w:sz="4" w:space="0" w:color="000000"/>
              <w:right w:val="single" w:sz="4" w:space="0" w:color="000000"/>
            </w:tcBorders>
            <w:shd w:val="clear" w:color="auto" w:fill="F2F2F2"/>
          </w:tcPr>
          <w:p>
            <w:pPr>
              <w:pStyle w:val="TableParagraph"/>
              <w:spacing w:line="247" w:lineRule="exact" w:before="27"/>
              <w:ind w:left="112"/>
              <w:rPr>
                <w:sz w:val="22"/>
              </w:rPr>
            </w:pPr>
            <w:r>
              <w:rPr>
                <w:sz w:val="22"/>
              </w:rPr>
              <w:t>Futures</w:t>
            </w:r>
          </w:p>
        </w:tc>
        <w:tc>
          <w:tcPr>
            <w:tcW w:w="8369" w:type="dxa"/>
            <w:tcBorders>
              <w:left w:val="single" w:sz="4" w:space="0" w:color="000000"/>
              <w:bottom w:val="single" w:sz="4" w:space="0" w:color="000000"/>
              <w:right w:val="single" w:sz="4" w:space="0" w:color="000000"/>
            </w:tcBorders>
            <w:shd w:val="clear" w:color="auto" w:fill="F2F2F2"/>
          </w:tcPr>
          <w:p>
            <w:pPr>
              <w:pStyle w:val="TableParagraph"/>
              <w:spacing w:line="247" w:lineRule="exact" w:before="27"/>
              <w:ind w:left="108"/>
              <w:rPr>
                <w:sz w:val="22"/>
              </w:rPr>
            </w:pPr>
            <w:r>
              <w:rPr>
                <w:sz w:val="22"/>
              </w:rPr>
              <w:t>Open Interest of SONIA Futures, Open Interest of LIBOR Futures</w:t>
            </w:r>
          </w:p>
        </w:tc>
        <w:tc>
          <w:tcPr>
            <w:tcW w:w="269" w:type="dxa"/>
            <w:vMerge w:val="restart"/>
            <w:tcBorders>
              <w:left w:val="nil"/>
              <w:right w:val="nil"/>
            </w:tcBorders>
          </w:tcPr>
          <w:p>
            <w:pPr>
              <w:pStyle w:val="TableParagraph"/>
              <w:spacing w:before="0"/>
              <w:ind w:left="0"/>
              <w:rPr>
                <w:rFonts w:ascii="Times New Roman"/>
                <w:sz w:val="22"/>
              </w:rPr>
            </w:pPr>
          </w:p>
        </w:tc>
      </w:tr>
      <w:tr>
        <w:trPr>
          <w:trHeight w:val="292" w:hRule="atLeast"/>
        </w:trPr>
        <w:tc>
          <w:tcPr>
            <w:tcW w:w="5683" w:type="dxa"/>
            <w:tcBorders>
              <w:top w:val="single" w:sz="4" w:space="0" w:color="000000"/>
              <w:left w:val="single" w:sz="4" w:space="0" w:color="000000"/>
              <w:bottom w:val="single" w:sz="4" w:space="0" w:color="000000"/>
              <w:right w:val="single" w:sz="4" w:space="0" w:color="000000"/>
            </w:tcBorders>
            <w:shd w:val="clear" w:color="auto" w:fill="DCE6F1"/>
          </w:tcPr>
          <w:p>
            <w:pPr>
              <w:pStyle w:val="TableParagraph"/>
              <w:spacing w:line="247" w:lineRule="exact" w:before="25"/>
              <w:ind w:left="112"/>
              <w:rPr>
                <w:sz w:val="22"/>
              </w:rPr>
            </w:pPr>
            <w:r>
              <w:rPr>
                <w:sz w:val="22"/>
              </w:rPr>
              <w:t>OIS</w:t>
            </w:r>
          </w:p>
        </w:tc>
        <w:tc>
          <w:tcPr>
            <w:tcW w:w="8369" w:type="dxa"/>
            <w:tcBorders>
              <w:top w:val="single" w:sz="4" w:space="0" w:color="000000"/>
              <w:left w:val="single" w:sz="4" w:space="0" w:color="000000"/>
              <w:bottom w:val="single" w:sz="4" w:space="0" w:color="000000"/>
              <w:right w:val="single" w:sz="4" w:space="0" w:color="000000"/>
            </w:tcBorders>
            <w:shd w:val="clear" w:color="auto" w:fill="DCE6F1"/>
          </w:tcPr>
          <w:p>
            <w:pPr>
              <w:pStyle w:val="TableParagraph"/>
              <w:spacing w:line="247" w:lineRule="exact" w:before="25"/>
              <w:ind w:left="108"/>
              <w:rPr>
                <w:sz w:val="22"/>
              </w:rPr>
            </w:pPr>
            <w:r>
              <w:rPr>
                <w:sz w:val="22"/>
              </w:rPr>
              <w:t>Volumes by tenor</w:t>
            </w:r>
          </w:p>
        </w:tc>
        <w:tc>
          <w:tcPr>
            <w:tcW w:w="269" w:type="dxa"/>
            <w:vMerge/>
            <w:tcBorders>
              <w:top w:val="nil"/>
              <w:left w:val="nil"/>
              <w:right w:val="nil"/>
            </w:tcBorders>
          </w:tcPr>
          <w:p>
            <w:pPr>
              <w:rPr>
                <w:sz w:val="2"/>
                <w:szCs w:val="2"/>
              </w:rPr>
            </w:pPr>
          </w:p>
        </w:tc>
      </w:tr>
      <w:tr>
        <w:trPr>
          <w:trHeight w:val="289" w:hRule="atLeast"/>
        </w:trPr>
        <w:tc>
          <w:tcPr>
            <w:tcW w:w="5683" w:type="dxa"/>
            <w:vMerge w:val="restart"/>
            <w:tcBorders>
              <w:top w:val="single" w:sz="4" w:space="0" w:color="000000"/>
              <w:left w:val="nil"/>
              <w:bottom w:val="nil"/>
              <w:right w:val="single" w:sz="4" w:space="0" w:color="000000"/>
            </w:tcBorders>
          </w:tcPr>
          <w:p>
            <w:pPr>
              <w:pStyle w:val="TableParagraph"/>
              <w:spacing w:before="0"/>
              <w:ind w:left="0"/>
              <w:rPr>
                <w:rFonts w:ascii="Times New Roman"/>
                <w:sz w:val="22"/>
              </w:rPr>
            </w:pPr>
          </w:p>
        </w:tc>
        <w:tc>
          <w:tcPr>
            <w:tcW w:w="8369" w:type="dxa"/>
            <w:tcBorders>
              <w:top w:val="single" w:sz="4" w:space="0" w:color="000000"/>
              <w:left w:val="single" w:sz="4" w:space="0" w:color="000000"/>
              <w:bottom w:val="single" w:sz="4" w:space="0" w:color="000000"/>
              <w:right w:val="single" w:sz="4" w:space="0" w:color="000000"/>
            </w:tcBorders>
            <w:shd w:val="clear" w:color="auto" w:fill="DCE6F1"/>
          </w:tcPr>
          <w:p>
            <w:pPr>
              <w:pStyle w:val="TableParagraph"/>
              <w:spacing w:line="247" w:lineRule="exact" w:before="23"/>
              <w:ind w:left="108"/>
              <w:rPr>
                <w:sz w:val="22"/>
              </w:rPr>
            </w:pPr>
            <w:r>
              <w:rPr>
                <w:sz w:val="22"/>
              </w:rPr>
              <w:t>Availability by platform (including SEFs)</w:t>
            </w:r>
          </w:p>
        </w:tc>
        <w:tc>
          <w:tcPr>
            <w:tcW w:w="269" w:type="dxa"/>
            <w:vMerge/>
            <w:tcBorders>
              <w:top w:val="nil"/>
              <w:left w:val="nil"/>
              <w:right w:val="nil"/>
            </w:tcBorders>
          </w:tcPr>
          <w:p>
            <w:pPr>
              <w:rPr>
                <w:sz w:val="2"/>
                <w:szCs w:val="2"/>
              </w:rPr>
            </w:pPr>
          </w:p>
        </w:tc>
      </w:tr>
      <w:tr>
        <w:trPr>
          <w:trHeight w:val="289" w:hRule="atLeast"/>
        </w:trPr>
        <w:tc>
          <w:tcPr>
            <w:tcW w:w="5683" w:type="dxa"/>
            <w:vMerge/>
            <w:tcBorders>
              <w:top w:val="nil"/>
              <w:left w:val="nil"/>
              <w:bottom w:val="nil"/>
              <w:right w:val="single" w:sz="4" w:space="0" w:color="000000"/>
            </w:tcBorders>
          </w:tcPr>
          <w:p>
            <w:pPr>
              <w:rPr>
                <w:sz w:val="2"/>
                <w:szCs w:val="2"/>
              </w:rPr>
            </w:pPr>
          </w:p>
        </w:tc>
        <w:tc>
          <w:tcPr>
            <w:tcW w:w="8369" w:type="dxa"/>
            <w:tcBorders>
              <w:top w:val="single" w:sz="4" w:space="0" w:color="000000"/>
              <w:left w:val="single" w:sz="4" w:space="0" w:color="000000"/>
              <w:bottom w:val="single" w:sz="4" w:space="0" w:color="000000"/>
              <w:right w:val="single" w:sz="4" w:space="0" w:color="000000"/>
            </w:tcBorders>
            <w:shd w:val="clear" w:color="auto" w:fill="DCE6F1"/>
          </w:tcPr>
          <w:p>
            <w:pPr>
              <w:pStyle w:val="TableParagraph"/>
              <w:spacing w:line="247" w:lineRule="exact" w:before="23"/>
              <w:ind w:left="108"/>
              <w:rPr>
                <w:sz w:val="22"/>
              </w:rPr>
            </w:pPr>
            <w:r>
              <w:rPr>
                <w:sz w:val="22"/>
              </w:rPr>
              <w:t>Bid/offer spread</w:t>
            </w:r>
          </w:p>
        </w:tc>
        <w:tc>
          <w:tcPr>
            <w:tcW w:w="269" w:type="dxa"/>
            <w:vMerge/>
            <w:tcBorders>
              <w:top w:val="nil"/>
              <w:left w:val="nil"/>
              <w:right w:val="nil"/>
            </w:tcBorders>
          </w:tcPr>
          <w:p>
            <w:pPr>
              <w:rPr>
                <w:sz w:val="2"/>
                <w:szCs w:val="2"/>
              </w:rPr>
            </w:pPr>
          </w:p>
        </w:tc>
      </w:tr>
      <w:tr>
        <w:trPr>
          <w:trHeight w:val="289" w:hRule="atLeast"/>
        </w:trPr>
        <w:tc>
          <w:tcPr>
            <w:tcW w:w="5683" w:type="dxa"/>
            <w:vMerge/>
            <w:tcBorders>
              <w:top w:val="nil"/>
              <w:left w:val="nil"/>
              <w:bottom w:val="nil"/>
              <w:right w:val="single" w:sz="4" w:space="0" w:color="000000"/>
            </w:tcBorders>
          </w:tcPr>
          <w:p>
            <w:pPr>
              <w:rPr>
                <w:sz w:val="2"/>
                <w:szCs w:val="2"/>
              </w:rPr>
            </w:pPr>
          </w:p>
        </w:tc>
        <w:tc>
          <w:tcPr>
            <w:tcW w:w="8369" w:type="dxa"/>
            <w:tcBorders>
              <w:top w:val="single" w:sz="4" w:space="0" w:color="000000"/>
              <w:left w:val="single" w:sz="4" w:space="0" w:color="000000"/>
              <w:bottom w:val="single" w:sz="4" w:space="0" w:color="000000"/>
              <w:right w:val="single" w:sz="4" w:space="0" w:color="000000"/>
            </w:tcBorders>
            <w:shd w:val="clear" w:color="auto" w:fill="DCE6F1"/>
          </w:tcPr>
          <w:p>
            <w:pPr>
              <w:pStyle w:val="TableParagraph"/>
              <w:spacing w:line="247" w:lineRule="exact" w:before="23"/>
              <w:ind w:left="108"/>
              <w:rPr>
                <w:sz w:val="22"/>
              </w:rPr>
            </w:pPr>
            <w:r>
              <w:rPr>
                <w:sz w:val="22"/>
              </w:rPr>
              <w:t>Volumes Outstanding</w:t>
            </w:r>
          </w:p>
        </w:tc>
        <w:tc>
          <w:tcPr>
            <w:tcW w:w="269" w:type="dxa"/>
            <w:vMerge/>
            <w:tcBorders>
              <w:top w:val="nil"/>
              <w:left w:val="nil"/>
              <w:right w:val="nil"/>
            </w:tcBorders>
          </w:tcPr>
          <w:p>
            <w:pPr>
              <w:rPr>
                <w:sz w:val="2"/>
                <w:szCs w:val="2"/>
              </w:rPr>
            </w:pPr>
          </w:p>
        </w:tc>
      </w:tr>
      <w:tr>
        <w:trPr>
          <w:trHeight w:val="289" w:hRule="atLeast"/>
        </w:trPr>
        <w:tc>
          <w:tcPr>
            <w:tcW w:w="5683" w:type="dxa"/>
            <w:tcBorders>
              <w:top w:val="nil"/>
              <w:left w:val="nil"/>
              <w:bottom w:val="nil"/>
              <w:right w:val="single" w:sz="4" w:space="0" w:color="000000"/>
            </w:tcBorders>
            <w:shd w:val="clear" w:color="auto" w:fill="EBF1DE"/>
          </w:tcPr>
          <w:p>
            <w:pPr>
              <w:pStyle w:val="TableParagraph"/>
              <w:spacing w:line="247" w:lineRule="exact" w:before="23"/>
              <w:ind w:left="117"/>
              <w:rPr>
                <w:sz w:val="22"/>
              </w:rPr>
            </w:pPr>
            <w:r>
              <w:rPr>
                <w:sz w:val="22"/>
              </w:rPr>
              <w:t>LIBOR-OIS</w:t>
            </w:r>
          </w:p>
        </w:tc>
        <w:tc>
          <w:tcPr>
            <w:tcW w:w="8369" w:type="dxa"/>
            <w:tcBorders>
              <w:top w:val="single" w:sz="4" w:space="0" w:color="000000"/>
              <w:left w:val="single" w:sz="4" w:space="0" w:color="000000"/>
              <w:bottom w:val="single" w:sz="4" w:space="0" w:color="000000"/>
              <w:right w:val="single" w:sz="4" w:space="0" w:color="000000"/>
            </w:tcBorders>
            <w:shd w:val="clear" w:color="auto" w:fill="EBF1DE"/>
          </w:tcPr>
          <w:p>
            <w:pPr>
              <w:pStyle w:val="TableParagraph"/>
              <w:spacing w:line="247" w:lineRule="exact" w:before="23"/>
              <w:ind w:left="108"/>
              <w:rPr>
                <w:sz w:val="22"/>
              </w:rPr>
            </w:pPr>
            <w:r>
              <w:rPr>
                <w:sz w:val="22"/>
              </w:rPr>
              <w:t>Floater-Floater volumes</w:t>
            </w:r>
          </w:p>
        </w:tc>
        <w:tc>
          <w:tcPr>
            <w:tcW w:w="269" w:type="dxa"/>
            <w:vMerge/>
            <w:tcBorders>
              <w:top w:val="nil"/>
              <w:left w:val="nil"/>
              <w:right w:val="nil"/>
            </w:tcBorders>
          </w:tcPr>
          <w:p>
            <w:pPr>
              <w:rPr>
                <w:sz w:val="2"/>
                <w:szCs w:val="2"/>
              </w:rPr>
            </w:pPr>
          </w:p>
        </w:tc>
      </w:tr>
      <w:tr>
        <w:trPr>
          <w:trHeight w:val="289" w:hRule="atLeast"/>
        </w:trPr>
        <w:tc>
          <w:tcPr>
            <w:tcW w:w="5683" w:type="dxa"/>
            <w:vMerge w:val="restart"/>
            <w:tcBorders>
              <w:top w:val="nil"/>
              <w:left w:val="nil"/>
              <w:bottom w:val="nil"/>
              <w:right w:val="single" w:sz="4" w:space="0" w:color="000000"/>
            </w:tcBorders>
            <w:shd w:val="clear" w:color="auto" w:fill="F2F2F2"/>
          </w:tcPr>
          <w:p>
            <w:pPr>
              <w:pStyle w:val="TableParagraph"/>
              <w:spacing w:before="5"/>
              <w:ind w:left="0"/>
              <w:rPr>
                <w:b/>
                <w:i/>
                <w:sz w:val="27"/>
              </w:rPr>
            </w:pPr>
          </w:p>
          <w:p>
            <w:pPr>
              <w:pStyle w:val="TableParagraph"/>
              <w:spacing w:before="0"/>
              <w:ind w:left="117"/>
              <w:rPr>
                <w:sz w:val="22"/>
              </w:rPr>
            </w:pPr>
            <w:r>
              <w:rPr>
                <w:sz w:val="22"/>
              </w:rPr>
              <w:t>LIBOR swaps</w:t>
            </w:r>
          </w:p>
        </w:tc>
        <w:tc>
          <w:tcPr>
            <w:tcW w:w="8369" w:type="dxa"/>
            <w:tcBorders>
              <w:top w:val="single" w:sz="4" w:space="0" w:color="000000"/>
              <w:left w:val="single" w:sz="4" w:space="0" w:color="000000"/>
              <w:bottom w:val="single" w:sz="4" w:space="0" w:color="000000"/>
              <w:right w:val="single" w:sz="4" w:space="0" w:color="000000"/>
            </w:tcBorders>
            <w:shd w:val="clear" w:color="auto" w:fill="EBF1DE"/>
          </w:tcPr>
          <w:p>
            <w:pPr>
              <w:pStyle w:val="TableParagraph"/>
              <w:spacing w:line="247" w:lineRule="exact" w:before="23"/>
              <w:ind w:left="108"/>
              <w:rPr>
                <w:sz w:val="22"/>
              </w:rPr>
            </w:pPr>
            <w:r>
              <w:rPr>
                <w:sz w:val="22"/>
              </w:rPr>
              <w:t>Spread curve</w:t>
            </w:r>
          </w:p>
        </w:tc>
        <w:tc>
          <w:tcPr>
            <w:tcW w:w="269" w:type="dxa"/>
            <w:vMerge/>
            <w:tcBorders>
              <w:top w:val="nil"/>
              <w:left w:val="nil"/>
              <w:right w:val="nil"/>
            </w:tcBorders>
          </w:tcPr>
          <w:p>
            <w:pPr>
              <w:rPr>
                <w:sz w:val="2"/>
                <w:szCs w:val="2"/>
              </w:rPr>
            </w:pPr>
          </w:p>
        </w:tc>
      </w:tr>
      <w:tr>
        <w:trPr>
          <w:trHeight w:val="292" w:hRule="atLeast"/>
        </w:trPr>
        <w:tc>
          <w:tcPr>
            <w:tcW w:w="5683" w:type="dxa"/>
            <w:vMerge/>
            <w:tcBorders>
              <w:top w:val="nil"/>
              <w:left w:val="nil"/>
              <w:bottom w:val="nil"/>
              <w:right w:val="single" w:sz="4" w:space="0" w:color="000000"/>
            </w:tcBorders>
            <w:shd w:val="clear" w:color="auto" w:fill="F2F2F2"/>
          </w:tcPr>
          <w:p>
            <w:pPr>
              <w:rPr>
                <w:sz w:val="2"/>
                <w:szCs w:val="2"/>
              </w:rPr>
            </w:pPr>
          </w:p>
        </w:tc>
        <w:tc>
          <w:tcPr>
            <w:tcW w:w="8369"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7" w:lineRule="exact" w:before="25"/>
              <w:ind w:left="108"/>
              <w:rPr>
                <w:sz w:val="22"/>
              </w:rPr>
            </w:pPr>
            <w:r>
              <w:rPr>
                <w:sz w:val="22"/>
              </w:rPr>
              <w:t>Volumes by tenor</w:t>
            </w:r>
          </w:p>
        </w:tc>
        <w:tc>
          <w:tcPr>
            <w:tcW w:w="269" w:type="dxa"/>
            <w:vMerge/>
            <w:tcBorders>
              <w:top w:val="nil"/>
              <w:left w:val="nil"/>
              <w:right w:val="nil"/>
            </w:tcBorders>
          </w:tcPr>
          <w:p>
            <w:pPr>
              <w:rPr>
                <w:sz w:val="2"/>
                <w:szCs w:val="2"/>
              </w:rPr>
            </w:pPr>
          </w:p>
        </w:tc>
      </w:tr>
      <w:tr>
        <w:trPr>
          <w:trHeight w:val="289" w:hRule="atLeast"/>
        </w:trPr>
        <w:tc>
          <w:tcPr>
            <w:tcW w:w="5683" w:type="dxa"/>
            <w:vMerge/>
            <w:tcBorders>
              <w:top w:val="nil"/>
              <w:left w:val="nil"/>
              <w:bottom w:val="nil"/>
              <w:right w:val="single" w:sz="4" w:space="0" w:color="000000"/>
            </w:tcBorders>
            <w:shd w:val="clear" w:color="auto" w:fill="F2F2F2"/>
          </w:tcPr>
          <w:p>
            <w:pPr>
              <w:rPr>
                <w:sz w:val="2"/>
                <w:szCs w:val="2"/>
              </w:rPr>
            </w:pPr>
          </w:p>
        </w:tc>
        <w:tc>
          <w:tcPr>
            <w:tcW w:w="8369"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7" w:lineRule="exact" w:before="23"/>
              <w:ind w:left="108"/>
              <w:rPr>
                <w:sz w:val="22"/>
              </w:rPr>
            </w:pPr>
            <w:r>
              <w:rPr>
                <w:sz w:val="22"/>
              </w:rPr>
              <w:t>Bid/offer spread</w:t>
            </w:r>
          </w:p>
        </w:tc>
        <w:tc>
          <w:tcPr>
            <w:tcW w:w="269" w:type="dxa"/>
            <w:vMerge/>
            <w:tcBorders>
              <w:top w:val="nil"/>
              <w:left w:val="nil"/>
              <w:right w:val="nil"/>
            </w:tcBorders>
          </w:tcPr>
          <w:p>
            <w:pPr>
              <w:rPr>
                <w:sz w:val="2"/>
                <w:szCs w:val="2"/>
              </w:rPr>
            </w:pPr>
          </w:p>
        </w:tc>
      </w:tr>
      <w:tr>
        <w:trPr>
          <w:trHeight w:val="289" w:hRule="atLeast"/>
        </w:trPr>
        <w:tc>
          <w:tcPr>
            <w:tcW w:w="5683" w:type="dxa"/>
            <w:vMerge/>
            <w:tcBorders>
              <w:top w:val="nil"/>
              <w:left w:val="nil"/>
              <w:bottom w:val="nil"/>
              <w:right w:val="single" w:sz="4" w:space="0" w:color="000000"/>
            </w:tcBorders>
            <w:shd w:val="clear" w:color="auto" w:fill="F2F2F2"/>
          </w:tcPr>
          <w:p>
            <w:pPr>
              <w:rPr>
                <w:sz w:val="2"/>
                <w:szCs w:val="2"/>
              </w:rPr>
            </w:pPr>
          </w:p>
        </w:tc>
        <w:tc>
          <w:tcPr>
            <w:tcW w:w="8369"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7" w:lineRule="exact" w:before="23"/>
              <w:ind w:left="108"/>
              <w:rPr>
                <w:sz w:val="22"/>
              </w:rPr>
            </w:pPr>
            <w:r>
              <w:rPr>
                <w:sz w:val="22"/>
              </w:rPr>
              <w:t>Volumes outstanding</w:t>
            </w:r>
          </w:p>
        </w:tc>
        <w:tc>
          <w:tcPr>
            <w:tcW w:w="269" w:type="dxa"/>
            <w:vMerge/>
            <w:tcBorders>
              <w:top w:val="nil"/>
              <w:left w:val="nil"/>
              <w:right w:val="nil"/>
            </w:tcBorders>
          </w:tcPr>
          <w:p>
            <w:pPr>
              <w:rPr>
                <w:sz w:val="2"/>
                <w:szCs w:val="2"/>
              </w:rPr>
            </w:pPr>
          </w:p>
        </w:tc>
      </w:tr>
      <w:tr>
        <w:trPr>
          <w:trHeight w:val="317" w:hRule="atLeast"/>
        </w:trPr>
        <w:tc>
          <w:tcPr>
            <w:tcW w:w="5683" w:type="dxa"/>
            <w:tcBorders>
              <w:top w:val="nil"/>
              <w:left w:val="nil"/>
              <w:bottom w:val="nil"/>
              <w:right w:val="nil"/>
            </w:tcBorders>
            <w:shd w:val="clear" w:color="auto" w:fill="DAEEF3"/>
          </w:tcPr>
          <w:p>
            <w:pPr>
              <w:pStyle w:val="TableParagraph"/>
              <w:spacing w:before="23"/>
              <w:ind w:left="117"/>
              <w:rPr>
                <w:sz w:val="22"/>
              </w:rPr>
            </w:pPr>
            <w:r>
              <w:rPr>
                <w:sz w:val="22"/>
              </w:rPr>
              <w:t>Bonds</w:t>
            </w:r>
          </w:p>
        </w:tc>
        <w:tc>
          <w:tcPr>
            <w:tcW w:w="8369" w:type="dxa"/>
            <w:tcBorders>
              <w:top w:val="single" w:sz="4" w:space="0" w:color="000000"/>
              <w:left w:val="nil"/>
              <w:bottom w:val="nil"/>
              <w:right w:val="nil"/>
            </w:tcBorders>
            <w:shd w:val="clear" w:color="auto" w:fill="DAEEF3"/>
          </w:tcPr>
          <w:p>
            <w:pPr>
              <w:pStyle w:val="TableParagraph"/>
              <w:spacing w:before="23"/>
              <w:ind w:left="113"/>
              <w:rPr>
                <w:sz w:val="22"/>
              </w:rPr>
            </w:pPr>
            <w:r>
              <w:rPr>
                <w:sz w:val="22"/>
              </w:rPr>
              <w:t>Number of issuances referencing SONIA</w:t>
            </w:r>
          </w:p>
        </w:tc>
        <w:tc>
          <w:tcPr>
            <w:tcW w:w="269" w:type="dxa"/>
            <w:vMerge/>
            <w:tcBorders>
              <w:top w:val="nil"/>
              <w:left w:val="nil"/>
              <w:right w:val="nil"/>
            </w:tcBorders>
          </w:tcPr>
          <w:p>
            <w:pPr>
              <w:rPr>
                <w:sz w:val="2"/>
                <w:szCs w:val="2"/>
              </w:rPr>
            </w:pPr>
          </w:p>
        </w:tc>
      </w:tr>
      <w:tr>
        <w:trPr>
          <w:trHeight w:val="280" w:hRule="atLeast"/>
        </w:trPr>
        <w:tc>
          <w:tcPr>
            <w:tcW w:w="5683" w:type="dxa"/>
            <w:tcBorders>
              <w:top w:val="nil"/>
              <w:left w:val="nil"/>
              <w:bottom w:val="nil"/>
              <w:right w:val="nil"/>
            </w:tcBorders>
            <w:shd w:val="clear" w:color="auto" w:fill="DAEEF3"/>
          </w:tcPr>
          <w:p>
            <w:pPr>
              <w:pStyle w:val="TableParagraph"/>
              <w:spacing w:line="254" w:lineRule="exact" w:before="0"/>
              <w:ind w:left="117"/>
              <w:rPr>
                <w:sz w:val="22"/>
              </w:rPr>
            </w:pPr>
            <w:r>
              <w:rPr>
                <w:sz w:val="22"/>
              </w:rPr>
              <w:t>Cross Currency</w:t>
            </w:r>
          </w:p>
        </w:tc>
        <w:tc>
          <w:tcPr>
            <w:tcW w:w="8369" w:type="dxa"/>
            <w:tcBorders>
              <w:top w:val="nil"/>
              <w:left w:val="nil"/>
              <w:bottom w:val="nil"/>
              <w:right w:val="nil"/>
            </w:tcBorders>
            <w:shd w:val="clear" w:color="auto" w:fill="DAEEF3"/>
          </w:tcPr>
          <w:p>
            <w:pPr>
              <w:pStyle w:val="TableParagraph"/>
              <w:spacing w:line="254" w:lineRule="exact" w:before="0"/>
              <w:ind w:left="113"/>
              <w:rPr>
                <w:sz w:val="22"/>
              </w:rPr>
            </w:pPr>
            <w:r>
              <w:rPr>
                <w:sz w:val="22"/>
              </w:rPr>
              <w:t>OIS/OIS volumes</w:t>
            </w:r>
          </w:p>
        </w:tc>
        <w:tc>
          <w:tcPr>
            <w:tcW w:w="269" w:type="dxa"/>
            <w:vMerge/>
            <w:tcBorders>
              <w:top w:val="nil"/>
              <w:left w:val="nil"/>
              <w:right w:val="nil"/>
            </w:tcBorders>
          </w:tcPr>
          <w:p>
            <w:pPr>
              <w:rPr>
                <w:sz w:val="2"/>
                <w:szCs w:val="2"/>
              </w:rPr>
            </w:pPr>
          </w:p>
        </w:tc>
      </w:tr>
      <w:tr>
        <w:trPr>
          <w:trHeight w:val="257" w:hRule="atLeast"/>
        </w:trPr>
        <w:tc>
          <w:tcPr>
            <w:tcW w:w="5683" w:type="dxa"/>
            <w:tcBorders>
              <w:top w:val="nil"/>
              <w:left w:val="nil"/>
              <w:right w:val="nil"/>
            </w:tcBorders>
            <w:shd w:val="clear" w:color="auto" w:fill="DAEEF3"/>
          </w:tcPr>
          <w:p>
            <w:pPr>
              <w:pStyle w:val="TableParagraph"/>
              <w:spacing w:line="237" w:lineRule="exact" w:before="0"/>
              <w:ind w:left="117"/>
              <w:rPr>
                <w:sz w:val="22"/>
              </w:rPr>
            </w:pPr>
            <w:r>
              <w:rPr>
                <w:sz w:val="22"/>
              </w:rPr>
              <w:t>Loans</w:t>
            </w:r>
          </w:p>
        </w:tc>
        <w:tc>
          <w:tcPr>
            <w:tcW w:w="8369" w:type="dxa"/>
            <w:tcBorders>
              <w:top w:val="nil"/>
              <w:left w:val="nil"/>
              <w:right w:val="nil"/>
            </w:tcBorders>
            <w:shd w:val="clear" w:color="auto" w:fill="DAEEF3"/>
          </w:tcPr>
          <w:p>
            <w:pPr>
              <w:pStyle w:val="TableParagraph"/>
              <w:spacing w:line="237" w:lineRule="exact" w:before="0"/>
              <w:ind w:left="113"/>
              <w:rPr>
                <w:sz w:val="22"/>
              </w:rPr>
            </w:pPr>
            <w:r>
              <w:rPr>
                <w:sz w:val="22"/>
              </w:rPr>
              <w:t>Number of loans referencing SONIA</w:t>
            </w:r>
          </w:p>
        </w:tc>
        <w:tc>
          <w:tcPr>
            <w:tcW w:w="269" w:type="dxa"/>
            <w:vMerge/>
            <w:tcBorders>
              <w:top w:val="nil"/>
              <w:left w:val="nil"/>
              <w:right w:val="nil"/>
            </w:tcBorders>
          </w:tcPr>
          <w:p>
            <w:pPr>
              <w:rPr>
                <w:sz w:val="2"/>
                <w:szCs w:val="2"/>
              </w:rPr>
            </w:pPr>
          </w:p>
        </w:tc>
      </w:tr>
      <w:tr>
        <w:trPr>
          <w:trHeight w:val="315" w:hRule="atLeast"/>
        </w:trPr>
        <w:tc>
          <w:tcPr>
            <w:tcW w:w="14321" w:type="dxa"/>
            <w:gridSpan w:val="3"/>
            <w:shd w:val="clear" w:color="auto" w:fill="92D050"/>
          </w:tcPr>
          <w:p>
            <w:pPr>
              <w:pStyle w:val="TableParagraph"/>
              <w:spacing w:line="251" w:lineRule="exact" w:before="44"/>
              <w:ind w:left="107"/>
              <w:rPr>
                <w:sz w:val="22"/>
              </w:rPr>
            </w:pPr>
            <w:r>
              <w:rPr>
                <w:sz w:val="22"/>
              </w:rPr>
              <w:t>Market Development data</w:t>
            </w:r>
          </w:p>
        </w:tc>
      </w:tr>
    </w:tbl>
    <w:p>
      <w:pPr>
        <w:pStyle w:val="Heading1"/>
        <w:spacing w:before="28"/>
      </w:pPr>
      <w:r>
        <w:rPr/>
        <w:t>Third party vendor readiness</w:t>
      </w:r>
    </w:p>
    <w:p>
      <w:pPr>
        <w:spacing w:before="31"/>
        <w:ind w:left="220" w:right="0" w:firstLine="0"/>
        <w:jc w:val="left"/>
        <w:rPr>
          <w:rFonts w:ascii="Calibri"/>
          <w:sz w:val="22"/>
        </w:rPr>
      </w:pPr>
      <w:r>
        <w:rPr>
          <w:rFonts w:ascii="Calibri"/>
          <w:sz w:val="22"/>
        </w:rPr>
        <w:t>New OIS structures available for central clearing (e.g. multi-payment)</w:t>
      </w:r>
    </w:p>
    <w:p>
      <w:pPr>
        <w:spacing w:line="268" w:lineRule="auto" w:before="32"/>
        <w:ind w:left="220" w:right="5771" w:firstLine="0"/>
        <w:jc w:val="left"/>
        <w:rPr>
          <w:rFonts w:ascii="Calibri"/>
          <w:sz w:val="22"/>
        </w:rPr>
      </w:pPr>
      <w:r>
        <w:rPr>
          <w:rFonts w:ascii="Calibri"/>
          <w:sz w:val="22"/>
        </w:rPr>
        <w:t>New conventions and standards by products (e.g. list of products vs. checklist of standards) First trades in products where SONIA not currently established (e.g. FRNs, syndicated loans etc.) Relevant IT</w:t>
      </w:r>
      <w:r>
        <w:rPr>
          <w:rFonts w:ascii="Calibri"/>
          <w:spacing w:val="-2"/>
          <w:sz w:val="22"/>
        </w:rPr>
        <w:t> </w:t>
      </w:r>
      <w:r>
        <w:rPr>
          <w:rFonts w:ascii="Calibri"/>
          <w:sz w:val="22"/>
        </w:rPr>
        <w:t>implementation</w:t>
      </w:r>
    </w:p>
    <w:p>
      <w:pPr>
        <w:spacing w:line="266" w:lineRule="exact" w:before="0"/>
        <w:ind w:left="220" w:right="0" w:firstLine="0"/>
        <w:jc w:val="left"/>
        <w:rPr>
          <w:rFonts w:ascii="Calibri"/>
          <w:sz w:val="22"/>
        </w:rPr>
      </w:pPr>
      <w:r>
        <w:rPr>
          <w:rFonts w:ascii="Calibri"/>
          <w:sz w:val="22"/>
        </w:rPr>
        <w:t>Relevant academic papers</w:t>
      </w:r>
    </w:p>
    <w:p>
      <w:pPr>
        <w:spacing w:line="300" w:lineRule="auto" w:before="31"/>
        <w:ind w:left="220" w:right="7889" w:firstLine="0"/>
        <w:jc w:val="left"/>
        <w:rPr>
          <w:rFonts w:ascii="Calibri"/>
          <w:sz w:val="22"/>
        </w:rPr>
      </w:pPr>
      <w:r>
        <w:rPr/>
        <w:pict>
          <v:group style="position:absolute;margin-left:56.16pt;margin-top:15.143637pt;width:717pt;height:17.8pt;mso-position-horizontal-relative:page;mso-position-vertical-relative:paragraph;z-index:-252243968" coordorigin="1123,303" coordsize="14340,356">
            <v:shape style="position:absolute;left:1144;top:322;width:14300;height:317" coordorigin="1145,322" coordsize="14300,317" path="m15444,322l15187,322,6811,322,1145,322,1145,639,15444,639,15444,322e" filled="true" fillcolor="#92d050" stroked="false">
              <v:path arrowok="t"/>
              <v:fill type="solid"/>
            </v:shape>
            <v:line style="position:absolute" from="15320,370" to="15320,639" stroked="true" strokeweight="2.52pt" strokecolor="#92d050">
              <v:stroke dashstyle="solid"/>
            </v:line>
            <v:rect style="position:absolute;left:1142;top:302;width:20;height:20" filled="true" fillcolor="#000000" stroked="false">
              <v:fill type="solid"/>
            </v:rect>
            <v:rect style="position:absolute;left:1161;top:302;width:5650;height:20" filled="true" fillcolor="#000000" stroked="false">
              <v:fill type="solid"/>
            </v:rect>
            <v:rect style="position:absolute;left:6811;top:302;width:20;height:20" filled="true" fillcolor="#000000" stroked="false">
              <v:fill type="solid"/>
            </v:rect>
            <v:line style="position:absolute" from="6830,312" to="15187,312" stroked="true" strokeweight=".96pt" strokecolor="#000000">
              <v:stroke dashstyle="solid"/>
            </v:line>
            <v:rect style="position:absolute;left:15187;top:302;width:20;height:20" filled="true" fillcolor="#000000" stroked="false">
              <v:fill type="solid"/>
            </v:rect>
            <v:shape style="position:absolute;left:1132;top:302;width:14312;height:336" coordorigin="1133,303" coordsize="14312,336" path="m15206,312l15444,312m1133,303l1133,639e" filled="false" stroked="true" strokeweight=".96pt" strokecolor="#000000">
              <v:path arrowok="t"/>
              <v:stroke dashstyle="solid"/>
            </v:shape>
            <v:line style="position:absolute" from="15454,303" to="15454,639" stroked="true" strokeweight=".96pt" strokecolor="#000000">
              <v:stroke dashstyle="solid"/>
            </v:line>
            <v:rect style="position:absolute;left:1123;top:638;width:20;height:20" filled="true" fillcolor="#000000" stroked="false">
              <v:fill type="solid"/>
            </v:rect>
            <v:rect style="position:absolute;left:1142;top:638;width:5669;height:20" filled="true" fillcolor="#000000" stroked="false">
              <v:fill type="solid"/>
            </v:rect>
            <v:rect style="position:absolute;left:6811;top:638;width:20;height:20" filled="true" fillcolor="#000000" stroked="false">
              <v:fill type="solid"/>
            </v:rect>
            <v:line style="position:absolute" from="6830,648" to="15187,648" stroked="true" strokeweight=".96pt" strokecolor="#000000">
              <v:stroke dashstyle="solid"/>
            </v:line>
            <v:rect style="position:absolute;left:15187;top:638;width:20;height:20" filled="true" fillcolor="#000000" stroked="false">
              <v:fill type="solid"/>
            </v:rect>
            <v:line style="position:absolute" from="15206,648" to="15346,648" stroked="true" strokeweight=".96pt" strokecolor="#000000">
              <v:stroke dashstyle="solid"/>
            </v:line>
            <v:shape style="position:absolute;left:15345;top:638;width:118;height:20" coordorigin="15346,639" coordsize="118,20" path="m15463,639l15444,639,15365,639,15346,639,15346,658,15365,658,15444,658,15463,658,15463,639e" filled="true" fillcolor="#000000" stroked="false">
              <v:path arrowok="t"/>
              <v:fill type="solid"/>
            </v:shape>
            <w10:wrap type="none"/>
          </v:group>
        </w:pict>
      </w:r>
      <w:r>
        <w:rPr>
          <w:rFonts w:ascii="Calibri"/>
          <w:sz w:val="22"/>
        </w:rPr>
        <w:t>Regular survey of firms to gauge the use of SONIA for internal processes Qualitative data</w:t>
      </w:r>
    </w:p>
    <w:p>
      <w:pPr>
        <w:spacing w:line="236" w:lineRule="exact" w:before="0"/>
        <w:ind w:left="333" w:right="0" w:firstLine="0"/>
        <w:jc w:val="left"/>
        <w:rPr>
          <w:rFonts w:ascii="Calibri"/>
          <w:sz w:val="22"/>
        </w:rPr>
      </w:pPr>
      <w:r>
        <w:rPr>
          <w:rFonts w:ascii="Calibri"/>
          <w:sz w:val="22"/>
        </w:rPr>
        <w:t>Market awareness of, and clear messaging on, the transition to risk-free rates.</w:t>
      </w:r>
    </w:p>
    <w:p>
      <w:pPr>
        <w:spacing w:line="268" w:lineRule="auto" w:before="32"/>
        <w:ind w:left="333" w:right="11505" w:firstLine="0"/>
        <w:jc w:val="left"/>
        <w:rPr>
          <w:rFonts w:ascii="Calibri"/>
          <w:sz w:val="22"/>
        </w:rPr>
      </w:pPr>
      <w:r>
        <w:rPr>
          <w:rFonts w:ascii="Calibri"/>
          <w:sz w:val="22"/>
        </w:rPr>
        <w:t>Absence of market disruption. Avoidance of litigation.</w:t>
      </w:r>
    </w:p>
    <w:p>
      <w:pPr>
        <w:spacing w:line="267" w:lineRule="exact" w:before="0"/>
        <w:ind w:left="333" w:right="0" w:firstLine="0"/>
        <w:jc w:val="left"/>
        <w:rPr>
          <w:rFonts w:ascii="Calibri"/>
          <w:sz w:val="22"/>
        </w:rPr>
      </w:pPr>
      <w:r>
        <w:rPr>
          <w:rFonts w:ascii="Calibri"/>
          <w:sz w:val="22"/>
        </w:rPr>
        <w:t>Avoidance of disputes between issuers and investors on transition economics.</w:t>
      </w:r>
    </w:p>
    <w:p>
      <w:pPr>
        <w:spacing w:after="0" w:line="267" w:lineRule="exact"/>
        <w:jc w:val="left"/>
        <w:rPr>
          <w:rFonts w:ascii="Calibri"/>
          <w:sz w:val="22"/>
        </w:rPr>
        <w:sectPr>
          <w:pgSz w:w="16840" w:h="11910" w:orient="landscape"/>
          <w:pgMar w:top="1100" w:bottom="280" w:left="1020" w:right="1260"/>
        </w:sectPr>
      </w:pPr>
    </w:p>
    <w:p>
      <w:pPr>
        <w:pStyle w:val="BodyText"/>
        <w:spacing w:before="5" w:after="1"/>
        <w:rPr>
          <w:rFonts w:ascii="Calibri"/>
          <w:sz w:val="18"/>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9"/>
      </w:tblGrid>
      <w:tr>
        <w:trPr>
          <w:trHeight w:val="260" w:hRule="atLeast"/>
        </w:trPr>
        <w:tc>
          <w:tcPr>
            <w:tcW w:w="9269" w:type="dxa"/>
          </w:tcPr>
          <w:p>
            <w:pPr>
              <w:pStyle w:val="TableParagraph"/>
              <w:spacing w:line="225" w:lineRule="exact" w:before="0"/>
              <w:rPr>
                <w:sz w:val="22"/>
              </w:rPr>
            </w:pPr>
            <w:r>
              <w:rPr>
                <w:sz w:val="22"/>
              </w:rPr>
              <w:t>Avoidance of material distortion in the SONIA/LIBOR basis swap market.</w:t>
            </w:r>
          </w:p>
        </w:tc>
      </w:tr>
      <w:tr>
        <w:trPr>
          <w:trHeight w:val="300" w:hRule="atLeast"/>
        </w:trPr>
        <w:tc>
          <w:tcPr>
            <w:tcW w:w="9269" w:type="dxa"/>
          </w:tcPr>
          <w:p>
            <w:pPr>
              <w:pStyle w:val="TableParagraph"/>
              <w:spacing w:line="264" w:lineRule="exact" w:before="0"/>
              <w:rPr>
                <w:sz w:val="22"/>
              </w:rPr>
            </w:pPr>
            <w:r>
              <w:rPr>
                <w:sz w:val="22"/>
              </w:rPr>
              <w:t>Absence of transition-related rating downgrades .</w:t>
            </w:r>
          </w:p>
        </w:tc>
      </w:tr>
      <w:tr>
        <w:trPr>
          <w:trHeight w:val="300" w:hRule="atLeast"/>
        </w:trPr>
        <w:tc>
          <w:tcPr>
            <w:tcW w:w="9269" w:type="dxa"/>
          </w:tcPr>
          <w:p>
            <w:pPr>
              <w:pStyle w:val="TableParagraph"/>
              <w:spacing w:line="264" w:lineRule="exact" w:before="0"/>
              <w:rPr>
                <w:sz w:val="22"/>
              </w:rPr>
            </w:pPr>
            <w:r>
              <w:rPr>
                <w:sz w:val="22"/>
              </w:rPr>
              <w:t>Absence of payment disruption during the transition (e.g. delays in interest payments).</w:t>
            </w:r>
          </w:p>
        </w:tc>
      </w:tr>
      <w:tr>
        <w:trPr>
          <w:trHeight w:val="300" w:hRule="atLeast"/>
        </w:trPr>
        <w:tc>
          <w:tcPr>
            <w:tcW w:w="9269" w:type="dxa"/>
          </w:tcPr>
          <w:p>
            <w:pPr>
              <w:pStyle w:val="TableParagraph"/>
              <w:spacing w:line="264" w:lineRule="exact" w:before="0"/>
              <w:rPr>
                <w:sz w:val="22"/>
              </w:rPr>
            </w:pPr>
            <w:r>
              <w:rPr>
                <w:sz w:val="22"/>
              </w:rPr>
              <w:t>Consistency of standard documentation across the market, where consistency is needed.</w:t>
            </w:r>
          </w:p>
        </w:tc>
      </w:tr>
      <w:tr>
        <w:trPr>
          <w:trHeight w:val="300" w:hRule="atLeast"/>
        </w:trPr>
        <w:tc>
          <w:tcPr>
            <w:tcW w:w="9269" w:type="dxa"/>
          </w:tcPr>
          <w:p>
            <w:pPr>
              <w:pStyle w:val="TableParagraph"/>
              <w:spacing w:line="264" w:lineRule="exact" w:before="0"/>
              <w:rPr>
                <w:sz w:val="22"/>
              </w:rPr>
            </w:pPr>
            <w:r>
              <w:rPr>
                <w:sz w:val="22"/>
              </w:rPr>
              <w:t>Feedback from market participants before and after the changeover (e.g. through a questionnaire).</w:t>
            </w:r>
          </w:p>
        </w:tc>
      </w:tr>
      <w:tr>
        <w:trPr>
          <w:trHeight w:val="260" w:hRule="atLeast"/>
        </w:trPr>
        <w:tc>
          <w:tcPr>
            <w:tcW w:w="9269" w:type="dxa"/>
          </w:tcPr>
          <w:p>
            <w:pPr>
              <w:pStyle w:val="TableParagraph"/>
              <w:spacing w:line="240" w:lineRule="exact" w:before="0"/>
              <w:rPr>
                <w:sz w:val="22"/>
              </w:rPr>
            </w:pPr>
            <w:r>
              <w:rPr>
                <w:sz w:val="22"/>
              </w:rPr>
              <w:t>Recommendations by Trade Bodies.</w:t>
            </w:r>
          </w:p>
        </w:tc>
      </w:tr>
    </w:tbl>
    <w:p>
      <w:pPr>
        <w:spacing w:after="0" w:line="240" w:lineRule="exact"/>
        <w:rPr>
          <w:sz w:val="22"/>
        </w:rPr>
        <w:sectPr>
          <w:pgSz w:w="16840" w:h="11910" w:orient="landscape"/>
          <w:pgMar w:top="1100" w:bottom="280" w:left="1020" w:right="1260"/>
        </w:sectPr>
      </w:pPr>
    </w:p>
    <w:p>
      <w:pPr>
        <w:pStyle w:val="BodyText"/>
        <w:spacing w:before="4"/>
        <w:rPr>
          <w:rFonts w:ascii="Calibri"/>
          <w:sz w:val="16"/>
        </w:rPr>
      </w:pPr>
    </w:p>
    <w:sectPr>
      <w:pgSz w:w="16840" w:h="11910" w:orient="landscape"/>
      <w:pgMar w:top="1100" w:bottom="280" w:left="102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56" w:hanging="360"/>
        <w:jc w:val="left"/>
      </w:pPr>
      <w:rPr>
        <w:rFonts w:hint="default" w:ascii="Arial" w:hAnsi="Arial" w:eastAsia="Arial" w:cs="Arial"/>
        <w:spacing w:val="-1"/>
        <w:w w:val="99"/>
        <w:sz w:val="20"/>
        <w:szCs w:val="20"/>
      </w:rPr>
    </w:lvl>
    <w:lvl w:ilvl="1">
      <w:start w:val="1"/>
      <w:numFmt w:val="lowerLetter"/>
      <w:lvlText w:val="%2."/>
      <w:lvlJc w:val="left"/>
      <w:pPr>
        <w:ind w:left="1275" w:hanging="360"/>
        <w:jc w:val="left"/>
      </w:pPr>
      <w:rPr>
        <w:rFonts w:hint="default" w:ascii="Arial" w:hAnsi="Arial" w:eastAsia="Arial" w:cs="Arial"/>
        <w:spacing w:val="-1"/>
        <w:w w:val="99"/>
        <w:sz w:val="20"/>
        <w:szCs w:val="20"/>
      </w:rPr>
    </w:lvl>
    <w:lvl w:ilvl="2">
      <w:start w:val="0"/>
      <w:numFmt w:val="bullet"/>
      <w:lvlText w:val="•"/>
      <w:lvlJc w:val="left"/>
      <w:pPr>
        <w:ind w:left="2225" w:hanging="360"/>
      </w:pPr>
      <w:rPr>
        <w:rFonts w:hint="default"/>
      </w:rPr>
    </w:lvl>
    <w:lvl w:ilvl="3">
      <w:start w:val="0"/>
      <w:numFmt w:val="bullet"/>
      <w:lvlText w:val="•"/>
      <w:lvlJc w:val="left"/>
      <w:pPr>
        <w:ind w:left="3170" w:hanging="360"/>
      </w:pPr>
      <w:rPr>
        <w:rFonts w:hint="default"/>
      </w:rPr>
    </w:lvl>
    <w:lvl w:ilvl="4">
      <w:start w:val="0"/>
      <w:numFmt w:val="bullet"/>
      <w:lvlText w:val="•"/>
      <w:lvlJc w:val="left"/>
      <w:pPr>
        <w:ind w:left="4115" w:hanging="360"/>
      </w:pPr>
      <w:rPr>
        <w:rFonts w:hint="default"/>
      </w:rPr>
    </w:lvl>
    <w:lvl w:ilvl="5">
      <w:start w:val="0"/>
      <w:numFmt w:val="bullet"/>
      <w:lvlText w:val="•"/>
      <w:lvlJc w:val="left"/>
      <w:pPr>
        <w:ind w:left="5060" w:hanging="360"/>
      </w:pPr>
      <w:rPr>
        <w:rFonts w:hint="default"/>
      </w:rPr>
    </w:lvl>
    <w:lvl w:ilvl="6">
      <w:start w:val="0"/>
      <w:numFmt w:val="bullet"/>
      <w:lvlText w:val="•"/>
      <w:lvlJc w:val="left"/>
      <w:pPr>
        <w:ind w:left="6005" w:hanging="360"/>
      </w:pPr>
      <w:rPr>
        <w:rFonts w:hint="default"/>
      </w:rPr>
    </w:lvl>
    <w:lvl w:ilvl="7">
      <w:start w:val="0"/>
      <w:numFmt w:val="bullet"/>
      <w:lvlText w:val="•"/>
      <w:lvlJc w:val="left"/>
      <w:pPr>
        <w:ind w:left="6950" w:hanging="360"/>
      </w:pPr>
      <w:rPr>
        <w:rFonts w:hint="default"/>
      </w:rPr>
    </w:lvl>
    <w:lvl w:ilvl="8">
      <w:start w:val="0"/>
      <w:numFmt w:val="bullet"/>
      <w:lvlText w:val="•"/>
      <w:lvlJc w:val="left"/>
      <w:pPr>
        <w:ind w:left="7896"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20"/>
      <w:outlineLvl w:val="1"/>
    </w:pPr>
    <w:rPr>
      <w:rFonts w:ascii="Calibri" w:hAnsi="Calibri" w:eastAsia="Calibri" w:cs="Calibri"/>
      <w:sz w:val="22"/>
      <w:szCs w:val="22"/>
    </w:rPr>
  </w:style>
  <w:style w:styleId="Heading2" w:type="paragraph">
    <w:name w:val="Heading 2"/>
    <w:basedOn w:val="Normal"/>
    <w:uiPriority w:val="1"/>
    <w:qFormat/>
    <w:pPr>
      <w:spacing w:before="73"/>
      <w:ind w:left="196"/>
      <w:outlineLvl w:val="2"/>
    </w:pPr>
    <w:rPr>
      <w:rFonts w:ascii="Arial" w:hAnsi="Arial" w:eastAsia="Arial" w:cs="Arial"/>
      <w:b/>
      <w:bCs/>
      <w:sz w:val="20"/>
      <w:szCs w:val="20"/>
    </w:rPr>
  </w:style>
  <w:style w:styleId="ListParagraph" w:type="paragraph">
    <w:name w:val="List Paragraph"/>
    <w:basedOn w:val="Normal"/>
    <w:uiPriority w:val="1"/>
    <w:qFormat/>
    <w:pPr>
      <w:ind w:left="556" w:hanging="360"/>
    </w:pPr>
    <w:rPr>
      <w:rFonts w:ascii="Arial" w:hAnsi="Arial" w:eastAsia="Arial" w:cs="Arial"/>
    </w:rPr>
  </w:style>
  <w:style w:styleId="TableParagraph" w:type="paragraph">
    <w:name w:val="Table Paragraph"/>
    <w:basedOn w:val="Normal"/>
    <w:uiPriority w:val="1"/>
    <w:qFormat/>
    <w:pPr>
      <w:spacing w:before="32"/>
      <w:ind w:left="200"/>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bankofengland.co.uk/-/media/boe/files/markets/benchmarks/consultation-on-term-sonia-reference-rates.pdf" TargetMode="External"/><Relationship Id="rId6" Type="http://schemas.openxmlformats.org/officeDocument/2006/relationships/hyperlink" Target="http://www.fsb.org/wp-content/uploads/P120718.pdf" TargetMode="External"/><Relationship Id="rId7" Type="http://schemas.openxmlformats.org/officeDocument/2006/relationships/hyperlink" Target="https://www.isda.org/2018/07/12/interbank-offered-rate-ibor-fallbacks-for-2006-isda-definitions" TargetMode="External"/><Relationship Id="rId8" Type="http://schemas.openxmlformats.org/officeDocument/2006/relationships/hyperlink" Target="https://www.bankofengland.co.uk/-/media/boe/files/markets/benchmarks/risk-free-reference-rates-new-issuance-of-sterling-bonds-referencing-libor.pdf?la=en&amp;hash=12F13D37E21F4B789813ED7386F34DA347370323" TargetMode="External"/><Relationship Id="rId9" Type="http://schemas.openxmlformats.org/officeDocument/2006/relationships/hyperlink" Target="https://www.fca.org.uk/news/speeches/the-future-of-libor" TargetMode="External"/><Relationship Id="rId10" Type="http://schemas.openxmlformats.org/officeDocument/2006/relationships/hyperlink" Target="http://www.eib.org/investor_relations/press/2018/fi-2018-12-EIB%20issues%20markets%20first%20SONIA%20GBP%20benchmark%20with%20GBP%201bn%205y%20issuance.htm" TargetMode="External"/><Relationship Id="rId11" Type="http://schemas.openxmlformats.org/officeDocument/2006/relationships/hyperlink" Target="https://www.bankofengland.co.uk/-/media/boe/files/financial-stability-report/2018/june-2018.pdf" TargetMode="External"/><Relationship Id="rId12" Type="http://schemas.openxmlformats.org/officeDocument/2006/relationships/hyperlink" Target="http://www.isda.org/2018/06/25/ibor-global-benchmark-transition-report/"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Working Group on Sterling Risk-Free Reference Rates - July 2018</dc:title>
  <dcterms:created xsi:type="dcterms:W3CDTF">2020-06-01T02:23:54Z</dcterms:created>
  <dcterms:modified xsi:type="dcterms:W3CDTF">2020-06-01T02:23:54Z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2018-08-22T00:00:00Z</vt:filetime>
  </property>
  <property fmtid="{D5CDD505-2E9C-101B-9397-08002B2CF9AE}" pid="3" name="Creator">
    <vt:lpwstr>Acrobat PDFMaker 10.1 for Word</vt:lpwstr>
  </property>
  <property fmtid="{D5CDD505-2E9C-101B-9397-08002B2CF9AE}" pid="4" name="LastSaved">
    <vt:filetime>2020-06-01T00:00:00Z</vt:filetime>
  </property>
</Properties>
</file>