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12"/>
        </w:rPr>
      </w:pPr>
    </w:p>
    <w:p>
      <w:pPr>
        <w:pStyle w:val="Heading1"/>
        <w:spacing w:before="90"/>
      </w:pPr>
      <w:r>
        <w:rPr/>
        <w:pict>
          <v:line style="position:absolute;mso-position-horizontal-relative:page;mso-position-vertical-relative:paragraph;z-index:251658240" from="48.349998pt,51.76783pt" to="48.349998pt,-6.58217pt" stroked="true" strokeweight="2pt" strokecolor="#497dba">
            <v:stroke dashstyle="solid"/>
            <w10:wrap type="none"/>
          </v:line>
        </w:pict>
      </w:r>
      <w:r>
        <w:rPr/>
        <w:t>The Working Group on</w:t>
      </w:r>
    </w:p>
    <w:p>
      <w:pPr>
        <w:spacing w:before="2"/>
        <w:ind w:left="105" w:right="0" w:firstLine="0"/>
        <w:jc w:val="left"/>
        <w:rPr>
          <w:b/>
          <w:sz w:val="32"/>
        </w:rPr>
      </w:pPr>
      <w:r>
        <w:rPr>
          <w:b/>
          <w:sz w:val="32"/>
        </w:rPr>
        <w:t>Sterling Risk-Free Reference Rates</w:t>
      </w:r>
    </w:p>
    <w:p>
      <w:pPr>
        <w:pStyle w:val="Heading2"/>
        <w:spacing w:line="362" w:lineRule="auto" w:before="150"/>
        <w:ind w:left="1655" w:right="1330"/>
        <w:jc w:val="center"/>
      </w:pPr>
      <w:r>
        <w:rPr/>
        <w:t>Minutes of the Working Group on Sterling Risk-Free Reference Rates Wednesday 3</w:t>
      </w:r>
      <w:r>
        <w:rPr>
          <w:position w:val="7"/>
          <w:sz w:val="13"/>
        </w:rPr>
        <w:t>rd </w:t>
      </w:r>
      <w:r>
        <w:rPr/>
        <w:t>July 2019</w:t>
      </w:r>
    </w:p>
    <w:p>
      <w:pPr>
        <w:spacing w:before="0"/>
        <w:ind w:left="1651" w:right="1330" w:firstLine="0"/>
        <w:jc w:val="center"/>
        <w:rPr>
          <w:b/>
          <w:sz w:val="20"/>
        </w:rPr>
      </w:pPr>
      <w:r>
        <w:rPr>
          <w:b/>
          <w:sz w:val="20"/>
        </w:rPr>
        <w:t>Barclays, 1 Churchill Place, London E14 5HP</w:t>
      </w:r>
    </w:p>
    <w:p>
      <w:pPr>
        <w:pStyle w:val="BodyText"/>
        <w:rPr>
          <w:b/>
          <w:sz w:val="31"/>
        </w:rPr>
      </w:pPr>
    </w:p>
    <w:p>
      <w:pPr>
        <w:spacing w:before="0"/>
        <w:ind w:left="420" w:right="0" w:firstLine="0"/>
        <w:jc w:val="left"/>
        <w:rPr>
          <w:b/>
          <w:sz w:val="20"/>
        </w:rPr>
      </w:pPr>
      <w:r>
        <w:rPr>
          <w:b/>
          <w:sz w:val="20"/>
        </w:rPr>
        <w:t>Agenda</w:t>
      </w:r>
    </w:p>
    <w:p>
      <w:pPr>
        <w:pStyle w:val="BodyText"/>
        <w:spacing w:before="8"/>
        <w:rPr>
          <w:b/>
          <w:sz w:val="30"/>
        </w:rPr>
      </w:pPr>
    </w:p>
    <w:p>
      <w:pPr>
        <w:pStyle w:val="ListParagraph"/>
        <w:numPr>
          <w:ilvl w:val="0"/>
          <w:numId w:val="1"/>
        </w:numPr>
        <w:tabs>
          <w:tab w:pos="1141" w:val="left" w:leader="none"/>
        </w:tabs>
        <w:spacing w:line="240" w:lineRule="auto" w:before="0" w:after="0"/>
        <w:ind w:left="1140" w:right="0" w:hanging="361"/>
        <w:jc w:val="left"/>
        <w:rPr>
          <w:sz w:val="20"/>
        </w:rPr>
      </w:pPr>
      <w:r>
        <w:rPr>
          <w:sz w:val="20"/>
        </w:rPr>
        <w:t>Welcome &amp;</w:t>
      </w:r>
      <w:r>
        <w:rPr>
          <w:spacing w:val="-1"/>
          <w:sz w:val="20"/>
        </w:rPr>
        <w:t> </w:t>
      </w:r>
      <w:r>
        <w:rPr>
          <w:sz w:val="20"/>
        </w:rPr>
        <w:t>Introductions</w:t>
      </w:r>
    </w:p>
    <w:p>
      <w:pPr>
        <w:pStyle w:val="ListParagraph"/>
        <w:numPr>
          <w:ilvl w:val="0"/>
          <w:numId w:val="1"/>
        </w:numPr>
        <w:tabs>
          <w:tab w:pos="1141" w:val="left" w:leader="none"/>
        </w:tabs>
        <w:spacing w:line="240" w:lineRule="auto" w:before="116" w:after="0"/>
        <w:ind w:left="1140" w:right="0" w:hanging="361"/>
        <w:jc w:val="left"/>
        <w:rPr>
          <w:sz w:val="20"/>
        </w:rPr>
      </w:pPr>
      <w:r>
        <w:rPr>
          <w:sz w:val="20"/>
        </w:rPr>
        <w:t>Competition Law</w:t>
      </w:r>
      <w:r>
        <w:rPr>
          <w:spacing w:val="-1"/>
          <w:sz w:val="20"/>
        </w:rPr>
        <w:t> </w:t>
      </w:r>
      <w:r>
        <w:rPr>
          <w:sz w:val="20"/>
        </w:rPr>
        <w:t>Principles</w:t>
      </w:r>
    </w:p>
    <w:p>
      <w:pPr>
        <w:pStyle w:val="ListParagraph"/>
        <w:numPr>
          <w:ilvl w:val="0"/>
          <w:numId w:val="1"/>
        </w:numPr>
        <w:tabs>
          <w:tab w:pos="1141" w:val="left" w:leader="none"/>
        </w:tabs>
        <w:spacing w:line="240" w:lineRule="auto" w:before="114" w:after="0"/>
        <w:ind w:left="1140" w:right="0" w:hanging="361"/>
        <w:jc w:val="left"/>
        <w:rPr>
          <w:sz w:val="20"/>
        </w:rPr>
      </w:pPr>
      <w:r>
        <w:rPr>
          <w:sz w:val="20"/>
        </w:rPr>
        <w:t>Minutes of previous</w:t>
      </w:r>
      <w:r>
        <w:rPr>
          <w:spacing w:val="-1"/>
          <w:sz w:val="20"/>
        </w:rPr>
        <w:t> </w:t>
      </w:r>
      <w:r>
        <w:rPr>
          <w:sz w:val="20"/>
        </w:rPr>
        <w:t>meeting</w:t>
      </w:r>
    </w:p>
    <w:p>
      <w:pPr>
        <w:pStyle w:val="ListParagraph"/>
        <w:numPr>
          <w:ilvl w:val="0"/>
          <w:numId w:val="1"/>
        </w:numPr>
        <w:tabs>
          <w:tab w:pos="1141" w:val="left" w:leader="none"/>
        </w:tabs>
        <w:spacing w:line="360" w:lineRule="auto" w:before="112" w:after="0"/>
        <w:ind w:left="1140" w:right="234" w:hanging="360"/>
        <w:jc w:val="left"/>
        <w:rPr>
          <w:sz w:val="20"/>
        </w:rPr>
      </w:pPr>
      <w:r>
        <w:rPr>
          <w:sz w:val="20"/>
        </w:rPr>
        <w:t>Readout of Risk-Free Rate Transition event on 5</w:t>
      </w:r>
      <w:r>
        <w:rPr>
          <w:position w:val="7"/>
          <w:sz w:val="13"/>
        </w:rPr>
        <w:t>th </w:t>
      </w:r>
      <w:r>
        <w:rPr>
          <w:sz w:val="20"/>
        </w:rPr>
        <w:t>June and the Discussion Paper on LIBOR collateral in the</w:t>
      </w:r>
      <w:r>
        <w:rPr>
          <w:spacing w:val="-1"/>
          <w:sz w:val="20"/>
        </w:rPr>
        <w:t> </w:t>
      </w:r>
      <w:r>
        <w:rPr>
          <w:sz w:val="20"/>
        </w:rPr>
        <w:t>SMF</w:t>
      </w:r>
    </w:p>
    <w:p>
      <w:pPr>
        <w:pStyle w:val="ListParagraph"/>
        <w:numPr>
          <w:ilvl w:val="0"/>
          <w:numId w:val="1"/>
        </w:numPr>
        <w:tabs>
          <w:tab w:pos="1141" w:val="left" w:leader="none"/>
        </w:tabs>
        <w:spacing w:line="240" w:lineRule="auto" w:before="0" w:after="0"/>
        <w:ind w:left="1140" w:right="0" w:hanging="361"/>
        <w:jc w:val="left"/>
        <w:rPr>
          <w:sz w:val="20"/>
        </w:rPr>
      </w:pPr>
      <w:r>
        <w:rPr>
          <w:sz w:val="20"/>
        </w:rPr>
        <w:t>ISDA Consultation on pre-cessation</w:t>
      </w:r>
      <w:r>
        <w:rPr>
          <w:spacing w:val="-3"/>
          <w:sz w:val="20"/>
        </w:rPr>
        <w:t> </w:t>
      </w:r>
      <w:r>
        <w:rPr>
          <w:sz w:val="20"/>
        </w:rPr>
        <w:t>triggers</w:t>
      </w:r>
    </w:p>
    <w:p>
      <w:pPr>
        <w:pStyle w:val="ListParagraph"/>
        <w:numPr>
          <w:ilvl w:val="0"/>
          <w:numId w:val="1"/>
        </w:numPr>
        <w:tabs>
          <w:tab w:pos="1141" w:val="left" w:leader="none"/>
        </w:tabs>
        <w:spacing w:line="240" w:lineRule="auto" w:before="110" w:after="0"/>
        <w:ind w:left="1140" w:right="0" w:hanging="361"/>
        <w:jc w:val="left"/>
        <w:rPr>
          <w:sz w:val="20"/>
        </w:rPr>
      </w:pPr>
      <w:r>
        <w:rPr>
          <w:sz w:val="20"/>
        </w:rPr>
        <w:t>Update on Senior Advisory Group meeting held 1</w:t>
      </w:r>
      <w:r>
        <w:rPr>
          <w:position w:val="7"/>
          <w:sz w:val="13"/>
        </w:rPr>
        <w:t>st</w:t>
      </w:r>
      <w:r>
        <w:rPr>
          <w:spacing w:val="14"/>
          <w:position w:val="7"/>
          <w:sz w:val="13"/>
        </w:rPr>
        <w:t> </w:t>
      </w:r>
      <w:r>
        <w:rPr>
          <w:sz w:val="20"/>
        </w:rPr>
        <w:t>July</w:t>
      </w:r>
    </w:p>
    <w:p>
      <w:pPr>
        <w:pStyle w:val="ListParagraph"/>
        <w:numPr>
          <w:ilvl w:val="0"/>
          <w:numId w:val="1"/>
        </w:numPr>
        <w:tabs>
          <w:tab w:pos="1141" w:val="left" w:leader="none"/>
        </w:tabs>
        <w:spacing w:line="240" w:lineRule="auto" w:before="115" w:after="0"/>
        <w:ind w:left="1140" w:right="0" w:hanging="361"/>
        <w:jc w:val="left"/>
        <w:rPr>
          <w:sz w:val="20"/>
        </w:rPr>
      </w:pPr>
      <w:r>
        <w:rPr>
          <w:sz w:val="20"/>
        </w:rPr>
        <w:t>Update/follow up</w:t>
      </w:r>
      <w:r>
        <w:rPr>
          <w:spacing w:val="-2"/>
          <w:sz w:val="20"/>
        </w:rPr>
        <w:t> </w:t>
      </w:r>
      <w:r>
        <w:rPr>
          <w:sz w:val="20"/>
        </w:rPr>
        <w:t>on:</w:t>
      </w:r>
    </w:p>
    <w:p>
      <w:pPr>
        <w:pStyle w:val="ListParagraph"/>
        <w:numPr>
          <w:ilvl w:val="1"/>
          <w:numId w:val="1"/>
        </w:numPr>
        <w:tabs>
          <w:tab w:pos="1861" w:val="left" w:leader="none"/>
        </w:tabs>
        <w:spacing w:line="240" w:lineRule="auto" w:before="115" w:after="0"/>
        <w:ind w:left="1860" w:right="0" w:hanging="361"/>
        <w:jc w:val="left"/>
        <w:rPr>
          <w:sz w:val="20"/>
        </w:rPr>
      </w:pPr>
      <w:r>
        <w:rPr>
          <w:sz w:val="20"/>
        </w:rPr>
        <w:t>Term Rate Provider</w:t>
      </w:r>
      <w:r>
        <w:rPr>
          <w:spacing w:val="-3"/>
          <w:sz w:val="20"/>
        </w:rPr>
        <w:t> </w:t>
      </w:r>
      <w:r>
        <w:rPr>
          <w:sz w:val="20"/>
        </w:rPr>
        <w:t>Presentations</w:t>
      </w:r>
    </w:p>
    <w:p>
      <w:pPr>
        <w:pStyle w:val="ListParagraph"/>
        <w:numPr>
          <w:ilvl w:val="1"/>
          <w:numId w:val="1"/>
        </w:numPr>
        <w:tabs>
          <w:tab w:pos="1861" w:val="left" w:leader="none"/>
        </w:tabs>
        <w:spacing w:line="240" w:lineRule="auto" w:before="115" w:after="0"/>
        <w:ind w:left="1860" w:right="0" w:hanging="361"/>
        <w:jc w:val="left"/>
        <w:rPr>
          <w:sz w:val="20"/>
        </w:rPr>
      </w:pPr>
      <w:r>
        <w:rPr>
          <w:sz w:val="20"/>
        </w:rPr>
        <w:t>Term Rate Use Case Task</w:t>
      </w:r>
      <w:r>
        <w:rPr>
          <w:spacing w:val="-5"/>
          <w:sz w:val="20"/>
        </w:rPr>
        <w:t> </w:t>
      </w:r>
      <w:r>
        <w:rPr>
          <w:sz w:val="20"/>
        </w:rPr>
        <w:t>Force</w:t>
      </w:r>
    </w:p>
    <w:p>
      <w:pPr>
        <w:pStyle w:val="ListParagraph"/>
        <w:numPr>
          <w:ilvl w:val="0"/>
          <w:numId w:val="1"/>
        </w:numPr>
        <w:tabs>
          <w:tab w:pos="1141" w:val="left" w:leader="none"/>
        </w:tabs>
        <w:spacing w:line="240" w:lineRule="auto" w:before="115" w:after="0"/>
        <w:ind w:left="1140" w:right="0" w:hanging="361"/>
        <w:jc w:val="left"/>
        <w:rPr>
          <w:sz w:val="20"/>
        </w:rPr>
      </w:pPr>
      <w:r>
        <w:rPr>
          <w:sz w:val="20"/>
        </w:rPr>
        <w:t>Update on NatWest SONIA loan</w:t>
      </w:r>
      <w:r>
        <w:rPr>
          <w:spacing w:val="-2"/>
          <w:sz w:val="20"/>
        </w:rPr>
        <w:t> </w:t>
      </w:r>
      <w:r>
        <w:rPr>
          <w:sz w:val="20"/>
        </w:rPr>
        <w:t>facility</w:t>
      </w:r>
    </w:p>
    <w:p>
      <w:pPr>
        <w:pStyle w:val="ListParagraph"/>
        <w:numPr>
          <w:ilvl w:val="0"/>
          <w:numId w:val="1"/>
        </w:numPr>
        <w:tabs>
          <w:tab w:pos="1141" w:val="left" w:leader="none"/>
        </w:tabs>
        <w:spacing w:line="240" w:lineRule="auto" w:before="114" w:after="0"/>
        <w:ind w:left="1140" w:right="0" w:hanging="361"/>
        <w:jc w:val="left"/>
        <w:rPr>
          <w:sz w:val="20"/>
        </w:rPr>
      </w:pPr>
      <w:r>
        <w:rPr>
          <w:sz w:val="20"/>
        </w:rPr>
        <w:t>Market conventions for SONIA</w:t>
      </w:r>
      <w:r>
        <w:rPr>
          <w:spacing w:val="-3"/>
          <w:sz w:val="20"/>
        </w:rPr>
        <w:t> </w:t>
      </w:r>
      <w:r>
        <w:rPr>
          <w:sz w:val="20"/>
        </w:rPr>
        <w:t>contracts</w:t>
      </w:r>
    </w:p>
    <w:p>
      <w:pPr>
        <w:pStyle w:val="ListParagraph"/>
        <w:numPr>
          <w:ilvl w:val="1"/>
          <w:numId w:val="1"/>
        </w:numPr>
        <w:tabs>
          <w:tab w:pos="1861" w:val="left" w:leader="none"/>
        </w:tabs>
        <w:spacing w:line="240" w:lineRule="auto" w:before="116" w:after="0"/>
        <w:ind w:left="1860" w:right="0" w:hanging="361"/>
        <w:jc w:val="left"/>
        <w:rPr>
          <w:sz w:val="20"/>
        </w:rPr>
      </w:pPr>
      <w:r>
        <w:rPr>
          <w:sz w:val="20"/>
        </w:rPr>
        <w:t>Discussion paper – summary of responses and next</w:t>
      </w:r>
      <w:r>
        <w:rPr>
          <w:spacing w:val="-7"/>
          <w:sz w:val="20"/>
        </w:rPr>
        <w:t> </w:t>
      </w:r>
      <w:r>
        <w:rPr>
          <w:sz w:val="20"/>
        </w:rPr>
        <w:t>steps</w:t>
      </w:r>
    </w:p>
    <w:p>
      <w:pPr>
        <w:pStyle w:val="ListParagraph"/>
        <w:numPr>
          <w:ilvl w:val="1"/>
          <w:numId w:val="1"/>
        </w:numPr>
        <w:tabs>
          <w:tab w:pos="1861" w:val="left" w:leader="none"/>
        </w:tabs>
        <w:spacing w:line="240" w:lineRule="auto" w:before="114" w:after="0"/>
        <w:ind w:left="1860" w:right="0" w:hanging="361"/>
        <w:jc w:val="left"/>
        <w:rPr>
          <w:sz w:val="20"/>
        </w:rPr>
      </w:pPr>
      <w:r>
        <w:rPr>
          <w:sz w:val="20"/>
        </w:rPr>
        <w:t>Loans market</w:t>
      </w:r>
      <w:r>
        <w:rPr>
          <w:spacing w:val="-1"/>
          <w:sz w:val="20"/>
        </w:rPr>
        <w:t> </w:t>
      </w:r>
      <w:r>
        <w:rPr>
          <w:sz w:val="20"/>
        </w:rPr>
        <w:t>readiness</w:t>
      </w:r>
    </w:p>
    <w:p>
      <w:pPr>
        <w:pStyle w:val="ListParagraph"/>
        <w:numPr>
          <w:ilvl w:val="1"/>
          <w:numId w:val="1"/>
        </w:numPr>
        <w:tabs>
          <w:tab w:pos="1860" w:val="left" w:leader="none"/>
          <w:tab w:pos="1861" w:val="left" w:leader="none"/>
        </w:tabs>
        <w:spacing w:line="240" w:lineRule="auto" w:before="116" w:after="0"/>
        <w:ind w:left="1860" w:right="0" w:hanging="361"/>
        <w:jc w:val="left"/>
        <w:rPr>
          <w:sz w:val="20"/>
        </w:rPr>
      </w:pPr>
      <w:r>
        <w:rPr>
          <w:sz w:val="20"/>
        </w:rPr>
        <w:t>Working Paper on Loans</w:t>
      </w:r>
      <w:r>
        <w:rPr>
          <w:spacing w:val="-2"/>
          <w:sz w:val="20"/>
        </w:rPr>
        <w:t> </w:t>
      </w:r>
      <w:r>
        <w:rPr>
          <w:sz w:val="20"/>
        </w:rPr>
        <w:t>Processing</w:t>
      </w:r>
    </w:p>
    <w:p>
      <w:pPr>
        <w:pStyle w:val="ListParagraph"/>
        <w:numPr>
          <w:ilvl w:val="0"/>
          <w:numId w:val="1"/>
        </w:numPr>
        <w:tabs>
          <w:tab w:pos="1141" w:val="left" w:leader="none"/>
        </w:tabs>
        <w:spacing w:line="240" w:lineRule="auto" w:before="115" w:after="0"/>
        <w:ind w:left="1140" w:right="0" w:hanging="361"/>
        <w:jc w:val="left"/>
        <w:rPr>
          <w:sz w:val="20"/>
        </w:rPr>
      </w:pPr>
      <w:r>
        <w:rPr>
          <w:sz w:val="20"/>
        </w:rPr>
        <w:t>Headline updates from subgroups and task</w:t>
      </w:r>
      <w:r>
        <w:rPr>
          <w:spacing w:val="-2"/>
          <w:sz w:val="20"/>
        </w:rPr>
        <w:t> </w:t>
      </w:r>
      <w:r>
        <w:rPr>
          <w:sz w:val="20"/>
        </w:rPr>
        <w:t>forces</w:t>
      </w:r>
    </w:p>
    <w:p>
      <w:pPr>
        <w:pStyle w:val="BodyText"/>
        <w:spacing w:before="6"/>
      </w:pPr>
    </w:p>
    <w:p>
      <w:pPr>
        <w:pStyle w:val="Heading2"/>
        <w:spacing w:before="1"/>
      </w:pPr>
      <w:r>
        <w:rPr/>
        <w:t>Welcome, Introductions and Competition Law Principles</w:t>
      </w:r>
    </w:p>
    <w:p>
      <w:pPr>
        <w:pStyle w:val="BodyText"/>
        <w:spacing w:before="3"/>
        <w:rPr>
          <w:b/>
        </w:rPr>
      </w:pPr>
    </w:p>
    <w:p>
      <w:pPr>
        <w:pStyle w:val="ListParagraph"/>
        <w:numPr>
          <w:ilvl w:val="0"/>
          <w:numId w:val="2"/>
        </w:numPr>
        <w:tabs>
          <w:tab w:pos="846" w:val="left" w:leader="none"/>
          <w:tab w:pos="847" w:val="left" w:leader="none"/>
        </w:tabs>
        <w:spacing w:line="360" w:lineRule="auto" w:before="0" w:after="0"/>
        <w:ind w:left="846" w:right="325" w:hanging="427"/>
        <w:jc w:val="left"/>
        <w:rPr>
          <w:sz w:val="20"/>
        </w:rPr>
      </w:pPr>
      <w:r>
        <w:rPr>
          <w:sz w:val="20"/>
        </w:rPr>
        <w:t>The Chair welcomed attendees and introduced Alexandre Papadacci (AXA Investment), as the new Buy-side Vice-Chair of the Sterling Risk Free Reference Rate Working Group (Working Group).</w:t>
      </w:r>
    </w:p>
    <w:p>
      <w:pPr>
        <w:pStyle w:val="ListParagraph"/>
        <w:numPr>
          <w:ilvl w:val="0"/>
          <w:numId w:val="2"/>
        </w:numPr>
        <w:tabs>
          <w:tab w:pos="846" w:val="left" w:leader="none"/>
          <w:tab w:pos="847" w:val="left" w:leader="none"/>
        </w:tabs>
        <w:spacing w:line="360" w:lineRule="auto" w:before="0" w:after="0"/>
        <w:ind w:left="846" w:right="638" w:hanging="427"/>
        <w:jc w:val="left"/>
        <w:rPr>
          <w:sz w:val="20"/>
        </w:rPr>
      </w:pPr>
      <w:r>
        <w:rPr>
          <w:sz w:val="20"/>
        </w:rPr>
        <w:t>Alexandre Papadacci noted he felt there was a role for the Working Group in ensuring the potential effects of transitioning from LIBOR, such as value transfer were better understood across the market. He also highlighted broadening communication on transition as another important area of focus. Working Group members noted the continuing importance of firms engaging and updating clients regarding LIBOR</w:t>
      </w:r>
      <w:r>
        <w:rPr>
          <w:spacing w:val="-5"/>
          <w:sz w:val="20"/>
        </w:rPr>
        <w:t> </w:t>
      </w:r>
      <w:r>
        <w:rPr>
          <w:sz w:val="20"/>
        </w:rPr>
        <w:t>transition.</w:t>
      </w:r>
    </w:p>
    <w:p>
      <w:pPr>
        <w:pStyle w:val="ListParagraph"/>
        <w:numPr>
          <w:ilvl w:val="0"/>
          <w:numId w:val="2"/>
        </w:numPr>
        <w:tabs>
          <w:tab w:pos="846" w:val="left" w:leader="none"/>
          <w:tab w:pos="847" w:val="left" w:leader="none"/>
        </w:tabs>
        <w:spacing w:line="360" w:lineRule="auto" w:before="0" w:after="0"/>
        <w:ind w:left="846" w:right="506" w:hanging="427"/>
        <w:jc w:val="left"/>
        <w:rPr>
          <w:sz w:val="20"/>
        </w:rPr>
      </w:pPr>
      <w:r>
        <w:rPr>
          <w:sz w:val="20"/>
        </w:rPr>
        <w:t>The Working Group’s General Counsel (Greg Olsen), reminded firms of their competition law responsibilities in the context of the Working Group</w:t>
      </w:r>
      <w:r>
        <w:rPr>
          <w:spacing w:val="-6"/>
          <w:sz w:val="20"/>
        </w:rPr>
        <w:t> </w:t>
      </w:r>
      <w:r>
        <w:rPr>
          <w:sz w:val="20"/>
        </w:rPr>
        <w:t>meeting.</w:t>
      </w:r>
    </w:p>
    <w:p>
      <w:pPr>
        <w:pStyle w:val="Heading2"/>
      </w:pPr>
      <w:r>
        <w:rPr/>
        <w:t>Minutes of the previous meeting</w:t>
      </w:r>
    </w:p>
    <w:p>
      <w:pPr>
        <w:pStyle w:val="BodyText"/>
        <w:spacing w:before="5"/>
        <w:rPr>
          <w:b/>
        </w:rPr>
      </w:pPr>
    </w:p>
    <w:p>
      <w:pPr>
        <w:pStyle w:val="ListParagraph"/>
        <w:numPr>
          <w:ilvl w:val="0"/>
          <w:numId w:val="2"/>
        </w:numPr>
        <w:tabs>
          <w:tab w:pos="846" w:val="left" w:leader="none"/>
          <w:tab w:pos="847" w:val="left" w:leader="none"/>
        </w:tabs>
        <w:spacing w:line="360" w:lineRule="auto" w:before="0" w:after="0"/>
        <w:ind w:left="846" w:right="536" w:hanging="427"/>
        <w:jc w:val="left"/>
        <w:rPr>
          <w:sz w:val="20"/>
        </w:rPr>
      </w:pPr>
      <w:r>
        <w:rPr>
          <w:sz w:val="20"/>
        </w:rPr>
        <w:t>There were no verbal comments on the draft May Working Group minutes. The Chair asked firms to direct any further comments to the</w:t>
      </w:r>
      <w:r>
        <w:rPr>
          <w:spacing w:val="-7"/>
          <w:sz w:val="20"/>
        </w:rPr>
        <w:t> </w:t>
      </w:r>
      <w:r>
        <w:rPr>
          <w:sz w:val="20"/>
        </w:rPr>
        <w:t>Secretariat.</w:t>
      </w:r>
    </w:p>
    <w:p>
      <w:pPr>
        <w:pStyle w:val="Heading2"/>
      </w:pPr>
      <w:r>
        <w:rPr/>
        <w:t>Risk Free Rates Transition event and Bank’s Discussion Paper on LIBOR collateral in the SMF</w:t>
      </w:r>
    </w:p>
    <w:p>
      <w:pPr>
        <w:pStyle w:val="BodyText"/>
        <w:spacing w:before="3"/>
        <w:rPr>
          <w:b/>
        </w:rPr>
      </w:pPr>
    </w:p>
    <w:p>
      <w:pPr>
        <w:pStyle w:val="ListParagraph"/>
        <w:numPr>
          <w:ilvl w:val="0"/>
          <w:numId w:val="2"/>
        </w:numPr>
        <w:tabs>
          <w:tab w:pos="846" w:val="left" w:leader="none"/>
          <w:tab w:pos="847" w:val="left" w:leader="none"/>
        </w:tabs>
        <w:spacing w:line="355" w:lineRule="auto" w:before="1" w:after="0"/>
        <w:ind w:left="846" w:right="248" w:hanging="427"/>
        <w:jc w:val="left"/>
        <w:rPr>
          <w:sz w:val="20"/>
        </w:rPr>
      </w:pPr>
      <w:r>
        <w:rPr>
          <w:sz w:val="20"/>
        </w:rPr>
        <w:t>The Chair recapped the key messages from the jointly-held Bank of England, FCA and Working Group event on 5</w:t>
      </w:r>
      <w:r>
        <w:rPr>
          <w:position w:val="7"/>
          <w:sz w:val="13"/>
        </w:rPr>
        <w:t>th </w:t>
      </w:r>
      <w:r>
        <w:rPr>
          <w:sz w:val="20"/>
        </w:rPr>
        <w:t>June. Good progress has been made in transitioning from LIBOR in</w:t>
      </w:r>
      <w:r>
        <w:rPr>
          <w:spacing w:val="-28"/>
          <w:sz w:val="20"/>
        </w:rPr>
        <w:t> </w:t>
      </w:r>
      <w:r>
        <w:rPr>
          <w:sz w:val="20"/>
        </w:rPr>
        <w:t>sterling</w:t>
      </w:r>
    </w:p>
    <w:p>
      <w:pPr>
        <w:spacing w:after="0" w:line="355" w:lineRule="auto"/>
        <w:jc w:val="left"/>
        <w:rPr>
          <w:sz w:val="20"/>
        </w:rPr>
        <w:sectPr>
          <w:type w:val="continuous"/>
          <w:pgSz w:w="11910" w:h="16840"/>
          <w:pgMar w:top="340" w:bottom="280" w:left="1020" w:right="1340"/>
        </w:sectPr>
      </w:pPr>
    </w:p>
    <w:p>
      <w:pPr>
        <w:pStyle w:val="BodyText"/>
        <w:spacing w:line="360" w:lineRule="auto" w:before="74"/>
        <w:ind w:left="846" w:right="224"/>
      </w:pPr>
      <w:r>
        <w:rPr/>
        <w:t>markets, but there was a need to accelerate the pace of transition, including the delivery of supporting infrastructure and tools to facilitate the move to SONIA. The Chair thanked members for their attendance and participation in the Working Group panel event. A recording of the opening session of the event and other supporting material, such as the Dear CEO thematic feedback, had been made available on the</w:t>
      </w:r>
      <w:hyperlink r:id="rId5">
        <w:r>
          <w:rPr>
            <w:color w:val="0000FF"/>
            <w:u w:val="single" w:color="0000FF"/>
          </w:rPr>
          <w:t> Bank of England’s website</w:t>
        </w:r>
        <w:r>
          <w:rPr/>
          <w:t>.</w:t>
        </w:r>
      </w:hyperlink>
    </w:p>
    <w:p>
      <w:pPr>
        <w:pStyle w:val="ListParagraph"/>
        <w:numPr>
          <w:ilvl w:val="0"/>
          <w:numId w:val="2"/>
        </w:numPr>
        <w:tabs>
          <w:tab w:pos="846" w:val="left" w:leader="none"/>
          <w:tab w:pos="847" w:val="left" w:leader="none"/>
        </w:tabs>
        <w:spacing w:line="360" w:lineRule="auto" w:before="0" w:after="0"/>
        <w:ind w:left="846" w:right="565" w:hanging="427"/>
        <w:jc w:val="left"/>
        <w:rPr>
          <w:sz w:val="20"/>
        </w:rPr>
      </w:pPr>
      <w:r>
        <w:rPr>
          <w:sz w:val="20"/>
        </w:rPr>
        <w:t>The Working Group noted a recent speech delivered by Andrew Hauser (Bank of England)</w:t>
      </w:r>
      <w:r>
        <w:rPr>
          <w:position w:val="7"/>
          <w:sz w:val="13"/>
        </w:rPr>
        <w:t>1</w:t>
      </w:r>
      <w:r>
        <w:rPr>
          <w:sz w:val="20"/>
        </w:rPr>
        <w:t>, which</w:t>
      </w:r>
      <w:r>
        <w:rPr>
          <w:spacing w:val="-1"/>
          <w:sz w:val="20"/>
        </w:rPr>
        <w:t> </w:t>
      </w:r>
      <w:r>
        <w:rPr>
          <w:sz w:val="20"/>
        </w:rPr>
        <w:t>highlighted:</w:t>
      </w:r>
    </w:p>
    <w:p>
      <w:pPr>
        <w:pStyle w:val="ListParagraph"/>
        <w:numPr>
          <w:ilvl w:val="1"/>
          <w:numId w:val="2"/>
        </w:numPr>
        <w:tabs>
          <w:tab w:pos="1785" w:val="left" w:leader="none"/>
        </w:tabs>
        <w:spacing w:line="240" w:lineRule="auto" w:before="0" w:after="0"/>
        <w:ind w:left="1784" w:right="0" w:hanging="361"/>
        <w:jc w:val="left"/>
        <w:rPr>
          <w:sz w:val="20"/>
        </w:rPr>
      </w:pPr>
      <w:r>
        <w:rPr>
          <w:sz w:val="20"/>
        </w:rPr>
        <w:t>the need for infrastructure improvements to facilitate</w:t>
      </w:r>
      <w:r>
        <w:rPr>
          <w:spacing w:val="-3"/>
          <w:sz w:val="20"/>
        </w:rPr>
        <w:t> </w:t>
      </w:r>
      <w:r>
        <w:rPr>
          <w:sz w:val="20"/>
        </w:rPr>
        <w:t>transition;</w:t>
      </w:r>
    </w:p>
    <w:p>
      <w:pPr>
        <w:pStyle w:val="ListParagraph"/>
        <w:numPr>
          <w:ilvl w:val="1"/>
          <w:numId w:val="2"/>
        </w:numPr>
        <w:tabs>
          <w:tab w:pos="1785" w:val="left" w:leader="none"/>
        </w:tabs>
        <w:spacing w:line="360" w:lineRule="auto" w:before="111" w:after="0"/>
        <w:ind w:left="1784" w:right="587" w:hanging="360"/>
        <w:jc w:val="left"/>
        <w:rPr>
          <w:sz w:val="20"/>
        </w:rPr>
      </w:pPr>
      <w:r>
        <w:rPr>
          <w:sz w:val="20"/>
        </w:rPr>
        <w:t>the opportunity presented by risk-free rates for market participants to concentrate sterling SONIA liquidity into a single SONIA</w:t>
      </w:r>
      <w:r>
        <w:rPr>
          <w:spacing w:val="-5"/>
          <w:sz w:val="20"/>
        </w:rPr>
        <w:t> </w:t>
      </w:r>
      <w:r>
        <w:rPr>
          <w:sz w:val="20"/>
        </w:rPr>
        <w:t>curve;</w:t>
      </w:r>
    </w:p>
    <w:p>
      <w:pPr>
        <w:pStyle w:val="ListParagraph"/>
        <w:numPr>
          <w:ilvl w:val="1"/>
          <w:numId w:val="2"/>
        </w:numPr>
        <w:tabs>
          <w:tab w:pos="1784" w:val="left" w:leader="none"/>
          <w:tab w:pos="1785" w:val="left" w:leader="none"/>
        </w:tabs>
        <w:spacing w:line="240" w:lineRule="auto" w:before="0" w:after="0"/>
        <w:ind w:left="1784" w:right="0" w:hanging="361"/>
        <w:jc w:val="left"/>
        <w:rPr>
          <w:sz w:val="20"/>
        </w:rPr>
      </w:pPr>
      <w:r>
        <w:rPr>
          <w:sz w:val="20"/>
        </w:rPr>
        <w:t>the opportunity to unbundle credit and non-credit risk through the use of SONIA;</w:t>
      </w:r>
      <w:r>
        <w:rPr>
          <w:spacing w:val="-10"/>
          <w:sz w:val="20"/>
        </w:rPr>
        <w:t> </w:t>
      </w:r>
      <w:r>
        <w:rPr>
          <w:sz w:val="20"/>
        </w:rPr>
        <w:t>and</w:t>
      </w:r>
    </w:p>
    <w:p>
      <w:pPr>
        <w:pStyle w:val="ListParagraph"/>
        <w:numPr>
          <w:ilvl w:val="1"/>
          <w:numId w:val="2"/>
        </w:numPr>
        <w:tabs>
          <w:tab w:pos="1785" w:val="left" w:leader="none"/>
        </w:tabs>
        <w:spacing w:line="350" w:lineRule="auto" w:before="117" w:after="0"/>
        <w:ind w:left="1784" w:right="299" w:hanging="360"/>
        <w:jc w:val="left"/>
        <w:rPr>
          <w:sz w:val="22"/>
        </w:rPr>
      </w:pPr>
      <w:r>
        <w:rPr>
          <w:sz w:val="20"/>
        </w:rPr>
        <w:t>steps the Bank of England were taking to transition its own balance sheet away from LIBOR, including release of a discussion paper on the Bank’s approach to risk- managing LIBOR-referencing collateral used in the Sterling Monetary</w:t>
      </w:r>
      <w:r>
        <w:rPr>
          <w:spacing w:val="-12"/>
          <w:sz w:val="20"/>
        </w:rPr>
        <w:t> </w:t>
      </w:r>
      <w:r>
        <w:rPr>
          <w:sz w:val="20"/>
        </w:rPr>
        <w:t>Framework.</w:t>
      </w:r>
      <w:r>
        <w:rPr>
          <w:position w:val="7"/>
          <w:sz w:val="13"/>
        </w:rPr>
        <w:t>2</w:t>
      </w:r>
    </w:p>
    <w:p>
      <w:pPr>
        <w:pStyle w:val="Heading2"/>
        <w:spacing w:before="129"/>
      </w:pPr>
      <w:r>
        <w:rPr/>
        <w:t>ISDA Consultations</w:t>
      </w:r>
    </w:p>
    <w:p>
      <w:pPr>
        <w:pStyle w:val="BodyText"/>
        <w:spacing w:before="3"/>
        <w:rPr>
          <w:b/>
        </w:rPr>
      </w:pPr>
    </w:p>
    <w:p>
      <w:pPr>
        <w:pStyle w:val="ListParagraph"/>
        <w:numPr>
          <w:ilvl w:val="0"/>
          <w:numId w:val="2"/>
        </w:numPr>
        <w:tabs>
          <w:tab w:pos="846" w:val="left" w:leader="none"/>
          <w:tab w:pos="847" w:val="left" w:leader="none"/>
        </w:tabs>
        <w:spacing w:line="355" w:lineRule="auto" w:before="0" w:after="0"/>
        <w:ind w:left="846" w:right="180" w:hanging="427"/>
        <w:jc w:val="left"/>
        <w:rPr>
          <w:sz w:val="13"/>
        </w:rPr>
      </w:pPr>
      <w:r>
        <w:rPr>
          <w:sz w:val="20"/>
        </w:rPr>
        <w:t>ISDA provided an overview of two open consultations, the first seeking views on the approach to fallback rates for certain IBORs, and the second on the conditions to trigger fallback</w:t>
      </w:r>
      <w:r>
        <w:rPr>
          <w:spacing w:val="-10"/>
          <w:sz w:val="20"/>
        </w:rPr>
        <w:t> </w:t>
      </w:r>
      <w:r>
        <w:rPr>
          <w:sz w:val="20"/>
        </w:rPr>
        <w:t>language.</w:t>
      </w:r>
      <w:r>
        <w:rPr>
          <w:position w:val="7"/>
          <w:sz w:val="13"/>
        </w:rPr>
        <w:t>3</w:t>
      </w:r>
    </w:p>
    <w:p>
      <w:pPr>
        <w:spacing w:before="126"/>
        <w:ind w:left="420" w:right="0" w:firstLine="0"/>
        <w:jc w:val="left"/>
        <w:rPr>
          <w:i/>
          <w:sz w:val="20"/>
        </w:rPr>
      </w:pPr>
      <w:r>
        <w:rPr>
          <w:i/>
          <w:sz w:val="20"/>
        </w:rPr>
        <w:t>Pre-cessation triggers</w:t>
      </w:r>
    </w:p>
    <w:p>
      <w:pPr>
        <w:pStyle w:val="BodyText"/>
        <w:spacing w:before="4"/>
        <w:rPr>
          <w:i/>
        </w:rPr>
      </w:pPr>
    </w:p>
    <w:p>
      <w:pPr>
        <w:pStyle w:val="ListParagraph"/>
        <w:numPr>
          <w:ilvl w:val="0"/>
          <w:numId w:val="2"/>
        </w:numPr>
        <w:tabs>
          <w:tab w:pos="846" w:val="left" w:leader="none"/>
          <w:tab w:pos="847" w:val="left" w:leader="none"/>
        </w:tabs>
        <w:spacing w:line="357" w:lineRule="auto" w:before="0" w:after="0"/>
        <w:ind w:left="846" w:right="129" w:hanging="427"/>
        <w:jc w:val="left"/>
        <w:rPr>
          <w:sz w:val="13"/>
        </w:rPr>
      </w:pPr>
      <w:r>
        <w:rPr>
          <w:sz w:val="20"/>
        </w:rPr>
        <w:t>The FCA highlighted the importance of the ISDA consultation on pre-cessation triggers and the imminent deadline to submit comments. Participants were reminded of the key messages from a speech by Edwin Schooling Latter in January, which related to this</w:t>
      </w:r>
      <w:r>
        <w:rPr>
          <w:spacing w:val="-7"/>
          <w:sz w:val="20"/>
        </w:rPr>
        <w:t> </w:t>
      </w:r>
      <w:r>
        <w:rPr>
          <w:sz w:val="20"/>
        </w:rPr>
        <w:t>issue.</w:t>
      </w:r>
      <w:r>
        <w:rPr>
          <w:position w:val="7"/>
          <w:sz w:val="13"/>
        </w:rPr>
        <w:t>4</w:t>
      </w:r>
    </w:p>
    <w:p>
      <w:pPr>
        <w:pStyle w:val="ListParagraph"/>
        <w:numPr>
          <w:ilvl w:val="0"/>
          <w:numId w:val="2"/>
        </w:numPr>
        <w:tabs>
          <w:tab w:pos="846" w:val="left" w:leader="none"/>
          <w:tab w:pos="847" w:val="left" w:leader="none"/>
        </w:tabs>
        <w:spacing w:line="360" w:lineRule="auto" w:before="3" w:after="0"/>
        <w:ind w:left="846" w:right="115" w:hanging="427"/>
        <w:jc w:val="left"/>
        <w:rPr>
          <w:sz w:val="20"/>
        </w:rPr>
      </w:pPr>
      <w:r>
        <w:rPr>
          <w:sz w:val="20"/>
        </w:rPr>
        <w:t>Repeating previous public comments Edwin Schooling-Latter (Financial Conduct Authority) noted it was possible that some but not all submitting banks could leave the LIBOR panel after end- 2021. If that diminution were significant, LIBOR may no longer satisfy the ‘representativeness’ test that its administrator (IBA) and regulator (FCA) would need to apply under the EU Benchmark Regulation (BMR). In this scenario, the rate may still exist in some form but would likely be unsatisfactory for most purposes, so there may be advantages to including a ‘pre- cessation’ trigger to cause fallbacks to take effect at this</w:t>
      </w:r>
      <w:r>
        <w:rPr>
          <w:spacing w:val="-6"/>
          <w:sz w:val="20"/>
        </w:rPr>
        <w:t> </w:t>
      </w:r>
      <w:r>
        <w:rPr>
          <w:sz w:val="20"/>
        </w:rPr>
        <w:t>point.</w:t>
      </w:r>
    </w:p>
    <w:p>
      <w:pPr>
        <w:pStyle w:val="ListParagraph"/>
        <w:numPr>
          <w:ilvl w:val="0"/>
          <w:numId w:val="2"/>
        </w:numPr>
        <w:tabs>
          <w:tab w:pos="847" w:val="left" w:leader="none"/>
        </w:tabs>
        <w:spacing w:line="360" w:lineRule="auto" w:before="0" w:after="0"/>
        <w:ind w:left="846" w:right="568" w:hanging="427"/>
        <w:jc w:val="left"/>
        <w:rPr>
          <w:sz w:val="20"/>
        </w:rPr>
      </w:pPr>
      <w:r>
        <w:rPr>
          <w:sz w:val="20"/>
        </w:rPr>
        <w:t>The FCA noted that the continued use of an ‘unrepresentative’ rate was likely to pose both regulatory and commercial concerns. The properties of the rate were likely to change at this point, becoming more volatile and potentially subject to shifts in average level as the panel shrunk. Some parts of the BMR provided for a halt to use of an unrepresentative rate in new contracts, and the liquidity of outstanding contracts was also likely to become</w:t>
      </w:r>
      <w:r>
        <w:rPr>
          <w:spacing w:val="-10"/>
          <w:sz w:val="20"/>
        </w:rPr>
        <w:t> </w:t>
      </w:r>
      <w:r>
        <w:rPr>
          <w:sz w:val="20"/>
        </w:rPr>
        <w:t>impaired.</w:t>
      </w:r>
    </w:p>
    <w:p>
      <w:pPr>
        <w:pStyle w:val="ListParagraph"/>
        <w:numPr>
          <w:ilvl w:val="0"/>
          <w:numId w:val="2"/>
        </w:numPr>
        <w:tabs>
          <w:tab w:pos="847" w:val="left" w:leader="none"/>
        </w:tabs>
        <w:spacing w:line="360" w:lineRule="auto" w:before="0" w:after="0"/>
        <w:ind w:left="846" w:right="147" w:hanging="427"/>
        <w:jc w:val="left"/>
        <w:rPr>
          <w:sz w:val="20"/>
        </w:rPr>
      </w:pPr>
      <w:r>
        <w:rPr>
          <w:sz w:val="20"/>
        </w:rPr>
        <w:t>The US Alternative Reference Rates Committee (ARRC) had recommended adoption of pre- cessation triggers, and key central counterparties (CCPs) were already able to use the</w:t>
      </w:r>
      <w:r>
        <w:rPr>
          <w:spacing w:val="-11"/>
          <w:sz w:val="20"/>
        </w:rPr>
        <w:t> </w:t>
      </w:r>
      <w:r>
        <w:rPr>
          <w:sz w:val="20"/>
        </w:rPr>
        <w:t>discretion</w:t>
      </w:r>
    </w:p>
    <w:p>
      <w:pPr>
        <w:pStyle w:val="BodyText"/>
        <w:spacing w:before="5"/>
        <w:rPr>
          <w:sz w:val="22"/>
        </w:rPr>
      </w:pPr>
      <w:r>
        <w:rPr/>
        <w:pict>
          <v:shape style="position:absolute;margin-left:72pt;margin-top:15.159042pt;width:144.050pt;height:.1pt;mso-position-horizontal-relative:page;mso-position-vertical-relative:paragraph;z-index:-251657216;mso-wrap-distance-left:0;mso-wrap-distance-right:0" coordorigin="1440,303" coordsize="2881,0" path="m1440,303l4320,303e" filled="false" stroked="true" strokeweight=".54004pt" strokecolor="#000000">
            <v:path arrowok="t"/>
            <v:stroke dashstyle="solid"/>
            <w10:wrap type="topAndBottom"/>
          </v:shape>
        </w:pict>
      </w:r>
    </w:p>
    <w:p>
      <w:pPr>
        <w:pStyle w:val="BodyText"/>
        <w:spacing w:line="232" w:lineRule="exact" w:before="58"/>
        <w:ind w:left="420"/>
      </w:pPr>
      <w:r>
        <w:rPr>
          <w:position w:val="7"/>
          <w:sz w:val="13"/>
        </w:rPr>
        <w:t>1 </w:t>
      </w:r>
      <w:hyperlink r:id="rId6">
        <w:r>
          <w:rPr>
            <w:color w:val="0000FF"/>
            <w:u w:val="single" w:color="0000FF"/>
          </w:rPr>
          <w:t>https://www.bankofengland.co.uk/speech/2019/andrew-hauser-speech-at-risk-live-2019-london</w:t>
        </w:r>
      </w:hyperlink>
    </w:p>
    <w:p>
      <w:pPr>
        <w:pStyle w:val="BodyText"/>
        <w:ind w:left="420" w:right="480"/>
      </w:pPr>
      <w:r>
        <w:rPr>
          <w:position w:val="7"/>
          <w:sz w:val="13"/>
        </w:rPr>
        <w:t>2 </w:t>
      </w:r>
      <w:hyperlink r:id="rId7">
        <w:r>
          <w:rPr>
            <w:color w:val="0000FF"/>
            <w:u w:val="single" w:color="0000FF"/>
          </w:rPr>
          <w:t>https://www.bankofengland.co.uk/paper/2019/the-boes-risk-management-approach-to-collateral-</w:t>
        </w:r>
      </w:hyperlink>
      <w:r>
        <w:rPr>
          <w:color w:val="0000FF"/>
        </w:rPr>
        <w:t> </w:t>
      </w:r>
      <w:hyperlink r:id="rId7">
        <w:r>
          <w:rPr>
            <w:color w:val="0000FF"/>
            <w:u w:val="single" w:color="0000FF"/>
          </w:rPr>
          <w:t>referencing-libor-for-use-in-the-smf</w:t>
        </w:r>
      </w:hyperlink>
    </w:p>
    <w:p>
      <w:pPr>
        <w:pStyle w:val="BodyText"/>
        <w:spacing w:line="228" w:lineRule="exact"/>
        <w:ind w:left="420"/>
      </w:pPr>
      <w:r>
        <w:rPr>
          <w:position w:val="7"/>
          <w:sz w:val="13"/>
        </w:rPr>
        <w:t>3 </w:t>
      </w:r>
      <w:hyperlink r:id="rId8">
        <w:r>
          <w:rPr>
            <w:color w:val="0000FF"/>
            <w:u w:val="single" w:color="0000FF"/>
          </w:rPr>
          <w:t>https://www.isda.org/a/md6ME/FINAL-Pre-cessation-issues-Consultation.pdf</w:t>
        </w:r>
      </w:hyperlink>
    </w:p>
    <w:p>
      <w:pPr>
        <w:pStyle w:val="BodyText"/>
        <w:spacing w:line="232" w:lineRule="exact"/>
        <w:ind w:left="420"/>
      </w:pPr>
      <w:r>
        <w:rPr>
          <w:position w:val="7"/>
          <w:sz w:val="13"/>
        </w:rPr>
        <w:t>4 </w:t>
      </w:r>
      <w:hyperlink r:id="rId9">
        <w:r>
          <w:rPr>
            <w:color w:val="0000FF"/>
            <w:u w:val="single" w:color="0000FF"/>
          </w:rPr>
          <w:t>https://www.fca.org.uk/news/speeches/libor-transition-and-contractual-fallbacks</w:t>
        </w:r>
      </w:hyperlink>
    </w:p>
    <w:p>
      <w:pPr>
        <w:spacing w:after="0" w:line="232" w:lineRule="exact"/>
        <w:sectPr>
          <w:pgSz w:w="11910" w:h="16840"/>
          <w:pgMar w:top="1180" w:bottom="280" w:left="1020" w:right="1340"/>
        </w:sectPr>
      </w:pPr>
    </w:p>
    <w:p>
      <w:pPr>
        <w:pStyle w:val="BodyText"/>
        <w:spacing w:line="360" w:lineRule="auto" w:before="74"/>
        <w:ind w:left="846" w:right="379"/>
      </w:pPr>
      <w:r>
        <w:rPr/>
        <w:t>available in their rulebooks to change the reference rate in cleared contracts should LIBOR be deemed unrepresentative or not fit for purpose.</w:t>
      </w:r>
    </w:p>
    <w:p>
      <w:pPr>
        <w:pStyle w:val="ListParagraph"/>
        <w:numPr>
          <w:ilvl w:val="0"/>
          <w:numId w:val="2"/>
        </w:numPr>
        <w:tabs>
          <w:tab w:pos="847" w:val="left" w:leader="none"/>
        </w:tabs>
        <w:spacing w:line="360" w:lineRule="auto" w:before="0" w:after="0"/>
        <w:ind w:left="846" w:right="371" w:hanging="427"/>
        <w:jc w:val="left"/>
        <w:rPr>
          <w:sz w:val="20"/>
        </w:rPr>
      </w:pPr>
      <w:r>
        <w:rPr>
          <w:sz w:val="20"/>
        </w:rPr>
        <w:t>Working Group members noted the importance of consistency in approach to pre-cessation across markets, highlighting the potential for difficulties with hedging if different classes of contracts moved to RFRs at different times. Participants also felt it important to ensure that broad adoption of fallbacks for a cessation event remained the key priority, so the eventual approach to pre-cessation should take account of the level of support in the market. Members were strongly encouraged to submit their views to the ISDA consultation</w:t>
      </w:r>
      <w:r>
        <w:rPr>
          <w:spacing w:val="-7"/>
          <w:sz w:val="20"/>
        </w:rPr>
        <w:t> </w:t>
      </w:r>
      <w:r>
        <w:rPr>
          <w:sz w:val="20"/>
        </w:rPr>
        <w:t>process.</w:t>
      </w:r>
    </w:p>
    <w:p>
      <w:pPr>
        <w:spacing w:before="122"/>
        <w:ind w:left="420" w:right="0" w:firstLine="0"/>
        <w:jc w:val="left"/>
        <w:rPr>
          <w:i/>
          <w:sz w:val="20"/>
        </w:rPr>
      </w:pPr>
      <w:r>
        <w:rPr>
          <w:i/>
          <w:sz w:val="20"/>
        </w:rPr>
        <w:t>Upcoming ISDA work</w:t>
      </w:r>
    </w:p>
    <w:p>
      <w:pPr>
        <w:pStyle w:val="BodyText"/>
        <w:spacing w:before="4"/>
        <w:rPr>
          <w:i/>
        </w:rPr>
      </w:pPr>
    </w:p>
    <w:p>
      <w:pPr>
        <w:pStyle w:val="ListParagraph"/>
        <w:numPr>
          <w:ilvl w:val="0"/>
          <w:numId w:val="3"/>
        </w:numPr>
        <w:tabs>
          <w:tab w:pos="847" w:val="left" w:leader="none"/>
        </w:tabs>
        <w:spacing w:line="360" w:lineRule="auto" w:before="0" w:after="0"/>
        <w:ind w:left="846" w:right="127" w:hanging="427"/>
        <w:jc w:val="left"/>
        <w:rPr>
          <w:sz w:val="20"/>
        </w:rPr>
      </w:pPr>
      <w:r>
        <w:rPr>
          <w:sz w:val="20"/>
        </w:rPr>
        <w:t>ISDA updated members on the timeline for feedback from its two open consultations. Looking ahead, a future consultation on the parameters for fallback language was planned for August, i.e. an average spread between LIBOR and RFRs based on how many years, and whether a mean or median approach to the spread adjustment should be used. In Q4 2019, ISDA plan to publish new definitions for fallback arrangements and publish a protocol to allow these fallbacks to be included in legacy LIBOR</w:t>
      </w:r>
      <w:r>
        <w:rPr>
          <w:spacing w:val="-3"/>
          <w:sz w:val="20"/>
        </w:rPr>
        <w:t> </w:t>
      </w:r>
      <w:r>
        <w:rPr>
          <w:sz w:val="20"/>
        </w:rPr>
        <w:t>contracts.</w:t>
      </w:r>
    </w:p>
    <w:p>
      <w:pPr>
        <w:pStyle w:val="Heading2"/>
      </w:pPr>
      <w:r>
        <w:rPr/>
        <w:t>Update on Senior Advisory Group</w:t>
      </w:r>
    </w:p>
    <w:p>
      <w:pPr>
        <w:pStyle w:val="BodyText"/>
        <w:spacing w:before="4"/>
        <w:rPr>
          <w:b/>
        </w:rPr>
      </w:pPr>
    </w:p>
    <w:p>
      <w:pPr>
        <w:pStyle w:val="ListParagraph"/>
        <w:numPr>
          <w:ilvl w:val="0"/>
          <w:numId w:val="3"/>
        </w:numPr>
        <w:tabs>
          <w:tab w:pos="781" w:val="left" w:leader="none"/>
        </w:tabs>
        <w:spacing w:line="360" w:lineRule="auto" w:before="0" w:after="0"/>
        <w:ind w:left="780" w:right="170" w:hanging="361"/>
        <w:jc w:val="left"/>
        <w:rPr>
          <w:sz w:val="20"/>
        </w:rPr>
      </w:pPr>
      <w:r>
        <w:rPr>
          <w:sz w:val="20"/>
        </w:rPr>
        <w:t>The Chair updated members on the formation of a new Senior Advisory Group (SAG), which held its first full meeting on the 1</w:t>
      </w:r>
      <w:r>
        <w:rPr>
          <w:position w:val="7"/>
          <w:sz w:val="13"/>
        </w:rPr>
        <w:t>st </w:t>
      </w:r>
      <w:r>
        <w:rPr>
          <w:sz w:val="20"/>
        </w:rPr>
        <w:t>July. This group would meet less frequently than the full Working Group which would retain its current role. The SAG would compromise of a number of Senior representatives from the largest market participants across relevant segments, providing an additional high-level perspective on potential barriers to transition. The Chair highlighted that members of the SAG from regulated firms held SMR-level responsibilities, or similar, and so would be able to provide a single voice from the largest institutions, mobilise resource and prioritise LIBOR transition within their respective</w:t>
      </w:r>
      <w:r>
        <w:rPr>
          <w:spacing w:val="-6"/>
          <w:sz w:val="20"/>
        </w:rPr>
        <w:t> </w:t>
      </w:r>
      <w:r>
        <w:rPr>
          <w:sz w:val="20"/>
        </w:rPr>
        <w:t>firms.</w:t>
      </w:r>
    </w:p>
    <w:p>
      <w:pPr>
        <w:pStyle w:val="ListParagraph"/>
        <w:numPr>
          <w:ilvl w:val="0"/>
          <w:numId w:val="3"/>
        </w:numPr>
        <w:tabs>
          <w:tab w:pos="781" w:val="left" w:leader="none"/>
        </w:tabs>
        <w:spacing w:line="360" w:lineRule="auto" w:before="0" w:after="0"/>
        <w:ind w:left="780" w:right="248" w:hanging="361"/>
        <w:jc w:val="both"/>
        <w:rPr>
          <w:sz w:val="20"/>
        </w:rPr>
      </w:pPr>
      <w:r>
        <w:rPr>
          <w:sz w:val="20"/>
        </w:rPr>
        <w:t>The Terms of Reference for the SAG have been published on the</w:t>
      </w:r>
      <w:r>
        <w:rPr>
          <w:color w:val="0000FF"/>
          <w:sz w:val="20"/>
        </w:rPr>
        <w:t> </w:t>
      </w:r>
      <w:hyperlink r:id="rId10">
        <w:r>
          <w:rPr>
            <w:color w:val="0000FF"/>
            <w:sz w:val="20"/>
            <w:u w:val="single" w:color="0000FF"/>
          </w:rPr>
          <w:t>Working Group’s website</w:t>
        </w:r>
        <w:r>
          <w:rPr>
            <w:sz w:val="20"/>
          </w:rPr>
          <w:t>. </w:t>
        </w:r>
      </w:hyperlink>
      <w:r>
        <w:rPr>
          <w:sz w:val="20"/>
        </w:rPr>
        <w:t>The group would meet around once a quarter and transparency of its discussions would be provided through updates to the main Working Group for inclusion in the</w:t>
      </w:r>
      <w:r>
        <w:rPr>
          <w:spacing w:val="-5"/>
          <w:sz w:val="20"/>
        </w:rPr>
        <w:t> </w:t>
      </w:r>
      <w:r>
        <w:rPr>
          <w:sz w:val="20"/>
        </w:rPr>
        <w:t>minutes.</w:t>
      </w:r>
    </w:p>
    <w:p>
      <w:pPr>
        <w:pStyle w:val="ListParagraph"/>
        <w:numPr>
          <w:ilvl w:val="0"/>
          <w:numId w:val="3"/>
        </w:numPr>
        <w:tabs>
          <w:tab w:pos="781" w:val="left" w:leader="none"/>
        </w:tabs>
        <w:spacing w:line="229" w:lineRule="exact" w:before="0" w:after="0"/>
        <w:ind w:left="780" w:right="0" w:hanging="361"/>
        <w:jc w:val="both"/>
        <w:rPr>
          <w:sz w:val="20"/>
        </w:rPr>
      </w:pPr>
      <w:r>
        <w:rPr>
          <w:sz w:val="20"/>
        </w:rPr>
        <w:t>The Chair summarised the key points of discussion from the group’s initial</w:t>
      </w:r>
      <w:r>
        <w:rPr>
          <w:spacing w:val="-17"/>
          <w:sz w:val="20"/>
        </w:rPr>
        <w:t> </w:t>
      </w:r>
      <w:r>
        <w:rPr>
          <w:sz w:val="20"/>
        </w:rPr>
        <w:t>meeting.</w:t>
      </w:r>
    </w:p>
    <w:p>
      <w:pPr>
        <w:pStyle w:val="ListParagraph"/>
        <w:numPr>
          <w:ilvl w:val="1"/>
          <w:numId w:val="3"/>
        </w:numPr>
        <w:tabs>
          <w:tab w:pos="1838" w:val="left" w:leader="none"/>
          <w:tab w:pos="1839" w:val="left" w:leader="none"/>
        </w:tabs>
        <w:spacing w:line="360" w:lineRule="auto" w:before="112" w:after="0"/>
        <w:ind w:left="1838" w:right="245" w:hanging="426"/>
        <w:jc w:val="left"/>
        <w:rPr>
          <w:sz w:val="20"/>
        </w:rPr>
      </w:pPr>
      <w:r>
        <w:rPr>
          <w:sz w:val="20"/>
        </w:rPr>
        <w:t>Regulatory dependencies: SAG members highlighted potential conduct risks and regulatory dependencies involved in transition. It was noted that plans were in place through the WG’s taskforces to address these concerns in writing with relevant authorities.</w:t>
      </w:r>
    </w:p>
    <w:p>
      <w:pPr>
        <w:pStyle w:val="ListParagraph"/>
        <w:numPr>
          <w:ilvl w:val="1"/>
          <w:numId w:val="3"/>
        </w:numPr>
        <w:tabs>
          <w:tab w:pos="1838" w:val="left" w:leader="none"/>
          <w:tab w:pos="1839" w:val="left" w:leader="none"/>
        </w:tabs>
        <w:spacing w:line="360" w:lineRule="auto" w:before="0" w:after="0"/>
        <w:ind w:left="1838" w:right="156" w:hanging="426"/>
        <w:jc w:val="left"/>
        <w:rPr>
          <w:sz w:val="20"/>
        </w:rPr>
      </w:pPr>
      <w:r>
        <w:rPr>
          <w:sz w:val="20"/>
        </w:rPr>
        <w:t>Cash markets: The comparatively slower rate of progress in cash markets was noted, and the group discussed ways to encourage progress, such as encouraging banks’ relationship management teams to move away from LIBOR products and increase engagement with non-financial</w:t>
      </w:r>
      <w:r>
        <w:rPr>
          <w:spacing w:val="-2"/>
          <w:sz w:val="20"/>
        </w:rPr>
        <w:t> </w:t>
      </w:r>
      <w:r>
        <w:rPr>
          <w:sz w:val="20"/>
        </w:rPr>
        <w:t>institutions.</w:t>
      </w:r>
    </w:p>
    <w:p>
      <w:pPr>
        <w:pStyle w:val="ListParagraph"/>
        <w:numPr>
          <w:ilvl w:val="1"/>
          <w:numId w:val="3"/>
        </w:numPr>
        <w:tabs>
          <w:tab w:pos="1839" w:val="left" w:leader="none"/>
        </w:tabs>
        <w:spacing w:line="360" w:lineRule="auto" w:before="0" w:after="0"/>
        <w:ind w:left="1838" w:right="468" w:hanging="426"/>
        <w:jc w:val="both"/>
        <w:rPr>
          <w:sz w:val="20"/>
        </w:rPr>
      </w:pPr>
      <w:r>
        <w:rPr>
          <w:sz w:val="20"/>
        </w:rPr>
        <w:t>Term rates: Members of the SAG discussed the delivery of a forward-looking term SONIA reference rate (TSRR), noting that broad adoption of compounded SONIA should remain the primary transition objective. The FCA provided an update on</w:t>
      </w:r>
      <w:r>
        <w:rPr>
          <w:spacing w:val="-11"/>
          <w:sz w:val="20"/>
        </w:rPr>
        <w:t> </w:t>
      </w:r>
      <w:r>
        <w:rPr>
          <w:sz w:val="20"/>
        </w:rPr>
        <w:t>its</w:t>
      </w:r>
    </w:p>
    <w:p>
      <w:pPr>
        <w:spacing w:after="0" w:line="360" w:lineRule="auto"/>
        <w:jc w:val="both"/>
        <w:rPr>
          <w:sz w:val="20"/>
        </w:rPr>
        <w:sectPr>
          <w:pgSz w:w="11910" w:h="16840"/>
          <w:pgMar w:top="1180" w:bottom="280" w:left="1020" w:right="1340"/>
        </w:sectPr>
      </w:pPr>
    </w:p>
    <w:p>
      <w:pPr>
        <w:pStyle w:val="BodyText"/>
        <w:spacing w:line="360" w:lineRule="auto" w:before="74"/>
        <w:ind w:left="1838" w:right="355"/>
      </w:pPr>
      <w:r>
        <w:rPr/>
        <w:t>bilateral conversations with 15 of the largest OIS market-makers on streaming executable quotes to multi-lateral trading facilities. A large majority were supportive and firms would look progress this through their respective internal governances.</w:t>
      </w:r>
    </w:p>
    <w:p>
      <w:pPr>
        <w:pStyle w:val="Heading2"/>
        <w:spacing w:before="122"/>
      </w:pPr>
      <w:r>
        <w:rPr/>
        <w:t>Term Rate Update</w:t>
      </w:r>
    </w:p>
    <w:p>
      <w:pPr>
        <w:pStyle w:val="BodyText"/>
        <w:spacing w:before="5"/>
        <w:rPr>
          <w:b/>
        </w:rPr>
      </w:pPr>
    </w:p>
    <w:p>
      <w:pPr>
        <w:spacing w:before="0"/>
        <w:ind w:left="420" w:right="0" w:firstLine="0"/>
        <w:jc w:val="left"/>
        <w:rPr>
          <w:i/>
          <w:sz w:val="20"/>
        </w:rPr>
      </w:pPr>
      <w:r>
        <w:rPr>
          <w:i/>
          <w:sz w:val="20"/>
        </w:rPr>
        <w:t>The availability of a Term SONIA Reference Rate</w:t>
      </w:r>
    </w:p>
    <w:p>
      <w:pPr>
        <w:pStyle w:val="BodyText"/>
        <w:spacing w:before="4"/>
        <w:rPr>
          <w:i/>
        </w:rPr>
      </w:pPr>
    </w:p>
    <w:p>
      <w:pPr>
        <w:pStyle w:val="ListParagraph"/>
        <w:numPr>
          <w:ilvl w:val="0"/>
          <w:numId w:val="3"/>
        </w:numPr>
        <w:tabs>
          <w:tab w:pos="781" w:val="left" w:leader="none"/>
        </w:tabs>
        <w:spacing w:line="360" w:lineRule="auto" w:before="0" w:after="0"/>
        <w:ind w:left="780" w:right="215" w:hanging="361"/>
        <w:jc w:val="left"/>
        <w:rPr>
          <w:sz w:val="20"/>
        </w:rPr>
      </w:pPr>
      <w:r>
        <w:rPr>
          <w:sz w:val="20"/>
        </w:rPr>
        <w:t>The Bank noted the delivery of an IOSCO compliant TSRR remained a priority and would remain on the agenda. The Working Group agreed to continue to support potential providers of a TSRR, by engaging with market participants to collate feedback, provide technical assistance or raise barriers to delivering</w:t>
      </w:r>
      <w:r>
        <w:rPr>
          <w:spacing w:val="-3"/>
          <w:sz w:val="20"/>
        </w:rPr>
        <w:t> </w:t>
      </w:r>
      <w:r>
        <w:rPr>
          <w:sz w:val="20"/>
        </w:rPr>
        <w:t>TSRR.</w:t>
      </w:r>
    </w:p>
    <w:p>
      <w:pPr>
        <w:pStyle w:val="ListParagraph"/>
        <w:numPr>
          <w:ilvl w:val="0"/>
          <w:numId w:val="3"/>
        </w:numPr>
        <w:tabs>
          <w:tab w:pos="781" w:val="left" w:leader="none"/>
        </w:tabs>
        <w:spacing w:line="360" w:lineRule="auto" w:before="0" w:after="0"/>
        <w:ind w:left="780" w:right="592" w:hanging="361"/>
        <w:jc w:val="left"/>
        <w:rPr>
          <w:sz w:val="20"/>
        </w:rPr>
      </w:pPr>
      <w:r>
        <w:rPr>
          <w:sz w:val="20"/>
        </w:rPr>
        <w:t>The FCA and the Chair reminded members that the authorities or the Working Group had no current plans to endorse any one provider of a</w:t>
      </w:r>
      <w:r>
        <w:rPr>
          <w:spacing w:val="-6"/>
          <w:sz w:val="20"/>
        </w:rPr>
        <w:t> </w:t>
      </w:r>
      <w:r>
        <w:rPr>
          <w:sz w:val="20"/>
        </w:rPr>
        <w:t>TSRR.</w:t>
      </w:r>
    </w:p>
    <w:p>
      <w:pPr>
        <w:spacing w:before="122"/>
        <w:ind w:left="420" w:right="0" w:firstLine="0"/>
        <w:jc w:val="left"/>
        <w:rPr>
          <w:i/>
          <w:sz w:val="20"/>
        </w:rPr>
      </w:pPr>
      <w:r>
        <w:rPr>
          <w:i/>
          <w:sz w:val="20"/>
        </w:rPr>
        <w:t>Term SONIA Use Case Task Force</w:t>
      </w:r>
    </w:p>
    <w:p>
      <w:pPr>
        <w:pStyle w:val="BodyText"/>
        <w:spacing w:before="3"/>
        <w:rPr>
          <w:i/>
        </w:rPr>
      </w:pPr>
    </w:p>
    <w:p>
      <w:pPr>
        <w:pStyle w:val="ListParagraph"/>
        <w:numPr>
          <w:ilvl w:val="0"/>
          <w:numId w:val="3"/>
        </w:numPr>
        <w:tabs>
          <w:tab w:pos="781" w:val="left" w:leader="none"/>
        </w:tabs>
        <w:spacing w:line="360" w:lineRule="auto" w:before="0" w:after="0"/>
        <w:ind w:left="780" w:right="402" w:hanging="361"/>
        <w:jc w:val="left"/>
        <w:rPr>
          <w:sz w:val="20"/>
        </w:rPr>
      </w:pPr>
      <w:r>
        <w:rPr>
          <w:sz w:val="20"/>
        </w:rPr>
        <w:t>The Chair of the Term SONIA Use Case Task Force updated members on the work of the task force, which would be split into three separate</w:t>
      </w:r>
      <w:r>
        <w:rPr>
          <w:spacing w:val="-5"/>
          <w:sz w:val="20"/>
        </w:rPr>
        <w:t> </w:t>
      </w:r>
      <w:r>
        <w:rPr>
          <w:sz w:val="20"/>
        </w:rPr>
        <w:t>workstreams:</w:t>
      </w:r>
    </w:p>
    <w:p>
      <w:pPr>
        <w:pStyle w:val="ListParagraph"/>
        <w:numPr>
          <w:ilvl w:val="1"/>
          <w:numId w:val="3"/>
        </w:numPr>
        <w:tabs>
          <w:tab w:pos="1773" w:val="left" w:leader="none"/>
        </w:tabs>
        <w:spacing w:line="360" w:lineRule="auto" w:before="0" w:after="0"/>
        <w:ind w:left="1772" w:right="232" w:hanging="360"/>
        <w:jc w:val="left"/>
        <w:rPr>
          <w:sz w:val="20"/>
        </w:rPr>
      </w:pPr>
      <w:r>
        <w:rPr>
          <w:sz w:val="20"/>
        </w:rPr>
        <w:t>To produce guidance on the usage and suitability of overnight SONIA, and use cases for TSRR within the cash market based on client and operational</w:t>
      </w:r>
      <w:r>
        <w:rPr>
          <w:spacing w:val="-9"/>
          <w:sz w:val="20"/>
        </w:rPr>
        <w:t> </w:t>
      </w:r>
      <w:r>
        <w:rPr>
          <w:sz w:val="20"/>
        </w:rPr>
        <w:t>suitability;</w:t>
      </w:r>
    </w:p>
    <w:p>
      <w:pPr>
        <w:pStyle w:val="ListParagraph"/>
        <w:numPr>
          <w:ilvl w:val="1"/>
          <w:numId w:val="3"/>
        </w:numPr>
        <w:tabs>
          <w:tab w:pos="1773" w:val="left" w:leader="none"/>
        </w:tabs>
        <w:spacing w:line="360" w:lineRule="auto" w:before="0" w:after="0"/>
        <w:ind w:left="1772" w:right="322" w:hanging="360"/>
        <w:jc w:val="left"/>
        <w:rPr>
          <w:sz w:val="20"/>
        </w:rPr>
      </w:pPr>
      <w:r>
        <w:rPr>
          <w:sz w:val="20"/>
        </w:rPr>
        <w:t>To support the development of published compounded SONIA rates for ease of use; and</w:t>
      </w:r>
    </w:p>
    <w:p>
      <w:pPr>
        <w:pStyle w:val="ListParagraph"/>
        <w:numPr>
          <w:ilvl w:val="1"/>
          <w:numId w:val="3"/>
        </w:numPr>
        <w:tabs>
          <w:tab w:pos="1772" w:val="left" w:leader="none"/>
          <w:tab w:pos="1773" w:val="left" w:leader="none"/>
        </w:tabs>
        <w:spacing w:line="240" w:lineRule="auto" w:before="0" w:after="0"/>
        <w:ind w:left="1772" w:right="0" w:hanging="361"/>
        <w:jc w:val="left"/>
        <w:rPr>
          <w:sz w:val="20"/>
        </w:rPr>
      </w:pPr>
      <w:r>
        <w:rPr>
          <w:sz w:val="20"/>
        </w:rPr>
        <w:t>To support the development of a</w:t>
      </w:r>
      <w:r>
        <w:rPr>
          <w:spacing w:val="-3"/>
          <w:sz w:val="20"/>
        </w:rPr>
        <w:t> </w:t>
      </w:r>
      <w:r>
        <w:rPr>
          <w:sz w:val="20"/>
        </w:rPr>
        <w:t>TSRR.</w:t>
      </w:r>
    </w:p>
    <w:p>
      <w:pPr>
        <w:pStyle w:val="ListParagraph"/>
        <w:numPr>
          <w:ilvl w:val="0"/>
          <w:numId w:val="3"/>
        </w:numPr>
        <w:tabs>
          <w:tab w:pos="847" w:val="left" w:leader="none"/>
        </w:tabs>
        <w:spacing w:line="360" w:lineRule="auto" w:before="115" w:after="0"/>
        <w:ind w:left="846" w:right="959" w:hanging="427"/>
        <w:jc w:val="left"/>
        <w:rPr>
          <w:sz w:val="20"/>
        </w:rPr>
      </w:pPr>
      <w:r>
        <w:rPr>
          <w:sz w:val="20"/>
        </w:rPr>
        <w:t>Whilst vendors should engage with institutions directly, the Taskforce would monitor the emergence of any thematic issues to help seek ways to address</w:t>
      </w:r>
      <w:r>
        <w:rPr>
          <w:spacing w:val="-5"/>
          <w:sz w:val="20"/>
        </w:rPr>
        <w:t> </w:t>
      </w:r>
      <w:r>
        <w:rPr>
          <w:sz w:val="20"/>
        </w:rPr>
        <w:t>them.</w:t>
      </w:r>
    </w:p>
    <w:p>
      <w:pPr>
        <w:pStyle w:val="Heading2"/>
      </w:pPr>
      <w:r>
        <w:rPr/>
        <w:t>Update on NatWest SONIA loan facility</w:t>
      </w:r>
    </w:p>
    <w:p>
      <w:pPr>
        <w:pStyle w:val="BodyText"/>
        <w:spacing w:before="4"/>
        <w:rPr>
          <w:b/>
        </w:rPr>
      </w:pPr>
    </w:p>
    <w:p>
      <w:pPr>
        <w:pStyle w:val="ListParagraph"/>
        <w:numPr>
          <w:ilvl w:val="0"/>
          <w:numId w:val="3"/>
        </w:numPr>
        <w:tabs>
          <w:tab w:pos="847" w:val="left" w:leader="none"/>
        </w:tabs>
        <w:spacing w:line="360" w:lineRule="auto" w:before="1" w:after="0"/>
        <w:ind w:left="846" w:right="238" w:hanging="427"/>
        <w:jc w:val="left"/>
        <w:rPr>
          <w:sz w:val="20"/>
        </w:rPr>
      </w:pPr>
      <w:r>
        <w:rPr>
          <w:sz w:val="20"/>
        </w:rPr>
        <w:t>It was noted that NatWest had publicised the completion of the first SONIA-referenced loan with a corporate customer (National Express). The conventions of the loan adopted those already commonly used in the sterling bond market, with a daily compounded rate and a five-day</w:t>
      </w:r>
      <w:r>
        <w:rPr>
          <w:spacing w:val="-9"/>
          <w:sz w:val="20"/>
        </w:rPr>
        <w:t> </w:t>
      </w:r>
      <w:r>
        <w:rPr>
          <w:sz w:val="20"/>
        </w:rPr>
        <w:t>lag.</w:t>
      </w:r>
    </w:p>
    <w:p>
      <w:pPr>
        <w:pStyle w:val="Heading2"/>
        <w:spacing w:before="120"/>
      </w:pPr>
      <w:r>
        <w:rPr/>
        <w:t>Market Conventions for SONIA contracts</w:t>
      </w:r>
    </w:p>
    <w:p>
      <w:pPr>
        <w:pStyle w:val="BodyText"/>
        <w:spacing w:before="6"/>
        <w:rPr>
          <w:b/>
        </w:rPr>
      </w:pPr>
    </w:p>
    <w:p>
      <w:pPr>
        <w:spacing w:before="0"/>
        <w:ind w:left="420" w:right="0" w:firstLine="0"/>
        <w:jc w:val="left"/>
        <w:rPr>
          <w:i/>
          <w:sz w:val="20"/>
        </w:rPr>
      </w:pPr>
      <w:r>
        <w:rPr>
          <w:i/>
          <w:sz w:val="20"/>
        </w:rPr>
        <w:t>Conventions paper</w:t>
      </w:r>
    </w:p>
    <w:p>
      <w:pPr>
        <w:pStyle w:val="BodyText"/>
        <w:spacing w:before="3"/>
        <w:rPr>
          <w:i/>
        </w:rPr>
      </w:pPr>
    </w:p>
    <w:p>
      <w:pPr>
        <w:pStyle w:val="ListParagraph"/>
        <w:numPr>
          <w:ilvl w:val="0"/>
          <w:numId w:val="3"/>
        </w:numPr>
        <w:tabs>
          <w:tab w:pos="847" w:val="left" w:leader="none"/>
        </w:tabs>
        <w:spacing w:line="360" w:lineRule="auto" w:before="0" w:after="0"/>
        <w:ind w:left="846" w:right="124" w:hanging="427"/>
        <w:jc w:val="left"/>
        <w:rPr>
          <w:sz w:val="20"/>
        </w:rPr>
      </w:pPr>
      <w:r>
        <w:rPr>
          <w:sz w:val="20"/>
        </w:rPr>
        <w:t>The Bank of England thanked members for responding to the Discussion Paper on market conventions for SONIA and introduced a draft paper summarising the feedback. It was noted that most respondents called for consistency between cash market and derivatives, to reduce hedging risks and also to support infrastructure providers, as greater optionality would take longer for providers to cater for. The FCA noted authorities and the ARRC remain supportive of international alignment where possible. It was agreed that the paper should be</w:t>
      </w:r>
      <w:r>
        <w:rPr>
          <w:spacing w:val="-8"/>
          <w:sz w:val="20"/>
        </w:rPr>
        <w:t> </w:t>
      </w:r>
      <w:r>
        <w:rPr>
          <w:sz w:val="20"/>
        </w:rPr>
        <w:t>published.</w:t>
      </w:r>
    </w:p>
    <w:p>
      <w:pPr>
        <w:spacing w:before="122"/>
        <w:ind w:left="420" w:right="0" w:firstLine="0"/>
        <w:jc w:val="left"/>
        <w:rPr>
          <w:i/>
          <w:sz w:val="20"/>
        </w:rPr>
      </w:pPr>
      <w:r>
        <w:rPr>
          <w:i/>
          <w:sz w:val="20"/>
        </w:rPr>
        <w:t>Loans market</w:t>
      </w:r>
    </w:p>
    <w:p>
      <w:pPr>
        <w:pStyle w:val="BodyText"/>
        <w:spacing w:before="4"/>
        <w:rPr>
          <w:i/>
        </w:rPr>
      </w:pPr>
    </w:p>
    <w:p>
      <w:pPr>
        <w:pStyle w:val="ListParagraph"/>
        <w:numPr>
          <w:ilvl w:val="0"/>
          <w:numId w:val="3"/>
        </w:numPr>
        <w:tabs>
          <w:tab w:pos="781" w:val="left" w:leader="none"/>
        </w:tabs>
        <w:spacing w:line="360" w:lineRule="auto" w:before="0" w:after="0"/>
        <w:ind w:left="780" w:right="279" w:hanging="361"/>
        <w:jc w:val="left"/>
        <w:rPr>
          <w:sz w:val="20"/>
        </w:rPr>
      </w:pPr>
      <w:r>
        <w:rPr>
          <w:sz w:val="20"/>
        </w:rPr>
        <w:t>The LMA noted work underway to produce a new SONIA-based loans template, and recognised that the consensus for SONIA conventions may need to evolve as the market for risk-free-rates develops and this template may need to be amended</w:t>
      </w:r>
      <w:r>
        <w:rPr>
          <w:spacing w:val="-4"/>
          <w:sz w:val="20"/>
        </w:rPr>
        <w:t> </w:t>
      </w:r>
      <w:r>
        <w:rPr>
          <w:sz w:val="20"/>
        </w:rPr>
        <w:t>further.</w:t>
      </w:r>
    </w:p>
    <w:p>
      <w:pPr>
        <w:spacing w:after="0" w:line="360" w:lineRule="auto"/>
        <w:jc w:val="left"/>
        <w:rPr>
          <w:sz w:val="20"/>
        </w:rPr>
        <w:sectPr>
          <w:pgSz w:w="11910" w:h="16840"/>
          <w:pgMar w:top="1180" w:bottom="280" w:left="1020" w:right="1340"/>
        </w:sectPr>
      </w:pPr>
    </w:p>
    <w:p>
      <w:pPr>
        <w:pStyle w:val="BodyText"/>
        <w:spacing w:line="360" w:lineRule="auto" w:before="74"/>
        <w:ind w:left="420" w:right="216"/>
      </w:pPr>
      <w:r>
        <w:rPr/>
        <w:t>The Working Group’s transition plan includes a significant shift from LIBOR based lending to SONIA- linked products next year to ensure these markets are prepared ahead of 2021. Given the timelines for ensuring infrastructure is available to support emerging compounded SONIA linked lending products it was noted this was a key area of focus for both firms and third party infrastructure/system vendors.</w:t>
      </w:r>
    </w:p>
    <w:p>
      <w:pPr>
        <w:pStyle w:val="Heading2"/>
        <w:spacing w:before="122"/>
      </w:pPr>
      <w:r>
        <w:rPr/>
        <w:t>Sub-group/taskforce updates</w:t>
      </w:r>
    </w:p>
    <w:p>
      <w:pPr>
        <w:pStyle w:val="BodyText"/>
        <w:spacing w:before="5"/>
        <w:rPr>
          <w:b/>
        </w:rPr>
      </w:pPr>
    </w:p>
    <w:p>
      <w:pPr>
        <w:spacing w:before="0"/>
        <w:ind w:left="420" w:right="0" w:firstLine="0"/>
        <w:jc w:val="left"/>
        <w:rPr>
          <w:i/>
          <w:sz w:val="20"/>
        </w:rPr>
      </w:pPr>
      <w:r>
        <w:rPr>
          <w:i/>
          <w:sz w:val="20"/>
        </w:rPr>
        <w:t>Regulatory Dependencies Task Force:</w:t>
      </w:r>
    </w:p>
    <w:p>
      <w:pPr>
        <w:pStyle w:val="BodyText"/>
        <w:spacing w:before="4"/>
        <w:rPr>
          <w:i/>
        </w:rPr>
      </w:pPr>
    </w:p>
    <w:p>
      <w:pPr>
        <w:pStyle w:val="ListParagraph"/>
        <w:numPr>
          <w:ilvl w:val="0"/>
          <w:numId w:val="3"/>
        </w:numPr>
        <w:tabs>
          <w:tab w:pos="847" w:val="left" w:leader="none"/>
        </w:tabs>
        <w:spacing w:line="360" w:lineRule="auto" w:before="0" w:after="0"/>
        <w:ind w:left="846" w:right="1081" w:hanging="427"/>
        <w:jc w:val="left"/>
        <w:rPr>
          <w:sz w:val="20"/>
        </w:rPr>
      </w:pPr>
      <w:r>
        <w:rPr>
          <w:sz w:val="20"/>
        </w:rPr>
        <w:t>The task force chair updated members on plans to write to relevant authorities to raise regulatory, conduct and prudential barriers to LIBOR</w:t>
      </w:r>
      <w:r>
        <w:rPr>
          <w:spacing w:val="-3"/>
          <w:sz w:val="20"/>
        </w:rPr>
        <w:t> </w:t>
      </w:r>
      <w:r>
        <w:rPr>
          <w:sz w:val="20"/>
        </w:rPr>
        <w:t>transition.</w:t>
      </w:r>
    </w:p>
    <w:p>
      <w:pPr>
        <w:spacing w:before="122"/>
        <w:ind w:left="420" w:right="0" w:firstLine="0"/>
        <w:jc w:val="left"/>
        <w:rPr>
          <w:i/>
          <w:sz w:val="20"/>
        </w:rPr>
      </w:pPr>
      <w:r>
        <w:rPr>
          <w:i/>
          <w:sz w:val="20"/>
        </w:rPr>
        <w:t>Accounting Treatment Task Force:</w:t>
      </w:r>
    </w:p>
    <w:p>
      <w:pPr>
        <w:pStyle w:val="BodyText"/>
        <w:spacing w:before="3"/>
        <w:rPr>
          <w:i/>
        </w:rPr>
      </w:pPr>
    </w:p>
    <w:p>
      <w:pPr>
        <w:pStyle w:val="ListParagraph"/>
        <w:numPr>
          <w:ilvl w:val="0"/>
          <w:numId w:val="3"/>
        </w:numPr>
        <w:tabs>
          <w:tab w:pos="847" w:val="left" w:leader="none"/>
        </w:tabs>
        <w:spacing w:line="360" w:lineRule="auto" w:before="0" w:after="0"/>
        <w:ind w:left="846" w:right="262" w:hanging="427"/>
        <w:jc w:val="left"/>
        <w:rPr>
          <w:sz w:val="20"/>
        </w:rPr>
      </w:pPr>
      <w:r>
        <w:rPr>
          <w:sz w:val="20"/>
        </w:rPr>
        <w:t>Members were reminded of the recent letter sent by the task force to the IASB’s Exposure Draft proposing amendments to IAS 39 and IFRS 9 to address hedge accounting</w:t>
      </w:r>
      <w:r>
        <w:rPr>
          <w:spacing w:val="-5"/>
          <w:sz w:val="20"/>
        </w:rPr>
        <w:t> </w:t>
      </w:r>
      <w:r>
        <w:rPr>
          <w:sz w:val="20"/>
        </w:rPr>
        <w:t>issues.</w:t>
      </w:r>
    </w:p>
    <w:p>
      <w:pPr>
        <w:spacing w:before="121"/>
        <w:ind w:left="420" w:right="0" w:firstLine="0"/>
        <w:jc w:val="left"/>
        <w:rPr>
          <w:i/>
          <w:sz w:val="20"/>
        </w:rPr>
      </w:pPr>
      <w:r>
        <w:rPr>
          <w:i/>
          <w:sz w:val="20"/>
        </w:rPr>
        <w:t>Infrastructure sub-group:</w:t>
      </w:r>
    </w:p>
    <w:p>
      <w:pPr>
        <w:pStyle w:val="BodyText"/>
        <w:spacing w:before="4"/>
        <w:rPr>
          <w:i/>
        </w:rPr>
      </w:pPr>
    </w:p>
    <w:p>
      <w:pPr>
        <w:pStyle w:val="ListParagraph"/>
        <w:numPr>
          <w:ilvl w:val="0"/>
          <w:numId w:val="3"/>
        </w:numPr>
        <w:tabs>
          <w:tab w:pos="847" w:val="left" w:leader="none"/>
        </w:tabs>
        <w:spacing w:line="360" w:lineRule="auto" w:before="1" w:after="0"/>
        <w:ind w:left="846" w:right="836" w:hanging="427"/>
        <w:jc w:val="left"/>
        <w:rPr>
          <w:sz w:val="20"/>
        </w:rPr>
      </w:pPr>
      <w:r>
        <w:rPr>
          <w:sz w:val="20"/>
        </w:rPr>
        <w:t>The Infrastructure sub-group noted work to engage with infrastructure providers, and had updated its priority list to reflect</w:t>
      </w:r>
      <w:r>
        <w:rPr>
          <w:spacing w:val="-7"/>
          <w:sz w:val="20"/>
        </w:rPr>
        <w:t> </w:t>
      </w:r>
      <w:r>
        <w:rPr>
          <w:sz w:val="20"/>
        </w:rPr>
        <w:t>this.</w:t>
      </w:r>
    </w:p>
    <w:p>
      <w:pPr>
        <w:pStyle w:val="ListParagraph"/>
        <w:numPr>
          <w:ilvl w:val="0"/>
          <w:numId w:val="3"/>
        </w:numPr>
        <w:tabs>
          <w:tab w:pos="847" w:val="left" w:leader="none"/>
        </w:tabs>
        <w:spacing w:line="360" w:lineRule="auto" w:before="0" w:after="0"/>
        <w:ind w:left="846" w:right="314" w:hanging="427"/>
        <w:jc w:val="left"/>
        <w:rPr>
          <w:sz w:val="20"/>
        </w:rPr>
      </w:pPr>
      <w:r>
        <w:rPr>
          <w:sz w:val="20"/>
        </w:rPr>
        <w:t>It was also noted that developing systems to support risk-free rates were at the top of firms’ agendas, and to continue to support progress in delivering this the June Working Group newsletter had sought feedback on infrastructure challenges. The sub-group planned to deliver more targeted work in this area to support loans systems</w:t>
      </w:r>
      <w:r>
        <w:rPr>
          <w:spacing w:val="-6"/>
          <w:sz w:val="20"/>
        </w:rPr>
        <w:t> </w:t>
      </w:r>
      <w:r>
        <w:rPr>
          <w:sz w:val="20"/>
        </w:rPr>
        <w:t>development.</w:t>
      </w:r>
    </w:p>
    <w:p>
      <w:pPr>
        <w:spacing w:after="0" w:line="360" w:lineRule="auto"/>
        <w:jc w:val="left"/>
        <w:rPr>
          <w:sz w:val="20"/>
        </w:rPr>
        <w:sectPr>
          <w:pgSz w:w="11910" w:h="16840"/>
          <w:pgMar w:top="1180" w:bottom="280" w:left="1020" w:right="1340"/>
        </w:sectPr>
      </w:pPr>
    </w:p>
    <w:p>
      <w:pPr>
        <w:pStyle w:val="Heading2"/>
        <w:spacing w:before="77"/>
      </w:pPr>
      <w:r>
        <w:rPr/>
        <w:t>Private sector</w:t>
      </w:r>
      <w:r>
        <w:rPr>
          <w:spacing w:val="-1"/>
        </w:rPr>
        <w:t> </w:t>
      </w:r>
      <w:r>
        <w:rPr/>
        <w:t>attendees</w:t>
      </w:r>
    </w:p>
    <w:p>
      <w:pPr>
        <w:pStyle w:val="BodyText"/>
        <w:spacing w:before="8"/>
        <w:rPr>
          <w:b/>
          <w:sz w:val="6"/>
        </w:rPr>
      </w:pPr>
    </w:p>
    <w:tbl>
      <w:tblPr>
        <w:tblW w:w="0" w:type="auto"/>
        <w:jc w:val="left"/>
        <w:tblInd w:w="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7"/>
        <w:gridCol w:w="5564"/>
      </w:tblGrid>
      <w:tr>
        <w:trPr>
          <w:trHeight w:val="260" w:hRule="atLeast"/>
        </w:trPr>
        <w:tc>
          <w:tcPr>
            <w:tcW w:w="2777" w:type="dxa"/>
          </w:tcPr>
          <w:p>
            <w:pPr>
              <w:pStyle w:val="TableParagraph"/>
              <w:spacing w:line="224" w:lineRule="exact" w:before="0"/>
              <w:rPr>
                <w:sz w:val="20"/>
              </w:rPr>
            </w:pPr>
            <w:r>
              <w:rPr>
                <w:sz w:val="20"/>
              </w:rPr>
              <w:t>Snigdha Singh</w:t>
            </w:r>
          </w:p>
        </w:tc>
        <w:tc>
          <w:tcPr>
            <w:tcW w:w="5564" w:type="dxa"/>
          </w:tcPr>
          <w:p>
            <w:pPr>
              <w:pStyle w:val="TableParagraph"/>
              <w:spacing w:line="225" w:lineRule="exact" w:before="0"/>
              <w:ind w:left="542"/>
              <w:rPr>
                <w:b/>
                <w:sz w:val="20"/>
              </w:rPr>
            </w:pPr>
            <w:r>
              <w:rPr>
                <w:b/>
                <w:sz w:val="20"/>
              </w:rPr>
              <w:t>Bank of America Merrill Lynch</w:t>
            </w:r>
          </w:p>
        </w:tc>
      </w:tr>
      <w:tr>
        <w:trPr>
          <w:trHeight w:val="295" w:hRule="atLeast"/>
        </w:trPr>
        <w:tc>
          <w:tcPr>
            <w:tcW w:w="2777" w:type="dxa"/>
          </w:tcPr>
          <w:p>
            <w:pPr>
              <w:pStyle w:val="TableParagraph"/>
              <w:rPr>
                <w:sz w:val="20"/>
              </w:rPr>
            </w:pPr>
            <w:r>
              <w:rPr>
                <w:sz w:val="20"/>
              </w:rPr>
              <w:t>Tushar Morzaria</w:t>
            </w:r>
          </w:p>
        </w:tc>
        <w:tc>
          <w:tcPr>
            <w:tcW w:w="5564" w:type="dxa"/>
          </w:tcPr>
          <w:p>
            <w:pPr>
              <w:pStyle w:val="TableParagraph"/>
              <w:spacing w:before="30"/>
              <w:ind w:left="542"/>
              <w:rPr>
                <w:b/>
                <w:sz w:val="20"/>
              </w:rPr>
            </w:pPr>
            <w:r>
              <w:rPr>
                <w:b/>
                <w:sz w:val="20"/>
              </w:rPr>
              <w:t>Barclays (Chair)</w:t>
            </w:r>
          </w:p>
        </w:tc>
      </w:tr>
      <w:tr>
        <w:trPr>
          <w:trHeight w:val="295" w:hRule="atLeast"/>
        </w:trPr>
        <w:tc>
          <w:tcPr>
            <w:tcW w:w="2777" w:type="dxa"/>
          </w:tcPr>
          <w:p>
            <w:pPr>
              <w:pStyle w:val="TableParagraph"/>
              <w:rPr>
                <w:sz w:val="20"/>
              </w:rPr>
            </w:pPr>
            <w:r>
              <w:rPr>
                <w:sz w:val="20"/>
              </w:rPr>
              <w:t>Paul Mansour</w:t>
            </w:r>
          </w:p>
        </w:tc>
        <w:tc>
          <w:tcPr>
            <w:tcW w:w="5564" w:type="dxa"/>
          </w:tcPr>
          <w:p>
            <w:pPr>
              <w:pStyle w:val="TableParagraph"/>
              <w:spacing w:before="30"/>
              <w:ind w:left="542"/>
              <w:rPr>
                <w:b/>
                <w:sz w:val="20"/>
              </w:rPr>
            </w:pPr>
            <w:r>
              <w:rPr>
                <w:b/>
                <w:sz w:val="20"/>
              </w:rPr>
              <w:t>Barclays (Chair’s office)</w:t>
            </w:r>
          </w:p>
        </w:tc>
      </w:tr>
      <w:tr>
        <w:trPr>
          <w:trHeight w:val="294" w:hRule="atLeast"/>
        </w:trPr>
        <w:tc>
          <w:tcPr>
            <w:tcW w:w="2777" w:type="dxa"/>
          </w:tcPr>
          <w:p>
            <w:pPr>
              <w:pStyle w:val="TableParagraph"/>
              <w:rPr>
                <w:sz w:val="20"/>
              </w:rPr>
            </w:pPr>
            <w:r>
              <w:rPr>
                <w:sz w:val="20"/>
              </w:rPr>
              <w:t>Andreas Giannopoulos</w:t>
            </w:r>
          </w:p>
        </w:tc>
        <w:tc>
          <w:tcPr>
            <w:tcW w:w="5564" w:type="dxa"/>
          </w:tcPr>
          <w:p>
            <w:pPr>
              <w:pStyle w:val="TableParagraph"/>
              <w:spacing w:before="30"/>
              <w:ind w:left="542"/>
              <w:rPr>
                <w:b/>
                <w:sz w:val="20"/>
              </w:rPr>
            </w:pPr>
            <w:r>
              <w:rPr>
                <w:b/>
                <w:sz w:val="20"/>
              </w:rPr>
              <w:t>Barclays (Chair’s office)</w:t>
            </w:r>
          </w:p>
        </w:tc>
      </w:tr>
      <w:tr>
        <w:trPr>
          <w:trHeight w:val="294" w:hRule="atLeast"/>
        </w:trPr>
        <w:tc>
          <w:tcPr>
            <w:tcW w:w="2777" w:type="dxa"/>
          </w:tcPr>
          <w:p>
            <w:pPr>
              <w:pStyle w:val="TableParagraph"/>
              <w:spacing w:before="28"/>
              <w:rPr>
                <w:sz w:val="20"/>
              </w:rPr>
            </w:pPr>
            <w:r>
              <w:rPr>
                <w:sz w:val="20"/>
              </w:rPr>
              <w:t>Joseph Mcquade</w:t>
            </w:r>
          </w:p>
        </w:tc>
        <w:tc>
          <w:tcPr>
            <w:tcW w:w="5564" w:type="dxa"/>
          </w:tcPr>
          <w:p>
            <w:pPr>
              <w:pStyle w:val="TableParagraph"/>
              <w:ind w:left="542"/>
              <w:rPr>
                <w:b/>
                <w:sz w:val="20"/>
              </w:rPr>
            </w:pPr>
            <w:r>
              <w:rPr>
                <w:b/>
                <w:sz w:val="20"/>
              </w:rPr>
              <w:t>Barclays (Chair’s office)</w:t>
            </w:r>
          </w:p>
        </w:tc>
      </w:tr>
      <w:tr>
        <w:trPr>
          <w:trHeight w:val="295" w:hRule="atLeast"/>
        </w:trPr>
        <w:tc>
          <w:tcPr>
            <w:tcW w:w="2777" w:type="dxa"/>
          </w:tcPr>
          <w:p>
            <w:pPr>
              <w:pStyle w:val="TableParagraph"/>
              <w:rPr>
                <w:sz w:val="20"/>
              </w:rPr>
            </w:pPr>
            <w:r>
              <w:rPr>
                <w:sz w:val="20"/>
              </w:rPr>
              <w:t>Robert de Roeck</w:t>
            </w:r>
          </w:p>
        </w:tc>
        <w:tc>
          <w:tcPr>
            <w:tcW w:w="5564" w:type="dxa"/>
          </w:tcPr>
          <w:p>
            <w:pPr>
              <w:pStyle w:val="TableParagraph"/>
              <w:spacing w:before="30"/>
              <w:ind w:left="542"/>
              <w:rPr>
                <w:b/>
                <w:sz w:val="20"/>
              </w:rPr>
            </w:pPr>
            <w:r>
              <w:rPr>
                <w:b/>
                <w:sz w:val="20"/>
              </w:rPr>
              <w:t>Aberdeen Standard</w:t>
            </w:r>
          </w:p>
        </w:tc>
      </w:tr>
      <w:tr>
        <w:trPr>
          <w:trHeight w:val="295" w:hRule="atLeast"/>
        </w:trPr>
        <w:tc>
          <w:tcPr>
            <w:tcW w:w="2777" w:type="dxa"/>
          </w:tcPr>
          <w:p>
            <w:pPr>
              <w:pStyle w:val="TableParagraph"/>
              <w:rPr>
                <w:sz w:val="20"/>
              </w:rPr>
            </w:pPr>
            <w:r>
              <w:rPr>
                <w:sz w:val="20"/>
              </w:rPr>
              <w:t>Shaun Kennedy</w:t>
            </w:r>
          </w:p>
        </w:tc>
        <w:tc>
          <w:tcPr>
            <w:tcW w:w="5564" w:type="dxa"/>
          </w:tcPr>
          <w:p>
            <w:pPr>
              <w:pStyle w:val="TableParagraph"/>
              <w:spacing w:before="30"/>
              <w:ind w:left="542"/>
              <w:rPr>
                <w:b/>
                <w:sz w:val="20"/>
              </w:rPr>
            </w:pPr>
            <w:r>
              <w:rPr>
                <w:b/>
                <w:sz w:val="20"/>
              </w:rPr>
              <w:t>Associated British Ports</w:t>
            </w:r>
          </w:p>
        </w:tc>
      </w:tr>
      <w:tr>
        <w:trPr>
          <w:trHeight w:val="295" w:hRule="atLeast"/>
        </w:trPr>
        <w:tc>
          <w:tcPr>
            <w:tcW w:w="2777" w:type="dxa"/>
          </w:tcPr>
          <w:p>
            <w:pPr>
              <w:pStyle w:val="TableParagraph"/>
              <w:rPr>
                <w:sz w:val="20"/>
              </w:rPr>
            </w:pPr>
            <w:r>
              <w:rPr>
                <w:sz w:val="20"/>
              </w:rPr>
              <w:t>Sarah Boyce</w:t>
            </w:r>
          </w:p>
        </w:tc>
        <w:tc>
          <w:tcPr>
            <w:tcW w:w="5564" w:type="dxa"/>
          </w:tcPr>
          <w:p>
            <w:pPr>
              <w:pStyle w:val="TableParagraph"/>
              <w:spacing w:before="30"/>
              <w:ind w:left="542"/>
              <w:rPr>
                <w:b/>
                <w:sz w:val="20"/>
              </w:rPr>
            </w:pPr>
            <w:r>
              <w:rPr>
                <w:b/>
                <w:sz w:val="20"/>
              </w:rPr>
              <w:t>Association of Corporate Treasurers</w:t>
            </w:r>
          </w:p>
        </w:tc>
      </w:tr>
      <w:tr>
        <w:trPr>
          <w:trHeight w:val="295" w:hRule="atLeast"/>
        </w:trPr>
        <w:tc>
          <w:tcPr>
            <w:tcW w:w="2777" w:type="dxa"/>
          </w:tcPr>
          <w:p>
            <w:pPr>
              <w:pStyle w:val="TableParagraph"/>
              <w:rPr>
                <w:sz w:val="20"/>
              </w:rPr>
            </w:pPr>
            <w:r>
              <w:rPr>
                <w:sz w:val="20"/>
              </w:rPr>
              <w:t>Alexandre Papadacci</w:t>
            </w:r>
          </w:p>
        </w:tc>
        <w:tc>
          <w:tcPr>
            <w:tcW w:w="5564" w:type="dxa"/>
          </w:tcPr>
          <w:p>
            <w:pPr>
              <w:pStyle w:val="TableParagraph"/>
              <w:spacing w:before="30"/>
              <w:ind w:left="542"/>
              <w:rPr>
                <w:b/>
                <w:sz w:val="20"/>
              </w:rPr>
            </w:pPr>
            <w:r>
              <w:rPr>
                <w:b/>
                <w:sz w:val="20"/>
              </w:rPr>
              <w:t>AXA (Vice-Chair of the Working Group)</w:t>
            </w:r>
          </w:p>
        </w:tc>
      </w:tr>
      <w:tr>
        <w:trPr>
          <w:trHeight w:val="294" w:hRule="atLeast"/>
        </w:trPr>
        <w:tc>
          <w:tcPr>
            <w:tcW w:w="2777" w:type="dxa"/>
          </w:tcPr>
          <w:p>
            <w:pPr>
              <w:pStyle w:val="TableParagraph"/>
              <w:rPr>
                <w:sz w:val="20"/>
              </w:rPr>
            </w:pPr>
            <w:r>
              <w:rPr>
                <w:sz w:val="20"/>
              </w:rPr>
              <w:t>Doug Laurie</w:t>
            </w:r>
          </w:p>
        </w:tc>
        <w:tc>
          <w:tcPr>
            <w:tcW w:w="5564" w:type="dxa"/>
          </w:tcPr>
          <w:p>
            <w:pPr>
              <w:pStyle w:val="TableParagraph"/>
              <w:spacing w:before="30"/>
              <w:ind w:left="542"/>
              <w:rPr>
                <w:b/>
                <w:sz w:val="20"/>
              </w:rPr>
            </w:pPr>
            <w:r>
              <w:rPr>
                <w:b/>
                <w:sz w:val="20"/>
              </w:rPr>
              <w:t>Barclays</w:t>
            </w:r>
          </w:p>
        </w:tc>
      </w:tr>
      <w:tr>
        <w:trPr>
          <w:trHeight w:val="294" w:hRule="atLeast"/>
        </w:trPr>
        <w:tc>
          <w:tcPr>
            <w:tcW w:w="2777" w:type="dxa"/>
          </w:tcPr>
          <w:p>
            <w:pPr>
              <w:pStyle w:val="TableParagraph"/>
              <w:spacing w:before="28"/>
              <w:rPr>
                <w:sz w:val="20"/>
              </w:rPr>
            </w:pPr>
            <w:r>
              <w:rPr>
                <w:sz w:val="20"/>
              </w:rPr>
              <w:t>Jon Laycock</w:t>
            </w:r>
          </w:p>
        </w:tc>
        <w:tc>
          <w:tcPr>
            <w:tcW w:w="5564" w:type="dxa"/>
          </w:tcPr>
          <w:p>
            <w:pPr>
              <w:pStyle w:val="TableParagraph"/>
              <w:ind w:left="542"/>
              <w:rPr>
                <w:b/>
                <w:sz w:val="20"/>
              </w:rPr>
            </w:pPr>
            <w:r>
              <w:rPr>
                <w:b/>
                <w:sz w:val="20"/>
              </w:rPr>
              <w:t>Barclays</w:t>
            </w:r>
          </w:p>
        </w:tc>
      </w:tr>
      <w:tr>
        <w:trPr>
          <w:trHeight w:val="295" w:hRule="atLeast"/>
        </w:trPr>
        <w:tc>
          <w:tcPr>
            <w:tcW w:w="2777" w:type="dxa"/>
          </w:tcPr>
          <w:p>
            <w:pPr>
              <w:pStyle w:val="TableParagraph"/>
              <w:rPr>
                <w:sz w:val="20"/>
              </w:rPr>
            </w:pPr>
            <w:r>
              <w:rPr>
                <w:sz w:val="20"/>
              </w:rPr>
              <w:t>Tejonidhi Kashyap</w:t>
            </w:r>
          </w:p>
        </w:tc>
        <w:tc>
          <w:tcPr>
            <w:tcW w:w="5564" w:type="dxa"/>
          </w:tcPr>
          <w:p>
            <w:pPr>
              <w:pStyle w:val="TableParagraph"/>
              <w:spacing w:before="30"/>
              <w:ind w:left="542"/>
              <w:rPr>
                <w:b/>
                <w:sz w:val="20"/>
              </w:rPr>
            </w:pPr>
            <w:r>
              <w:rPr>
                <w:b/>
                <w:sz w:val="20"/>
              </w:rPr>
              <w:t>Barclays</w:t>
            </w:r>
          </w:p>
        </w:tc>
      </w:tr>
      <w:tr>
        <w:trPr>
          <w:trHeight w:val="295" w:hRule="atLeast"/>
        </w:trPr>
        <w:tc>
          <w:tcPr>
            <w:tcW w:w="2777" w:type="dxa"/>
          </w:tcPr>
          <w:p>
            <w:pPr>
              <w:pStyle w:val="TableParagraph"/>
              <w:rPr>
                <w:sz w:val="20"/>
              </w:rPr>
            </w:pPr>
            <w:r>
              <w:rPr>
                <w:sz w:val="20"/>
              </w:rPr>
              <w:t>Rob Mitchelson</w:t>
            </w:r>
          </w:p>
        </w:tc>
        <w:tc>
          <w:tcPr>
            <w:tcW w:w="5564" w:type="dxa"/>
          </w:tcPr>
          <w:p>
            <w:pPr>
              <w:pStyle w:val="TableParagraph"/>
              <w:spacing w:before="30"/>
              <w:ind w:left="542"/>
              <w:rPr>
                <w:b/>
                <w:sz w:val="20"/>
              </w:rPr>
            </w:pPr>
            <w:r>
              <w:rPr>
                <w:b/>
                <w:sz w:val="20"/>
              </w:rPr>
              <w:t>Blackrock</w:t>
            </w:r>
          </w:p>
        </w:tc>
      </w:tr>
      <w:tr>
        <w:trPr>
          <w:trHeight w:val="295" w:hRule="atLeast"/>
        </w:trPr>
        <w:tc>
          <w:tcPr>
            <w:tcW w:w="2777" w:type="dxa"/>
          </w:tcPr>
          <w:p>
            <w:pPr>
              <w:pStyle w:val="TableParagraph"/>
              <w:rPr>
                <w:sz w:val="20"/>
              </w:rPr>
            </w:pPr>
            <w:r>
              <w:rPr>
                <w:sz w:val="20"/>
              </w:rPr>
              <w:t>Greg Olsen</w:t>
            </w:r>
          </w:p>
        </w:tc>
        <w:tc>
          <w:tcPr>
            <w:tcW w:w="5564" w:type="dxa"/>
          </w:tcPr>
          <w:p>
            <w:pPr>
              <w:pStyle w:val="TableParagraph"/>
              <w:spacing w:before="30"/>
              <w:ind w:left="542"/>
              <w:rPr>
                <w:b/>
                <w:sz w:val="20"/>
              </w:rPr>
            </w:pPr>
            <w:r>
              <w:rPr>
                <w:b/>
                <w:sz w:val="20"/>
              </w:rPr>
              <w:t>Clifford Chance (General Counsel)</w:t>
            </w:r>
          </w:p>
        </w:tc>
      </w:tr>
      <w:tr>
        <w:trPr>
          <w:trHeight w:val="295" w:hRule="atLeast"/>
        </w:trPr>
        <w:tc>
          <w:tcPr>
            <w:tcW w:w="2777" w:type="dxa"/>
          </w:tcPr>
          <w:p>
            <w:pPr>
              <w:pStyle w:val="TableParagraph"/>
              <w:rPr>
                <w:sz w:val="20"/>
              </w:rPr>
            </w:pPr>
            <w:r>
              <w:rPr>
                <w:sz w:val="20"/>
              </w:rPr>
              <w:t>Michael Barron</w:t>
            </w:r>
          </w:p>
        </w:tc>
        <w:tc>
          <w:tcPr>
            <w:tcW w:w="5564" w:type="dxa"/>
          </w:tcPr>
          <w:p>
            <w:pPr>
              <w:pStyle w:val="TableParagraph"/>
              <w:spacing w:before="30"/>
              <w:ind w:left="542"/>
              <w:rPr>
                <w:b/>
                <w:sz w:val="20"/>
              </w:rPr>
            </w:pPr>
            <w:r>
              <w:rPr>
                <w:b/>
                <w:sz w:val="20"/>
              </w:rPr>
              <w:t>Deutsche Bank</w:t>
            </w:r>
          </w:p>
        </w:tc>
      </w:tr>
      <w:tr>
        <w:trPr>
          <w:trHeight w:val="294" w:hRule="atLeast"/>
        </w:trPr>
        <w:tc>
          <w:tcPr>
            <w:tcW w:w="2777" w:type="dxa"/>
          </w:tcPr>
          <w:p>
            <w:pPr>
              <w:pStyle w:val="TableParagraph"/>
              <w:rPr>
                <w:sz w:val="20"/>
              </w:rPr>
            </w:pPr>
            <w:r>
              <w:rPr>
                <w:sz w:val="20"/>
              </w:rPr>
              <w:t>Axel van Nederveen</w:t>
            </w:r>
          </w:p>
        </w:tc>
        <w:tc>
          <w:tcPr>
            <w:tcW w:w="5564" w:type="dxa"/>
          </w:tcPr>
          <w:p>
            <w:pPr>
              <w:pStyle w:val="TableParagraph"/>
              <w:spacing w:before="30"/>
              <w:ind w:left="542"/>
              <w:rPr>
                <w:b/>
                <w:sz w:val="20"/>
              </w:rPr>
            </w:pPr>
            <w:r>
              <w:rPr>
                <w:b/>
                <w:sz w:val="20"/>
              </w:rPr>
              <w:t>European Bank for Reconstruction &amp; Development</w:t>
            </w:r>
          </w:p>
        </w:tc>
      </w:tr>
      <w:tr>
        <w:trPr>
          <w:trHeight w:val="294" w:hRule="atLeast"/>
        </w:trPr>
        <w:tc>
          <w:tcPr>
            <w:tcW w:w="2777" w:type="dxa"/>
          </w:tcPr>
          <w:p>
            <w:pPr>
              <w:pStyle w:val="TableParagraph"/>
              <w:spacing w:before="28"/>
              <w:rPr>
                <w:sz w:val="20"/>
              </w:rPr>
            </w:pPr>
            <w:r>
              <w:rPr>
                <w:sz w:val="20"/>
              </w:rPr>
              <w:t>Alan Farrell</w:t>
            </w:r>
          </w:p>
        </w:tc>
        <w:tc>
          <w:tcPr>
            <w:tcW w:w="5564" w:type="dxa"/>
          </w:tcPr>
          <w:p>
            <w:pPr>
              <w:pStyle w:val="TableParagraph"/>
              <w:ind w:left="542"/>
              <w:rPr>
                <w:b/>
                <w:sz w:val="20"/>
              </w:rPr>
            </w:pPr>
            <w:r>
              <w:rPr>
                <w:b/>
                <w:sz w:val="20"/>
              </w:rPr>
              <w:t>Goldman Sachs</w:t>
            </w:r>
          </w:p>
        </w:tc>
      </w:tr>
      <w:tr>
        <w:trPr>
          <w:trHeight w:val="295" w:hRule="atLeast"/>
        </w:trPr>
        <w:tc>
          <w:tcPr>
            <w:tcW w:w="2777" w:type="dxa"/>
          </w:tcPr>
          <w:p>
            <w:pPr>
              <w:pStyle w:val="TableParagraph"/>
              <w:rPr>
                <w:sz w:val="20"/>
              </w:rPr>
            </w:pPr>
            <w:r>
              <w:rPr>
                <w:sz w:val="20"/>
              </w:rPr>
              <w:t>Sander Slotema</w:t>
            </w:r>
          </w:p>
        </w:tc>
        <w:tc>
          <w:tcPr>
            <w:tcW w:w="5564" w:type="dxa"/>
          </w:tcPr>
          <w:p>
            <w:pPr>
              <w:pStyle w:val="TableParagraph"/>
              <w:spacing w:before="30"/>
              <w:ind w:left="542"/>
              <w:rPr>
                <w:b/>
                <w:sz w:val="20"/>
              </w:rPr>
            </w:pPr>
            <w:r>
              <w:rPr>
                <w:b/>
                <w:sz w:val="20"/>
              </w:rPr>
              <w:t>HSBC</w:t>
            </w:r>
          </w:p>
        </w:tc>
      </w:tr>
      <w:tr>
        <w:trPr>
          <w:trHeight w:val="295" w:hRule="atLeast"/>
        </w:trPr>
        <w:tc>
          <w:tcPr>
            <w:tcW w:w="2777" w:type="dxa"/>
          </w:tcPr>
          <w:p>
            <w:pPr>
              <w:pStyle w:val="TableParagraph"/>
              <w:rPr>
                <w:sz w:val="20"/>
              </w:rPr>
            </w:pPr>
            <w:r>
              <w:rPr>
                <w:sz w:val="20"/>
              </w:rPr>
              <w:t>Daniele Forni</w:t>
            </w:r>
          </w:p>
        </w:tc>
        <w:tc>
          <w:tcPr>
            <w:tcW w:w="5564" w:type="dxa"/>
          </w:tcPr>
          <w:p>
            <w:pPr>
              <w:pStyle w:val="TableParagraph"/>
              <w:spacing w:before="30"/>
              <w:ind w:left="542"/>
              <w:rPr>
                <w:b/>
                <w:sz w:val="20"/>
              </w:rPr>
            </w:pPr>
            <w:r>
              <w:rPr>
                <w:b/>
                <w:sz w:val="20"/>
              </w:rPr>
              <w:t>HSBC</w:t>
            </w:r>
          </w:p>
        </w:tc>
      </w:tr>
      <w:tr>
        <w:trPr>
          <w:trHeight w:val="295" w:hRule="atLeast"/>
        </w:trPr>
        <w:tc>
          <w:tcPr>
            <w:tcW w:w="2777" w:type="dxa"/>
          </w:tcPr>
          <w:p>
            <w:pPr>
              <w:pStyle w:val="TableParagraph"/>
              <w:rPr>
                <w:sz w:val="20"/>
              </w:rPr>
            </w:pPr>
            <w:r>
              <w:rPr>
                <w:sz w:val="20"/>
              </w:rPr>
              <w:t>Matthew Horton</w:t>
            </w:r>
          </w:p>
        </w:tc>
        <w:tc>
          <w:tcPr>
            <w:tcW w:w="5564" w:type="dxa"/>
          </w:tcPr>
          <w:p>
            <w:pPr>
              <w:pStyle w:val="TableParagraph"/>
              <w:spacing w:before="30"/>
              <w:ind w:left="542"/>
              <w:rPr>
                <w:b/>
                <w:sz w:val="20"/>
              </w:rPr>
            </w:pPr>
            <w:r>
              <w:rPr>
                <w:b/>
                <w:sz w:val="20"/>
              </w:rPr>
              <w:t>ICE Group</w:t>
            </w:r>
          </w:p>
        </w:tc>
      </w:tr>
      <w:tr>
        <w:trPr>
          <w:trHeight w:val="295" w:hRule="atLeast"/>
        </w:trPr>
        <w:tc>
          <w:tcPr>
            <w:tcW w:w="2777" w:type="dxa"/>
          </w:tcPr>
          <w:p>
            <w:pPr>
              <w:pStyle w:val="TableParagraph"/>
              <w:rPr>
                <w:sz w:val="20"/>
              </w:rPr>
            </w:pPr>
            <w:r>
              <w:rPr>
                <w:sz w:val="20"/>
              </w:rPr>
              <w:t>Paul Richards</w:t>
            </w:r>
          </w:p>
        </w:tc>
        <w:tc>
          <w:tcPr>
            <w:tcW w:w="5564" w:type="dxa"/>
          </w:tcPr>
          <w:p>
            <w:pPr>
              <w:pStyle w:val="TableParagraph"/>
              <w:spacing w:before="30"/>
              <w:ind w:left="542"/>
              <w:rPr>
                <w:b/>
                <w:sz w:val="20"/>
              </w:rPr>
            </w:pPr>
            <w:r>
              <w:rPr>
                <w:b/>
                <w:sz w:val="20"/>
              </w:rPr>
              <w:t>ICMA</w:t>
            </w:r>
          </w:p>
        </w:tc>
      </w:tr>
      <w:tr>
        <w:trPr>
          <w:trHeight w:val="294" w:hRule="atLeast"/>
        </w:trPr>
        <w:tc>
          <w:tcPr>
            <w:tcW w:w="2777" w:type="dxa"/>
          </w:tcPr>
          <w:p>
            <w:pPr>
              <w:pStyle w:val="TableParagraph"/>
              <w:rPr>
                <w:sz w:val="20"/>
              </w:rPr>
            </w:pPr>
            <w:r>
              <w:rPr>
                <w:sz w:val="20"/>
              </w:rPr>
              <w:t>Vanaja Indra</w:t>
            </w:r>
          </w:p>
        </w:tc>
        <w:tc>
          <w:tcPr>
            <w:tcW w:w="5564" w:type="dxa"/>
          </w:tcPr>
          <w:p>
            <w:pPr>
              <w:pStyle w:val="TableParagraph"/>
              <w:spacing w:before="30"/>
              <w:ind w:left="542"/>
              <w:rPr>
                <w:b/>
                <w:sz w:val="20"/>
              </w:rPr>
            </w:pPr>
            <w:r>
              <w:rPr>
                <w:b/>
                <w:sz w:val="20"/>
              </w:rPr>
              <w:t>Insight Investment</w:t>
            </w:r>
          </w:p>
        </w:tc>
      </w:tr>
      <w:tr>
        <w:trPr>
          <w:trHeight w:val="294" w:hRule="atLeast"/>
        </w:trPr>
        <w:tc>
          <w:tcPr>
            <w:tcW w:w="2777" w:type="dxa"/>
          </w:tcPr>
          <w:p>
            <w:pPr>
              <w:pStyle w:val="TableParagraph"/>
              <w:spacing w:before="28"/>
              <w:rPr>
                <w:sz w:val="20"/>
              </w:rPr>
            </w:pPr>
            <w:r>
              <w:rPr>
                <w:sz w:val="20"/>
              </w:rPr>
              <w:t>Ross Barratt</w:t>
            </w:r>
          </w:p>
        </w:tc>
        <w:tc>
          <w:tcPr>
            <w:tcW w:w="5564" w:type="dxa"/>
          </w:tcPr>
          <w:p>
            <w:pPr>
              <w:pStyle w:val="TableParagraph"/>
              <w:ind w:left="542"/>
              <w:rPr>
                <w:b/>
                <w:sz w:val="20"/>
              </w:rPr>
            </w:pPr>
            <w:r>
              <w:rPr>
                <w:b/>
                <w:sz w:val="20"/>
              </w:rPr>
              <w:t>Investment Association</w:t>
            </w:r>
          </w:p>
        </w:tc>
      </w:tr>
      <w:tr>
        <w:trPr>
          <w:trHeight w:val="295" w:hRule="atLeast"/>
        </w:trPr>
        <w:tc>
          <w:tcPr>
            <w:tcW w:w="2777" w:type="dxa"/>
          </w:tcPr>
          <w:p>
            <w:pPr>
              <w:pStyle w:val="TableParagraph"/>
              <w:rPr>
                <w:sz w:val="20"/>
              </w:rPr>
            </w:pPr>
            <w:r>
              <w:rPr>
                <w:sz w:val="20"/>
              </w:rPr>
              <w:t>Michelle Hurd</w:t>
            </w:r>
          </w:p>
        </w:tc>
        <w:tc>
          <w:tcPr>
            <w:tcW w:w="5564" w:type="dxa"/>
          </w:tcPr>
          <w:p>
            <w:pPr>
              <w:pStyle w:val="TableParagraph"/>
              <w:spacing w:before="30"/>
              <w:ind w:left="542"/>
              <w:rPr>
                <w:b/>
                <w:sz w:val="20"/>
              </w:rPr>
            </w:pPr>
            <w:r>
              <w:rPr>
                <w:b/>
                <w:sz w:val="20"/>
              </w:rPr>
              <w:t>ISDA</w:t>
            </w:r>
          </w:p>
        </w:tc>
      </w:tr>
      <w:tr>
        <w:trPr>
          <w:trHeight w:val="295" w:hRule="atLeast"/>
        </w:trPr>
        <w:tc>
          <w:tcPr>
            <w:tcW w:w="2777" w:type="dxa"/>
          </w:tcPr>
          <w:p>
            <w:pPr>
              <w:pStyle w:val="TableParagraph"/>
              <w:rPr>
                <w:sz w:val="20"/>
              </w:rPr>
            </w:pPr>
            <w:r>
              <w:rPr>
                <w:sz w:val="20"/>
              </w:rPr>
              <w:t>Philip Whitehurst</w:t>
            </w:r>
          </w:p>
        </w:tc>
        <w:tc>
          <w:tcPr>
            <w:tcW w:w="5564" w:type="dxa"/>
          </w:tcPr>
          <w:p>
            <w:pPr>
              <w:pStyle w:val="TableParagraph"/>
              <w:spacing w:before="30"/>
              <w:ind w:left="542"/>
              <w:rPr>
                <w:b/>
                <w:sz w:val="20"/>
              </w:rPr>
            </w:pPr>
            <w:r>
              <w:rPr>
                <w:b/>
                <w:sz w:val="20"/>
              </w:rPr>
              <w:t>LCH</w:t>
            </w:r>
          </w:p>
        </w:tc>
      </w:tr>
      <w:tr>
        <w:trPr>
          <w:trHeight w:val="295" w:hRule="atLeast"/>
        </w:trPr>
        <w:tc>
          <w:tcPr>
            <w:tcW w:w="2777" w:type="dxa"/>
          </w:tcPr>
          <w:p>
            <w:pPr>
              <w:pStyle w:val="TableParagraph"/>
              <w:rPr>
                <w:sz w:val="20"/>
              </w:rPr>
            </w:pPr>
            <w:r>
              <w:rPr>
                <w:sz w:val="20"/>
              </w:rPr>
              <w:t>Guy Whitby Smith</w:t>
            </w:r>
          </w:p>
        </w:tc>
        <w:tc>
          <w:tcPr>
            <w:tcW w:w="5564" w:type="dxa"/>
          </w:tcPr>
          <w:p>
            <w:pPr>
              <w:pStyle w:val="TableParagraph"/>
              <w:spacing w:before="30"/>
              <w:ind w:left="542"/>
              <w:rPr>
                <w:b/>
                <w:sz w:val="20"/>
              </w:rPr>
            </w:pPr>
            <w:r>
              <w:rPr>
                <w:b/>
                <w:sz w:val="20"/>
              </w:rPr>
              <w:t>Legal &amp; General Investment Management</w:t>
            </w:r>
          </w:p>
        </w:tc>
      </w:tr>
      <w:tr>
        <w:trPr>
          <w:trHeight w:val="295" w:hRule="atLeast"/>
        </w:trPr>
        <w:tc>
          <w:tcPr>
            <w:tcW w:w="2777" w:type="dxa"/>
          </w:tcPr>
          <w:p>
            <w:pPr>
              <w:pStyle w:val="TableParagraph"/>
              <w:rPr>
                <w:sz w:val="20"/>
              </w:rPr>
            </w:pPr>
            <w:r>
              <w:rPr>
                <w:sz w:val="20"/>
              </w:rPr>
              <w:t>Ian Fox</w:t>
            </w:r>
          </w:p>
        </w:tc>
        <w:tc>
          <w:tcPr>
            <w:tcW w:w="5564" w:type="dxa"/>
          </w:tcPr>
          <w:p>
            <w:pPr>
              <w:pStyle w:val="TableParagraph"/>
              <w:spacing w:before="30"/>
              <w:ind w:left="542"/>
              <w:rPr>
                <w:b/>
                <w:sz w:val="20"/>
              </w:rPr>
            </w:pPr>
            <w:r>
              <w:rPr>
                <w:b/>
                <w:sz w:val="20"/>
              </w:rPr>
              <w:t>Lloyds Banking Group</w:t>
            </w:r>
          </w:p>
        </w:tc>
      </w:tr>
      <w:tr>
        <w:trPr>
          <w:trHeight w:val="294" w:hRule="atLeast"/>
        </w:trPr>
        <w:tc>
          <w:tcPr>
            <w:tcW w:w="2777" w:type="dxa"/>
          </w:tcPr>
          <w:p>
            <w:pPr>
              <w:pStyle w:val="TableParagraph"/>
              <w:rPr>
                <w:sz w:val="20"/>
              </w:rPr>
            </w:pPr>
            <w:r>
              <w:rPr>
                <w:sz w:val="20"/>
              </w:rPr>
              <w:t>Kam Mahil</w:t>
            </w:r>
          </w:p>
        </w:tc>
        <w:tc>
          <w:tcPr>
            <w:tcW w:w="5564" w:type="dxa"/>
          </w:tcPr>
          <w:p>
            <w:pPr>
              <w:pStyle w:val="TableParagraph"/>
              <w:spacing w:before="30"/>
              <w:ind w:left="542"/>
              <w:rPr>
                <w:b/>
                <w:sz w:val="20"/>
              </w:rPr>
            </w:pPr>
            <w:r>
              <w:rPr>
                <w:b/>
                <w:sz w:val="20"/>
              </w:rPr>
              <w:t>Loan Market Association</w:t>
            </w:r>
          </w:p>
        </w:tc>
      </w:tr>
      <w:tr>
        <w:trPr>
          <w:trHeight w:val="294" w:hRule="atLeast"/>
        </w:trPr>
        <w:tc>
          <w:tcPr>
            <w:tcW w:w="2777" w:type="dxa"/>
          </w:tcPr>
          <w:p>
            <w:pPr>
              <w:pStyle w:val="TableParagraph"/>
              <w:spacing w:before="28"/>
              <w:rPr>
                <w:sz w:val="20"/>
              </w:rPr>
            </w:pPr>
            <w:r>
              <w:rPr>
                <w:sz w:val="20"/>
              </w:rPr>
              <w:t>Siobhan Clarke</w:t>
            </w:r>
          </w:p>
        </w:tc>
        <w:tc>
          <w:tcPr>
            <w:tcW w:w="5564" w:type="dxa"/>
          </w:tcPr>
          <w:p>
            <w:pPr>
              <w:pStyle w:val="TableParagraph"/>
              <w:ind w:left="542"/>
              <w:rPr>
                <w:b/>
                <w:sz w:val="20"/>
              </w:rPr>
            </w:pPr>
            <w:r>
              <w:rPr>
                <w:b/>
                <w:sz w:val="20"/>
              </w:rPr>
              <w:t>M&amp;G</w:t>
            </w:r>
          </w:p>
        </w:tc>
      </w:tr>
      <w:tr>
        <w:trPr>
          <w:trHeight w:val="295" w:hRule="atLeast"/>
        </w:trPr>
        <w:tc>
          <w:tcPr>
            <w:tcW w:w="2777" w:type="dxa"/>
          </w:tcPr>
          <w:p>
            <w:pPr>
              <w:pStyle w:val="TableParagraph"/>
              <w:rPr>
                <w:sz w:val="20"/>
              </w:rPr>
            </w:pPr>
            <w:r>
              <w:rPr>
                <w:sz w:val="20"/>
              </w:rPr>
              <w:t>David Covey</w:t>
            </w:r>
          </w:p>
        </w:tc>
        <w:tc>
          <w:tcPr>
            <w:tcW w:w="5564" w:type="dxa"/>
          </w:tcPr>
          <w:p>
            <w:pPr>
              <w:pStyle w:val="TableParagraph"/>
              <w:spacing w:before="30"/>
              <w:ind w:left="542"/>
              <w:rPr>
                <w:b/>
                <w:sz w:val="20"/>
              </w:rPr>
            </w:pPr>
            <w:r>
              <w:rPr>
                <w:b/>
                <w:sz w:val="20"/>
              </w:rPr>
              <w:t>M&amp;G Investments</w:t>
            </w:r>
          </w:p>
        </w:tc>
      </w:tr>
      <w:tr>
        <w:trPr>
          <w:trHeight w:val="295" w:hRule="atLeast"/>
        </w:trPr>
        <w:tc>
          <w:tcPr>
            <w:tcW w:w="2777" w:type="dxa"/>
          </w:tcPr>
          <w:p>
            <w:pPr>
              <w:pStyle w:val="TableParagraph"/>
              <w:rPr>
                <w:sz w:val="20"/>
              </w:rPr>
            </w:pPr>
            <w:r>
              <w:rPr>
                <w:sz w:val="20"/>
              </w:rPr>
              <w:t>Kwok Liu</w:t>
            </w:r>
          </w:p>
        </w:tc>
        <w:tc>
          <w:tcPr>
            <w:tcW w:w="5564" w:type="dxa"/>
          </w:tcPr>
          <w:p>
            <w:pPr>
              <w:pStyle w:val="TableParagraph"/>
              <w:spacing w:before="30"/>
              <w:ind w:left="542"/>
              <w:rPr>
                <w:b/>
                <w:sz w:val="20"/>
              </w:rPr>
            </w:pPr>
            <w:r>
              <w:rPr>
                <w:b/>
                <w:sz w:val="20"/>
              </w:rPr>
              <w:t>National Grid</w:t>
            </w:r>
          </w:p>
        </w:tc>
      </w:tr>
      <w:tr>
        <w:trPr>
          <w:trHeight w:val="295" w:hRule="atLeast"/>
        </w:trPr>
        <w:tc>
          <w:tcPr>
            <w:tcW w:w="2777" w:type="dxa"/>
          </w:tcPr>
          <w:p>
            <w:pPr>
              <w:pStyle w:val="TableParagraph"/>
              <w:rPr>
                <w:sz w:val="20"/>
              </w:rPr>
            </w:pPr>
            <w:r>
              <w:rPr>
                <w:sz w:val="20"/>
              </w:rPr>
              <w:t>Richard Merrett</w:t>
            </w:r>
          </w:p>
        </w:tc>
        <w:tc>
          <w:tcPr>
            <w:tcW w:w="5564" w:type="dxa"/>
          </w:tcPr>
          <w:p>
            <w:pPr>
              <w:pStyle w:val="TableParagraph"/>
              <w:spacing w:before="30"/>
              <w:ind w:left="542"/>
              <w:rPr>
                <w:b/>
                <w:sz w:val="20"/>
              </w:rPr>
            </w:pPr>
            <w:r>
              <w:rPr>
                <w:b/>
                <w:sz w:val="20"/>
              </w:rPr>
              <w:t>Nationwide Building Society</w:t>
            </w:r>
          </w:p>
        </w:tc>
      </w:tr>
      <w:tr>
        <w:trPr>
          <w:trHeight w:val="295" w:hRule="atLeast"/>
        </w:trPr>
        <w:tc>
          <w:tcPr>
            <w:tcW w:w="2777" w:type="dxa"/>
          </w:tcPr>
          <w:p>
            <w:pPr>
              <w:pStyle w:val="TableParagraph"/>
              <w:rPr>
                <w:sz w:val="20"/>
              </w:rPr>
            </w:pPr>
            <w:r>
              <w:rPr>
                <w:sz w:val="20"/>
              </w:rPr>
              <w:t>Oliver Cooke</w:t>
            </w:r>
          </w:p>
        </w:tc>
        <w:tc>
          <w:tcPr>
            <w:tcW w:w="5564" w:type="dxa"/>
          </w:tcPr>
          <w:p>
            <w:pPr>
              <w:pStyle w:val="TableParagraph"/>
              <w:spacing w:before="30"/>
              <w:ind w:left="542"/>
              <w:rPr>
                <w:b/>
                <w:sz w:val="20"/>
              </w:rPr>
            </w:pPr>
            <w:r>
              <w:rPr>
                <w:b/>
                <w:sz w:val="20"/>
              </w:rPr>
              <w:t>NatWest Markets</w:t>
            </w:r>
          </w:p>
        </w:tc>
      </w:tr>
      <w:tr>
        <w:trPr>
          <w:trHeight w:val="294" w:hRule="atLeast"/>
        </w:trPr>
        <w:tc>
          <w:tcPr>
            <w:tcW w:w="2777" w:type="dxa"/>
          </w:tcPr>
          <w:p>
            <w:pPr>
              <w:pStyle w:val="TableParagraph"/>
              <w:rPr>
                <w:sz w:val="20"/>
              </w:rPr>
            </w:pPr>
            <w:r>
              <w:rPr>
                <w:sz w:val="20"/>
              </w:rPr>
              <w:t>Kieran Higgins</w:t>
            </w:r>
          </w:p>
        </w:tc>
        <w:tc>
          <w:tcPr>
            <w:tcW w:w="5564" w:type="dxa"/>
          </w:tcPr>
          <w:p>
            <w:pPr>
              <w:pStyle w:val="TableParagraph"/>
              <w:spacing w:before="30"/>
              <w:ind w:left="542"/>
              <w:rPr>
                <w:b/>
                <w:sz w:val="20"/>
              </w:rPr>
            </w:pPr>
            <w:r>
              <w:rPr>
                <w:b/>
                <w:sz w:val="20"/>
              </w:rPr>
              <w:t>Royal Bank of Scotland</w:t>
            </w:r>
          </w:p>
        </w:tc>
      </w:tr>
      <w:tr>
        <w:trPr>
          <w:trHeight w:val="259" w:hRule="atLeast"/>
        </w:trPr>
        <w:tc>
          <w:tcPr>
            <w:tcW w:w="2777" w:type="dxa"/>
          </w:tcPr>
          <w:p>
            <w:pPr>
              <w:pStyle w:val="TableParagraph"/>
              <w:spacing w:line="211" w:lineRule="exact" w:before="28"/>
              <w:rPr>
                <w:sz w:val="20"/>
              </w:rPr>
            </w:pPr>
            <w:r>
              <w:rPr>
                <w:sz w:val="20"/>
              </w:rPr>
              <w:t>Frances Hinden</w:t>
            </w:r>
          </w:p>
        </w:tc>
        <w:tc>
          <w:tcPr>
            <w:tcW w:w="5564" w:type="dxa"/>
          </w:tcPr>
          <w:p>
            <w:pPr>
              <w:pStyle w:val="TableParagraph"/>
              <w:spacing w:line="210" w:lineRule="exact"/>
              <w:ind w:left="542"/>
              <w:rPr>
                <w:b/>
                <w:sz w:val="20"/>
              </w:rPr>
            </w:pPr>
            <w:r>
              <w:rPr>
                <w:b/>
                <w:sz w:val="20"/>
              </w:rPr>
              <w:t>Shell (Vice-Chair of the Working Group)</w:t>
            </w:r>
          </w:p>
        </w:tc>
      </w:tr>
    </w:tbl>
    <w:p>
      <w:pPr>
        <w:spacing w:before="132" w:after="34"/>
        <w:ind w:left="420" w:right="0" w:firstLine="0"/>
        <w:jc w:val="left"/>
        <w:rPr>
          <w:b/>
          <w:sz w:val="20"/>
        </w:rPr>
      </w:pPr>
      <w:r>
        <w:rPr>
          <w:b/>
          <w:sz w:val="20"/>
        </w:rPr>
        <w:t>Official sector</w:t>
      </w:r>
      <w:r>
        <w:rPr>
          <w:b/>
          <w:spacing w:val="-2"/>
          <w:sz w:val="20"/>
        </w:rPr>
        <w:t> </w:t>
      </w:r>
      <w:r>
        <w:rPr>
          <w:b/>
          <w:sz w:val="20"/>
        </w:rPr>
        <w:t>attendees</w:t>
      </w:r>
    </w:p>
    <w:tbl>
      <w:tblPr>
        <w:tblW w:w="0" w:type="auto"/>
        <w:jc w:val="left"/>
        <w:tblInd w:w="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4"/>
        <w:gridCol w:w="3437"/>
      </w:tblGrid>
      <w:tr>
        <w:trPr>
          <w:trHeight w:val="255" w:hRule="atLeast"/>
        </w:trPr>
        <w:tc>
          <w:tcPr>
            <w:tcW w:w="2804" w:type="dxa"/>
          </w:tcPr>
          <w:p>
            <w:pPr>
              <w:pStyle w:val="TableParagraph"/>
              <w:spacing w:line="224" w:lineRule="exact" w:before="0"/>
              <w:rPr>
                <w:sz w:val="20"/>
              </w:rPr>
            </w:pPr>
            <w:r>
              <w:rPr>
                <w:sz w:val="20"/>
              </w:rPr>
              <w:t>Andrew Hauser</w:t>
            </w:r>
          </w:p>
        </w:tc>
        <w:tc>
          <w:tcPr>
            <w:tcW w:w="3437" w:type="dxa"/>
          </w:tcPr>
          <w:p>
            <w:pPr>
              <w:pStyle w:val="TableParagraph"/>
              <w:spacing w:line="225" w:lineRule="exact" w:before="0"/>
              <w:ind w:left="557"/>
              <w:rPr>
                <w:b/>
                <w:sz w:val="20"/>
              </w:rPr>
            </w:pPr>
            <w:r>
              <w:rPr>
                <w:b/>
                <w:sz w:val="20"/>
              </w:rPr>
              <w:t>Bank of England</w:t>
            </w:r>
          </w:p>
        </w:tc>
      </w:tr>
      <w:tr>
        <w:trPr>
          <w:trHeight w:val="286" w:hRule="atLeast"/>
        </w:trPr>
        <w:tc>
          <w:tcPr>
            <w:tcW w:w="2804" w:type="dxa"/>
          </w:tcPr>
          <w:p>
            <w:pPr>
              <w:pStyle w:val="TableParagraph"/>
              <w:spacing w:before="24"/>
              <w:rPr>
                <w:sz w:val="20"/>
              </w:rPr>
            </w:pPr>
            <w:r>
              <w:rPr>
                <w:sz w:val="20"/>
              </w:rPr>
              <w:t>Alastair Hughes</w:t>
            </w:r>
          </w:p>
        </w:tc>
        <w:tc>
          <w:tcPr>
            <w:tcW w:w="3437" w:type="dxa"/>
          </w:tcPr>
          <w:p>
            <w:pPr>
              <w:pStyle w:val="TableParagraph"/>
              <w:spacing w:before="26"/>
              <w:ind w:left="557"/>
              <w:rPr>
                <w:b/>
                <w:sz w:val="20"/>
              </w:rPr>
            </w:pPr>
            <w:r>
              <w:rPr>
                <w:b/>
                <w:sz w:val="20"/>
              </w:rPr>
              <w:t>Bank of England</w:t>
            </w:r>
          </w:p>
        </w:tc>
      </w:tr>
      <w:tr>
        <w:trPr>
          <w:trHeight w:val="285" w:hRule="atLeast"/>
        </w:trPr>
        <w:tc>
          <w:tcPr>
            <w:tcW w:w="2804" w:type="dxa"/>
          </w:tcPr>
          <w:p>
            <w:pPr>
              <w:pStyle w:val="TableParagraph"/>
              <w:spacing w:before="24"/>
              <w:rPr>
                <w:sz w:val="20"/>
              </w:rPr>
            </w:pPr>
            <w:r>
              <w:rPr>
                <w:sz w:val="20"/>
              </w:rPr>
              <w:t>Wayne Leslie</w:t>
            </w:r>
          </w:p>
        </w:tc>
        <w:tc>
          <w:tcPr>
            <w:tcW w:w="3437" w:type="dxa"/>
          </w:tcPr>
          <w:p>
            <w:pPr>
              <w:pStyle w:val="TableParagraph"/>
              <w:spacing w:before="25"/>
              <w:ind w:left="557"/>
              <w:rPr>
                <w:b/>
                <w:sz w:val="20"/>
              </w:rPr>
            </w:pPr>
            <w:r>
              <w:rPr>
                <w:b/>
                <w:sz w:val="20"/>
              </w:rPr>
              <w:t>Bank of England</w:t>
            </w:r>
          </w:p>
        </w:tc>
      </w:tr>
      <w:tr>
        <w:trPr>
          <w:trHeight w:val="286" w:hRule="atLeast"/>
        </w:trPr>
        <w:tc>
          <w:tcPr>
            <w:tcW w:w="2804" w:type="dxa"/>
          </w:tcPr>
          <w:p>
            <w:pPr>
              <w:pStyle w:val="TableParagraph"/>
              <w:spacing w:before="24"/>
              <w:rPr>
                <w:sz w:val="20"/>
              </w:rPr>
            </w:pPr>
            <w:r>
              <w:rPr>
                <w:sz w:val="20"/>
              </w:rPr>
              <w:t>Tom Horn</w:t>
            </w:r>
          </w:p>
        </w:tc>
        <w:tc>
          <w:tcPr>
            <w:tcW w:w="3437" w:type="dxa"/>
          </w:tcPr>
          <w:p>
            <w:pPr>
              <w:pStyle w:val="TableParagraph"/>
              <w:spacing w:before="25"/>
              <w:ind w:left="557"/>
              <w:rPr>
                <w:b/>
                <w:sz w:val="20"/>
              </w:rPr>
            </w:pPr>
            <w:r>
              <w:rPr>
                <w:b/>
                <w:sz w:val="20"/>
              </w:rPr>
              <w:t>Bank of England</w:t>
            </w:r>
          </w:p>
        </w:tc>
      </w:tr>
      <w:tr>
        <w:trPr>
          <w:trHeight w:val="286" w:hRule="atLeast"/>
        </w:trPr>
        <w:tc>
          <w:tcPr>
            <w:tcW w:w="2804" w:type="dxa"/>
          </w:tcPr>
          <w:p>
            <w:pPr>
              <w:pStyle w:val="TableParagraph"/>
              <w:spacing w:before="24"/>
              <w:rPr>
                <w:sz w:val="20"/>
              </w:rPr>
            </w:pPr>
            <w:r>
              <w:rPr>
                <w:sz w:val="20"/>
              </w:rPr>
              <w:t>Jugvinder Singh</w:t>
            </w:r>
          </w:p>
        </w:tc>
        <w:tc>
          <w:tcPr>
            <w:tcW w:w="3437" w:type="dxa"/>
          </w:tcPr>
          <w:p>
            <w:pPr>
              <w:pStyle w:val="TableParagraph"/>
              <w:spacing w:before="26"/>
              <w:ind w:left="557"/>
              <w:rPr>
                <w:b/>
                <w:sz w:val="20"/>
              </w:rPr>
            </w:pPr>
            <w:r>
              <w:rPr>
                <w:b/>
                <w:sz w:val="20"/>
              </w:rPr>
              <w:t>Bank of England</w:t>
            </w:r>
          </w:p>
        </w:tc>
      </w:tr>
      <w:tr>
        <w:trPr>
          <w:trHeight w:val="285" w:hRule="atLeast"/>
        </w:trPr>
        <w:tc>
          <w:tcPr>
            <w:tcW w:w="2804" w:type="dxa"/>
          </w:tcPr>
          <w:p>
            <w:pPr>
              <w:pStyle w:val="TableParagraph"/>
              <w:spacing w:before="24"/>
              <w:rPr>
                <w:sz w:val="20"/>
              </w:rPr>
            </w:pPr>
            <w:r>
              <w:rPr>
                <w:sz w:val="20"/>
              </w:rPr>
              <w:t>Stefania Spiga</w:t>
            </w:r>
          </w:p>
        </w:tc>
        <w:tc>
          <w:tcPr>
            <w:tcW w:w="3437" w:type="dxa"/>
          </w:tcPr>
          <w:p>
            <w:pPr>
              <w:pStyle w:val="TableParagraph"/>
              <w:spacing w:before="25"/>
              <w:ind w:left="557"/>
              <w:rPr>
                <w:b/>
                <w:sz w:val="20"/>
              </w:rPr>
            </w:pPr>
            <w:r>
              <w:rPr>
                <w:b/>
                <w:sz w:val="20"/>
              </w:rPr>
              <w:t>Bank of England</w:t>
            </w:r>
          </w:p>
        </w:tc>
      </w:tr>
      <w:tr>
        <w:trPr>
          <w:trHeight w:val="286" w:hRule="atLeast"/>
        </w:trPr>
        <w:tc>
          <w:tcPr>
            <w:tcW w:w="2804" w:type="dxa"/>
          </w:tcPr>
          <w:p>
            <w:pPr>
              <w:pStyle w:val="TableParagraph"/>
              <w:spacing w:before="24"/>
              <w:rPr>
                <w:sz w:val="20"/>
              </w:rPr>
            </w:pPr>
            <w:r>
              <w:rPr>
                <w:sz w:val="20"/>
              </w:rPr>
              <w:t>Edwin Schooling Latter</w:t>
            </w:r>
          </w:p>
        </w:tc>
        <w:tc>
          <w:tcPr>
            <w:tcW w:w="3437" w:type="dxa"/>
          </w:tcPr>
          <w:p>
            <w:pPr>
              <w:pStyle w:val="TableParagraph"/>
              <w:spacing w:before="25"/>
              <w:ind w:left="557"/>
              <w:rPr>
                <w:b/>
                <w:sz w:val="20"/>
              </w:rPr>
            </w:pPr>
            <w:r>
              <w:rPr>
                <w:b/>
                <w:sz w:val="20"/>
              </w:rPr>
              <w:t>Financial Conduct Authority</w:t>
            </w:r>
          </w:p>
        </w:tc>
      </w:tr>
      <w:tr>
        <w:trPr>
          <w:trHeight w:val="286" w:hRule="atLeast"/>
        </w:trPr>
        <w:tc>
          <w:tcPr>
            <w:tcW w:w="2804" w:type="dxa"/>
          </w:tcPr>
          <w:p>
            <w:pPr>
              <w:pStyle w:val="TableParagraph"/>
              <w:spacing w:before="24"/>
              <w:rPr>
                <w:sz w:val="20"/>
              </w:rPr>
            </w:pPr>
            <w:r>
              <w:rPr>
                <w:sz w:val="20"/>
              </w:rPr>
              <w:t>Heather Pilley</w:t>
            </w:r>
          </w:p>
        </w:tc>
        <w:tc>
          <w:tcPr>
            <w:tcW w:w="3437" w:type="dxa"/>
          </w:tcPr>
          <w:p>
            <w:pPr>
              <w:pStyle w:val="TableParagraph"/>
              <w:spacing w:before="26"/>
              <w:ind w:left="557"/>
              <w:rPr>
                <w:b/>
                <w:sz w:val="20"/>
              </w:rPr>
            </w:pPr>
            <w:r>
              <w:rPr>
                <w:b/>
                <w:sz w:val="20"/>
              </w:rPr>
              <w:t>Financial Conduct Authority</w:t>
            </w:r>
          </w:p>
        </w:tc>
      </w:tr>
      <w:tr>
        <w:trPr>
          <w:trHeight w:val="285" w:hRule="atLeast"/>
        </w:trPr>
        <w:tc>
          <w:tcPr>
            <w:tcW w:w="2804" w:type="dxa"/>
          </w:tcPr>
          <w:p>
            <w:pPr>
              <w:pStyle w:val="TableParagraph"/>
              <w:spacing w:before="24"/>
              <w:rPr>
                <w:sz w:val="20"/>
              </w:rPr>
            </w:pPr>
            <w:r>
              <w:rPr>
                <w:sz w:val="20"/>
              </w:rPr>
              <w:t>Toby Williams</w:t>
            </w:r>
          </w:p>
        </w:tc>
        <w:tc>
          <w:tcPr>
            <w:tcW w:w="3437" w:type="dxa"/>
          </w:tcPr>
          <w:p>
            <w:pPr>
              <w:pStyle w:val="TableParagraph"/>
              <w:spacing w:before="25"/>
              <w:ind w:left="557"/>
              <w:rPr>
                <w:b/>
                <w:sz w:val="20"/>
              </w:rPr>
            </w:pPr>
            <w:r>
              <w:rPr>
                <w:b/>
                <w:sz w:val="20"/>
              </w:rPr>
              <w:t>Financial Conduct Authority</w:t>
            </w:r>
          </w:p>
        </w:tc>
      </w:tr>
      <w:tr>
        <w:trPr>
          <w:trHeight w:val="286" w:hRule="atLeast"/>
        </w:trPr>
        <w:tc>
          <w:tcPr>
            <w:tcW w:w="2804" w:type="dxa"/>
          </w:tcPr>
          <w:p>
            <w:pPr>
              <w:pStyle w:val="TableParagraph"/>
              <w:spacing w:before="24"/>
              <w:rPr>
                <w:sz w:val="20"/>
              </w:rPr>
            </w:pPr>
            <w:r>
              <w:rPr>
                <w:sz w:val="20"/>
              </w:rPr>
              <w:t>Thorben Heidrich</w:t>
            </w:r>
          </w:p>
        </w:tc>
        <w:tc>
          <w:tcPr>
            <w:tcW w:w="3437" w:type="dxa"/>
          </w:tcPr>
          <w:p>
            <w:pPr>
              <w:pStyle w:val="TableParagraph"/>
              <w:spacing w:before="25"/>
              <w:ind w:left="557"/>
              <w:rPr>
                <w:b/>
                <w:sz w:val="20"/>
              </w:rPr>
            </w:pPr>
            <w:r>
              <w:rPr>
                <w:b/>
                <w:sz w:val="20"/>
              </w:rPr>
              <w:t>Financial Conduct Authority</w:t>
            </w:r>
          </w:p>
        </w:tc>
      </w:tr>
      <w:tr>
        <w:trPr>
          <w:trHeight w:val="255" w:hRule="atLeast"/>
        </w:trPr>
        <w:tc>
          <w:tcPr>
            <w:tcW w:w="2804" w:type="dxa"/>
          </w:tcPr>
          <w:p>
            <w:pPr>
              <w:pStyle w:val="TableParagraph"/>
              <w:spacing w:line="211" w:lineRule="exact" w:before="24"/>
              <w:rPr>
                <w:sz w:val="20"/>
              </w:rPr>
            </w:pPr>
            <w:r>
              <w:rPr>
                <w:sz w:val="20"/>
              </w:rPr>
              <w:t>Devid Mazzonetto</w:t>
            </w:r>
          </w:p>
        </w:tc>
        <w:tc>
          <w:tcPr>
            <w:tcW w:w="3437" w:type="dxa"/>
          </w:tcPr>
          <w:p>
            <w:pPr>
              <w:pStyle w:val="TableParagraph"/>
              <w:spacing w:line="210" w:lineRule="exact" w:before="26"/>
              <w:ind w:left="557"/>
              <w:rPr>
                <w:b/>
                <w:sz w:val="20"/>
              </w:rPr>
            </w:pPr>
            <w:r>
              <w:rPr>
                <w:b/>
                <w:sz w:val="20"/>
              </w:rPr>
              <w:t>Financial Conduct Authority</w:t>
            </w:r>
          </w:p>
        </w:tc>
      </w:tr>
    </w:tbl>
    <w:sectPr>
      <w:pgSz w:w="11910" w:h="16840"/>
      <w:pgMar w:top="1180" w:bottom="280" w:left="10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4"/>
      <w:numFmt w:val="decimal"/>
      <w:lvlText w:val="%1."/>
      <w:lvlJc w:val="left"/>
      <w:pPr>
        <w:ind w:left="846" w:hanging="427"/>
        <w:jc w:val="left"/>
      </w:pPr>
      <w:rPr>
        <w:rFonts w:hint="default" w:ascii="Arial" w:hAnsi="Arial" w:eastAsia="Arial" w:cs="Arial"/>
        <w:w w:val="100"/>
        <w:sz w:val="20"/>
        <w:szCs w:val="20"/>
        <w:lang w:val="en-gb" w:eastAsia="en-gb" w:bidi="en-gb"/>
      </w:rPr>
    </w:lvl>
    <w:lvl w:ilvl="1">
      <w:start w:val="1"/>
      <w:numFmt w:val="lowerLetter"/>
      <w:lvlText w:val="%2."/>
      <w:lvlJc w:val="left"/>
      <w:pPr>
        <w:ind w:left="1838" w:hanging="426"/>
        <w:jc w:val="left"/>
      </w:pPr>
      <w:rPr>
        <w:rFonts w:hint="default" w:ascii="Arial" w:hAnsi="Arial" w:eastAsia="Arial" w:cs="Arial"/>
        <w:w w:val="100"/>
        <w:sz w:val="20"/>
        <w:szCs w:val="20"/>
        <w:lang w:val="en-gb" w:eastAsia="en-gb" w:bidi="en-gb"/>
      </w:rPr>
    </w:lvl>
    <w:lvl w:ilvl="2">
      <w:start w:val="0"/>
      <w:numFmt w:val="bullet"/>
      <w:lvlText w:val="•"/>
      <w:lvlJc w:val="left"/>
      <w:pPr>
        <w:ind w:left="1840" w:hanging="426"/>
      </w:pPr>
      <w:rPr>
        <w:rFonts w:hint="default"/>
        <w:lang w:val="en-gb" w:eastAsia="en-gb" w:bidi="en-gb"/>
      </w:rPr>
    </w:lvl>
    <w:lvl w:ilvl="3">
      <w:start w:val="0"/>
      <w:numFmt w:val="bullet"/>
      <w:lvlText w:val="•"/>
      <w:lvlJc w:val="left"/>
      <w:pPr>
        <w:ind w:left="2803" w:hanging="426"/>
      </w:pPr>
      <w:rPr>
        <w:rFonts w:hint="default"/>
        <w:lang w:val="en-gb" w:eastAsia="en-gb" w:bidi="en-gb"/>
      </w:rPr>
    </w:lvl>
    <w:lvl w:ilvl="4">
      <w:start w:val="0"/>
      <w:numFmt w:val="bullet"/>
      <w:lvlText w:val="•"/>
      <w:lvlJc w:val="left"/>
      <w:pPr>
        <w:ind w:left="3766" w:hanging="426"/>
      </w:pPr>
      <w:rPr>
        <w:rFonts w:hint="default"/>
        <w:lang w:val="en-gb" w:eastAsia="en-gb" w:bidi="en-gb"/>
      </w:rPr>
    </w:lvl>
    <w:lvl w:ilvl="5">
      <w:start w:val="0"/>
      <w:numFmt w:val="bullet"/>
      <w:lvlText w:val="•"/>
      <w:lvlJc w:val="left"/>
      <w:pPr>
        <w:ind w:left="4729" w:hanging="426"/>
      </w:pPr>
      <w:rPr>
        <w:rFonts w:hint="default"/>
        <w:lang w:val="en-gb" w:eastAsia="en-gb" w:bidi="en-gb"/>
      </w:rPr>
    </w:lvl>
    <w:lvl w:ilvl="6">
      <w:start w:val="0"/>
      <w:numFmt w:val="bullet"/>
      <w:lvlText w:val="•"/>
      <w:lvlJc w:val="left"/>
      <w:pPr>
        <w:ind w:left="5693" w:hanging="426"/>
      </w:pPr>
      <w:rPr>
        <w:rFonts w:hint="default"/>
        <w:lang w:val="en-gb" w:eastAsia="en-gb" w:bidi="en-gb"/>
      </w:rPr>
    </w:lvl>
    <w:lvl w:ilvl="7">
      <w:start w:val="0"/>
      <w:numFmt w:val="bullet"/>
      <w:lvlText w:val="•"/>
      <w:lvlJc w:val="left"/>
      <w:pPr>
        <w:ind w:left="6656" w:hanging="426"/>
      </w:pPr>
      <w:rPr>
        <w:rFonts w:hint="default"/>
        <w:lang w:val="en-gb" w:eastAsia="en-gb" w:bidi="en-gb"/>
      </w:rPr>
    </w:lvl>
    <w:lvl w:ilvl="8">
      <w:start w:val="0"/>
      <w:numFmt w:val="bullet"/>
      <w:lvlText w:val="•"/>
      <w:lvlJc w:val="left"/>
      <w:pPr>
        <w:ind w:left="7619" w:hanging="426"/>
      </w:pPr>
      <w:rPr>
        <w:rFonts w:hint="default"/>
        <w:lang w:val="en-gb" w:eastAsia="en-gb" w:bidi="en-gb"/>
      </w:rPr>
    </w:lvl>
  </w:abstractNum>
  <w:abstractNum w:abstractNumId="1">
    <w:multiLevelType w:val="hybridMultilevel"/>
    <w:lvl w:ilvl="0">
      <w:start w:val="1"/>
      <w:numFmt w:val="decimal"/>
      <w:lvlText w:val="%1."/>
      <w:lvlJc w:val="left"/>
      <w:pPr>
        <w:ind w:left="846" w:hanging="427"/>
        <w:jc w:val="left"/>
      </w:pPr>
      <w:rPr>
        <w:rFonts w:hint="default" w:ascii="Arial" w:hAnsi="Arial" w:eastAsia="Arial" w:cs="Arial"/>
        <w:w w:val="100"/>
        <w:sz w:val="20"/>
        <w:szCs w:val="20"/>
        <w:lang w:val="en-gb" w:eastAsia="en-gb" w:bidi="en-gb"/>
      </w:rPr>
    </w:lvl>
    <w:lvl w:ilvl="1">
      <w:start w:val="1"/>
      <w:numFmt w:val="lowerLetter"/>
      <w:lvlText w:val="%2."/>
      <w:lvlJc w:val="left"/>
      <w:pPr>
        <w:ind w:left="1784" w:hanging="360"/>
        <w:jc w:val="left"/>
      </w:pPr>
      <w:rPr>
        <w:rFonts w:hint="default"/>
        <w:w w:val="100"/>
        <w:lang w:val="en-gb" w:eastAsia="en-gb" w:bidi="en-gb"/>
      </w:rPr>
    </w:lvl>
    <w:lvl w:ilvl="2">
      <w:start w:val="0"/>
      <w:numFmt w:val="bullet"/>
      <w:lvlText w:val="•"/>
      <w:lvlJc w:val="left"/>
      <w:pPr>
        <w:ind w:left="2642" w:hanging="360"/>
      </w:pPr>
      <w:rPr>
        <w:rFonts w:hint="default"/>
        <w:lang w:val="en-gb" w:eastAsia="en-gb" w:bidi="en-gb"/>
      </w:rPr>
    </w:lvl>
    <w:lvl w:ilvl="3">
      <w:start w:val="0"/>
      <w:numFmt w:val="bullet"/>
      <w:lvlText w:val="•"/>
      <w:lvlJc w:val="left"/>
      <w:pPr>
        <w:ind w:left="3505" w:hanging="360"/>
      </w:pPr>
      <w:rPr>
        <w:rFonts w:hint="default"/>
        <w:lang w:val="en-gb" w:eastAsia="en-gb" w:bidi="en-gb"/>
      </w:rPr>
    </w:lvl>
    <w:lvl w:ilvl="4">
      <w:start w:val="0"/>
      <w:numFmt w:val="bullet"/>
      <w:lvlText w:val="•"/>
      <w:lvlJc w:val="left"/>
      <w:pPr>
        <w:ind w:left="4368" w:hanging="360"/>
      </w:pPr>
      <w:rPr>
        <w:rFonts w:hint="default"/>
        <w:lang w:val="en-gb" w:eastAsia="en-gb" w:bidi="en-gb"/>
      </w:rPr>
    </w:lvl>
    <w:lvl w:ilvl="5">
      <w:start w:val="0"/>
      <w:numFmt w:val="bullet"/>
      <w:lvlText w:val="•"/>
      <w:lvlJc w:val="left"/>
      <w:pPr>
        <w:ind w:left="5231" w:hanging="360"/>
      </w:pPr>
      <w:rPr>
        <w:rFonts w:hint="default"/>
        <w:lang w:val="en-gb" w:eastAsia="en-gb" w:bidi="en-gb"/>
      </w:rPr>
    </w:lvl>
    <w:lvl w:ilvl="6">
      <w:start w:val="0"/>
      <w:numFmt w:val="bullet"/>
      <w:lvlText w:val="•"/>
      <w:lvlJc w:val="left"/>
      <w:pPr>
        <w:ind w:left="6094" w:hanging="360"/>
      </w:pPr>
      <w:rPr>
        <w:rFonts w:hint="default"/>
        <w:lang w:val="en-gb" w:eastAsia="en-gb" w:bidi="en-gb"/>
      </w:rPr>
    </w:lvl>
    <w:lvl w:ilvl="7">
      <w:start w:val="0"/>
      <w:numFmt w:val="bullet"/>
      <w:lvlText w:val="•"/>
      <w:lvlJc w:val="left"/>
      <w:pPr>
        <w:ind w:left="6957" w:hanging="360"/>
      </w:pPr>
      <w:rPr>
        <w:rFonts w:hint="default"/>
        <w:lang w:val="en-gb" w:eastAsia="en-gb" w:bidi="en-gb"/>
      </w:rPr>
    </w:lvl>
    <w:lvl w:ilvl="8">
      <w:start w:val="0"/>
      <w:numFmt w:val="bullet"/>
      <w:lvlText w:val="•"/>
      <w:lvlJc w:val="left"/>
      <w:pPr>
        <w:ind w:left="7820" w:hanging="360"/>
      </w:pPr>
      <w:rPr>
        <w:rFonts w:hint="default"/>
        <w:lang w:val="en-gb" w:eastAsia="en-gb" w:bidi="en-gb"/>
      </w:rPr>
    </w:lvl>
  </w:abstractNum>
  <w:abstractNum w:abstractNumId="0">
    <w:multiLevelType w:val="hybridMultilevel"/>
    <w:lvl w:ilvl="0">
      <w:start w:val="1"/>
      <w:numFmt w:val="decimal"/>
      <w:lvlText w:val="%1."/>
      <w:lvlJc w:val="left"/>
      <w:pPr>
        <w:ind w:left="1140" w:hanging="360"/>
        <w:jc w:val="left"/>
      </w:pPr>
      <w:rPr>
        <w:rFonts w:hint="default" w:ascii="Arial" w:hAnsi="Arial" w:eastAsia="Arial" w:cs="Arial"/>
        <w:w w:val="100"/>
        <w:sz w:val="20"/>
        <w:szCs w:val="20"/>
        <w:lang w:val="en-gb" w:eastAsia="en-gb" w:bidi="en-gb"/>
      </w:rPr>
    </w:lvl>
    <w:lvl w:ilvl="1">
      <w:start w:val="1"/>
      <w:numFmt w:val="lowerLetter"/>
      <w:lvlText w:val="%2."/>
      <w:lvlJc w:val="left"/>
      <w:pPr>
        <w:ind w:left="1860" w:hanging="360"/>
        <w:jc w:val="left"/>
      </w:pPr>
      <w:rPr>
        <w:rFonts w:hint="default" w:ascii="Arial" w:hAnsi="Arial" w:eastAsia="Arial" w:cs="Arial"/>
        <w:w w:val="100"/>
        <w:sz w:val="20"/>
        <w:szCs w:val="20"/>
        <w:lang w:val="en-gb" w:eastAsia="en-gb" w:bidi="en-gb"/>
      </w:rPr>
    </w:lvl>
    <w:lvl w:ilvl="2">
      <w:start w:val="0"/>
      <w:numFmt w:val="bullet"/>
      <w:lvlText w:val="•"/>
      <w:lvlJc w:val="left"/>
      <w:pPr>
        <w:ind w:left="2714" w:hanging="360"/>
      </w:pPr>
      <w:rPr>
        <w:rFonts w:hint="default"/>
        <w:lang w:val="en-gb" w:eastAsia="en-gb" w:bidi="en-gb"/>
      </w:rPr>
    </w:lvl>
    <w:lvl w:ilvl="3">
      <w:start w:val="0"/>
      <w:numFmt w:val="bullet"/>
      <w:lvlText w:val="•"/>
      <w:lvlJc w:val="left"/>
      <w:pPr>
        <w:ind w:left="3568" w:hanging="360"/>
      </w:pPr>
      <w:rPr>
        <w:rFonts w:hint="default"/>
        <w:lang w:val="en-gb" w:eastAsia="en-gb" w:bidi="en-gb"/>
      </w:rPr>
    </w:lvl>
    <w:lvl w:ilvl="4">
      <w:start w:val="0"/>
      <w:numFmt w:val="bullet"/>
      <w:lvlText w:val="•"/>
      <w:lvlJc w:val="left"/>
      <w:pPr>
        <w:ind w:left="4422" w:hanging="360"/>
      </w:pPr>
      <w:rPr>
        <w:rFonts w:hint="default"/>
        <w:lang w:val="en-gb" w:eastAsia="en-gb" w:bidi="en-gb"/>
      </w:rPr>
    </w:lvl>
    <w:lvl w:ilvl="5">
      <w:start w:val="0"/>
      <w:numFmt w:val="bullet"/>
      <w:lvlText w:val="•"/>
      <w:lvlJc w:val="left"/>
      <w:pPr>
        <w:ind w:left="5276" w:hanging="360"/>
      </w:pPr>
      <w:rPr>
        <w:rFonts w:hint="default"/>
        <w:lang w:val="en-gb" w:eastAsia="en-gb" w:bidi="en-gb"/>
      </w:rPr>
    </w:lvl>
    <w:lvl w:ilvl="6">
      <w:start w:val="0"/>
      <w:numFmt w:val="bullet"/>
      <w:lvlText w:val="•"/>
      <w:lvlJc w:val="left"/>
      <w:pPr>
        <w:ind w:left="6130" w:hanging="360"/>
      </w:pPr>
      <w:rPr>
        <w:rFonts w:hint="default"/>
        <w:lang w:val="en-gb" w:eastAsia="en-gb" w:bidi="en-gb"/>
      </w:rPr>
    </w:lvl>
    <w:lvl w:ilvl="7">
      <w:start w:val="0"/>
      <w:numFmt w:val="bullet"/>
      <w:lvlText w:val="•"/>
      <w:lvlJc w:val="left"/>
      <w:pPr>
        <w:ind w:left="6984" w:hanging="360"/>
      </w:pPr>
      <w:rPr>
        <w:rFonts w:hint="default"/>
        <w:lang w:val="en-gb" w:eastAsia="en-gb" w:bidi="en-gb"/>
      </w:rPr>
    </w:lvl>
    <w:lvl w:ilvl="8">
      <w:start w:val="0"/>
      <w:numFmt w:val="bullet"/>
      <w:lvlText w:val="•"/>
      <w:lvlJc w:val="left"/>
      <w:pPr>
        <w:ind w:left="7838" w:hanging="360"/>
      </w:pPr>
      <w:rPr>
        <w:rFonts w:hint="default"/>
        <w:lang w:val="en-gb" w:eastAsia="en-gb" w:bidi="en-gb"/>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2"/>
      <w:ind w:left="105"/>
      <w:outlineLvl w:val="1"/>
    </w:pPr>
    <w:rPr>
      <w:rFonts w:ascii="Arial" w:hAnsi="Arial" w:eastAsia="Arial" w:cs="Arial"/>
      <w:b/>
      <w:bCs/>
      <w:sz w:val="32"/>
      <w:szCs w:val="32"/>
      <w:lang w:val="en-gb" w:eastAsia="en-gb" w:bidi="en-gb"/>
    </w:rPr>
  </w:style>
  <w:style w:styleId="Heading2" w:type="paragraph">
    <w:name w:val="Heading 2"/>
    <w:basedOn w:val="Normal"/>
    <w:uiPriority w:val="1"/>
    <w:qFormat/>
    <w:pPr>
      <w:spacing w:before="121"/>
      <w:ind w:left="420"/>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846" w:hanging="361"/>
    </w:pPr>
    <w:rPr>
      <w:rFonts w:ascii="Arial" w:hAnsi="Arial" w:eastAsia="Arial" w:cs="Arial"/>
      <w:lang w:val="en-gb" w:eastAsia="en-gb" w:bidi="en-gb"/>
    </w:rPr>
  </w:style>
  <w:style w:styleId="TableParagraph" w:type="paragraph">
    <w:name w:val="Table Paragraph"/>
    <w:basedOn w:val="Normal"/>
    <w:uiPriority w:val="1"/>
    <w:qFormat/>
    <w:pPr>
      <w:spacing w:before="29"/>
      <w:ind w:left="200"/>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bankofengland.co.uk/events/2019/june/last-orders-calling-time-on-libor" TargetMode="External"/><Relationship Id="rId6" Type="http://schemas.openxmlformats.org/officeDocument/2006/relationships/hyperlink" Target="https://www.bankofengland.co.uk/speech/2019/andrew-hauser-speech-at-risk-live-2019-london" TargetMode="External"/><Relationship Id="rId7" Type="http://schemas.openxmlformats.org/officeDocument/2006/relationships/hyperlink" Target="https://www.bankofengland.co.uk/paper/2019/the-boes-risk-management-approach-to-collateral-referencing-libor-for-use-in-the-smf" TargetMode="External"/><Relationship Id="rId8" Type="http://schemas.openxmlformats.org/officeDocument/2006/relationships/hyperlink" Target="https://www.isda.org/a/md6ME/FINAL-Pre-cessation-issues-Consultation.pdf" TargetMode="External"/><Relationship Id="rId9" Type="http://schemas.openxmlformats.org/officeDocument/2006/relationships/hyperlink" Target="https://www.fca.org.uk/news/speeches/libor-transition-and-contractual-fallbacks" TargetMode="External"/><Relationship Id="rId10" Type="http://schemas.openxmlformats.org/officeDocument/2006/relationships/hyperlink" Target="https://www.bankofengland.co.uk/-/media/boe/files/markets/benchmarks/sterling-risk-free-rates-senior-advisory-group-terms-of-reference.pdf"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Working Group on Sterling Risk-Free Reference Rates</dc:title>
  <dcterms:created xsi:type="dcterms:W3CDTF">2020-06-01T02:23:58Z</dcterms:created>
  <dcterms:modified xsi:type="dcterms:W3CDTF">2020-06-01T02:23:58Z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2019-09-12T00:00:00Z</vt:filetime>
  </property>
  <property fmtid="{D5CDD505-2E9C-101B-9397-08002B2CF9AE}" pid="3" name="LastSaved">
    <vt:filetime>2020-06-01T00:00:00Z</vt:filetime>
  </property>
</Properties>
</file>