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75"/>
        <w:jc w:val="center"/>
      </w:pPr>
      <w:r>
        <w:rPr/>
        <w:t>Minutes of the Meeting of the Working Group on Sterling Risk-Free Reference Rates Thursday 30 June 2016</w:t>
      </w:r>
    </w:p>
    <w:p>
      <w:pPr>
        <w:spacing w:line="227" w:lineRule="exact" w:before="0"/>
        <w:ind w:left="880" w:right="775" w:firstLine="0"/>
        <w:jc w:val="center"/>
        <w:rPr>
          <w:b/>
          <w:sz w:val="20"/>
        </w:rPr>
      </w:pPr>
      <w:r>
        <w:rPr>
          <w:b/>
          <w:sz w:val="20"/>
        </w:rPr>
        <w:t>Barclays’ offices – Canary Wharf</w:t>
      </w:r>
    </w:p>
    <w:p>
      <w:pPr>
        <w:pStyle w:val="BodyText"/>
        <w:spacing w:before="8"/>
        <w:rPr>
          <w:b/>
          <w:sz w:val="30"/>
        </w:rPr>
      </w:pPr>
    </w:p>
    <w:p>
      <w:pPr>
        <w:spacing w:before="0"/>
        <w:ind w:left="200" w:right="0" w:firstLine="0"/>
        <w:jc w:val="left"/>
        <w:rPr>
          <w:b/>
          <w:sz w:val="20"/>
        </w:rPr>
      </w:pPr>
      <w:r>
        <w:rPr>
          <w:b/>
          <w:sz w:val="20"/>
        </w:rPr>
        <w:t>Minutes of previous meeting</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17" w:firstLine="0"/>
        <w:jc w:val="left"/>
        <w:rPr>
          <w:sz w:val="20"/>
        </w:rPr>
      </w:pPr>
      <w:r>
        <w:rPr>
          <w:sz w:val="20"/>
        </w:rPr>
        <w:t>The minutes of the previous meeting on 11 May had been approved by written procedure prior to the meeting.</w:t>
      </w:r>
    </w:p>
    <w:p>
      <w:pPr>
        <w:pStyle w:val="Heading1"/>
        <w:spacing w:before="119"/>
      </w:pPr>
      <w:r>
        <w:rPr/>
        <w:t>A proposal for a secured benchmark</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60" w:firstLine="0"/>
        <w:jc w:val="left"/>
        <w:rPr>
          <w:sz w:val="20"/>
        </w:rPr>
      </w:pPr>
      <w:r>
        <w:rPr>
          <w:sz w:val="20"/>
        </w:rPr>
        <w:t>Representatives from London Stock Exchange Group (Christopher Woods, Oliver Huggins and Paul Avis), LCH (Paul Elkins) and Euroclear (Angus Scott and Peter Checkley) presented to the Group regarding their proposal to produce a secured benchmark, following the publication in December of ‘Design criteria for a secured overnight money market benchmark’.</w:t>
      </w:r>
      <w:r>
        <w:rPr>
          <w:sz w:val="20"/>
          <w:vertAlign w:val="superscript"/>
        </w:rPr>
        <w:t>1</w:t>
      </w:r>
      <w:r>
        <w:rPr>
          <w:sz w:val="20"/>
          <w:vertAlign w:val="baseline"/>
        </w:rPr>
        <w:t> The benchmark would use cleared specific, cleared DBV and cleared triparty datasets from LCH, and a dataset of uncleared voice-brokered DBV repo transactions from</w:t>
      </w:r>
      <w:r>
        <w:rPr>
          <w:spacing w:val="4"/>
          <w:sz w:val="20"/>
          <w:vertAlign w:val="baseline"/>
        </w:rPr>
        <w:t> </w:t>
      </w:r>
      <w:r>
        <w:rPr>
          <w:sz w:val="20"/>
          <w:vertAlign w:val="baseline"/>
        </w:rPr>
        <w:t>EUI.</w:t>
      </w:r>
    </w:p>
    <w:p>
      <w:pPr>
        <w:pStyle w:val="ListParagraph"/>
        <w:numPr>
          <w:ilvl w:val="0"/>
          <w:numId w:val="1"/>
        </w:numPr>
        <w:tabs>
          <w:tab w:pos="627" w:val="left" w:leader="none"/>
          <w:tab w:pos="628" w:val="left" w:leader="none"/>
        </w:tabs>
        <w:spacing w:line="360" w:lineRule="auto" w:before="122" w:after="0"/>
        <w:ind w:left="200" w:right="428" w:firstLine="0"/>
        <w:jc w:val="left"/>
        <w:rPr>
          <w:sz w:val="20"/>
        </w:rPr>
      </w:pPr>
      <w:r>
        <w:rPr>
          <w:sz w:val="20"/>
        </w:rPr>
        <w:t>Available data were estimated to cover over half of the total overnight gilt repo market. Based on these data the rate did not show a directional bias against the SONIA benchmark, and was strongly correlated with ICAP’s Sterling Repo Index Rate that had been presented to the Group in</w:t>
      </w:r>
      <w:r>
        <w:rPr>
          <w:spacing w:val="-14"/>
          <w:sz w:val="20"/>
        </w:rPr>
        <w:t> </w:t>
      </w:r>
      <w:r>
        <w:rPr>
          <w:sz w:val="20"/>
        </w:rPr>
        <w:t>April.</w:t>
      </w:r>
    </w:p>
    <w:p>
      <w:pPr>
        <w:pStyle w:val="ListParagraph"/>
        <w:numPr>
          <w:ilvl w:val="0"/>
          <w:numId w:val="1"/>
        </w:numPr>
        <w:tabs>
          <w:tab w:pos="627" w:val="left" w:leader="none"/>
          <w:tab w:pos="628" w:val="left" w:leader="none"/>
        </w:tabs>
        <w:spacing w:line="360" w:lineRule="auto" w:before="119" w:after="0"/>
        <w:ind w:left="200" w:right="253" w:firstLine="0"/>
        <w:jc w:val="left"/>
        <w:rPr>
          <w:sz w:val="20"/>
        </w:rPr>
      </w:pPr>
      <w:r>
        <w:rPr>
          <w:sz w:val="20"/>
        </w:rPr>
        <w:t>With some changes to market practices for reporting uncleared repo transactions, it was estimated that around 78% of the total overnight gilt repo market could be captured. Two changes were necessary to capture this full dataset: i) mandatory reporting of the interest rate field for DBV transactions, and ii) a flag to distinguish repo transactions from stock loan collateralisations and inter-company rebalances within the CREST DBV dataset. The former was seen as easier to implement, and could be initiated by the institutions represented on the Working Group, while the latter was already being explored by the secured</w:t>
      </w:r>
      <w:r>
        <w:rPr>
          <w:spacing w:val="-2"/>
          <w:sz w:val="20"/>
        </w:rPr>
        <w:t> </w:t>
      </w:r>
      <w:r>
        <w:rPr>
          <w:sz w:val="20"/>
        </w:rPr>
        <w:t>sub-group.</w:t>
      </w:r>
    </w:p>
    <w:p>
      <w:pPr>
        <w:pStyle w:val="ListParagraph"/>
        <w:numPr>
          <w:ilvl w:val="0"/>
          <w:numId w:val="1"/>
        </w:numPr>
        <w:tabs>
          <w:tab w:pos="627" w:val="left" w:leader="none"/>
          <w:tab w:pos="628" w:val="left" w:leader="none"/>
        </w:tabs>
        <w:spacing w:line="360" w:lineRule="auto" w:before="120" w:after="0"/>
        <w:ind w:left="200" w:right="212" w:firstLine="0"/>
        <w:jc w:val="left"/>
        <w:rPr>
          <w:sz w:val="20"/>
        </w:rPr>
      </w:pPr>
      <w:r>
        <w:rPr>
          <w:sz w:val="20"/>
        </w:rPr>
        <w:t>There was a discussion as to whether it would be better to publish a rate on currently available</w:t>
      </w:r>
      <w:r>
        <w:rPr>
          <w:spacing w:val="-32"/>
          <w:sz w:val="20"/>
        </w:rPr>
        <w:t> </w:t>
      </w:r>
      <w:r>
        <w:rPr>
          <w:sz w:val="20"/>
        </w:rPr>
        <w:t>data and evolve it over time as these changes are implemented or whether it was preferable to postpone introduction until a more complete data set was available. It was noted that the data didn’t indicate a discernible basis between cleared and uncleared trades, which might facilitate a phased</w:t>
      </w:r>
      <w:r>
        <w:rPr>
          <w:spacing w:val="-16"/>
          <w:sz w:val="20"/>
        </w:rPr>
        <w:t> </w:t>
      </w:r>
      <w:r>
        <w:rPr>
          <w:sz w:val="20"/>
        </w:rPr>
        <w:t>introduction.</w:t>
      </w:r>
    </w:p>
    <w:p>
      <w:pPr>
        <w:pStyle w:val="ListParagraph"/>
        <w:numPr>
          <w:ilvl w:val="0"/>
          <w:numId w:val="1"/>
        </w:numPr>
        <w:tabs>
          <w:tab w:pos="627" w:val="left" w:leader="none"/>
          <w:tab w:pos="628" w:val="left" w:leader="none"/>
        </w:tabs>
        <w:spacing w:line="360" w:lineRule="auto" w:before="120" w:after="0"/>
        <w:ind w:left="200" w:right="445" w:firstLine="0"/>
        <w:jc w:val="left"/>
        <w:rPr>
          <w:sz w:val="20"/>
        </w:rPr>
      </w:pPr>
      <w:r>
        <w:rPr>
          <w:sz w:val="20"/>
        </w:rPr>
        <w:t>The Group welcomed the initiative, and suggested that further work be undertaken to explore the steps required to include the extra activity, and further analyse the characteristics of the</w:t>
      </w:r>
      <w:r>
        <w:rPr>
          <w:spacing w:val="-11"/>
          <w:sz w:val="20"/>
        </w:rPr>
        <w:t> </w:t>
      </w:r>
      <w:r>
        <w:rPr>
          <w:sz w:val="20"/>
        </w:rPr>
        <w:t>rate.</w:t>
      </w:r>
    </w:p>
    <w:p>
      <w:pPr>
        <w:pStyle w:val="Heading1"/>
        <w:spacing w:before="119"/>
      </w:pPr>
      <w:r>
        <w:rPr/>
        <w:t>Letter to Euroclear UK and Ireland</w:t>
      </w:r>
    </w:p>
    <w:p>
      <w:pPr>
        <w:pStyle w:val="BodyText"/>
        <w:spacing w:before="6"/>
        <w:rPr>
          <w:b/>
        </w:rPr>
      </w:pPr>
    </w:p>
    <w:p>
      <w:pPr>
        <w:pStyle w:val="ListParagraph"/>
        <w:numPr>
          <w:ilvl w:val="0"/>
          <w:numId w:val="1"/>
        </w:numPr>
        <w:tabs>
          <w:tab w:pos="627" w:val="left" w:leader="none"/>
          <w:tab w:pos="628" w:val="left" w:leader="none"/>
        </w:tabs>
        <w:spacing w:line="360" w:lineRule="auto" w:before="1" w:after="0"/>
        <w:ind w:left="200" w:right="130" w:firstLine="0"/>
        <w:jc w:val="left"/>
        <w:rPr>
          <w:sz w:val="20"/>
        </w:rPr>
      </w:pPr>
      <w:r>
        <w:rPr>
          <w:sz w:val="20"/>
        </w:rPr>
        <w:t>Following the agreement, at the previous meeting, of high-level principles for relevant market infrastructure providers to promote the development of secured benchmarks, the Group discussed a draft letter to Euroclear UK and Ireland. This would be sent on behalf of the Working Group, requesting further work into the use of the RPO mechanism for settlement in the CREST</w:t>
      </w:r>
      <w:r>
        <w:rPr>
          <w:spacing w:val="2"/>
          <w:sz w:val="20"/>
        </w:rPr>
        <w:t> </w:t>
      </w:r>
      <w:r>
        <w:rPr>
          <w:sz w:val="20"/>
        </w:rPr>
        <w:t>system.</w:t>
      </w:r>
    </w:p>
    <w:p>
      <w:pPr>
        <w:pStyle w:val="BodyText"/>
      </w:pPr>
    </w:p>
    <w:p>
      <w:pPr>
        <w:pStyle w:val="BodyText"/>
      </w:pPr>
    </w:p>
    <w:p>
      <w:pPr>
        <w:pStyle w:val="BodyText"/>
      </w:pPr>
    </w:p>
    <w:p>
      <w:pPr>
        <w:pStyle w:val="BodyText"/>
        <w:spacing w:before="4"/>
        <w:rPr>
          <w:sz w:val="13"/>
        </w:rPr>
      </w:pPr>
      <w:r>
        <w:rPr/>
        <w:pict>
          <v:shape style="position:absolute;margin-left:72.024002pt;margin-top:10.038234pt;width:144.050pt;height:.1pt;mso-position-horizontal-relative:page;mso-position-vertical-relative:paragraph;z-index:-251658240;mso-wrap-distance-left:0;mso-wrap-distance-right:0" coordorigin="1440,201" coordsize="2881,0" path="m1440,201l4321,201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1 </w:t>
      </w:r>
      <w:hyperlink r:id="rId5">
        <w:r>
          <w:rPr>
            <w:color w:val="0000FF"/>
            <w:sz w:val="18"/>
            <w:u w:val="single" w:color="0000FF"/>
          </w:rPr>
          <w:t>http://www.bankofengland.co.uk/markets/Documents/sterlingoperations/rfr/sterlingsecure.pdf</w:t>
        </w:r>
      </w:hyperlink>
    </w:p>
    <w:p>
      <w:pPr>
        <w:spacing w:after="0"/>
        <w:jc w:val="left"/>
        <w:rPr>
          <w:sz w:val="18"/>
        </w:rPr>
        <w:sectPr>
          <w:type w:val="continuous"/>
          <w:pgSz w:w="11910" w:h="16840"/>
          <w:pgMar w:top="1340" w:bottom="280" w:left="1240" w:right="1040"/>
        </w:sectPr>
      </w:pPr>
    </w:p>
    <w:p>
      <w:pPr>
        <w:pStyle w:val="ListParagraph"/>
        <w:numPr>
          <w:ilvl w:val="0"/>
          <w:numId w:val="1"/>
        </w:numPr>
        <w:tabs>
          <w:tab w:pos="627" w:val="left" w:leader="none"/>
          <w:tab w:pos="628" w:val="left" w:leader="none"/>
        </w:tabs>
        <w:spacing w:line="360" w:lineRule="auto" w:before="79" w:after="0"/>
        <w:ind w:left="200" w:right="579" w:firstLine="0"/>
        <w:jc w:val="left"/>
        <w:rPr>
          <w:sz w:val="20"/>
        </w:rPr>
      </w:pPr>
      <w:r>
        <w:rPr>
          <w:sz w:val="20"/>
        </w:rPr>
        <w:t>In addition, the Chair agreed to draft a letter to be sent to all Working Group member firms, requesting they make the necessary changes to their own systems to begin using the RPO flag,</w:t>
      </w:r>
      <w:r>
        <w:rPr>
          <w:spacing w:val="-27"/>
          <w:sz w:val="20"/>
        </w:rPr>
        <w:t> </w:t>
      </w:r>
      <w:r>
        <w:rPr>
          <w:sz w:val="20"/>
        </w:rPr>
        <w:t>and reporting the interest rate field for DBV</w:t>
      </w:r>
      <w:r>
        <w:rPr>
          <w:spacing w:val="-6"/>
          <w:sz w:val="20"/>
        </w:rPr>
        <w:t> </w:t>
      </w:r>
      <w:r>
        <w:rPr>
          <w:sz w:val="20"/>
        </w:rPr>
        <w:t>transactions.</w:t>
      </w:r>
    </w:p>
    <w:p>
      <w:pPr>
        <w:pStyle w:val="Heading1"/>
      </w:pPr>
      <w:r>
        <w:rPr/>
        <w:t>Update on ARRC</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47" w:firstLine="0"/>
        <w:jc w:val="left"/>
        <w:rPr>
          <w:sz w:val="20"/>
        </w:rPr>
      </w:pPr>
      <w:r>
        <w:rPr>
          <w:sz w:val="20"/>
        </w:rPr>
        <w:t>The US equivalent of the Working Group, the Alternative Reference Rates Committee (ARRC) had held a roundtable on 21</w:t>
      </w:r>
      <w:r>
        <w:rPr>
          <w:sz w:val="20"/>
          <w:vertAlign w:val="superscript"/>
        </w:rPr>
        <w:t>st</w:t>
      </w:r>
      <w:r>
        <w:rPr>
          <w:sz w:val="20"/>
          <w:vertAlign w:val="baseline"/>
        </w:rPr>
        <w:t> June.</w:t>
      </w:r>
      <w:r>
        <w:rPr>
          <w:sz w:val="20"/>
          <w:vertAlign w:val="superscript"/>
        </w:rPr>
        <w:t>2</w:t>
      </w:r>
      <w:r>
        <w:rPr>
          <w:sz w:val="20"/>
          <w:vertAlign w:val="baseline"/>
        </w:rPr>
        <w:t> The event was attended by a broad range of stakeholders, including end users, members of the press, infrastructure firms, and official sector representatives. The event opened with a speech by Governor Powell,</w:t>
      </w:r>
      <w:r>
        <w:rPr>
          <w:sz w:val="20"/>
          <w:vertAlign w:val="superscript"/>
        </w:rPr>
        <w:t>3</w:t>
      </w:r>
      <w:r>
        <w:rPr>
          <w:sz w:val="20"/>
          <w:vertAlign w:val="baseline"/>
        </w:rPr>
        <w:t> and there were two panel sessions providing detail on the alternate rates under consideration, and the paced transition plan for OIS reference rates. Both panels were followed by extensive</w:t>
      </w:r>
      <w:r>
        <w:rPr>
          <w:spacing w:val="-7"/>
          <w:sz w:val="20"/>
          <w:vertAlign w:val="baseline"/>
        </w:rPr>
        <w:t> </w:t>
      </w:r>
      <w:r>
        <w:rPr>
          <w:sz w:val="20"/>
          <w:vertAlign w:val="baseline"/>
        </w:rPr>
        <w:t>Q&amp;A.</w:t>
      </w:r>
    </w:p>
    <w:p>
      <w:pPr>
        <w:pStyle w:val="Heading1"/>
      </w:pPr>
      <w:r>
        <w:rPr/>
        <w:t>Updates from CHF and JPY working groups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36" w:firstLine="0"/>
        <w:jc w:val="left"/>
        <w:rPr>
          <w:sz w:val="20"/>
        </w:rPr>
      </w:pPr>
      <w:r>
        <w:rPr>
          <w:sz w:val="20"/>
        </w:rPr>
        <w:t>In addition to the summary on the US ARRC, an update was provided on the progress made by the Swiss and Japanese benchmark rate reform efforts. It was suggested that relevant ECB stakeholders might be invited to a future Working Group meeting in order to promote international</w:t>
      </w:r>
      <w:r>
        <w:rPr>
          <w:spacing w:val="-16"/>
          <w:sz w:val="20"/>
        </w:rPr>
        <w:t> </w:t>
      </w:r>
      <w:r>
        <w:rPr>
          <w:sz w:val="20"/>
        </w:rPr>
        <w:t>co-ordination.</w:t>
      </w:r>
    </w:p>
    <w:p>
      <w:pPr>
        <w:pStyle w:val="Heading1"/>
      </w:pPr>
      <w:r>
        <w:rPr/>
        <w:t>Update on RFR Adoption work stream</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51" w:firstLine="0"/>
        <w:jc w:val="left"/>
        <w:rPr>
          <w:sz w:val="20"/>
        </w:rPr>
      </w:pPr>
      <w:r>
        <w:rPr>
          <w:sz w:val="20"/>
        </w:rPr>
        <w:t>The work stream leads for RFR adoption presented a progress update. The proposed next steps were to further explore the identified potential issues and benefits of adopting the RFR, before Working Group members were tasked with exploring the implications for their own institution. The main points for further work</w:t>
      </w:r>
      <w:r>
        <w:rPr>
          <w:spacing w:val="1"/>
          <w:sz w:val="20"/>
        </w:rPr>
        <w:t> </w:t>
      </w:r>
      <w:r>
        <w:rPr>
          <w:sz w:val="20"/>
        </w:rPr>
        <w:t>were:</w:t>
      </w:r>
    </w:p>
    <w:p>
      <w:pPr>
        <w:pStyle w:val="ListParagraph"/>
        <w:numPr>
          <w:ilvl w:val="1"/>
          <w:numId w:val="1"/>
        </w:numPr>
        <w:tabs>
          <w:tab w:pos="1640" w:val="left" w:leader="none"/>
          <w:tab w:pos="1641" w:val="left" w:leader="none"/>
        </w:tabs>
        <w:spacing w:line="360" w:lineRule="auto" w:before="120" w:after="0"/>
        <w:ind w:left="1640" w:right="600" w:hanging="461"/>
        <w:jc w:val="left"/>
        <w:rPr>
          <w:sz w:val="20"/>
        </w:rPr>
      </w:pPr>
      <w:r>
        <w:rPr>
          <w:sz w:val="20"/>
        </w:rPr>
        <w:t>Risk management benefits of RFR – outlining the advantages of RFR swaps for the sterling</w:t>
      </w:r>
      <w:r>
        <w:rPr>
          <w:spacing w:val="-2"/>
          <w:sz w:val="20"/>
        </w:rPr>
        <w:t> </w:t>
      </w:r>
      <w:r>
        <w:rPr>
          <w:sz w:val="20"/>
        </w:rPr>
        <w:t>market.</w:t>
      </w:r>
    </w:p>
    <w:p>
      <w:pPr>
        <w:pStyle w:val="ListParagraph"/>
        <w:numPr>
          <w:ilvl w:val="1"/>
          <w:numId w:val="1"/>
        </w:numPr>
        <w:tabs>
          <w:tab w:pos="1640" w:val="left" w:leader="none"/>
          <w:tab w:pos="1641" w:val="left" w:leader="none"/>
        </w:tabs>
        <w:spacing w:line="360" w:lineRule="auto" w:before="120" w:after="0"/>
        <w:ind w:left="1640" w:right="272" w:hanging="504"/>
        <w:jc w:val="left"/>
        <w:rPr>
          <w:sz w:val="20"/>
        </w:rPr>
      </w:pPr>
      <w:r>
        <w:rPr>
          <w:sz w:val="20"/>
        </w:rPr>
        <w:t>Bank capital requirements – assessing the implications of a transition to RFR swaps for IRRBB Pillar II</w:t>
      </w:r>
      <w:r>
        <w:rPr>
          <w:spacing w:val="-4"/>
          <w:sz w:val="20"/>
        </w:rPr>
        <w:t> </w:t>
      </w:r>
      <w:r>
        <w:rPr>
          <w:sz w:val="20"/>
        </w:rPr>
        <w:t>capital.</w:t>
      </w:r>
    </w:p>
    <w:p>
      <w:pPr>
        <w:pStyle w:val="ListParagraph"/>
        <w:numPr>
          <w:ilvl w:val="1"/>
          <w:numId w:val="1"/>
        </w:numPr>
        <w:tabs>
          <w:tab w:pos="1640" w:val="left" w:leader="none"/>
          <w:tab w:pos="1641" w:val="left" w:leader="none"/>
        </w:tabs>
        <w:spacing w:line="360" w:lineRule="auto" w:before="121" w:after="0"/>
        <w:ind w:left="1640" w:right="195" w:hanging="550"/>
        <w:jc w:val="left"/>
        <w:rPr>
          <w:sz w:val="20"/>
        </w:rPr>
      </w:pPr>
      <w:r>
        <w:rPr>
          <w:sz w:val="20"/>
        </w:rPr>
        <w:t>Hedge accounting – organising a meeting with accounting experts from member firms to assess and agree the approach with</w:t>
      </w:r>
      <w:r>
        <w:rPr>
          <w:spacing w:val="-4"/>
          <w:sz w:val="20"/>
        </w:rPr>
        <w:t> </w:t>
      </w:r>
      <w:r>
        <w:rPr>
          <w:sz w:val="20"/>
        </w:rPr>
        <w:t>IASB.</w:t>
      </w:r>
    </w:p>
    <w:p>
      <w:pPr>
        <w:pStyle w:val="ListParagraph"/>
        <w:numPr>
          <w:ilvl w:val="1"/>
          <w:numId w:val="1"/>
        </w:numPr>
        <w:tabs>
          <w:tab w:pos="1640" w:val="left" w:leader="none"/>
          <w:tab w:pos="1641" w:val="left" w:leader="none"/>
        </w:tabs>
        <w:spacing w:line="360" w:lineRule="auto" w:before="119" w:after="0"/>
        <w:ind w:left="1640" w:right="255" w:hanging="560"/>
        <w:jc w:val="left"/>
        <w:rPr>
          <w:sz w:val="20"/>
        </w:rPr>
      </w:pPr>
      <w:r>
        <w:rPr>
          <w:sz w:val="20"/>
        </w:rPr>
        <w:t>Insurance hedging – organise a meeting with PRA technical experts on EIOPA risk-free rates.</w:t>
      </w:r>
    </w:p>
    <w:p>
      <w:pPr>
        <w:pStyle w:val="ListParagraph"/>
        <w:numPr>
          <w:ilvl w:val="1"/>
          <w:numId w:val="1"/>
        </w:numPr>
        <w:tabs>
          <w:tab w:pos="1640" w:val="left" w:leader="none"/>
          <w:tab w:pos="1641" w:val="left" w:leader="none"/>
        </w:tabs>
        <w:spacing w:line="360" w:lineRule="auto" w:before="121" w:after="0"/>
        <w:ind w:left="1640" w:right="717" w:hanging="516"/>
        <w:jc w:val="left"/>
        <w:rPr>
          <w:sz w:val="20"/>
        </w:rPr>
      </w:pPr>
      <w:r>
        <w:rPr>
          <w:sz w:val="20"/>
        </w:rPr>
        <w:t>Futures – engage with potential exchange traded product providers for RFR linked securities.</w:t>
      </w:r>
    </w:p>
    <w:p>
      <w:pPr>
        <w:pStyle w:val="Heading1"/>
      </w:pPr>
      <w:r>
        <w:rPr/>
        <w:t>Future Working Group scheduling</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90" w:firstLine="0"/>
        <w:jc w:val="left"/>
        <w:rPr>
          <w:sz w:val="20"/>
        </w:rPr>
      </w:pPr>
      <w:r>
        <w:rPr>
          <w:sz w:val="20"/>
        </w:rPr>
        <w:t>It was agreed that the next meeting should take place in four to five weeks, to allow further</w:t>
      </w:r>
      <w:r>
        <w:rPr>
          <w:spacing w:val="-31"/>
          <w:sz w:val="20"/>
        </w:rPr>
        <w:t> </w:t>
      </w:r>
      <w:r>
        <w:rPr>
          <w:sz w:val="20"/>
        </w:rPr>
        <w:t>progress to be made in the active work streams. After that they would continue at that frequency until the release of the consultation on the unsecured benchmark</w:t>
      </w:r>
      <w:r>
        <w:rPr>
          <w:spacing w:val="3"/>
          <w:sz w:val="20"/>
        </w:rPr>
        <w:t> </w:t>
      </w:r>
      <w:r>
        <w:rPr>
          <w:sz w:val="20"/>
        </w:rPr>
        <w:t>design.</w:t>
      </w:r>
    </w:p>
    <w:p>
      <w:pPr>
        <w:pStyle w:val="BodyText"/>
      </w:pPr>
    </w:p>
    <w:p>
      <w:pPr>
        <w:pStyle w:val="BodyText"/>
        <w:spacing w:before="3"/>
        <w:rPr>
          <w:sz w:val="27"/>
        </w:rPr>
      </w:pPr>
      <w:r>
        <w:rPr/>
        <w:pict>
          <v:shape style="position:absolute;margin-left:72.024002pt;margin-top:18.037254pt;width:144.050pt;height:.1pt;mso-position-horizontal-relative:page;mso-position-vertical-relative:paragraph;z-index:-251657216;mso-wrap-distance-left:0;mso-wrap-distance-right:0" coordorigin="1440,361" coordsize="2881,0" path="m1440,361l4321,361e" filled="false" stroked="true" strokeweight=".72003pt" strokecolor="#000000">
            <v:path arrowok="t"/>
            <v:stroke dashstyle="solid"/>
            <w10:wrap type="topAndBottom"/>
          </v:shape>
        </w:pict>
      </w:r>
    </w:p>
    <w:p>
      <w:pPr>
        <w:spacing w:before="39"/>
        <w:ind w:left="200" w:right="185" w:firstLine="0"/>
        <w:jc w:val="left"/>
        <w:rPr>
          <w:sz w:val="18"/>
        </w:rPr>
      </w:pPr>
      <w:r>
        <w:rPr>
          <w:position w:val="9"/>
          <w:sz w:val="12"/>
        </w:rPr>
        <w:t>2 </w:t>
      </w:r>
      <w:r>
        <w:rPr>
          <w:sz w:val="18"/>
        </w:rPr>
        <w:t>Agenda - </w:t>
      </w:r>
      <w:hyperlink r:id="rId6">
        <w:r>
          <w:rPr>
            <w:color w:val="0000FF"/>
            <w:sz w:val="18"/>
            <w:u w:val="single" w:color="0000FF"/>
          </w:rPr>
          <w:t>https://www.newyorkfed.org/medialibrary/microsites/arrc/files/2016/Jun-21-2016-ARRC-Agenda.pdf</w:t>
        </w:r>
      </w:hyperlink>
      <w:r>
        <w:rPr>
          <w:color w:val="0000FF"/>
          <w:sz w:val="18"/>
        </w:rPr>
        <w:t> </w:t>
      </w:r>
      <w:r>
        <w:rPr>
          <w:sz w:val="18"/>
        </w:rPr>
        <w:t>Slides - </w:t>
      </w:r>
      <w:hyperlink r:id="rId7">
        <w:r>
          <w:rPr>
            <w:color w:val="0000FF"/>
            <w:sz w:val="18"/>
            <w:u w:val="single" w:color="0000FF"/>
          </w:rPr>
          <w:t>https://www.newyorkfed.org/medialibrary/Microsites/arrc/files/2016/ARRC-roundtable-slides.pdf</w:t>
        </w:r>
      </w:hyperlink>
    </w:p>
    <w:p>
      <w:pPr>
        <w:spacing w:line="208" w:lineRule="exact" w:before="0"/>
        <w:ind w:left="200" w:right="0" w:firstLine="0"/>
        <w:jc w:val="left"/>
        <w:rPr>
          <w:sz w:val="18"/>
        </w:rPr>
      </w:pPr>
      <w:r>
        <w:rPr>
          <w:position w:val="9"/>
          <w:sz w:val="12"/>
        </w:rPr>
        <w:t>3 </w:t>
      </w:r>
      <w:hyperlink r:id="rId8">
        <w:r>
          <w:rPr>
            <w:color w:val="0000FF"/>
            <w:sz w:val="18"/>
            <w:u w:val="single" w:color="0000FF"/>
          </w:rPr>
          <w:t>https://www.federalreserve.gov/newsevents/speech/powell20160621a.htm</w:t>
        </w:r>
      </w:hyperlink>
    </w:p>
    <w:p>
      <w:pPr>
        <w:spacing w:after="0" w:line="208" w:lineRule="exact"/>
        <w:jc w:val="left"/>
        <w:rPr>
          <w:sz w:val="18"/>
        </w:rPr>
        <w:sectPr>
          <w:pgSz w:w="11910" w:h="16840"/>
          <w:pgMar w:top="1340" w:bottom="280" w:left="1240" w:right="1040"/>
        </w:sectPr>
      </w:pPr>
    </w:p>
    <w:p>
      <w:pPr>
        <w:pStyle w:val="Heading1"/>
        <w:spacing w:before="79"/>
      </w:pPr>
      <w:r>
        <w:rPr/>
        <w:t>Private sector</w:t>
      </w:r>
      <w:r>
        <w:rPr>
          <w:spacing w:val="-11"/>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3562"/>
      </w:tblGrid>
      <w:tr>
        <w:trPr>
          <w:trHeight w:val="262" w:hRule="atLeast"/>
        </w:trPr>
        <w:tc>
          <w:tcPr>
            <w:tcW w:w="2703" w:type="dxa"/>
          </w:tcPr>
          <w:p>
            <w:pPr>
              <w:pStyle w:val="TableParagraph"/>
              <w:spacing w:line="225" w:lineRule="exact" w:before="0"/>
              <w:rPr>
                <w:sz w:val="20"/>
              </w:rPr>
            </w:pPr>
            <w:r>
              <w:rPr>
                <w:sz w:val="20"/>
              </w:rPr>
              <w:t>Nick Saggers</w:t>
            </w:r>
          </w:p>
        </w:tc>
        <w:tc>
          <w:tcPr>
            <w:tcW w:w="3562"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spacing w:before="32"/>
              <w:rPr>
                <w:sz w:val="20"/>
              </w:rPr>
            </w:pPr>
            <w:r>
              <w:rPr>
                <w:sz w:val="20"/>
              </w:rPr>
              <w:t>Francois Jourdain</w:t>
            </w:r>
          </w:p>
        </w:tc>
        <w:tc>
          <w:tcPr>
            <w:tcW w:w="3562" w:type="dxa"/>
          </w:tcPr>
          <w:p>
            <w:pPr>
              <w:pStyle w:val="TableParagraph"/>
              <w:ind w:left="473"/>
              <w:rPr>
                <w:b/>
                <w:sz w:val="20"/>
              </w:rPr>
            </w:pPr>
            <w:r>
              <w:rPr>
                <w:b/>
                <w:sz w:val="20"/>
              </w:rPr>
              <w:t>Barclays (Chairman)</w:t>
            </w:r>
          </w:p>
        </w:tc>
      </w:tr>
      <w:tr>
        <w:trPr>
          <w:trHeight w:val="300" w:hRule="atLeast"/>
        </w:trPr>
        <w:tc>
          <w:tcPr>
            <w:tcW w:w="2703" w:type="dxa"/>
          </w:tcPr>
          <w:p>
            <w:pPr>
              <w:pStyle w:val="TableParagraph"/>
              <w:spacing w:before="32"/>
              <w:rPr>
                <w:sz w:val="20"/>
              </w:rPr>
            </w:pPr>
            <w:r>
              <w:rPr>
                <w:sz w:val="20"/>
              </w:rPr>
              <w:t>Andreas Giannopoulos</w:t>
            </w:r>
          </w:p>
        </w:tc>
        <w:tc>
          <w:tcPr>
            <w:tcW w:w="3562"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Tejonidhi Kashyap</w:t>
            </w:r>
          </w:p>
        </w:tc>
        <w:tc>
          <w:tcPr>
            <w:tcW w:w="3562"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Mike Manna</w:t>
            </w:r>
          </w:p>
        </w:tc>
        <w:tc>
          <w:tcPr>
            <w:tcW w:w="3562"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Alain Verdict</w:t>
            </w:r>
          </w:p>
        </w:tc>
        <w:tc>
          <w:tcPr>
            <w:tcW w:w="3562" w:type="dxa"/>
          </w:tcPr>
          <w:p>
            <w:pPr>
              <w:pStyle w:val="TableParagraph"/>
              <w:ind w:left="473"/>
              <w:rPr>
                <w:b/>
                <w:sz w:val="20"/>
              </w:rPr>
            </w:pPr>
            <w:r>
              <w:rPr>
                <w:b/>
                <w:sz w:val="20"/>
              </w:rPr>
              <w:t>Citigroup</w:t>
            </w:r>
          </w:p>
        </w:tc>
      </w:tr>
      <w:tr>
        <w:trPr>
          <w:trHeight w:val="300" w:hRule="atLeast"/>
        </w:trPr>
        <w:tc>
          <w:tcPr>
            <w:tcW w:w="2703" w:type="dxa"/>
          </w:tcPr>
          <w:p>
            <w:pPr>
              <w:pStyle w:val="TableParagraph"/>
              <w:spacing w:before="32"/>
              <w:rPr>
                <w:sz w:val="20"/>
              </w:rPr>
            </w:pPr>
            <w:r>
              <w:rPr>
                <w:sz w:val="20"/>
              </w:rPr>
              <w:t>Alistair Sharp</w:t>
            </w:r>
          </w:p>
        </w:tc>
        <w:tc>
          <w:tcPr>
            <w:tcW w:w="3562" w:type="dxa"/>
          </w:tcPr>
          <w:p>
            <w:pPr>
              <w:pStyle w:val="TableParagraph"/>
              <w:ind w:left="473"/>
              <w:rPr>
                <w:b/>
                <w:sz w:val="20"/>
              </w:rPr>
            </w:pPr>
            <w:r>
              <w:rPr>
                <w:b/>
                <w:sz w:val="20"/>
              </w:rPr>
              <w:t>Credit Suisse</w:t>
            </w:r>
          </w:p>
        </w:tc>
      </w:tr>
      <w:tr>
        <w:trPr>
          <w:trHeight w:val="300" w:hRule="atLeast"/>
        </w:trPr>
        <w:tc>
          <w:tcPr>
            <w:tcW w:w="2703" w:type="dxa"/>
          </w:tcPr>
          <w:p>
            <w:pPr>
              <w:pStyle w:val="TableParagraph"/>
              <w:spacing w:before="32"/>
              <w:rPr>
                <w:sz w:val="20"/>
              </w:rPr>
            </w:pPr>
            <w:r>
              <w:rPr>
                <w:sz w:val="20"/>
              </w:rPr>
              <w:t>Ryan Sbarra</w:t>
            </w:r>
          </w:p>
        </w:tc>
        <w:tc>
          <w:tcPr>
            <w:tcW w:w="3562"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Nikhil Choraria</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Michael Graham</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Christophe Rivoire</w:t>
            </w:r>
          </w:p>
        </w:tc>
        <w:tc>
          <w:tcPr>
            <w:tcW w:w="3562" w:type="dxa"/>
          </w:tcPr>
          <w:p>
            <w:pPr>
              <w:pStyle w:val="TableParagraph"/>
              <w:ind w:left="473"/>
              <w:rPr>
                <w:b/>
                <w:sz w:val="20"/>
              </w:rPr>
            </w:pPr>
            <w:r>
              <w:rPr>
                <w:b/>
                <w:sz w:val="20"/>
              </w:rPr>
              <w:t>HSBC</w:t>
            </w:r>
          </w:p>
        </w:tc>
      </w:tr>
      <w:tr>
        <w:trPr>
          <w:trHeight w:val="300" w:hRule="atLeast"/>
        </w:trPr>
        <w:tc>
          <w:tcPr>
            <w:tcW w:w="2703" w:type="dxa"/>
          </w:tcPr>
          <w:p>
            <w:pPr>
              <w:pStyle w:val="TableParagraph"/>
              <w:spacing w:before="32"/>
              <w:rPr>
                <w:sz w:val="20"/>
              </w:rPr>
            </w:pPr>
            <w:r>
              <w:rPr>
                <w:sz w:val="20"/>
              </w:rPr>
              <w:t>Charles Bristow</w:t>
            </w:r>
          </w:p>
        </w:tc>
        <w:tc>
          <w:tcPr>
            <w:tcW w:w="3562" w:type="dxa"/>
          </w:tcPr>
          <w:p>
            <w:pPr>
              <w:pStyle w:val="TableParagraph"/>
              <w:ind w:left="473"/>
              <w:rPr>
                <w:b/>
                <w:sz w:val="20"/>
              </w:rPr>
            </w:pPr>
            <w:r>
              <w:rPr>
                <w:b/>
                <w:sz w:val="20"/>
              </w:rPr>
              <w:t>JP Morgan</w:t>
            </w:r>
          </w:p>
        </w:tc>
      </w:tr>
      <w:tr>
        <w:trPr>
          <w:trHeight w:val="300" w:hRule="atLeast"/>
        </w:trPr>
        <w:tc>
          <w:tcPr>
            <w:tcW w:w="2703" w:type="dxa"/>
          </w:tcPr>
          <w:p>
            <w:pPr>
              <w:pStyle w:val="TableParagraph"/>
              <w:spacing w:before="33"/>
              <w:rPr>
                <w:sz w:val="20"/>
              </w:rPr>
            </w:pPr>
            <w:r>
              <w:rPr>
                <w:sz w:val="20"/>
              </w:rPr>
              <w:t>Christophe Coutte</w:t>
            </w:r>
          </w:p>
        </w:tc>
        <w:tc>
          <w:tcPr>
            <w:tcW w:w="3562" w:type="dxa"/>
          </w:tcPr>
          <w:p>
            <w:pPr>
              <w:pStyle w:val="TableParagraph"/>
              <w:ind w:left="473"/>
              <w:rPr>
                <w:b/>
                <w:sz w:val="20"/>
              </w:rPr>
            </w:pPr>
            <w:r>
              <w:rPr>
                <w:b/>
                <w:sz w:val="20"/>
              </w:rPr>
              <w:t>Lloyds</w:t>
            </w:r>
          </w:p>
        </w:tc>
      </w:tr>
      <w:tr>
        <w:trPr>
          <w:trHeight w:val="300" w:hRule="atLeast"/>
        </w:trPr>
        <w:tc>
          <w:tcPr>
            <w:tcW w:w="2703" w:type="dxa"/>
          </w:tcPr>
          <w:p>
            <w:pPr>
              <w:pStyle w:val="TableParagraph"/>
              <w:spacing w:before="32"/>
              <w:rPr>
                <w:sz w:val="20"/>
              </w:rPr>
            </w:pPr>
            <w:r>
              <w:rPr>
                <w:sz w:val="20"/>
              </w:rPr>
              <w:t>Ciaran O’Flynn</w:t>
            </w:r>
          </w:p>
        </w:tc>
        <w:tc>
          <w:tcPr>
            <w:tcW w:w="3562" w:type="dxa"/>
          </w:tcPr>
          <w:p>
            <w:pPr>
              <w:pStyle w:val="TableParagraph"/>
              <w:ind w:left="473"/>
              <w:rPr>
                <w:b/>
                <w:sz w:val="20"/>
              </w:rPr>
            </w:pPr>
            <w:r>
              <w:rPr>
                <w:b/>
                <w:sz w:val="20"/>
              </w:rPr>
              <w:t>Morgan Stanley</w:t>
            </w:r>
          </w:p>
        </w:tc>
      </w:tr>
      <w:tr>
        <w:trPr>
          <w:trHeight w:val="300" w:hRule="atLeast"/>
        </w:trPr>
        <w:tc>
          <w:tcPr>
            <w:tcW w:w="2703" w:type="dxa"/>
          </w:tcPr>
          <w:p>
            <w:pPr>
              <w:pStyle w:val="TableParagraph"/>
              <w:spacing w:before="32"/>
              <w:rPr>
                <w:sz w:val="20"/>
              </w:rPr>
            </w:pPr>
            <w:r>
              <w:rPr>
                <w:sz w:val="20"/>
              </w:rPr>
              <w:t>Freddie Napier</w:t>
            </w:r>
          </w:p>
        </w:tc>
        <w:tc>
          <w:tcPr>
            <w:tcW w:w="3562" w:type="dxa"/>
          </w:tcPr>
          <w:p>
            <w:pPr>
              <w:pStyle w:val="TableParagraph"/>
              <w:ind w:left="473"/>
              <w:rPr>
                <w:b/>
                <w:sz w:val="20"/>
              </w:rPr>
            </w:pPr>
            <w:r>
              <w:rPr>
                <w:b/>
                <w:sz w:val="20"/>
              </w:rPr>
              <w:t>Morgan Stanley</w:t>
            </w:r>
          </w:p>
        </w:tc>
      </w:tr>
      <w:tr>
        <w:trPr>
          <w:trHeight w:val="300" w:hRule="atLeast"/>
        </w:trPr>
        <w:tc>
          <w:tcPr>
            <w:tcW w:w="2703" w:type="dxa"/>
          </w:tcPr>
          <w:p>
            <w:pPr>
              <w:pStyle w:val="TableParagraph"/>
              <w:spacing w:before="32"/>
              <w:rPr>
                <w:sz w:val="20"/>
              </w:rPr>
            </w:pPr>
            <w:r>
              <w:rPr>
                <w:sz w:val="20"/>
              </w:rPr>
              <w:t>Mike Curtis</w:t>
            </w:r>
          </w:p>
        </w:tc>
        <w:tc>
          <w:tcPr>
            <w:tcW w:w="3562" w:type="dxa"/>
          </w:tcPr>
          <w:p>
            <w:pPr>
              <w:pStyle w:val="TableParagraph"/>
              <w:ind w:left="473"/>
              <w:rPr>
                <w:b/>
                <w:sz w:val="20"/>
              </w:rPr>
            </w:pPr>
            <w:r>
              <w:rPr>
                <w:b/>
                <w:sz w:val="20"/>
              </w:rPr>
              <w:t>Nomura</w:t>
            </w:r>
          </w:p>
        </w:tc>
      </w:tr>
      <w:tr>
        <w:trPr>
          <w:trHeight w:val="300" w:hRule="atLeast"/>
        </w:trPr>
        <w:tc>
          <w:tcPr>
            <w:tcW w:w="2703" w:type="dxa"/>
          </w:tcPr>
          <w:p>
            <w:pPr>
              <w:pStyle w:val="TableParagraph"/>
              <w:spacing w:before="32"/>
              <w:rPr>
                <w:sz w:val="20"/>
              </w:rPr>
            </w:pPr>
            <w:r>
              <w:rPr>
                <w:sz w:val="20"/>
              </w:rPr>
              <w:t>Toby Stevenson</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Paul Barnes</w:t>
            </w:r>
          </w:p>
        </w:tc>
        <w:tc>
          <w:tcPr>
            <w:tcW w:w="3562" w:type="dxa"/>
          </w:tcPr>
          <w:p>
            <w:pPr>
              <w:pStyle w:val="TableParagraph"/>
              <w:ind w:left="473"/>
              <w:rPr>
                <w:b/>
                <w:sz w:val="20"/>
              </w:rPr>
            </w:pPr>
            <w:r>
              <w:rPr>
                <w:b/>
                <w:sz w:val="20"/>
              </w:rPr>
              <w:t>Santander</w:t>
            </w:r>
          </w:p>
        </w:tc>
      </w:tr>
      <w:tr>
        <w:trPr>
          <w:trHeight w:val="300" w:hRule="atLeast"/>
        </w:trPr>
        <w:tc>
          <w:tcPr>
            <w:tcW w:w="2703" w:type="dxa"/>
          </w:tcPr>
          <w:p>
            <w:pPr>
              <w:pStyle w:val="TableParagraph"/>
              <w:spacing w:before="32"/>
              <w:rPr>
                <w:sz w:val="20"/>
              </w:rPr>
            </w:pPr>
            <w:r>
              <w:rPr>
                <w:sz w:val="20"/>
              </w:rPr>
              <w:t>Stephane Cuny</w:t>
            </w:r>
          </w:p>
        </w:tc>
        <w:tc>
          <w:tcPr>
            <w:tcW w:w="3562" w:type="dxa"/>
          </w:tcPr>
          <w:p>
            <w:pPr>
              <w:pStyle w:val="TableParagraph"/>
              <w:ind w:left="473"/>
              <w:rPr>
                <w:b/>
                <w:sz w:val="20"/>
              </w:rPr>
            </w:pPr>
            <w:r>
              <w:rPr>
                <w:b/>
                <w:sz w:val="20"/>
              </w:rPr>
              <w:t>Société Générale</w:t>
            </w:r>
          </w:p>
        </w:tc>
      </w:tr>
      <w:tr>
        <w:trPr>
          <w:trHeight w:val="300" w:hRule="atLeast"/>
        </w:trPr>
        <w:tc>
          <w:tcPr>
            <w:tcW w:w="2703" w:type="dxa"/>
          </w:tcPr>
          <w:p>
            <w:pPr>
              <w:pStyle w:val="TableParagraph"/>
              <w:spacing w:before="32"/>
              <w:rPr>
                <w:sz w:val="20"/>
              </w:rPr>
            </w:pPr>
            <w:r>
              <w:rPr>
                <w:sz w:val="20"/>
              </w:rPr>
              <w:t>Chirag Dave</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Paul Canty</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Kirstie Taylor</w:t>
            </w:r>
          </w:p>
        </w:tc>
        <w:tc>
          <w:tcPr>
            <w:tcW w:w="3562" w:type="dxa"/>
          </w:tcPr>
          <w:p>
            <w:pPr>
              <w:pStyle w:val="TableParagraph"/>
              <w:ind w:left="473"/>
              <w:rPr>
                <w:b/>
                <w:sz w:val="20"/>
              </w:rPr>
            </w:pPr>
            <w:r>
              <w:rPr>
                <w:b/>
                <w:sz w:val="20"/>
              </w:rPr>
              <w:t>ISDA (Observer only)</w:t>
            </w:r>
          </w:p>
        </w:tc>
      </w:tr>
      <w:tr>
        <w:trPr>
          <w:trHeight w:val="300" w:hRule="atLeast"/>
        </w:trPr>
        <w:tc>
          <w:tcPr>
            <w:tcW w:w="2703" w:type="dxa"/>
          </w:tcPr>
          <w:p>
            <w:pPr>
              <w:pStyle w:val="TableParagraph"/>
              <w:spacing w:before="32"/>
              <w:rPr>
                <w:sz w:val="20"/>
              </w:rPr>
            </w:pPr>
            <w:r>
              <w:rPr>
                <w:sz w:val="20"/>
              </w:rPr>
              <w:t>Oliver Huggins</w:t>
            </w:r>
          </w:p>
        </w:tc>
        <w:tc>
          <w:tcPr>
            <w:tcW w:w="3562" w:type="dxa"/>
          </w:tcPr>
          <w:p>
            <w:pPr>
              <w:pStyle w:val="TableParagraph"/>
              <w:ind w:left="473"/>
              <w:rPr>
                <w:b/>
                <w:sz w:val="20"/>
              </w:rPr>
            </w:pPr>
            <w:r>
              <w:rPr>
                <w:b/>
                <w:sz w:val="20"/>
              </w:rPr>
              <w:t>LSE Group (Guest)</w:t>
            </w:r>
          </w:p>
        </w:tc>
      </w:tr>
      <w:tr>
        <w:trPr>
          <w:trHeight w:val="300" w:hRule="atLeast"/>
        </w:trPr>
        <w:tc>
          <w:tcPr>
            <w:tcW w:w="2703" w:type="dxa"/>
          </w:tcPr>
          <w:p>
            <w:pPr>
              <w:pStyle w:val="TableParagraph"/>
              <w:spacing w:before="32"/>
              <w:rPr>
                <w:sz w:val="20"/>
              </w:rPr>
            </w:pPr>
            <w:r>
              <w:rPr>
                <w:sz w:val="20"/>
              </w:rPr>
              <w:t>Paul Avis</w:t>
            </w:r>
          </w:p>
        </w:tc>
        <w:tc>
          <w:tcPr>
            <w:tcW w:w="3562" w:type="dxa"/>
          </w:tcPr>
          <w:p>
            <w:pPr>
              <w:pStyle w:val="TableParagraph"/>
              <w:ind w:left="473"/>
              <w:rPr>
                <w:b/>
                <w:sz w:val="20"/>
              </w:rPr>
            </w:pPr>
            <w:r>
              <w:rPr>
                <w:b/>
                <w:sz w:val="20"/>
              </w:rPr>
              <w:t>LSE Group (Guest)</w:t>
            </w:r>
          </w:p>
        </w:tc>
      </w:tr>
      <w:tr>
        <w:trPr>
          <w:trHeight w:val="281" w:hRule="atLeast"/>
        </w:trPr>
        <w:tc>
          <w:tcPr>
            <w:tcW w:w="2703" w:type="dxa"/>
          </w:tcPr>
          <w:p>
            <w:pPr>
              <w:pStyle w:val="TableParagraph"/>
              <w:spacing w:line="229" w:lineRule="exact" w:before="32"/>
              <w:rPr>
                <w:sz w:val="20"/>
              </w:rPr>
            </w:pPr>
            <w:r>
              <w:rPr>
                <w:sz w:val="20"/>
              </w:rPr>
              <w:t>Christopher Woods</w:t>
            </w:r>
          </w:p>
        </w:tc>
        <w:tc>
          <w:tcPr>
            <w:tcW w:w="3562" w:type="dxa"/>
          </w:tcPr>
          <w:p>
            <w:pPr>
              <w:pStyle w:val="TableParagraph"/>
              <w:ind w:left="473"/>
              <w:rPr>
                <w:b/>
                <w:sz w:val="20"/>
              </w:rPr>
            </w:pPr>
            <w:r>
              <w:rPr>
                <w:b/>
                <w:sz w:val="20"/>
              </w:rPr>
              <w:t>LSE Group (Guest)</w:t>
            </w:r>
          </w:p>
        </w:tc>
      </w:tr>
      <w:tr>
        <w:trPr>
          <w:trHeight w:val="319" w:hRule="atLeast"/>
        </w:trPr>
        <w:tc>
          <w:tcPr>
            <w:tcW w:w="2703" w:type="dxa"/>
          </w:tcPr>
          <w:p>
            <w:pPr>
              <w:pStyle w:val="TableParagraph"/>
              <w:spacing w:before="51"/>
              <w:rPr>
                <w:sz w:val="20"/>
              </w:rPr>
            </w:pPr>
            <w:r>
              <w:rPr>
                <w:sz w:val="20"/>
              </w:rPr>
              <w:t>Paul Elkins</w:t>
            </w:r>
          </w:p>
        </w:tc>
        <w:tc>
          <w:tcPr>
            <w:tcW w:w="3562" w:type="dxa"/>
          </w:tcPr>
          <w:p>
            <w:pPr>
              <w:pStyle w:val="TableParagraph"/>
              <w:spacing w:before="49"/>
              <w:ind w:left="473"/>
              <w:rPr>
                <w:b/>
                <w:sz w:val="20"/>
              </w:rPr>
            </w:pPr>
            <w:r>
              <w:rPr>
                <w:b/>
                <w:sz w:val="20"/>
              </w:rPr>
              <w:t>LCH.Clearnet (Guest)</w:t>
            </w:r>
            <w:r>
              <w:rPr>
                <w:b/>
                <w:sz w:val="20"/>
                <w:vertAlign w:val="superscript"/>
              </w:rPr>
              <w:t>4</w:t>
            </w:r>
          </w:p>
        </w:tc>
      </w:tr>
      <w:tr>
        <w:trPr>
          <w:trHeight w:val="300" w:hRule="atLeast"/>
        </w:trPr>
        <w:tc>
          <w:tcPr>
            <w:tcW w:w="2703" w:type="dxa"/>
          </w:tcPr>
          <w:p>
            <w:pPr>
              <w:pStyle w:val="TableParagraph"/>
              <w:spacing w:before="32"/>
              <w:rPr>
                <w:sz w:val="20"/>
              </w:rPr>
            </w:pPr>
            <w:r>
              <w:rPr>
                <w:sz w:val="20"/>
              </w:rPr>
              <w:t>Angus Scott</w:t>
            </w:r>
          </w:p>
        </w:tc>
        <w:tc>
          <w:tcPr>
            <w:tcW w:w="3562" w:type="dxa"/>
          </w:tcPr>
          <w:p>
            <w:pPr>
              <w:pStyle w:val="TableParagraph"/>
              <w:ind w:left="473"/>
              <w:rPr>
                <w:b/>
                <w:sz w:val="20"/>
              </w:rPr>
            </w:pPr>
            <w:r>
              <w:rPr>
                <w:b/>
                <w:sz w:val="20"/>
              </w:rPr>
              <w:t>Euroclear (Guest)</w:t>
            </w:r>
          </w:p>
        </w:tc>
      </w:tr>
      <w:tr>
        <w:trPr>
          <w:trHeight w:val="262" w:hRule="atLeast"/>
        </w:trPr>
        <w:tc>
          <w:tcPr>
            <w:tcW w:w="2703" w:type="dxa"/>
          </w:tcPr>
          <w:p>
            <w:pPr>
              <w:pStyle w:val="TableParagraph"/>
              <w:spacing w:line="210" w:lineRule="exact" w:before="32"/>
              <w:rPr>
                <w:sz w:val="20"/>
              </w:rPr>
            </w:pPr>
            <w:r>
              <w:rPr>
                <w:sz w:val="20"/>
              </w:rPr>
              <w:t>Peter Checkley</w:t>
            </w:r>
          </w:p>
        </w:tc>
        <w:tc>
          <w:tcPr>
            <w:tcW w:w="3562" w:type="dxa"/>
          </w:tcPr>
          <w:p>
            <w:pPr>
              <w:pStyle w:val="TableParagraph"/>
              <w:spacing w:line="212" w:lineRule="exact"/>
              <w:ind w:left="473"/>
              <w:rPr>
                <w:b/>
                <w:sz w:val="20"/>
              </w:rPr>
            </w:pPr>
            <w:r>
              <w:rPr>
                <w:b/>
                <w:sz w:val="20"/>
              </w:rPr>
              <w:t>Euroclear (Guest)</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after="1"/>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3564"/>
      </w:tblGrid>
      <w:tr>
        <w:trPr>
          <w:trHeight w:val="263" w:hRule="atLeast"/>
        </w:trPr>
        <w:tc>
          <w:tcPr>
            <w:tcW w:w="2487" w:type="dxa"/>
          </w:tcPr>
          <w:p>
            <w:pPr>
              <w:pStyle w:val="TableParagraph"/>
              <w:spacing w:line="225" w:lineRule="exact" w:before="0"/>
              <w:rPr>
                <w:sz w:val="20"/>
              </w:rPr>
            </w:pPr>
            <w:r>
              <w:rPr>
                <w:sz w:val="20"/>
              </w:rPr>
              <w:t>Ed Ocampo</w:t>
            </w:r>
          </w:p>
        </w:tc>
        <w:tc>
          <w:tcPr>
            <w:tcW w:w="3564" w:type="dxa"/>
          </w:tcPr>
          <w:p>
            <w:pPr>
              <w:pStyle w:val="TableParagraph"/>
              <w:spacing w:line="223" w:lineRule="exact" w:before="0"/>
              <w:ind w:left="689"/>
              <w:rPr>
                <w:b/>
                <w:sz w:val="20"/>
              </w:rPr>
            </w:pPr>
            <w:r>
              <w:rPr>
                <w:b/>
                <w:sz w:val="20"/>
              </w:rPr>
              <w:t>Bank of England</w:t>
            </w:r>
          </w:p>
        </w:tc>
      </w:tr>
      <w:tr>
        <w:trPr>
          <w:trHeight w:val="302" w:hRule="atLeast"/>
        </w:trPr>
        <w:tc>
          <w:tcPr>
            <w:tcW w:w="2487" w:type="dxa"/>
          </w:tcPr>
          <w:p>
            <w:pPr>
              <w:pStyle w:val="TableParagraph"/>
              <w:spacing w:before="34"/>
              <w:rPr>
                <w:sz w:val="20"/>
              </w:rPr>
            </w:pPr>
            <w:r>
              <w:rPr>
                <w:sz w:val="20"/>
              </w:rPr>
              <w:t>Tim Taylor</w:t>
            </w:r>
          </w:p>
        </w:tc>
        <w:tc>
          <w:tcPr>
            <w:tcW w:w="3564" w:type="dxa"/>
          </w:tcPr>
          <w:p>
            <w:pPr>
              <w:pStyle w:val="TableParagraph"/>
              <w:spacing w:before="31"/>
              <w:ind w:left="689"/>
              <w:rPr>
                <w:b/>
                <w:sz w:val="20"/>
              </w:rPr>
            </w:pPr>
            <w:r>
              <w:rPr>
                <w:b/>
                <w:sz w:val="20"/>
              </w:rPr>
              <w:t>Bank of England</w:t>
            </w:r>
          </w:p>
        </w:tc>
      </w:tr>
      <w:tr>
        <w:trPr>
          <w:trHeight w:val="303" w:hRule="atLeast"/>
        </w:trPr>
        <w:tc>
          <w:tcPr>
            <w:tcW w:w="2487" w:type="dxa"/>
          </w:tcPr>
          <w:p>
            <w:pPr>
              <w:pStyle w:val="TableParagraph"/>
              <w:spacing w:before="34"/>
              <w:rPr>
                <w:sz w:val="20"/>
              </w:rPr>
            </w:pPr>
            <w:r>
              <w:rPr>
                <w:sz w:val="20"/>
              </w:rPr>
              <w:t>Renée Horrell</w:t>
            </w:r>
          </w:p>
        </w:tc>
        <w:tc>
          <w:tcPr>
            <w:tcW w:w="3564" w:type="dxa"/>
          </w:tcPr>
          <w:p>
            <w:pPr>
              <w:pStyle w:val="TableParagraph"/>
              <w:spacing w:before="31"/>
              <w:ind w:left="689"/>
              <w:rPr>
                <w:b/>
                <w:sz w:val="20"/>
              </w:rPr>
            </w:pPr>
            <w:r>
              <w:rPr>
                <w:b/>
                <w:sz w:val="20"/>
              </w:rPr>
              <w:t>Bank of England</w:t>
            </w:r>
          </w:p>
        </w:tc>
      </w:tr>
      <w:tr>
        <w:trPr>
          <w:trHeight w:val="303" w:hRule="atLeast"/>
        </w:trPr>
        <w:tc>
          <w:tcPr>
            <w:tcW w:w="2487" w:type="dxa"/>
          </w:tcPr>
          <w:p>
            <w:pPr>
              <w:pStyle w:val="TableParagraph"/>
              <w:spacing w:before="35"/>
              <w:rPr>
                <w:sz w:val="20"/>
              </w:rPr>
            </w:pPr>
            <w:r>
              <w:rPr>
                <w:sz w:val="20"/>
              </w:rPr>
              <w:t>Ben Morley</w:t>
            </w:r>
          </w:p>
        </w:tc>
        <w:tc>
          <w:tcPr>
            <w:tcW w:w="3564" w:type="dxa"/>
          </w:tcPr>
          <w:p>
            <w:pPr>
              <w:pStyle w:val="TableParagraph"/>
              <w:spacing w:before="32"/>
              <w:ind w:left="689"/>
              <w:rPr>
                <w:b/>
                <w:sz w:val="20"/>
              </w:rPr>
            </w:pPr>
            <w:r>
              <w:rPr>
                <w:b/>
                <w:sz w:val="20"/>
              </w:rPr>
              <w:t>Bank of England</w:t>
            </w:r>
          </w:p>
        </w:tc>
      </w:tr>
      <w:tr>
        <w:trPr>
          <w:trHeight w:val="302" w:hRule="atLeast"/>
        </w:trPr>
        <w:tc>
          <w:tcPr>
            <w:tcW w:w="2487" w:type="dxa"/>
          </w:tcPr>
          <w:p>
            <w:pPr>
              <w:pStyle w:val="TableParagraph"/>
              <w:spacing w:before="34"/>
              <w:rPr>
                <w:sz w:val="20"/>
              </w:rPr>
            </w:pPr>
            <w:r>
              <w:rPr>
                <w:sz w:val="20"/>
              </w:rPr>
              <w:t>Jan Lasik</w:t>
            </w:r>
          </w:p>
        </w:tc>
        <w:tc>
          <w:tcPr>
            <w:tcW w:w="3564" w:type="dxa"/>
          </w:tcPr>
          <w:p>
            <w:pPr>
              <w:pStyle w:val="TableParagraph"/>
              <w:spacing w:before="31"/>
              <w:ind w:left="689"/>
              <w:rPr>
                <w:b/>
                <w:sz w:val="20"/>
              </w:rPr>
            </w:pPr>
            <w:r>
              <w:rPr>
                <w:b/>
                <w:sz w:val="20"/>
              </w:rPr>
              <w:t>Bank of England</w:t>
            </w:r>
          </w:p>
        </w:tc>
      </w:tr>
      <w:tr>
        <w:trPr>
          <w:trHeight w:val="302" w:hRule="atLeast"/>
        </w:trPr>
        <w:tc>
          <w:tcPr>
            <w:tcW w:w="2487" w:type="dxa"/>
          </w:tcPr>
          <w:p>
            <w:pPr>
              <w:pStyle w:val="TableParagraph"/>
              <w:spacing w:before="34"/>
              <w:rPr>
                <w:sz w:val="20"/>
              </w:rPr>
            </w:pPr>
            <w:r>
              <w:rPr>
                <w:sz w:val="20"/>
              </w:rPr>
              <w:t>Devid Mazzonetto</w:t>
            </w:r>
          </w:p>
        </w:tc>
        <w:tc>
          <w:tcPr>
            <w:tcW w:w="3564" w:type="dxa"/>
          </w:tcPr>
          <w:p>
            <w:pPr>
              <w:pStyle w:val="TableParagraph"/>
              <w:spacing w:before="31"/>
              <w:ind w:left="689"/>
              <w:rPr>
                <w:b/>
                <w:sz w:val="20"/>
              </w:rPr>
            </w:pPr>
            <w:r>
              <w:rPr>
                <w:b/>
                <w:sz w:val="20"/>
              </w:rPr>
              <w:t>Financial Conduct Authority</w:t>
            </w:r>
          </w:p>
        </w:tc>
      </w:tr>
      <w:tr>
        <w:trPr>
          <w:trHeight w:val="263" w:hRule="atLeast"/>
        </w:trPr>
        <w:tc>
          <w:tcPr>
            <w:tcW w:w="2487" w:type="dxa"/>
          </w:tcPr>
          <w:p>
            <w:pPr>
              <w:pStyle w:val="TableParagraph"/>
              <w:spacing w:line="210" w:lineRule="exact" w:before="34"/>
              <w:rPr>
                <w:sz w:val="20"/>
              </w:rPr>
            </w:pPr>
            <w:r>
              <w:rPr>
                <w:sz w:val="20"/>
              </w:rPr>
              <w:t>Heather Pilley</w:t>
            </w:r>
          </w:p>
        </w:tc>
        <w:tc>
          <w:tcPr>
            <w:tcW w:w="3564" w:type="dxa"/>
          </w:tcPr>
          <w:p>
            <w:pPr>
              <w:pStyle w:val="TableParagraph"/>
              <w:spacing w:line="212" w:lineRule="exact" w:before="31"/>
              <w:ind w:left="689"/>
              <w:rPr>
                <w:b/>
                <w:sz w:val="20"/>
              </w:rPr>
            </w:pPr>
            <w:r>
              <w:rPr>
                <w:b/>
                <w:sz w:val="20"/>
              </w:rPr>
              <w:t>Financial Conduct Authority</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2"/>
        </w:rPr>
      </w:pPr>
      <w:r>
        <w:rPr/>
        <w:pict>
          <v:shape style="position:absolute;margin-left:72.024002pt;margin-top:9.291181pt;width:144.050pt;height:.1pt;mso-position-horizontal-relative:page;mso-position-vertical-relative:paragraph;z-index:-251656192;mso-wrap-distance-left:0;mso-wrap-distance-right:0" coordorigin="1440,186" coordsize="2881,0" path="m1440,186l4321,186e" filled="false" stroked="true" strokeweight=".72003pt" strokecolor="#000000">
            <v:path arrowok="t"/>
            <v:stroke dashstyle="solid"/>
            <w10:wrap type="topAndBottom"/>
          </v:shape>
        </w:pict>
      </w:r>
    </w:p>
    <w:p>
      <w:pPr>
        <w:spacing w:before="36"/>
        <w:ind w:left="200" w:right="75" w:firstLine="0"/>
        <w:jc w:val="left"/>
        <w:rPr>
          <w:sz w:val="18"/>
        </w:rPr>
      </w:pPr>
      <w:r>
        <w:rPr>
          <w:position w:val="9"/>
          <w:sz w:val="12"/>
        </w:rPr>
        <w:t>4 </w:t>
      </w:r>
      <w:r>
        <w:rPr>
          <w:sz w:val="18"/>
        </w:rPr>
        <w:t>Philip Whitehurst, LCH’s observer on the Group, recused himself from the meeting given the discussion under item 2.</w:t>
      </w:r>
    </w:p>
    <w:sectPr>
      <w:pgSz w:w="11910" w:h="16840"/>
      <w:pgMar w:top="134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1"/>
      <w:numFmt w:val="lowerRoman"/>
      <w:lvlText w:val="%2."/>
      <w:lvlJc w:val="left"/>
      <w:pPr>
        <w:ind w:left="1640" w:hanging="461"/>
        <w:jc w:val="right"/>
      </w:pPr>
      <w:rPr>
        <w:rFonts w:hint="default" w:ascii="Arial" w:hAnsi="Arial" w:eastAsia="Arial" w:cs="Arial"/>
        <w:spacing w:val="-2"/>
        <w:w w:val="99"/>
        <w:sz w:val="20"/>
        <w:szCs w:val="20"/>
        <w:lang w:val="en-gb" w:eastAsia="en-gb" w:bidi="en-gb"/>
      </w:rPr>
    </w:lvl>
    <w:lvl w:ilvl="2">
      <w:start w:val="0"/>
      <w:numFmt w:val="bullet"/>
      <w:lvlText w:val="•"/>
      <w:lvlJc w:val="left"/>
      <w:pPr>
        <w:ind w:left="2527" w:hanging="461"/>
      </w:pPr>
      <w:rPr>
        <w:rFonts w:hint="default"/>
        <w:lang w:val="en-gb" w:eastAsia="en-gb" w:bidi="en-gb"/>
      </w:rPr>
    </w:lvl>
    <w:lvl w:ilvl="3">
      <w:start w:val="0"/>
      <w:numFmt w:val="bullet"/>
      <w:lvlText w:val="•"/>
      <w:lvlJc w:val="left"/>
      <w:pPr>
        <w:ind w:left="3414" w:hanging="461"/>
      </w:pPr>
      <w:rPr>
        <w:rFonts w:hint="default"/>
        <w:lang w:val="en-gb" w:eastAsia="en-gb" w:bidi="en-gb"/>
      </w:rPr>
    </w:lvl>
    <w:lvl w:ilvl="4">
      <w:start w:val="0"/>
      <w:numFmt w:val="bullet"/>
      <w:lvlText w:val="•"/>
      <w:lvlJc w:val="left"/>
      <w:pPr>
        <w:ind w:left="4302" w:hanging="461"/>
      </w:pPr>
      <w:rPr>
        <w:rFonts w:hint="default"/>
        <w:lang w:val="en-gb" w:eastAsia="en-gb" w:bidi="en-gb"/>
      </w:rPr>
    </w:lvl>
    <w:lvl w:ilvl="5">
      <w:start w:val="0"/>
      <w:numFmt w:val="bullet"/>
      <w:lvlText w:val="•"/>
      <w:lvlJc w:val="left"/>
      <w:pPr>
        <w:ind w:left="5189" w:hanging="461"/>
      </w:pPr>
      <w:rPr>
        <w:rFonts w:hint="default"/>
        <w:lang w:val="en-gb" w:eastAsia="en-gb" w:bidi="en-gb"/>
      </w:rPr>
    </w:lvl>
    <w:lvl w:ilvl="6">
      <w:start w:val="0"/>
      <w:numFmt w:val="bullet"/>
      <w:lvlText w:val="•"/>
      <w:lvlJc w:val="left"/>
      <w:pPr>
        <w:ind w:left="6076" w:hanging="461"/>
      </w:pPr>
      <w:rPr>
        <w:rFonts w:hint="default"/>
        <w:lang w:val="en-gb" w:eastAsia="en-gb" w:bidi="en-gb"/>
      </w:rPr>
    </w:lvl>
    <w:lvl w:ilvl="7">
      <w:start w:val="0"/>
      <w:numFmt w:val="bullet"/>
      <w:lvlText w:val="•"/>
      <w:lvlJc w:val="left"/>
      <w:pPr>
        <w:ind w:left="6964" w:hanging="461"/>
      </w:pPr>
      <w:rPr>
        <w:rFonts w:hint="default"/>
        <w:lang w:val="en-gb" w:eastAsia="en-gb" w:bidi="en-gb"/>
      </w:rPr>
    </w:lvl>
    <w:lvl w:ilvl="8">
      <w:start w:val="0"/>
      <w:numFmt w:val="bullet"/>
      <w:lvlText w:val="•"/>
      <w:lvlJc w:val="left"/>
      <w:pPr>
        <w:ind w:left="7851" w:hanging="4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17"/>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right="117"/>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sterlingsecure.pdf" TargetMode="External"/><Relationship Id="rId6" Type="http://schemas.openxmlformats.org/officeDocument/2006/relationships/hyperlink" Target="https://www.newyorkfed.org/medialibrary/microsites/arrc/files/2016/Jun-21-2016-ARRC-Agenda.pdf" TargetMode="External"/><Relationship Id="rId7" Type="http://schemas.openxmlformats.org/officeDocument/2006/relationships/hyperlink" Target="https://www.newyorkfed.org/medialibrary/Microsites/arrc/files/2016/ARRC-roundtable-slides.pdf" TargetMode="External"/><Relationship Id="rId8" Type="http://schemas.openxmlformats.org/officeDocument/2006/relationships/hyperlink" Target="https://www.federalreserve.gov/newsevents/speech/powell20160621a.ht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 Working Group on Sterling Risk-Free Reference Rates</dc:title>
  <dcterms:created xsi:type="dcterms:W3CDTF">2020-06-01T02:24:05Z</dcterms:created>
  <dcterms:modified xsi:type="dcterms:W3CDTF">2020-06-01T02:24:05Z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LastSaved">
    <vt:filetime>2020-06-01T00:00:00Z</vt:filetime>
  </property>
</Properties>
</file>