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881" w:right="797"/>
        <w:jc w:val="center"/>
      </w:pPr>
      <w:r>
        <w:rPr/>
        <w:t>Minutes of the Meeting of the Working Group on Sterling Risk-Free Reference Rates Thursday 4 May 2017</w:t>
      </w:r>
    </w:p>
    <w:p>
      <w:pPr>
        <w:spacing w:before="4"/>
        <w:ind w:left="879" w:right="797" w:firstLine="0"/>
        <w:jc w:val="center"/>
        <w:rPr>
          <w:b/>
          <w:sz w:val="20"/>
        </w:rPr>
      </w:pPr>
      <w:r>
        <w:rPr>
          <w:b/>
          <w:sz w:val="20"/>
        </w:rPr>
        <w:t>Barclays Offices – 5 North Colonnade</w:t>
      </w:r>
    </w:p>
    <w:p>
      <w:pPr>
        <w:pStyle w:val="BodyText"/>
        <w:spacing w:before="10"/>
        <w:rPr>
          <w:b/>
          <w:sz w:val="30"/>
        </w:rPr>
      </w:pPr>
    </w:p>
    <w:p>
      <w:pPr>
        <w:spacing w:before="0"/>
        <w:ind w:left="199"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6" w:val="left" w:leader="none"/>
          <w:tab w:pos="627" w:val="left" w:leader="none"/>
        </w:tabs>
        <w:spacing w:line="360" w:lineRule="auto" w:before="0" w:after="0"/>
        <w:ind w:left="199" w:right="285" w:firstLine="0"/>
        <w:jc w:val="left"/>
        <w:rPr>
          <w:sz w:val="20"/>
        </w:rPr>
      </w:pPr>
      <w:r>
        <w:rPr>
          <w:sz w:val="20"/>
        </w:rPr>
        <w:t>The</w:t>
      </w:r>
      <w:r>
        <w:rPr>
          <w:spacing w:val="-4"/>
          <w:sz w:val="20"/>
        </w:rPr>
        <w:t> </w:t>
      </w:r>
      <w:r>
        <w:rPr>
          <w:sz w:val="20"/>
        </w:rPr>
        <w:t>Chair</w:t>
      </w:r>
      <w:r>
        <w:rPr>
          <w:spacing w:val="-3"/>
          <w:sz w:val="20"/>
        </w:rPr>
        <w:t> </w:t>
      </w:r>
      <w:r>
        <w:rPr>
          <w:sz w:val="20"/>
        </w:rPr>
        <w:t>reminded</w:t>
      </w:r>
      <w:r>
        <w:rPr>
          <w:spacing w:val="-4"/>
          <w:sz w:val="20"/>
        </w:rPr>
        <w:t> </w:t>
      </w:r>
      <w:r>
        <w:rPr>
          <w:sz w:val="20"/>
        </w:rPr>
        <w:t>all</w:t>
      </w:r>
      <w:r>
        <w:rPr>
          <w:spacing w:val="-5"/>
          <w:sz w:val="20"/>
        </w:rPr>
        <w:t> </w:t>
      </w:r>
      <w:r>
        <w:rPr>
          <w:sz w:val="20"/>
        </w:rPr>
        <w:t>members</w:t>
      </w:r>
      <w:r>
        <w:rPr>
          <w:spacing w:val="-3"/>
          <w:sz w:val="20"/>
        </w:rPr>
        <w:t> </w:t>
      </w:r>
      <w:r>
        <w:rPr>
          <w:sz w:val="20"/>
        </w:rPr>
        <w:t>of</w:t>
      </w:r>
      <w:r>
        <w:rPr>
          <w:spacing w:val="-2"/>
          <w:sz w:val="20"/>
        </w:rPr>
        <w:t> </w:t>
      </w:r>
      <w:r>
        <w:rPr>
          <w:sz w:val="20"/>
        </w:rPr>
        <w:t>the</w:t>
      </w:r>
      <w:r>
        <w:rPr>
          <w:spacing w:val="-4"/>
          <w:sz w:val="20"/>
        </w:rPr>
        <w:t> </w:t>
      </w:r>
      <w:r>
        <w:rPr>
          <w:sz w:val="20"/>
        </w:rPr>
        <w:t>Group</w:t>
      </w:r>
      <w:r>
        <w:rPr>
          <w:spacing w:val="-4"/>
          <w:sz w:val="20"/>
        </w:rPr>
        <w:t> </w:t>
      </w:r>
      <w:r>
        <w:rPr>
          <w:sz w:val="20"/>
        </w:rPr>
        <w:t>of</w:t>
      </w:r>
      <w:r>
        <w:rPr>
          <w:spacing w:val="-2"/>
          <w:sz w:val="20"/>
        </w:rPr>
        <w:t> </w:t>
      </w:r>
      <w:r>
        <w:rPr>
          <w:sz w:val="20"/>
        </w:rPr>
        <w:t>their</w:t>
      </w:r>
      <w:r>
        <w:rPr>
          <w:spacing w:val="-2"/>
          <w:sz w:val="20"/>
        </w:rPr>
        <w:t> </w:t>
      </w:r>
      <w:r>
        <w:rPr>
          <w:sz w:val="20"/>
        </w:rPr>
        <w:t>responsibilities</w:t>
      </w:r>
      <w:r>
        <w:rPr>
          <w:spacing w:val="-3"/>
          <w:sz w:val="20"/>
        </w:rPr>
        <w:t> </w:t>
      </w:r>
      <w:r>
        <w:rPr>
          <w:sz w:val="20"/>
        </w:rPr>
        <w:t>in</w:t>
      </w:r>
      <w:r>
        <w:rPr>
          <w:spacing w:val="-4"/>
          <w:sz w:val="20"/>
        </w:rPr>
        <w:t> </w:t>
      </w:r>
      <w:r>
        <w:rPr>
          <w:sz w:val="20"/>
        </w:rPr>
        <w:t>relation</w:t>
      </w:r>
      <w:r>
        <w:rPr>
          <w:spacing w:val="-4"/>
          <w:sz w:val="20"/>
        </w:rPr>
        <w:t> </w:t>
      </w:r>
      <w:r>
        <w:rPr>
          <w:sz w:val="20"/>
        </w:rPr>
        <w:t>to</w:t>
      </w:r>
      <w:r>
        <w:rPr>
          <w:spacing w:val="-4"/>
          <w:sz w:val="20"/>
        </w:rPr>
        <w:t> </w:t>
      </w:r>
      <w:r>
        <w:rPr>
          <w:sz w:val="20"/>
        </w:rPr>
        <w:t>compliance</w:t>
      </w:r>
      <w:r>
        <w:rPr>
          <w:spacing w:val="-2"/>
          <w:sz w:val="20"/>
        </w:rPr>
        <w:t> </w:t>
      </w:r>
      <w:r>
        <w:rPr>
          <w:sz w:val="20"/>
        </w:rPr>
        <w:t>with competition law and the importance of taking their own independent competition law</w:t>
      </w:r>
      <w:r>
        <w:rPr>
          <w:spacing w:val="-21"/>
          <w:sz w:val="20"/>
        </w:rPr>
        <w:t> </w:t>
      </w:r>
      <w:r>
        <w:rPr>
          <w:sz w:val="20"/>
        </w:rPr>
        <w:t>advice.</w:t>
      </w:r>
    </w:p>
    <w:p>
      <w:pPr>
        <w:pStyle w:val="Heading1"/>
        <w:spacing w:before="117"/>
      </w:pPr>
      <w:r>
        <w:rPr/>
        <w:t>Review of RFR vote result</w:t>
      </w:r>
    </w:p>
    <w:p>
      <w:pPr>
        <w:pStyle w:val="BodyText"/>
        <w:spacing w:before="8"/>
        <w:rPr>
          <w:b/>
        </w:rPr>
      </w:pPr>
    </w:p>
    <w:p>
      <w:pPr>
        <w:pStyle w:val="ListParagraph"/>
        <w:numPr>
          <w:ilvl w:val="0"/>
          <w:numId w:val="1"/>
        </w:numPr>
        <w:tabs>
          <w:tab w:pos="626" w:val="left" w:leader="none"/>
          <w:tab w:pos="627" w:val="left" w:leader="none"/>
        </w:tabs>
        <w:spacing w:line="360" w:lineRule="auto" w:before="0" w:after="0"/>
        <w:ind w:left="199" w:right="397" w:firstLine="0"/>
        <w:jc w:val="left"/>
        <w:rPr>
          <w:sz w:val="20"/>
        </w:rPr>
      </w:pPr>
      <w:r>
        <w:rPr>
          <w:sz w:val="20"/>
        </w:rPr>
        <w:t>Since</w:t>
      </w:r>
      <w:r>
        <w:rPr>
          <w:spacing w:val="-3"/>
          <w:sz w:val="20"/>
        </w:rPr>
        <w:t> </w:t>
      </w:r>
      <w:r>
        <w:rPr>
          <w:sz w:val="20"/>
        </w:rPr>
        <w:t>the</w:t>
      </w:r>
      <w:r>
        <w:rPr>
          <w:spacing w:val="-2"/>
          <w:sz w:val="20"/>
        </w:rPr>
        <w:t> </w:t>
      </w:r>
      <w:r>
        <w:rPr>
          <w:sz w:val="20"/>
        </w:rPr>
        <w:t>previous</w:t>
      </w:r>
      <w:r>
        <w:rPr>
          <w:spacing w:val="-3"/>
          <w:sz w:val="20"/>
        </w:rPr>
        <w:t> </w:t>
      </w:r>
      <w:r>
        <w:rPr>
          <w:sz w:val="20"/>
        </w:rPr>
        <w:t>meeting,</w:t>
      </w:r>
      <w:r>
        <w:rPr>
          <w:spacing w:val="-4"/>
          <w:sz w:val="20"/>
        </w:rPr>
        <w:t> </w:t>
      </w:r>
      <w:r>
        <w:rPr>
          <w:sz w:val="20"/>
        </w:rPr>
        <w:t>by</w:t>
      </w:r>
      <w:r>
        <w:rPr>
          <w:spacing w:val="-5"/>
          <w:sz w:val="20"/>
        </w:rPr>
        <w:t> </w:t>
      </w:r>
      <w:r>
        <w:rPr>
          <w:sz w:val="20"/>
        </w:rPr>
        <w:t>written</w:t>
      </w:r>
      <w:r>
        <w:rPr>
          <w:spacing w:val="-4"/>
          <w:sz w:val="20"/>
        </w:rPr>
        <w:t> </w:t>
      </w:r>
      <w:r>
        <w:rPr>
          <w:sz w:val="20"/>
        </w:rPr>
        <w:t>procedure,</w:t>
      </w:r>
      <w:r>
        <w:rPr>
          <w:spacing w:val="-4"/>
          <w:sz w:val="20"/>
        </w:rPr>
        <w:t> </w:t>
      </w:r>
      <w:r>
        <w:rPr>
          <w:sz w:val="20"/>
        </w:rPr>
        <w:t>members</w:t>
      </w:r>
      <w:r>
        <w:rPr>
          <w:spacing w:val="-3"/>
          <w:sz w:val="20"/>
        </w:rPr>
        <w:t> </w:t>
      </w:r>
      <w:r>
        <w:rPr>
          <w:sz w:val="20"/>
        </w:rPr>
        <w:t>had</w:t>
      </w:r>
      <w:r>
        <w:rPr>
          <w:spacing w:val="-4"/>
          <w:sz w:val="20"/>
        </w:rPr>
        <w:t> </w:t>
      </w:r>
      <w:r>
        <w:rPr>
          <w:sz w:val="20"/>
        </w:rPr>
        <w:t>agreed</w:t>
      </w:r>
      <w:r>
        <w:rPr>
          <w:spacing w:val="-2"/>
          <w:sz w:val="20"/>
        </w:rPr>
        <w:t> </w:t>
      </w:r>
      <w:r>
        <w:rPr>
          <w:sz w:val="20"/>
        </w:rPr>
        <w:t>to</w:t>
      </w:r>
      <w:r>
        <w:rPr>
          <w:spacing w:val="-4"/>
          <w:sz w:val="20"/>
        </w:rPr>
        <w:t> </w:t>
      </w:r>
      <w:r>
        <w:rPr>
          <w:sz w:val="20"/>
        </w:rPr>
        <w:t>recommend</w:t>
      </w:r>
      <w:r>
        <w:rPr>
          <w:spacing w:val="-4"/>
          <w:sz w:val="20"/>
        </w:rPr>
        <w:t> </w:t>
      </w:r>
      <w:r>
        <w:rPr>
          <w:sz w:val="20"/>
        </w:rPr>
        <w:t>SONIA</w:t>
      </w:r>
      <w:r>
        <w:rPr>
          <w:spacing w:val="-2"/>
          <w:sz w:val="20"/>
        </w:rPr>
        <w:t> </w:t>
      </w:r>
      <w:r>
        <w:rPr>
          <w:sz w:val="20"/>
        </w:rPr>
        <w:t>as the RFR for sterling markets. The Chair shared the aggregated voting results with the Group: twelve members had voted in favour of SONIA as their preferred RFR, with the remaining four</w:t>
      </w:r>
      <w:r>
        <w:rPr>
          <w:spacing w:val="-28"/>
          <w:sz w:val="20"/>
        </w:rPr>
        <w:t> </w:t>
      </w:r>
      <w:r>
        <w:rPr>
          <w:sz w:val="20"/>
        </w:rPr>
        <w:t>preferring</w:t>
      </w:r>
    </w:p>
    <w:p>
      <w:pPr>
        <w:pStyle w:val="BodyText"/>
        <w:spacing w:line="360" w:lineRule="auto"/>
        <w:ind w:left="198" w:right="283"/>
      </w:pPr>
      <w:r>
        <w:rPr/>
        <w:t>£SONET. The vote in favour of SONIA therefore exceeded the two-thirds super majority required by the Group’s Terms of Reference.</w:t>
      </w:r>
    </w:p>
    <w:p>
      <w:pPr>
        <w:pStyle w:val="ListParagraph"/>
        <w:numPr>
          <w:ilvl w:val="0"/>
          <w:numId w:val="1"/>
        </w:numPr>
        <w:tabs>
          <w:tab w:pos="625" w:val="left" w:leader="none"/>
          <w:tab w:pos="627" w:val="left" w:leader="none"/>
        </w:tabs>
        <w:spacing w:line="360" w:lineRule="auto" w:before="121" w:after="0"/>
        <w:ind w:left="198" w:right="195" w:firstLine="0"/>
        <w:jc w:val="left"/>
        <w:rPr>
          <w:sz w:val="20"/>
        </w:rPr>
      </w:pPr>
      <w:r>
        <w:rPr>
          <w:sz w:val="20"/>
        </w:rPr>
        <w:t>Of the four whose preference was £SONET, three were willing to support the majority view in favour of SONIA. SONIA therefore received near unanimous support as the sterling RFR. The Chair thanked Group members for their engagement and constructive debate in reaching this</w:t>
      </w:r>
      <w:r>
        <w:rPr>
          <w:spacing w:val="-15"/>
          <w:sz w:val="20"/>
        </w:rPr>
        <w:t> </w:t>
      </w:r>
      <w:r>
        <w:rPr>
          <w:sz w:val="20"/>
        </w:rPr>
        <w:t>milestone.</w:t>
      </w:r>
    </w:p>
    <w:p>
      <w:pPr>
        <w:pStyle w:val="Heading1"/>
        <w:spacing w:before="117"/>
        <w:ind w:left="198"/>
      </w:pPr>
      <w:r>
        <w:rPr/>
        <w:t>Next steps for the Group</w:t>
      </w:r>
    </w:p>
    <w:p>
      <w:pPr>
        <w:pStyle w:val="BodyText"/>
        <w:spacing w:before="7"/>
        <w:rPr>
          <w:b/>
        </w:rPr>
      </w:pPr>
    </w:p>
    <w:p>
      <w:pPr>
        <w:pStyle w:val="ListParagraph"/>
        <w:numPr>
          <w:ilvl w:val="0"/>
          <w:numId w:val="1"/>
        </w:numPr>
        <w:tabs>
          <w:tab w:pos="625" w:val="left" w:leader="none"/>
          <w:tab w:pos="626" w:val="left" w:leader="none"/>
        </w:tabs>
        <w:spacing w:line="360" w:lineRule="auto" w:before="1" w:after="0"/>
        <w:ind w:left="197" w:right="477" w:firstLine="0"/>
        <w:jc w:val="left"/>
        <w:rPr>
          <w:sz w:val="20"/>
        </w:rPr>
      </w:pPr>
      <w:r>
        <w:rPr>
          <w:sz w:val="20"/>
        </w:rPr>
        <w:t>The next steps for the Group would be to: consult on its recommendation and potential adoption strategies; solicit additional feedback from stakeholders by hosting a roundtable; and review the composition and structure of the Group, reflecting the changing nature of the work towards a focus on adoption.</w:t>
      </w:r>
    </w:p>
    <w:p>
      <w:pPr>
        <w:pStyle w:val="ListParagraph"/>
        <w:numPr>
          <w:ilvl w:val="0"/>
          <w:numId w:val="1"/>
        </w:numPr>
        <w:tabs>
          <w:tab w:pos="624" w:val="left" w:leader="none"/>
          <w:tab w:pos="626" w:val="left" w:leader="none"/>
        </w:tabs>
        <w:spacing w:line="360" w:lineRule="auto" w:before="120" w:after="0"/>
        <w:ind w:left="197" w:right="299" w:firstLine="0"/>
        <w:jc w:val="left"/>
        <w:rPr>
          <w:sz w:val="20"/>
        </w:rPr>
      </w:pPr>
      <w:r>
        <w:rPr>
          <w:sz w:val="20"/>
        </w:rPr>
        <w:t>The Group’s recommendation, together with proposed steps toward an adoption plan, would be subject to a broad market consultation to be held in the middle of 2017, launched by the publication of a white</w:t>
      </w:r>
      <w:r>
        <w:rPr>
          <w:spacing w:val="-2"/>
          <w:sz w:val="20"/>
        </w:rPr>
        <w:t> </w:t>
      </w:r>
      <w:r>
        <w:rPr>
          <w:sz w:val="20"/>
        </w:rPr>
        <w:t>paper.</w:t>
      </w:r>
    </w:p>
    <w:p>
      <w:pPr>
        <w:pStyle w:val="ListParagraph"/>
        <w:numPr>
          <w:ilvl w:val="0"/>
          <w:numId w:val="1"/>
        </w:numPr>
        <w:tabs>
          <w:tab w:pos="625" w:val="left" w:leader="none"/>
        </w:tabs>
        <w:spacing w:line="360" w:lineRule="auto" w:before="119" w:after="0"/>
        <w:ind w:left="197" w:right="329" w:firstLine="0"/>
        <w:jc w:val="both"/>
        <w:rPr>
          <w:sz w:val="20"/>
        </w:rPr>
      </w:pPr>
      <w:r>
        <w:rPr>
          <w:sz w:val="20"/>
        </w:rPr>
        <w:t>In order to support engagement with a broad cross-section of stakeholders, the Group agreed that part of the consultation process should include a roundtable event, hosted by the Bank of England. The aims of the roundtable would be to:</w:t>
      </w:r>
    </w:p>
    <w:p>
      <w:pPr>
        <w:pStyle w:val="ListParagraph"/>
        <w:numPr>
          <w:ilvl w:val="1"/>
          <w:numId w:val="1"/>
        </w:numPr>
        <w:tabs>
          <w:tab w:pos="918" w:val="left" w:leader="none"/>
        </w:tabs>
        <w:spacing w:line="240" w:lineRule="auto" w:before="121" w:after="0"/>
        <w:ind w:left="917" w:right="0" w:hanging="294"/>
        <w:jc w:val="both"/>
        <w:rPr>
          <w:sz w:val="20"/>
        </w:rPr>
      </w:pPr>
      <w:r>
        <w:rPr>
          <w:sz w:val="20"/>
        </w:rPr>
        <w:t>Raise awareness of the benchmark reform agenda with a broad set of</w:t>
      </w:r>
      <w:r>
        <w:rPr>
          <w:spacing w:val="-9"/>
          <w:sz w:val="20"/>
        </w:rPr>
        <w:t> </w:t>
      </w:r>
      <w:r>
        <w:rPr>
          <w:sz w:val="20"/>
        </w:rPr>
        <w:t>stakeholders;</w:t>
      </w:r>
    </w:p>
    <w:p>
      <w:pPr>
        <w:pStyle w:val="BodyText"/>
        <w:spacing w:before="2"/>
      </w:pPr>
    </w:p>
    <w:p>
      <w:pPr>
        <w:pStyle w:val="ListParagraph"/>
        <w:numPr>
          <w:ilvl w:val="1"/>
          <w:numId w:val="1"/>
        </w:numPr>
        <w:tabs>
          <w:tab w:pos="917" w:val="left" w:leader="none"/>
          <w:tab w:pos="918" w:val="left" w:leader="none"/>
        </w:tabs>
        <w:spacing w:line="352" w:lineRule="auto" w:before="0" w:after="0"/>
        <w:ind w:left="624" w:right="1104" w:firstLine="0"/>
        <w:jc w:val="left"/>
        <w:rPr>
          <w:sz w:val="20"/>
        </w:rPr>
      </w:pPr>
      <w:r>
        <w:rPr>
          <w:sz w:val="20"/>
        </w:rPr>
        <w:t>Articulate the rationale for the Group’s recommendation and provide an opportunity for constructive feedback;</w:t>
      </w:r>
      <w:r>
        <w:rPr>
          <w:spacing w:val="-3"/>
          <w:sz w:val="20"/>
        </w:rPr>
        <w:t> </w:t>
      </w:r>
      <w:r>
        <w:rPr>
          <w:sz w:val="20"/>
        </w:rPr>
        <w:t>and</w:t>
      </w:r>
    </w:p>
    <w:p>
      <w:pPr>
        <w:pStyle w:val="ListParagraph"/>
        <w:numPr>
          <w:ilvl w:val="1"/>
          <w:numId w:val="1"/>
        </w:numPr>
        <w:tabs>
          <w:tab w:pos="917" w:val="left" w:leader="none"/>
          <w:tab w:pos="918" w:val="left" w:leader="none"/>
        </w:tabs>
        <w:spacing w:line="240" w:lineRule="auto" w:before="125" w:after="0"/>
        <w:ind w:left="917" w:right="0" w:hanging="294"/>
        <w:jc w:val="left"/>
        <w:rPr>
          <w:sz w:val="20"/>
        </w:rPr>
      </w:pPr>
      <w:r>
        <w:rPr>
          <w:sz w:val="20"/>
        </w:rPr>
        <w:t>Communicate SONIA adoption objectives and elicit input on potential adoption</w:t>
      </w:r>
      <w:r>
        <w:rPr>
          <w:spacing w:val="-17"/>
          <w:sz w:val="20"/>
        </w:rPr>
        <w:t> </w:t>
      </w:r>
      <w:r>
        <w:rPr>
          <w:sz w:val="20"/>
        </w:rPr>
        <w:t>strategies.</w:t>
      </w:r>
    </w:p>
    <w:p>
      <w:pPr>
        <w:pStyle w:val="BodyText"/>
        <w:spacing w:before="4"/>
      </w:pPr>
    </w:p>
    <w:p>
      <w:pPr>
        <w:pStyle w:val="ListParagraph"/>
        <w:numPr>
          <w:ilvl w:val="0"/>
          <w:numId w:val="1"/>
        </w:numPr>
        <w:tabs>
          <w:tab w:pos="625" w:val="left" w:leader="none"/>
        </w:tabs>
        <w:spacing w:line="360" w:lineRule="auto" w:before="0" w:after="0"/>
        <w:ind w:left="197" w:right="141" w:firstLine="0"/>
        <w:jc w:val="both"/>
        <w:rPr>
          <w:sz w:val="20"/>
        </w:rPr>
      </w:pPr>
      <w:r>
        <w:rPr>
          <w:sz w:val="20"/>
        </w:rPr>
        <w:t>Some members noted that they had received queries from clients following the announcement of the preferred sterling RFR, highlighting the importance of clear communications and provision of channels for end-users to participate.</w:t>
      </w:r>
    </w:p>
    <w:p>
      <w:pPr>
        <w:pStyle w:val="ListParagraph"/>
        <w:numPr>
          <w:ilvl w:val="0"/>
          <w:numId w:val="1"/>
        </w:numPr>
        <w:tabs>
          <w:tab w:pos="624" w:val="left" w:leader="none"/>
          <w:tab w:pos="625" w:val="left" w:leader="none"/>
        </w:tabs>
        <w:spacing w:line="360" w:lineRule="auto" w:before="120" w:after="0"/>
        <w:ind w:left="196" w:right="116" w:firstLine="0"/>
        <w:jc w:val="left"/>
        <w:rPr>
          <w:sz w:val="20"/>
        </w:rPr>
      </w:pPr>
      <w:r>
        <w:rPr>
          <w:sz w:val="20"/>
        </w:rPr>
        <w:t>Looking further ahead, the Chair proposed an expansion of the representation on the Working Group to reflect the changing nature of the work. Given that implementation of the RFR as an alternative to sterling</w:t>
      </w:r>
      <w:r>
        <w:rPr>
          <w:spacing w:val="-4"/>
          <w:sz w:val="20"/>
        </w:rPr>
        <w:t> </w:t>
      </w:r>
      <w:r>
        <w:rPr>
          <w:sz w:val="20"/>
        </w:rPr>
        <w:t>Libor</w:t>
      </w:r>
      <w:r>
        <w:rPr>
          <w:spacing w:val="-1"/>
          <w:sz w:val="20"/>
        </w:rPr>
        <w:t> </w:t>
      </w:r>
      <w:r>
        <w:rPr>
          <w:sz w:val="20"/>
        </w:rPr>
        <w:t>would</w:t>
      </w:r>
      <w:r>
        <w:rPr>
          <w:spacing w:val="-3"/>
          <w:sz w:val="20"/>
        </w:rPr>
        <w:t> </w:t>
      </w:r>
      <w:r>
        <w:rPr>
          <w:sz w:val="20"/>
        </w:rPr>
        <w:t>depend</w:t>
      </w:r>
      <w:r>
        <w:rPr>
          <w:spacing w:val="-1"/>
          <w:sz w:val="20"/>
        </w:rPr>
        <w:t> </w:t>
      </w:r>
      <w:r>
        <w:rPr>
          <w:sz w:val="20"/>
        </w:rPr>
        <w:t>on</w:t>
      </w:r>
      <w:r>
        <w:rPr>
          <w:spacing w:val="-4"/>
          <w:sz w:val="20"/>
        </w:rPr>
        <w:t> </w:t>
      </w:r>
      <w:r>
        <w:rPr>
          <w:sz w:val="20"/>
        </w:rPr>
        <w:t>market-led</w:t>
      </w:r>
      <w:r>
        <w:rPr>
          <w:spacing w:val="-3"/>
          <w:sz w:val="20"/>
        </w:rPr>
        <w:t> </w:t>
      </w:r>
      <w:r>
        <w:rPr>
          <w:sz w:val="20"/>
        </w:rPr>
        <w:t>adoption,</w:t>
      </w:r>
      <w:r>
        <w:rPr>
          <w:spacing w:val="-4"/>
          <w:sz w:val="20"/>
        </w:rPr>
        <w:t> </w:t>
      </w:r>
      <w:r>
        <w:rPr>
          <w:sz w:val="20"/>
        </w:rPr>
        <w:t>members</w:t>
      </w:r>
      <w:r>
        <w:rPr>
          <w:spacing w:val="-3"/>
          <w:sz w:val="20"/>
        </w:rPr>
        <w:t> </w:t>
      </w:r>
      <w:r>
        <w:rPr>
          <w:sz w:val="20"/>
        </w:rPr>
        <w:t>agreed</w:t>
      </w:r>
      <w:r>
        <w:rPr>
          <w:spacing w:val="-4"/>
          <w:sz w:val="20"/>
        </w:rPr>
        <w:t> </w:t>
      </w:r>
      <w:r>
        <w:rPr>
          <w:sz w:val="20"/>
        </w:rPr>
        <w:t>that</w:t>
      </w:r>
      <w:r>
        <w:rPr>
          <w:spacing w:val="-4"/>
          <w:sz w:val="20"/>
        </w:rPr>
        <w:t> </w:t>
      </w:r>
      <w:r>
        <w:rPr>
          <w:sz w:val="20"/>
        </w:rPr>
        <w:t>the</w:t>
      </w:r>
      <w:r>
        <w:rPr>
          <w:spacing w:val="-4"/>
          <w:sz w:val="20"/>
        </w:rPr>
        <w:t> </w:t>
      </w:r>
      <w:r>
        <w:rPr>
          <w:sz w:val="20"/>
        </w:rPr>
        <w:t>structure</w:t>
      </w:r>
      <w:r>
        <w:rPr>
          <w:spacing w:val="-3"/>
          <w:sz w:val="20"/>
        </w:rPr>
        <w:t> </w:t>
      </w:r>
      <w:r>
        <w:rPr>
          <w:sz w:val="20"/>
        </w:rPr>
        <w:t>and</w:t>
      </w:r>
      <w:r>
        <w:rPr>
          <w:spacing w:val="-4"/>
          <w:sz w:val="20"/>
        </w:rPr>
        <w:t> </w:t>
      </w:r>
      <w:r>
        <w:rPr>
          <w:sz w:val="20"/>
        </w:rPr>
        <w:t>composition</w:t>
      </w:r>
    </w:p>
    <w:p>
      <w:pPr>
        <w:spacing w:after="0" w:line="360" w:lineRule="auto"/>
        <w:jc w:val="left"/>
        <w:rPr>
          <w:sz w:val="20"/>
        </w:rPr>
        <w:sectPr>
          <w:type w:val="continuous"/>
          <w:pgSz w:w="11910" w:h="16840"/>
          <w:pgMar w:top="1180" w:bottom="280" w:left="1240" w:right="1020"/>
        </w:sectPr>
      </w:pPr>
    </w:p>
    <w:p>
      <w:pPr>
        <w:pStyle w:val="BodyText"/>
        <w:spacing w:line="360" w:lineRule="auto" w:before="75"/>
        <w:ind w:left="200" w:right="213"/>
      </w:pPr>
      <w:r>
        <w:rPr/>
        <w:t>of the Group could better reflect this. The Group discussed how ongoing participation from a wider set of stakeholders could be achieved. A more detailed proposal would be developed for the Group’s consideration.</w:t>
      </w:r>
    </w:p>
    <w:p>
      <w:pPr>
        <w:spacing w:after="0" w:line="360" w:lineRule="auto"/>
        <w:sectPr>
          <w:pgSz w:w="11910" w:h="16840"/>
          <w:pgMar w:top="1180" w:bottom="280" w:left="1240" w:right="1020"/>
        </w:sectPr>
      </w:pPr>
    </w:p>
    <w:p>
      <w:pPr>
        <w:pStyle w:val="Heading1"/>
        <w:spacing w:before="75"/>
        <w:ind w:left="200"/>
      </w:pPr>
      <w:r>
        <w:rPr/>
        <w:t>Private sector</w:t>
      </w:r>
      <w:r>
        <w:rPr>
          <w:spacing w:val="-17"/>
        </w:rPr>
        <w:t> </w:t>
      </w:r>
      <w:r>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3030"/>
      </w:tblGrid>
      <w:tr>
        <w:trPr>
          <w:trHeight w:val="262" w:hRule="atLeast"/>
        </w:trPr>
        <w:tc>
          <w:tcPr>
            <w:tcW w:w="2775" w:type="dxa"/>
          </w:tcPr>
          <w:p>
            <w:pPr>
              <w:pStyle w:val="TableParagraph"/>
              <w:spacing w:line="225" w:lineRule="exact" w:before="0"/>
              <w:rPr>
                <w:sz w:val="20"/>
              </w:rPr>
            </w:pPr>
            <w:r>
              <w:rPr>
                <w:sz w:val="20"/>
              </w:rPr>
              <w:t>Nick Saggers</w:t>
            </w:r>
          </w:p>
        </w:tc>
        <w:tc>
          <w:tcPr>
            <w:tcW w:w="3030" w:type="dxa"/>
          </w:tcPr>
          <w:p>
            <w:pPr>
              <w:pStyle w:val="TableParagraph"/>
              <w:spacing w:line="223" w:lineRule="exact" w:before="0"/>
              <w:ind w:left="545"/>
              <w:rPr>
                <w:b/>
                <w:sz w:val="20"/>
              </w:rPr>
            </w:pPr>
            <w:r>
              <w:rPr>
                <w:b/>
                <w:sz w:val="20"/>
              </w:rPr>
              <w:t>BAML</w:t>
            </w:r>
          </w:p>
        </w:tc>
      </w:tr>
      <w:tr>
        <w:trPr>
          <w:trHeight w:val="300" w:hRule="atLeast"/>
        </w:trPr>
        <w:tc>
          <w:tcPr>
            <w:tcW w:w="2775" w:type="dxa"/>
          </w:tcPr>
          <w:p>
            <w:pPr>
              <w:pStyle w:val="TableParagraph"/>
              <w:rPr>
                <w:sz w:val="20"/>
              </w:rPr>
            </w:pPr>
            <w:r>
              <w:rPr>
                <w:sz w:val="20"/>
              </w:rPr>
              <w:t>Francois Jourdain</w:t>
            </w:r>
          </w:p>
        </w:tc>
        <w:tc>
          <w:tcPr>
            <w:tcW w:w="3030" w:type="dxa"/>
          </w:tcPr>
          <w:p>
            <w:pPr>
              <w:pStyle w:val="TableParagraph"/>
              <w:spacing w:before="30"/>
              <w:ind w:left="545"/>
              <w:rPr>
                <w:b/>
                <w:sz w:val="20"/>
              </w:rPr>
            </w:pPr>
            <w:r>
              <w:rPr>
                <w:b/>
                <w:sz w:val="20"/>
              </w:rPr>
              <w:t>Barclays (Chair)</w:t>
            </w:r>
          </w:p>
        </w:tc>
      </w:tr>
      <w:tr>
        <w:trPr>
          <w:trHeight w:val="300" w:hRule="atLeast"/>
        </w:trPr>
        <w:tc>
          <w:tcPr>
            <w:tcW w:w="2775" w:type="dxa"/>
          </w:tcPr>
          <w:p>
            <w:pPr>
              <w:pStyle w:val="TableParagraph"/>
              <w:rPr>
                <w:sz w:val="20"/>
              </w:rPr>
            </w:pPr>
            <w:r>
              <w:rPr>
                <w:sz w:val="20"/>
              </w:rPr>
              <w:t>Farah Mansoor</w:t>
            </w:r>
          </w:p>
        </w:tc>
        <w:tc>
          <w:tcPr>
            <w:tcW w:w="3030" w:type="dxa"/>
          </w:tcPr>
          <w:p>
            <w:pPr>
              <w:pStyle w:val="TableParagraph"/>
              <w:spacing w:before="30"/>
              <w:ind w:left="545"/>
              <w:rPr>
                <w:b/>
                <w:sz w:val="20"/>
              </w:rPr>
            </w:pPr>
            <w:r>
              <w:rPr>
                <w:b/>
                <w:sz w:val="20"/>
              </w:rPr>
              <w:t>Barclays (Chair’s office)</w:t>
            </w:r>
          </w:p>
        </w:tc>
      </w:tr>
      <w:tr>
        <w:trPr>
          <w:trHeight w:val="300" w:hRule="atLeast"/>
        </w:trPr>
        <w:tc>
          <w:tcPr>
            <w:tcW w:w="2775" w:type="dxa"/>
          </w:tcPr>
          <w:p>
            <w:pPr>
              <w:pStyle w:val="TableParagraph"/>
              <w:rPr>
                <w:sz w:val="20"/>
              </w:rPr>
            </w:pPr>
            <w:r>
              <w:rPr>
                <w:sz w:val="20"/>
              </w:rPr>
              <w:t>Andreas Giannopoulos</w:t>
            </w:r>
          </w:p>
        </w:tc>
        <w:tc>
          <w:tcPr>
            <w:tcW w:w="3030" w:type="dxa"/>
          </w:tcPr>
          <w:p>
            <w:pPr>
              <w:pStyle w:val="TableParagraph"/>
              <w:spacing w:before="30"/>
              <w:ind w:left="545"/>
              <w:rPr>
                <w:b/>
                <w:sz w:val="20"/>
              </w:rPr>
            </w:pPr>
            <w:r>
              <w:rPr>
                <w:b/>
                <w:sz w:val="20"/>
              </w:rPr>
              <w:t>Barclays (Chair’s office)</w:t>
            </w:r>
          </w:p>
        </w:tc>
      </w:tr>
      <w:tr>
        <w:trPr>
          <w:trHeight w:val="300" w:hRule="atLeast"/>
        </w:trPr>
        <w:tc>
          <w:tcPr>
            <w:tcW w:w="2775" w:type="dxa"/>
          </w:tcPr>
          <w:p>
            <w:pPr>
              <w:pStyle w:val="TableParagraph"/>
              <w:rPr>
                <w:sz w:val="20"/>
              </w:rPr>
            </w:pPr>
            <w:r>
              <w:rPr>
                <w:sz w:val="20"/>
              </w:rPr>
              <w:t>Mike Manna</w:t>
            </w:r>
          </w:p>
        </w:tc>
        <w:tc>
          <w:tcPr>
            <w:tcW w:w="3030" w:type="dxa"/>
          </w:tcPr>
          <w:p>
            <w:pPr>
              <w:pStyle w:val="TableParagraph"/>
              <w:spacing w:before="30"/>
              <w:ind w:left="545"/>
              <w:rPr>
                <w:b/>
                <w:sz w:val="20"/>
              </w:rPr>
            </w:pPr>
            <w:r>
              <w:rPr>
                <w:b/>
                <w:sz w:val="20"/>
              </w:rPr>
              <w:t>Barclays</w:t>
            </w:r>
          </w:p>
        </w:tc>
      </w:tr>
      <w:tr>
        <w:trPr>
          <w:trHeight w:val="300" w:hRule="atLeast"/>
        </w:trPr>
        <w:tc>
          <w:tcPr>
            <w:tcW w:w="2775" w:type="dxa"/>
          </w:tcPr>
          <w:p>
            <w:pPr>
              <w:pStyle w:val="TableParagraph"/>
              <w:rPr>
                <w:sz w:val="20"/>
              </w:rPr>
            </w:pPr>
            <w:r>
              <w:rPr>
                <w:sz w:val="20"/>
              </w:rPr>
              <w:t>Adrian Averre</w:t>
            </w:r>
          </w:p>
        </w:tc>
        <w:tc>
          <w:tcPr>
            <w:tcW w:w="3030" w:type="dxa"/>
          </w:tcPr>
          <w:p>
            <w:pPr>
              <w:pStyle w:val="TableParagraph"/>
              <w:spacing w:before="30"/>
              <w:ind w:left="545"/>
              <w:rPr>
                <w:b/>
                <w:sz w:val="20"/>
              </w:rPr>
            </w:pPr>
            <w:r>
              <w:rPr>
                <w:b/>
                <w:sz w:val="20"/>
              </w:rPr>
              <w:t>BNP Paribas</w:t>
            </w:r>
          </w:p>
        </w:tc>
      </w:tr>
      <w:tr>
        <w:trPr>
          <w:trHeight w:val="300" w:hRule="atLeast"/>
        </w:trPr>
        <w:tc>
          <w:tcPr>
            <w:tcW w:w="2775" w:type="dxa"/>
          </w:tcPr>
          <w:p>
            <w:pPr>
              <w:pStyle w:val="TableParagraph"/>
              <w:rPr>
                <w:sz w:val="20"/>
              </w:rPr>
            </w:pPr>
            <w:r>
              <w:rPr>
                <w:sz w:val="20"/>
              </w:rPr>
              <w:t>Stephen Randall</w:t>
            </w:r>
          </w:p>
        </w:tc>
        <w:tc>
          <w:tcPr>
            <w:tcW w:w="3030" w:type="dxa"/>
          </w:tcPr>
          <w:p>
            <w:pPr>
              <w:pStyle w:val="TableParagraph"/>
              <w:spacing w:before="30"/>
              <w:ind w:left="545"/>
              <w:rPr>
                <w:b/>
                <w:sz w:val="20"/>
              </w:rPr>
            </w:pPr>
            <w:r>
              <w:rPr>
                <w:b/>
                <w:sz w:val="20"/>
              </w:rPr>
              <w:t>Citigroup</w:t>
            </w:r>
          </w:p>
        </w:tc>
      </w:tr>
      <w:tr>
        <w:trPr>
          <w:trHeight w:val="300" w:hRule="atLeast"/>
        </w:trPr>
        <w:tc>
          <w:tcPr>
            <w:tcW w:w="2775" w:type="dxa"/>
          </w:tcPr>
          <w:p>
            <w:pPr>
              <w:pStyle w:val="TableParagraph"/>
              <w:rPr>
                <w:sz w:val="20"/>
              </w:rPr>
            </w:pPr>
            <w:r>
              <w:rPr>
                <w:sz w:val="20"/>
              </w:rPr>
              <w:t>Alain Verdickt</w:t>
            </w:r>
          </w:p>
        </w:tc>
        <w:tc>
          <w:tcPr>
            <w:tcW w:w="3030" w:type="dxa"/>
          </w:tcPr>
          <w:p>
            <w:pPr>
              <w:pStyle w:val="TableParagraph"/>
              <w:spacing w:before="30"/>
              <w:ind w:left="545"/>
              <w:rPr>
                <w:b/>
                <w:sz w:val="20"/>
              </w:rPr>
            </w:pPr>
            <w:r>
              <w:rPr>
                <w:b/>
                <w:sz w:val="20"/>
              </w:rPr>
              <w:t>Citigroup</w:t>
            </w:r>
          </w:p>
        </w:tc>
      </w:tr>
      <w:tr>
        <w:trPr>
          <w:trHeight w:val="300" w:hRule="atLeast"/>
        </w:trPr>
        <w:tc>
          <w:tcPr>
            <w:tcW w:w="2775" w:type="dxa"/>
          </w:tcPr>
          <w:p>
            <w:pPr>
              <w:pStyle w:val="TableParagraph"/>
              <w:rPr>
                <w:sz w:val="20"/>
              </w:rPr>
            </w:pPr>
            <w:r>
              <w:rPr>
                <w:sz w:val="20"/>
              </w:rPr>
              <w:t>Arif Merali</w:t>
            </w:r>
          </w:p>
        </w:tc>
        <w:tc>
          <w:tcPr>
            <w:tcW w:w="3030" w:type="dxa"/>
          </w:tcPr>
          <w:p>
            <w:pPr>
              <w:pStyle w:val="TableParagraph"/>
              <w:spacing w:before="30"/>
              <w:ind w:left="545"/>
              <w:rPr>
                <w:b/>
                <w:sz w:val="20"/>
              </w:rPr>
            </w:pPr>
            <w:r>
              <w:rPr>
                <w:b/>
                <w:sz w:val="20"/>
              </w:rPr>
              <w:t>Credit Suisse</w:t>
            </w:r>
          </w:p>
        </w:tc>
      </w:tr>
      <w:tr>
        <w:trPr>
          <w:trHeight w:val="300" w:hRule="atLeast"/>
        </w:trPr>
        <w:tc>
          <w:tcPr>
            <w:tcW w:w="2775" w:type="dxa"/>
          </w:tcPr>
          <w:p>
            <w:pPr>
              <w:pStyle w:val="TableParagraph"/>
              <w:rPr>
                <w:sz w:val="20"/>
              </w:rPr>
            </w:pPr>
            <w:r>
              <w:rPr>
                <w:sz w:val="20"/>
              </w:rPr>
              <w:t>John Hilty</w:t>
            </w:r>
          </w:p>
        </w:tc>
        <w:tc>
          <w:tcPr>
            <w:tcW w:w="3030" w:type="dxa"/>
          </w:tcPr>
          <w:p>
            <w:pPr>
              <w:pStyle w:val="TableParagraph"/>
              <w:spacing w:before="30"/>
              <w:ind w:left="545"/>
              <w:rPr>
                <w:b/>
                <w:sz w:val="20"/>
              </w:rPr>
            </w:pPr>
            <w:r>
              <w:rPr>
                <w:b/>
                <w:sz w:val="20"/>
              </w:rPr>
              <w:t>Deutsche Bank</w:t>
            </w:r>
          </w:p>
        </w:tc>
      </w:tr>
      <w:tr>
        <w:trPr>
          <w:trHeight w:val="300" w:hRule="atLeast"/>
        </w:trPr>
        <w:tc>
          <w:tcPr>
            <w:tcW w:w="2775" w:type="dxa"/>
          </w:tcPr>
          <w:p>
            <w:pPr>
              <w:pStyle w:val="TableParagraph"/>
              <w:rPr>
                <w:sz w:val="20"/>
              </w:rPr>
            </w:pPr>
            <w:r>
              <w:rPr>
                <w:sz w:val="20"/>
              </w:rPr>
              <w:t>Michael Graham</w:t>
            </w:r>
          </w:p>
        </w:tc>
        <w:tc>
          <w:tcPr>
            <w:tcW w:w="3030" w:type="dxa"/>
          </w:tcPr>
          <w:p>
            <w:pPr>
              <w:pStyle w:val="TableParagraph"/>
              <w:spacing w:before="30"/>
              <w:ind w:left="545"/>
              <w:rPr>
                <w:b/>
                <w:sz w:val="20"/>
              </w:rPr>
            </w:pPr>
            <w:r>
              <w:rPr>
                <w:b/>
                <w:sz w:val="20"/>
              </w:rPr>
              <w:t>Goldman Sachs</w:t>
            </w:r>
          </w:p>
        </w:tc>
      </w:tr>
      <w:tr>
        <w:trPr>
          <w:trHeight w:val="300" w:hRule="atLeast"/>
        </w:trPr>
        <w:tc>
          <w:tcPr>
            <w:tcW w:w="2775" w:type="dxa"/>
          </w:tcPr>
          <w:p>
            <w:pPr>
              <w:pStyle w:val="TableParagraph"/>
              <w:rPr>
                <w:sz w:val="20"/>
              </w:rPr>
            </w:pPr>
            <w:r>
              <w:rPr>
                <w:sz w:val="20"/>
              </w:rPr>
              <w:t>Glenn Handley</w:t>
            </w:r>
          </w:p>
        </w:tc>
        <w:tc>
          <w:tcPr>
            <w:tcW w:w="3030" w:type="dxa"/>
          </w:tcPr>
          <w:p>
            <w:pPr>
              <w:pStyle w:val="TableParagraph"/>
              <w:spacing w:before="30"/>
              <w:ind w:left="545"/>
              <w:rPr>
                <w:b/>
                <w:sz w:val="20"/>
              </w:rPr>
            </w:pPr>
            <w:r>
              <w:rPr>
                <w:b/>
                <w:sz w:val="20"/>
              </w:rPr>
              <w:t>HSBC</w:t>
            </w:r>
          </w:p>
        </w:tc>
      </w:tr>
      <w:tr>
        <w:trPr>
          <w:trHeight w:val="300" w:hRule="atLeast"/>
        </w:trPr>
        <w:tc>
          <w:tcPr>
            <w:tcW w:w="2775" w:type="dxa"/>
          </w:tcPr>
          <w:p>
            <w:pPr>
              <w:pStyle w:val="TableParagraph"/>
              <w:rPr>
                <w:sz w:val="20"/>
              </w:rPr>
            </w:pPr>
            <w:r>
              <w:rPr>
                <w:sz w:val="20"/>
              </w:rPr>
              <w:t>Kari Hallgrimsson</w:t>
            </w:r>
          </w:p>
        </w:tc>
        <w:tc>
          <w:tcPr>
            <w:tcW w:w="3030" w:type="dxa"/>
          </w:tcPr>
          <w:p>
            <w:pPr>
              <w:pStyle w:val="TableParagraph"/>
              <w:spacing w:before="30"/>
              <w:ind w:left="545"/>
              <w:rPr>
                <w:b/>
                <w:sz w:val="20"/>
              </w:rPr>
            </w:pPr>
            <w:r>
              <w:rPr>
                <w:b/>
                <w:sz w:val="20"/>
              </w:rPr>
              <w:t>JP Morgan</w:t>
            </w:r>
          </w:p>
        </w:tc>
      </w:tr>
      <w:tr>
        <w:trPr>
          <w:trHeight w:val="300" w:hRule="atLeast"/>
        </w:trPr>
        <w:tc>
          <w:tcPr>
            <w:tcW w:w="2775" w:type="dxa"/>
          </w:tcPr>
          <w:p>
            <w:pPr>
              <w:pStyle w:val="TableParagraph"/>
              <w:rPr>
                <w:sz w:val="20"/>
              </w:rPr>
            </w:pPr>
            <w:r>
              <w:rPr>
                <w:sz w:val="20"/>
              </w:rPr>
              <w:t>Steve Bullock</w:t>
            </w:r>
          </w:p>
        </w:tc>
        <w:tc>
          <w:tcPr>
            <w:tcW w:w="3030" w:type="dxa"/>
          </w:tcPr>
          <w:p>
            <w:pPr>
              <w:pStyle w:val="TableParagraph"/>
              <w:spacing w:before="30"/>
              <w:ind w:left="545"/>
              <w:rPr>
                <w:b/>
                <w:sz w:val="20"/>
              </w:rPr>
            </w:pPr>
            <w:r>
              <w:rPr>
                <w:b/>
                <w:sz w:val="20"/>
              </w:rPr>
              <w:t>Lloyds</w:t>
            </w:r>
          </w:p>
        </w:tc>
      </w:tr>
      <w:tr>
        <w:trPr>
          <w:trHeight w:val="300" w:hRule="atLeast"/>
        </w:trPr>
        <w:tc>
          <w:tcPr>
            <w:tcW w:w="2775" w:type="dxa"/>
          </w:tcPr>
          <w:p>
            <w:pPr>
              <w:pStyle w:val="TableParagraph"/>
              <w:rPr>
                <w:sz w:val="20"/>
              </w:rPr>
            </w:pPr>
            <w:r>
              <w:rPr>
                <w:sz w:val="20"/>
              </w:rPr>
              <w:t>Freddie Napier</w:t>
            </w:r>
          </w:p>
        </w:tc>
        <w:tc>
          <w:tcPr>
            <w:tcW w:w="3030" w:type="dxa"/>
          </w:tcPr>
          <w:p>
            <w:pPr>
              <w:pStyle w:val="TableParagraph"/>
              <w:spacing w:before="30"/>
              <w:ind w:left="545"/>
              <w:rPr>
                <w:b/>
                <w:sz w:val="20"/>
              </w:rPr>
            </w:pPr>
            <w:r>
              <w:rPr>
                <w:b/>
                <w:sz w:val="20"/>
              </w:rPr>
              <w:t>Morgan Stanley</w:t>
            </w:r>
          </w:p>
        </w:tc>
      </w:tr>
      <w:tr>
        <w:trPr>
          <w:trHeight w:val="300" w:hRule="atLeast"/>
        </w:trPr>
        <w:tc>
          <w:tcPr>
            <w:tcW w:w="2775" w:type="dxa"/>
          </w:tcPr>
          <w:p>
            <w:pPr>
              <w:pStyle w:val="TableParagraph"/>
              <w:rPr>
                <w:sz w:val="20"/>
              </w:rPr>
            </w:pPr>
            <w:r>
              <w:rPr>
                <w:sz w:val="20"/>
              </w:rPr>
              <w:t>Mike Curtis</w:t>
            </w:r>
          </w:p>
        </w:tc>
        <w:tc>
          <w:tcPr>
            <w:tcW w:w="3030" w:type="dxa"/>
          </w:tcPr>
          <w:p>
            <w:pPr>
              <w:pStyle w:val="TableParagraph"/>
              <w:spacing w:before="30"/>
              <w:ind w:left="545"/>
              <w:rPr>
                <w:b/>
                <w:sz w:val="20"/>
              </w:rPr>
            </w:pPr>
            <w:r>
              <w:rPr>
                <w:b/>
                <w:sz w:val="20"/>
              </w:rPr>
              <w:t>Nomura</w:t>
            </w:r>
          </w:p>
        </w:tc>
      </w:tr>
      <w:tr>
        <w:trPr>
          <w:trHeight w:val="300" w:hRule="atLeast"/>
        </w:trPr>
        <w:tc>
          <w:tcPr>
            <w:tcW w:w="2775" w:type="dxa"/>
          </w:tcPr>
          <w:p>
            <w:pPr>
              <w:pStyle w:val="TableParagraph"/>
              <w:rPr>
                <w:sz w:val="20"/>
              </w:rPr>
            </w:pPr>
            <w:r>
              <w:rPr>
                <w:sz w:val="20"/>
              </w:rPr>
              <w:t>Toby Stevenson</w:t>
            </w:r>
          </w:p>
        </w:tc>
        <w:tc>
          <w:tcPr>
            <w:tcW w:w="3030" w:type="dxa"/>
          </w:tcPr>
          <w:p>
            <w:pPr>
              <w:pStyle w:val="TableParagraph"/>
              <w:spacing w:before="30"/>
              <w:ind w:left="545"/>
              <w:rPr>
                <w:b/>
                <w:sz w:val="20"/>
              </w:rPr>
            </w:pPr>
            <w:r>
              <w:rPr>
                <w:b/>
                <w:sz w:val="20"/>
              </w:rPr>
              <w:t>RBS</w:t>
            </w:r>
          </w:p>
        </w:tc>
      </w:tr>
      <w:tr>
        <w:trPr>
          <w:trHeight w:val="300" w:hRule="atLeast"/>
        </w:trPr>
        <w:tc>
          <w:tcPr>
            <w:tcW w:w="2775" w:type="dxa"/>
          </w:tcPr>
          <w:p>
            <w:pPr>
              <w:pStyle w:val="TableParagraph"/>
              <w:rPr>
                <w:sz w:val="20"/>
              </w:rPr>
            </w:pPr>
            <w:r>
              <w:rPr>
                <w:sz w:val="20"/>
              </w:rPr>
              <w:t>Mark Thommason</w:t>
            </w:r>
          </w:p>
        </w:tc>
        <w:tc>
          <w:tcPr>
            <w:tcW w:w="3030" w:type="dxa"/>
          </w:tcPr>
          <w:p>
            <w:pPr>
              <w:pStyle w:val="TableParagraph"/>
              <w:spacing w:before="30"/>
              <w:ind w:left="545"/>
              <w:rPr>
                <w:b/>
                <w:sz w:val="20"/>
              </w:rPr>
            </w:pPr>
            <w:r>
              <w:rPr>
                <w:b/>
                <w:sz w:val="20"/>
              </w:rPr>
              <w:t>RBS</w:t>
            </w:r>
          </w:p>
        </w:tc>
      </w:tr>
      <w:tr>
        <w:trPr>
          <w:trHeight w:val="300" w:hRule="atLeast"/>
        </w:trPr>
        <w:tc>
          <w:tcPr>
            <w:tcW w:w="2775" w:type="dxa"/>
          </w:tcPr>
          <w:p>
            <w:pPr>
              <w:pStyle w:val="TableParagraph"/>
              <w:rPr>
                <w:sz w:val="20"/>
              </w:rPr>
            </w:pPr>
            <w:r>
              <w:rPr>
                <w:sz w:val="20"/>
              </w:rPr>
              <w:t>Paul Barnes</w:t>
            </w:r>
          </w:p>
        </w:tc>
        <w:tc>
          <w:tcPr>
            <w:tcW w:w="3030" w:type="dxa"/>
          </w:tcPr>
          <w:p>
            <w:pPr>
              <w:pStyle w:val="TableParagraph"/>
              <w:spacing w:before="30"/>
              <w:ind w:left="545"/>
              <w:rPr>
                <w:b/>
                <w:sz w:val="20"/>
              </w:rPr>
            </w:pPr>
            <w:r>
              <w:rPr>
                <w:b/>
                <w:sz w:val="20"/>
              </w:rPr>
              <w:t>Santander</w:t>
            </w:r>
          </w:p>
        </w:tc>
      </w:tr>
      <w:tr>
        <w:trPr>
          <w:trHeight w:val="300" w:hRule="atLeast"/>
        </w:trPr>
        <w:tc>
          <w:tcPr>
            <w:tcW w:w="2775" w:type="dxa"/>
          </w:tcPr>
          <w:p>
            <w:pPr>
              <w:pStyle w:val="TableParagraph"/>
              <w:rPr>
                <w:sz w:val="20"/>
              </w:rPr>
            </w:pPr>
            <w:r>
              <w:rPr>
                <w:sz w:val="20"/>
              </w:rPr>
              <w:t>Stephane Cuny</w:t>
            </w:r>
          </w:p>
        </w:tc>
        <w:tc>
          <w:tcPr>
            <w:tcW w:w="3030" w:type="dxa"/>
          </w:tcPr>
          <w:p>
            <w:pPr>
              <w:pStyle w:val="TableParagraph"/>
              <w:spacing w:before="30"/>
              <w:ind w:left="545"/>
              <w:rPr>
                <w:b/>
                <w:sz w:val="20"/>
              </w:rPr>
            </w:pPr>
            <w:r>
              <w:rPr>
                <w:b/>
                <w:sz w:val="20"/>
              </w:rPr>
              <w:t>Société Générale</w:t>
            </w:r>
          </w:p>
        </w:tc>
      </w:tr>
      <w:tr>
        <w:trPr>
          <w:trHeight w:val="300" w:hRule="atLeast"/>
        </w:trPr>
        <w:tc>
          <w:tcPr>
            <w:tcW w:w="2775" w:type="dxa"/>
          </w:tcPr>
          <w:p>
            <w:pPr>
              <w:pStyle w:val="TableParagraph"/>
              <w:rPr>
                <w:sz w:val="20"/>
              </w:rPr>
            </w:pPr>
            <w:r>
              <w:rPr>
                <w:sz w:val="20"/>
              </w:rPr>
              <w:t>Phil Whitehurst</w:t>
            </w:r>
          </w:p>
        </w:tc>
        <w:tc>
          <w:tcPr>
            <w:tcW w:w="3030" w:type="dxa"/>
          </w:tcPr>
          <w:p>
            <w:pPr>
              <w:pStyle w:val="TableParagraph"/>
              <w:spacing w:before="30"/>
              <w:ind w:left="545"/>
              <w:rPr>
                <w:b/>
                <w:sz w:val="20"/>
              </w:rPr>
            </w:pPr>
            <w:r>
              <w:rPr>
                <w:b/>
                <w:sz w:val="20"/>
              </w:rPr>
              <w:t>LCH ltd (Observer)</w:t>
            </w:r>
          </w:p>
        </w:tc>
      </w:tr>
      <w:tr>
        <w:trPr>
          <w:trHeight w:val="262" w:hRule="atLeast"/>
        </w:trPr>
        <w:tc>
          <w:tcPr>
            <w:tcW w:w="2775" w:type="dxa"/>
          </w:tcPr>
          <w:p>
            <w:pPr>
              <w:pStyle w:val="TableParagraph"/>
              <w:spacing w:line="210" w:lineRule="exact"/>
              <w:rPr>
                <w:sz w:val="20"/>
              </w:rPr>
            </w:pPr>
            <w:r>
              <w:rPr>
                <w:sz w:val="20"/>
              </w:rPr>
              <w:t>Rick Sandilands</w:t>
            </w:r>
          </w:p>
        </w:tc>
        <w:tc>
          <w:tcPr>
            <w:tcW w:w="3030" w:type="dxa"/>
          </w:tcPr>
          <w:p>
            <w:pPr>
              <w:pStyle w:val="TableParagraph"/>
              <w:spacing w:line="212" w:lineRule="exact" w:before="30"/>
              <w:ind w:left="545"/>
              <w:rPr>
                <w:b/>
                <w:sz w:val="20"/>
              </w:rPr>
            </w:pPr>
            <w:r>
              <w:rPr>
                <w:b/>
                <w:sz w:val="20"/>
              </w:rPr>
              <w:t>ISDA (Observer)</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16"/>
          <w:sz w:val="20"/>
        </w:rPr>
        <w:t> </w:t>
      </w:r>
      <w:r>
        <w:rPr>
          <w:b/>
          <w:sz w:val="20"/>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61"/>
      </w:tblGrid>
      <w:tr>
        <w:trPr>
          <w:trHeight w:val="264" w:hRule="atLeast"/>
        </w:trPr>
        <w:tc>
          <w:tcPr>
            <w:tcW w:w="2580" w:type="dxa"/>
          </w:tcPr>
          <w:p>
            <w:pPr>
              <w:pStyle w:val="TableParagraph"/>
              <w:spacing w:line="225" w:lineRule="exact" w:before="0"/>
              <w:rPr>
                <w:sz w:val="20"/>
              </w:rPr>
            </w:pPr>
            <w:r>
              <w:rPr>
                <w:sz w:val="20"/>
              </w:rPr>
              <w:t>Tim Taylor</w:t>
            </w:r>
          </w:p>
        </w:tc>
        <w:tc>
          <w:tcPr>
            <w:tcW w:w="3661" w:type="dxa"/>
          </w:tcPr>
          <w:p>
            <w:pPr>
              <w:pStyle w:val="TableParagraph"/>
              <w:spacing w:line="223" w:lineRule="exact" w:before="0"/>
              <w:ind w:left="780"/>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Will Parry</w:t>
            </w:r>
          </w:p>
        </w:tc>
        <w:tc>
          <w:tcPr>
            <w:tcW w:w="3661" w:type="dxa"/>
          </w:tcPr>
          <w:p>
            <w:pPr>
              <w:pStyle w:val="TableParagraph"/>
              <w:ind w:left="780"/>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Ed Ocampo</w:t>
            </w:r>
          </w:p>
        </w:tc>
        <w:tc>
          <w:tcPr>
            <w:tcW w:w="3661" w:type="dxa"/>
          </w:tcPr>
          <w:p>
            <w:pPr>
              <w:pStyle w:val="TableParagraph"/>
              <w:spacing w:before="31"/>
              <w:ind w:left="780"/>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Rob Harris</w:t>
            </w:r>
          </w:p>
        </w:tc>
        <w:tc>
          <w:tcPr>
            <w:tcW w:w="3661" w:type="dxa"/>
          </w:tcPr>
          <w:p>
            <w:pPr>
              <w:pStyle w:val="TableParagraph"/>
              <w:spacing w:before="31"/>
              <w:ind w:left="780"/>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Renée Horrell</w:t>
            </w:r>
          </w:p>
        </w:tc>
        <w:tc>
          <w:tcPr>
            <w:tcW w:w="3661" w:type="dxa"/>
          </w:tcPr>
          <w:p>
            <w:pPr>
              <w:pStyle w:val="TableParagraph"/>
              <w:spacing w:before="31"/>
              <w:ind w:left="780"/>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Sakshi Gupta</w:t>
            </w:r>
          </w:p>
        </w:tc>
        <w:tc>
          <w:tcPr>
            <w:tcW w:w="3661" w:type="dxa"/>
          </w:tcPr>
          <w:p>
            <w:pPr>
              <w:pStyle w:val="TableParagraph"/>
              <w:ind w:left="780"/>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David Geen</w:t>
            </w:r>
          </w:p>
        </w:tc>
        <w:tc>
          <w:tcPr>
            <w:tcW w:w="3661" w:type="dxa"/>
          </w:tcPr>
          <w:p>
            <w:pPr>
              <w:pStyle w:val="TableParagraph"/>
              <w:spacing w:before="31"/>
              <w:ind w:left="780"/>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Harriet Hunnable</w:t>
            </w:r>
          </w:p>
        </w:tc>
        <w:tc>
          <w:tcPr>
            <w:tcW w:w="3661" w:type="dxa"/>
          </w:tcPr>
          <w:p>
            <w:pPr>
              <w:pStyle w:val="TableParagraph"/>
              <w:spacing w:before="31"/>
              <w:ind w:left="780"/>
              <w:rPr>
                <w:b/>
                <w:sz w:val="20"/>
              </w:rPr>
            </w:pPr>
            <w:r>
              <w:rPr>
                <w:b/>
                <w:sz w:val="20"/>
              </w:rPr>
              <w:t>Financial Conduct Authority</w:t>
            </w:r>
          </w:p>
        </w:tc>
      </w:tr>
      <w:tr>
        <w:trPr>
          <w:trHeight w:val="303" w:hRule="atLeast"/>
        </w:trPr>
        <w:tc>
          <w:tcPr>
            <w:tcW w:w="2580" w:type="dxa"/>
          </w:tcPr>
          <w:p>
            <w:pPr>
              <w:pStyle w:val="TableParagraph"/>
              <w:spacing w:before="34"/>
              <w:rPr>
                <w:sz w:val="20"/>
              </w:rPr>
            </w:pPr>
            <w:r>
              <w:rPr>
                <w:sz w:val="20"/>
              </w:rPr>
              <w:t>Devid Mazzonetto</w:t>
            </w:r>
          </w:p>
        </w:tc>
        <w:tc>
          <w:tcPr>
            <w:tcW w:w="3661" w:type="dxa"/>
          </w:tcPr>
          <w:p>
            <w:pPr>
              <w:pStyle w:val="TableParagraph"/>
              <w:spacing w:before="31"/>
              <w:ind w:left="780"/>
              <w:rPr>
                <w:b/>
                <w:sz w:val="20"/>
              </w:rPr>
            </w:pPr>
            <w:r>
              <w:rPr>
                <w:b/>
                <w:sz w:val="20"/>
              </w:rPr>
              <w:t>Financial Conduct Authority</w:t>
            </w:r>
          </w:p>
        </w:tc>
      </w:tr>
      <w:tr>
        <w:trPr>
          <w:trHeight w:val="264" w:hRule="atLeast"/>
        </w:trPr>
        <w:tc>
          <w:tcPr>
            <w:tcW w:w="2580" w:type="dxa"/>
          </w:tcPr>
          <w:p>
            <w:pPr>
              <w:pStyle w:val="TableParagraph"/>
              <w:spacing w:line="210" w:lineRule="exact" w:before="35"/>
              <w:rPr>
                <w:sz w:val="20"/>
              </w:rPr>
            </w:pPr>
            <w:r>
              <w:rPr>
                <w:sz w:val="20"/>
              </w:rPr>
              <w:t>Heather Pilley</w:t>
            </w:r>
          </w:p>
        </w:tc>
        <w:tc>
          <w:tcPr>
            <w:tcW w:w="3661" w:type="dxa"/>
          </w:tcPr>
          <w:p>
            <w:pPr>
              <w:pStyle w:val="TableParagraph"/>
              <w:spacing w:line="212" w:lineRule="exact"/>
              <w:ind w:left="780"/>
              <w:rPr>
                <w:b/>
                <w:sz w:val="20"/>
              </w:rPr>
            </w:pPr>
            <w:r>
              <w:rPr>
                <w:b/>
                <w:sz w:val="20"/>
              </w:rPr>
              <w:t>Financial Conduct Authority</w:t>
            </w:r>
          </w:p>
        </w:tc>
      </w:tr>
    </w:tbl>
    <w:sectPr>
      <w:pgSz w:w="11910" w:h="16840"/>
      <w:pgMar w:top="1180" w:bottom="280" w:left="12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9" w:hanging="428"/>
        <w:jc w:val="left"/>
      </w:pPr>
      <w:rPr>
        <w:rFonts w:hint="default" w:ascii="Arial" w:hAnsi="Arial" w:eastAsia="Arial" w:cs="Arial"/>
        <w:w w:val="99"/>
        <w:sz w:val="20"/>
        <w:szCs w:val="20"/>
        <w:lang w:val="en-gb" w:eastAsia="en-gb" w:bidi="en-gb"/>
      </w:rPr>
    </w:lvl>
    <w:lvl w:ilvl="1">
      <w:start w:val="0"/>
      <w:numFmt w:val="bullet"/>
      <w:lvlText w:val=""/>
      <w:lvlJc w:val="left"/>
      <w:pPr>
        <w:ind w:left="624" w:hanging="293"/>
      </w:pPr>
      <w:rPr>
        <w:rFonts w:hint="default" w:ascii="Symbol" w:hAnsi="Symbol" w:eastAsia="Symbol" w:cs="Symbol"/>
        <w:w w:val="99"/>
        <w:sz w:val="20"/>
        <w:szCs w:val="20"/>
        <w:lang w:val="en-gb" w:eastAsia="en-gb" w:bidi="en-gb"/>
      </w:rPr>
    </w:lvl>
    <w:lvl w:ilvl="2">
      <w:start w:val="0"/>
      <w:numFmt w:val="bullet"/>
      <w:lvlText w:val="•"/>
      <w:lvlJc w:val="left"/>
      <w:pPr>
        <w:ind w:left="1622" w:hanging="293"/>
      </w:pPr>
      <w:rPr>
        <w:rFonts w:hint="default"/>
        <w:lang w:val="en-gb" w:eastAsia="en-gb" w:bidi="en-gb"/>
      </w:rPr>
    </w:lvl>
    <w:lvl w:ilvl="3">
      <w:start w:val="0"/>
      <w:numFmt w:val="bullet"/>
      <w:lvlText w:val="•"/>
      <w:lvlJc w:val="left"/>
      <w:pPr>
        <w:ind w:left="2625" w:hanging="293"/>
      </w:pPr>
      <w:rPr>
        <w:rFonts w:hint="default"/>
        <w:lang w:val="en-gb" w:eastAsia="en-gb" w:bidi="en-gb"/>
      </w:rPr>
    </w:lvl>
    <w:lvl w:ilvl="4">
      <w:start w:val="0"/>
      <w:numFmt w:val="bullet"/>
      <w:lvlText w:val="•"/>
      <w:lvlJc w:val="left"/>
      <w:pPr>
        <w:ind w:left="3628" w:hanging="293"/>
      </w:pPr>
      <w:rPr>
        <w:rFonts w:hint="default"/>
        <w:lang w:val="en-gb" w:eastAsia="en-gb" w:bidi="en-gb"/>
      </w:rPr>
    </w:lvl>
    <w:lvl w:ilvl="5">
      <w:start w:val="0"/>
      <w:numFmt w:val="bullet"/>
      <w:lvlText w:val="•"/>
      <w:lvlJc w:val="left"/>
      <w:pPr>
        <w:ind w:left="4631" w:hanging="293"/>
      </w:pPr>
      <w:rPr>
        <w:rFonts w:hint="default"/>
        <w:lang w:val="en-gb" w:eastAsia="en-gb" w:bidi="en-gb"/>
      </w:rPr>
    </w:lvl>
    <w:lvl w:ilvl="6">
      <w:start w:val="0"/>
      <w:numFmt w:val="bullet"/>
      <w:lvlText w:val="•"/>
      <w:lvlJc w:val="left"/>
      <w:pPr>
        <w:ind w:left="5634" w:hanging="293"/>
      </w:pPr>
      <w:rPr>
        <w:rFonts w:hint="default"/>
        <w:lang w:val="en-gb" w:eastAsia="en-gb" w:bidi="en-gb"/>
      </w:rPr>
    </w:lvl>
    <w:lvl w:ilvl="7">
      <w:start w:val="0"/>
      <w:numFmt w:val="bullet"/>
      <w:lvlText w:val="•"/>
      <w:lvlJc w:val="left"/>
      <w:pPr>
        <w:ind w:left="6637" w:hanging="293"/>
      </w:pPr>
      <w:rPr>
        <w:rFonts w:hint="default"/>
        <w:lang w:val="en-gb" w:eastAsia="en-gb" w:bidi="en-gb"/>
      </w:rPr>
    </w:lvl>
    <w:lvl w:ilvl="8">
      <w:start w:val="0"/>
      <w:numFmt w:val="bullet"/>
      <w:lvlText w:val="•"/>
      <w:lvlJc w:val="left"/>
      <w:pPr>
        <w:ind w:left="7640" w:hanging="293"/>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99"/>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97"/>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meeting of the Working Group on Sterling Risk-Free Reference Rates - Thursday 4 May 2017</dc:title>
  <dcterms:created xsi:type="dcterms:W3CDTF">2020-06-01T02:24:36Z</dcterms:created>
  <dcterms:modified xsi:type="dcterms:W3CDTF">2020-06-01T02:24:36Z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2017-05-24T00:00:00Z</vt:filetime>
  </property>
  <property fmtid="{D5CDD505-2E9C-101B-9397-08002B2CF9AE}" pid="3" name="Creator">
    <vt:lpwstr>Acrobat PDFMaker 15 for Word</vt:lpwstr>
  </property>
  <property fmtid="{D5CDD505-2E9C-101B-9397-08002B2CF9AE}" pid="4" name="LastSaved">
    <vt:filetime>2020-06-01T00:00:00Z</vt:filetime>
  </property>
</Properties>
</file>