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2" w:lineRule="auto"/>
        <w:ind w:left="1665" w:right="1565"/>
        <w:jc w:val="center"/>
      </w:pPr>
      <w:r>
        <w:rPr/>
        <w:t>Minutes of the Working Group on Sterling Risk-Free Reference Rates Wednesday 21 May 2018</w:t>
      </w:r>
    </w:p>
    <w:p>
      <w:pPr>
        <w:spacing w:before="4"/>
        <w:ind w:left="1665" w:right="1560" w:firstLine="0"/>
        <w:jc w:val="center"/>
        <w:rPr>
          <w:b/>
          <w:sz w:val="20"/>
        </w:rPr>
      </w:pPr>
      <w:r>
        <w:rPr>
          <w:b/>
          <w:sz w:val="20"/>
        </w:rPr>
        <w:t>Shell Centre, London, SE1 7NA</w:t>
      </w:r>
    </w:p>
    <w:p>
      <w:pPr>
        <w:pStyle w:val="BodyText"/>
        <w:spacing w:before="10"/>
        <w:rPr>
          <w:b/>
          <w:sz w:val="30"/>
        </w:rPr>
      </w:pPr>
    </w:p>
    <w:p>
      <w:pPr>
        <w:spacing w:before="0"/>
        <w:ind w:left="196" w:right="0" w:firstLine="0"/>
        <w:jc w:val="left"/>
        <w:rPr>
          <w:b/>
          <w:sz w:val="20"/>
        </w:rPr>
      </w:pPr>
      <w:r>
        <w:rPr>
          <w:b/>
          <w:sz w:val="20"/>
        </w:rPr>
        <w:t>Competition law and conflicts of interest</w:t>
      </w:r>
    </w:p>
    <w:p>
      <w:pPr>
        <w:pStyle w:val="BodyText"/>
        <w:spacing w:before="8"/>
        <w:rPr>
          <w:b/>
        </w:rPr>
      </w:pPr>
    </w:p>
    <w:p>
      <w:pPr>
        <w:pStyle w:val="ListParagraph"/>
        <w:numPr>
          <w:ilvl w:val="0"/>
          <w:numId w:val="1"/>
        </w:numPr>
        <w:tabs>
          <w:tab w:pos="557" w:val="left" w:leader="none"/>
        </w:tabs>
        <w:spacing w:line="360" w:lineRule="auto" w:before="0" w:after="0"/>
        <w:ind w:left="556" w:right="422" w:hanging="361"/>
        <w:jc w:val="left"/>
        <w:rPr>
          <w:sz w:val="20"/>
        </w:rPr>
      </w:pPr>
      <w:r>
        <w:rPr>
          <w:sz w:val="20"/>
        </w:rPr>
        <w:t>The Chair welcomed attendees and reminded them of their responsibilities in relation to competition law and the importance of taking their own independent</w:t>
      </w:r>
      <w:r>
        <w:rPr>
          <w:spacing w:val="-6"/>
          <w:sz w:val="20"/>
        </w:rPr>
        <w:t> </w:t>
      </w:r>
      <w:r>
        <w:rPr>
          <w:sz w:val="20"/>
        </w:rPr>
        <w:t>advice.</w:t>
      </w:r>
    </w:p>
    <w:p>
      <w:pPr>
        <w:pStyle w:val="ListParagraph"/>
        <w:numPr>
          <w:ilvl w:val="0"/>
          <w:numId w:val="1"/>
        </w:numPr>
        <w:tabs>
          <w:tab w:pos="557" w:val="left" w:leader="none"/>
        </w:tabs>
        <w:spacing w:line="360" w:lineRule="auto" w:before="119" w:after="0"/>
        <w:ind w:left="556" w:right="117" w:hanging="360"/>
        <w:jc w:val="left"/>
        <w:rPr>
          <w:sz w:val="20"/>
        </w:rPr>
      </w:pPr>
      <w:r>
        <w:rPr>
          <w:sz w:val="20"/>
        </w:rPr>
        <w:t>Two members declared that they had conflicts of interest with regard to the Term SONIA Reference Rate</w:t>
      </w:r>
      <w:r>
        <w:rPr>
          <w:spacing w:val="-4"/>
          <w:sz w:val="20"/>
        </w:rPr>
        <w:t> </w:t>
      </w:r>
      <w:r>
        <w:rPr>
          <w:sz w:val="20"/>
        </w:rPr>
        <w:t>Consultation</w:t>
      </w:r>
      <w:r>
        <w:rPr>
          <w:spacing w:val="-2"/>
          <w:sz w:val="20"/>
        </w:rPr>
        <w:t> </w:t>
      </w:r>
      <w:r>
        <w:rPr>
          <w:sz w:val="20"/>
        </w:rPr>
        <w:t>item given</w:t>
      </w:r>
      <w:r>
        <w:rPr>
          <w:spacing w:val="-4"/>
          <w:sz w:val="20"/>
        </w:rPr>
        <w:t> </w:t>
      </w:r>
      <w:r>
        <w:rPr>
          <w:sz w:val="20"/>
        </w:rPr>
        <w:t>they</w:t>
      </w:r>
      <w:r>
        <w:rPr>
          <w:spacing w:val="-4"/>
          <w:sz w:val="20"/>
        </w:rPr>
        <w:t> </w:t>
      </w:r>
      <w:r>
        <w:rPr>
          <w:sz w:val="20"/>
        </w:rPr>
        <w:t>were</w:t>
      </w:r>
      <w:r>
        <w:rPr>
          <w:spacing w:val="-4"/>
          <w:sz w:val="20"/>
        </w:rPr>
        <w:t> </w:t>
      </w:r>
      <w:r>
        <w:rPr>
          <w:sz w:val="20"/>
        </w:rPr>
        <w:t>both</w:t>
      </w:r>
      <w:r>
        <w:rPr>
          <w:spacing w:val="-2"/>
          <w:sz w:val="20"/>
        </w:rPr>
        <w:t> </w:t>
      </w:r>
      <w:r>
        <w:rPr>
          <w:sz w:val="20"/>
        </w:rPr>
        <w:t>benchmark administrators.</w:t>
      </w:r>
      <w:r>
        <w:rPr>
          <w:spacing w:val="-4"/>
          <w:sz w:val="20"/>
        </w:rPr>
        <w:t> </w:t>
      </w:r>
      <w:r>
        <w:rPr>
          <w:sz w:val="20"/>
        </w:rPr>
        <w:t>They</w:t>
      </w:r>
      <w:r>
        <w:rPr>
          <w:spacing w:val="-7"/>
          <w:sz w:val="20"/>
        </w:rPr>
        <w:t> </w:t>
      </w:r>
      <w:r>
        <w:rPr>
          <w:sz w:val="20"/>
        </w:rPr>
        <w:t>confirmed</w:t>
      </w:r>
      <w:r>
        <w:rPr>
          <w:spacing w:val="-4"/>
          <w:sz w:val="20"/>
        </w:rPr>
        <w:t> </w:t>
      </w:r>
      <w:r>
        <w:rPr>
          <w:sz w:val="20"/>
        </w:rPr>
        <w:t>they</w:t>
      </w:r>
      <w:r>
        <w:rPr>
          <w:spacing w:val="-5"/>
          <w:sz w:val="20"/>
        </w:rPr>
        <w:t> </w:t>
      </w:r>
      <w:r>
        <w:rPr>
          <w:sz w:val="20"/>
        </w:rPr>
        <w:t>would</w:t>
      </w:r>
      <w:r>
        <w:rPr>
          <w:spacing w:val="-2"/>
          <w:sz w:val="20"/>
        </w:rPr>
        <w:t> </w:t>
      </w:r>
      <w:r>
        <w:rPr>
          <w:sz w:val="20"/>
        </w:rPr>
        <w:t>not participate in any vote on this</w:t>
      </w:r>
      <w:r>
        <w:rPr>
          <w:spacing w:val="-7"/>
          <w:sz w:val="20"/>
        </w:rPr>
        <w:t> </w:t>
      </w:r>
      <w:r>
        <w:rPr>
          <w:sz w:val="20"/>
        </w:rPr>
        <w:t>subject.</w:t>
      </w:r>
    </w:p>
    <w:p>
      <w:pPr>
        <w:pStyle w:val="Heading1"/>
        <w:spacing w:before="117"/>
      </w:pPr>
      <w:r>
        <w:rPr/>
        <w:t>ISDA European Accounting Committee ‘EAC’ presentation</w:t>
      </w:r>
    </w:p>
    <w:p>
      <w:pPr>
        <w:pStyle w:val="BodyText"/>
        <w:spacing w:before="8"/>
        <w:rPr>
          <w:b/>
        </w:rPr>
      </w:pPr>
    </w:p>
    <w:p>
      <w:pPr>
        <w:pStyle w:val="ListParagraph"/>
        <w:numPr>
          <w:ilvl w:val="0"/>
          <w:numId w:val="1"/>
        </w:numPr>
        <w:tabs>
          <w:tab w:pos="557" w:val="left" w:leader="none"/>
        </w:tabs>
        <w:spacing w:line="360" w:lineRule="auto" w:before="0" w:after="0"/>
        <w:ind w:left="556" w:right="282" w:hanging="360"/>
        <w:jc w:val="left"/>
        <w:rPr>
          <w:sz w:val="20"/>
        </w:rPr>
      </w:pPr>
      <w:r>
        <w:rPr>
          <w:sz w:val="20"/>
        </w:rPr>
        <w:t>Antonio Corbi (ISDA) and David Bisnath (Deutsche Bank) has been invited to present to the group on behalf of the ISDA European Accounting Committee (the Committee). The presentation covered the accounting implications of RFR transition.</w:t>
      </w:r>
    </w:p>
    <w:p>
      <w:pPr>
        <w:pStyle w:val="ListParagraph"/>
        <w:numPr>
          <w:ilvl w:val="0"/>
          <w:numId w:val="1"/>
        </w:numPr>
        <w:tabs>
          <w:tab w:pos="557" w:val="left" w:leader="none"/>
        </w:tabs>
        <w:spacing w:line="360" w:lineRule="auto" w:before="120" w:after="0"/>
        <w:ind w:left="556" w:right="570" w:hanging="360"/>
        <w:jc w:val="left"/>
        <w:rPr>
          <w:sz w:val="20"/>
        </w:rPr>
      </w:pPr>
      <w:r>
        <w:rPr>
          <w:sz w:val="20"/>
        </w:rPr>
        <w:t>The Committee had had early discussions on the potential accounting implications based on initial engagement with the audit industry. Implications</w:t>
      </w:r>
      <w:r>
        <w:rPr>
          <w:spacing w:val="-3"/>
          <w:sz w:val="20"/>
        </w:rPr>
        <w:t> </w:t>
      </w:r>
      <w:r>
        <w:rPr>
          <w:sz w:val="20"/>
        </w:rPr>
        <w:t>included:</w:t>
      </w:r>
    </w:p>
    <w:p>
      <w:pPr>
        <w:pStyle w:val="ListParagraph"/>
        <w:numPr>
          <w:ilvl w:val="1"/>
          <w:numId w:val="1"/>
        </w:numPr>
        <w:tabs>
          <w:tab w:pos="1277" w:val="left" w:leader="none"/>
        </w:tabs>
        <w:spacing w:line="360" w:lineRule="auto" w:before="121" w:after="0"/>
        <w:ind w:left="1276" w:right="627" w:hanging="360"/>
        <w:jc w:val="left"/>
        <w:rPr>
          <w:sz w:val="20"/>
        </w:rPr>
      </w:pPr>
      <w:r>
        <w:rPr>
          <w:sz w:val="20"/>
        </w:rPr>
        <w:t>The impact on hedge accounting relationships. For example, implications of changing the benchmark of a hedging contract and how hedge effectiveness testing could be</w:t>
      </w:r>
      <w:r>
        <w:rPr>
          <w:spacing w:val="-33"/>
          <w:sz w:val="20"/>
        </w:rPr>
        <w:t> </w:t>
      </w:r>
      <w:r>
        <w:rPr>
          <w:sz w:val="20"/>
        </w:rPr>
        <w:t>affected.</w:t>
      </w:r>
    </w:p>
    <w:p>
      <w:pPr>
        <w:pStyle w:val="ListParagraph"/>
        <w:numPr>
          <w:ilvl w:val="1"/>
          <w:numId w:val="1"/>
        </w:numPr>
        <w:tabs>
          <w:tab w:pos="1277" w:val="left" w:leader="none"/>
        </w:tabs>
        <w:spacing w:line="360" w:lineRule="auto" w:before="119" w:after="0"/>
        <w:ind w:left="1276" w:right="249" w:hanging="360"/>
        <w:jc w:val="left"/>
        <w:rPr>
          <w:sz w:val="20"/>
        </w:rPr>
      </w:pPr>
      <w:r>
        <w:rPr>
          <w:sz w:val="20"/>
        </w:rPr>
        <w:t>Whether replacing Libor with the RFR in contracts (including in fallback clauses) could lead to derecognition of financial instruments and the consequences of</w:t>
      </w:r>
      <w:r>
        <w:rPr>
          <w:spacing w:val="-4"/>
          <w:sz w:val="20"/>
        </w:rPr>
        <w:t> </w:t>
      </w:r>
      <w:r>
        <w:rPr>
          <w:sz w:val="20"/>
        </w:rPr>
        <w:t>this.</w:t>
      </w:r>
    </w:p>
    <w:p>
      <w:pPr>
        <w:pStyle w:val="ListParagraph"/>
        <w:numPr>
          <w:ilvl w:val="1"/>
          <w:numId w:val="1"/>
        </w:numPr>
        <w:tabs>
          <w:tab w:pos="1276" w:val="left" w:leader="none"/>
          <w:tab w:pos="1277" w:val="left" w:leader="none"/>
        </w:tabs>
        <w:spacing w:line="240" w:lineRule="auto" w:before="121" w:after="0"/>
        <w:ind w:left="1276" w:right="0" w:hanging="361"/>
        <w:jc w:val="left"/>
        <w:rPr>
          <w:sz w:val="20"/>
        </w:rPr>
      </w:pPr>
      <w:r>
        <w:rPr>
          <w:sz w:val="20"/>
        </w:rPr>
        <w:t>The impact of Libor uncertainty on contract</w:t>
      </w:r>
      <w:r>
        <w:rPr>
          <w:spacing w:val="-6"/>
          <w:sz w:val="20"/>
        </w:rPr>
        <w:t> </w:t>
      </w:r>
      <w:r>
        <w:rPr>
          <w:sz w:val="20"/>
        </w:rPr>
        <w:t>valuation.</w:t>
      </w:r>
    </w:p>
    <w:p>
      <w:pPr>
        <w:pStyle w:val="BodyText"/>
        <w:spacing w:before="5"/>
      </w:pPr>
    </w:p>
    <w:p>
      <w:pPr>
        <w:pStyle w:val="ListParagraph"/>
        <w:numPr>
          <w:ilvl w:val="0"/>
          <w:numId w:val="1"/>
        </w:numPr>
        <w:tabs>
          <w:tab w:pos="556" w:val="left" w:leader="none"/>
        </w:tabs>
        <w:spacing w:line="360" w:lineRule="auto" w:before="0" w:after="0"/>
        <w:ind w:left="555" w:right="270" w:hanging="360"/>
        <w:jc w:val="left"/>
        <w:rPr>
          <w:sz w:val="20"/>
        </w:rPr>
      </w:pPr>
      <w:r>
        <w:rPr>
          <w:sz w:val="20"/>
        </w:rPr>
        <w:t>It was noted that, in the US, the Financial Accounting Standards Board (FASB) had issued a public consultation on allowing SOFR (the US RFR) to be designated as a benchmark for hedge accounting purposes. This work was not required for SONIA as SONIA benchmark can already be used in hedge accounting</w:t>
      </w:r>
      <w:r>
        <w:rPr>
          <w:spacing w:val="-2"/>
          <w:sz w:val="20"/>
        </w:rPr>
        <w:t> </w:t>
      </w:r>
      <w:r>
        <w:rPr>
          <w:sz w:val="20"/>
        </w:rPr>
        <w:t>relationships.</w:t>
      </w:r>
    </w:p>
    <w:p>
      <w:pPr>
        <w:pStyle w:val="ListParagraph"/>
        <w:numPr>
          <w:ilvl w:val="0"/>
          <w:numId w:val="1"/>
        </w:numPr>
        <w:tabs>
          <w:tab w:pos="556" w:val="left" w:leader="none"/>
        </w:tabs>
        <w:spacing w:line="360" w:lineRule="auto" w:before="121" w:after="0"/>
        <w:ind w:left="555" w:right="281" w:hanging="360"/>
        <w:jc w:val="left"/>
        <w:rPr>
          <w:sz w:val="20"/>
        </w:rPr>
      </w:pPr>
      <w:r>
        <w:rPr>
          <w:sz w:val="20"/>
        </w:rPr>
        <w:t>The EAC was due to engage with the International Accounting Standards Board on RFR transition imminently to present a consistent view of issues and potential solutions for the European banking industry. It was agreed that the IASB would be a very important stakeholder for the transition, and the Bank of England reported that it had had initial discussions with the IASB. The Bank encouraged Working Group members to keep up to date with developments going forward via their finance departments.</w:t>
      </w:r>
    </w:p>
    <w:p>
      <w:pPr>
        <w:pStyle w:val="Heading1"/>
        <w:spacing w:before="116"/>
        <w:ind w:left="195"/>
      </w:pPr>
      <w:r>
        <w:rPr/>
        <w:t>Milestones document/Communications &amp; Outreach sub-group Terms of Reference</w:t>
      </w:r>
    </w:p>
    <w:p>
      <w:pPr>
        <w:pStyle w:val="BodyText"/>
        <w:spacing w:before="8"/>
        <w:rPr>
          <w:b/>
        </w:rPr>
      </w:pPr>
    </w:p>
    <w:p>
      <w:pPr>
        <w:pStyle w:val="ListParagraph"/>
        <w:numPr>
          <w:ilvl w:val="0"/>
          <w:numId w:val="1"/>
        </w:numPr>
        <w:tabs>
          <w:tab w:pos="556" w:val="left" w:leader="none"/>
        </w:tabs>
        <w:spacing w:line="357" w:lineRule="auto" w:before="0" w:after="0"/>
        <w:ind w:left="555" w:right="227" w:hanging="360"/>
        <w:jc w:val="left"/>
        <w:rPr>
          <w:sz w:val="20"/>
        </w:rPr>
      </w:pPr>
      <w:r>
        <w:rPr>
          <w:sz w:val="20"/>
        </w:rPr>
        <w:t>The Working Group agreed key transition milestones which would be published alongside the minutes of the</w:t>
      </w:r>
      <w:r>
        <w:rPr>
          <w:spacing w:val="-1"/>
          <w:sz w:val="20"/>
        </w:rPr>
        <w:t> </w:t>
      </w:r>
      <w:r>
        <w:rPr>
          <w:sz w:val="20"/>
        </w:rPr>
        <w:t>meeting.</w:t>
      </w:r>
    </w:p>
    <w:p>
      <w:pPr>
        <w:pStyle w:val="ListParagraph"/>
        <w:numPr>
          <w:ilvl w:val="0"/>
          <w:numId w:val="1"/>
        </w:numPr>
        <w:tabs>
          <w:tab w:pos="556" w:val="left" w:leader="none"/>
        </w:tabs>
        <w:spacing w:line="360" w:lineRule="auto" w:before="124" w:after="0"/>
        <w:ind w:left="555" w:right="181" w:hanging="360"/>
        <w:jc w:val="left"/>
        <w:rPr>
          <w:sz w:val="20"/>
        </w:rPr>
      </w:pPr>
      <w:r>
        <w:rPr>
          <w:sz w:val="20"/>
        </w:rPr>
        <w:t>There were no comments on the Communications &amp; Outreach sub-group Terms of Reference which would be taken to the first meeting of the sub-group for final approval. The Chair and final membership of that sub-group had not yet been</w:t>
      </w:r>
      <w:r>
        <w:rPr>
          <w:spacing w:val="3"/>
          <w:sz w:val="20"/>
        </w:rPr>
        <w:t> </w:t>
      </w:r>
      <w:r>
        <w:rPr>
          <w:sz w:val="20"/>
        </w:rPr>
        <w:t>determined.</w:t>
      </w:r>
    </w:p>
    <w:p>
      <w:pPr>
        <w:spacing w:after="0" w:line="360" w:lineRule="auto"/>
        <w:jc w:val="left"/>
        <w:rPr>
          <w:sz w:val="20"/>
        </w:rPr>
        <w:sectPr>
          <w:type w:val="continuous"/>
          <w:pgSz w:w="11910" w:h="16840"/>
          <w:pgMar w:top="1180" w:bottom="280" w:left="1080" w:right="1040"/>
        </w:sectPr>
      </w:pPr>
    </w:p>
    <w:p>
      <w:pPr>
        <w:pStyle w:val="Heading1"/>
      </w:pPr>
      <w:r>
        <w:rPr/>
        <w:t>Term SONIA Reference Rate (TSRR) Consultation</w:t>
      </w:r>
    </w:p>
    <w:p>
      <w:pPr>
        <w:pStyle w:val="BodyText"/>
        <w:spacing w:before="5"/>
        <w:rPr>
          <w:b/>
        </w:rPr>
      </w:pPr>
    </w:p>
    <w:p>
      <w:pPr>
        <w:pStyle w:val="ListParagraph"/>
        <w:numPr>
          <w:ilvl w:val="0"/>
          <w:numId w:val="1"/>
        </w:numPr>
        <w:tabs>
          <w:tab w:pos="557" w:val="left" w:leader="none"/>
        </w:tabs>
        <w:spacing w:line="360" w:lineRule="auto" w:before="0" w:after="0"/>
        <w:ind w:left="556" w:right="172" w:hanging="360"/>
        <w:jc w:val="left"/>
        <w:rPr>
          <w:sz w:val="20"/>
        </w:rPr>
      </w:pPr>
      <w:r>
        <w:rPr>
          <w:sz w:val="20"/>
        </w:rPr>
        <w:t>The</w:t>
      </w:r>
      <w:r>
        <w:rPr>
          <w:spacing w:val="-5"/>
          <w:sz w:val="20"/>
        </w:rPr>
        <w:t> </w:t>
      </w:r>
      <w:r>
        <w:rPr>
          <w:sz w:val="20"/>
        </w:rPr>
        <w:t>TSRR</w:t>
      </w:r>
      <w:r>
        <w:rPr>
          <w:spacing w:val="-5"/>
          <w:sz w:val="20"/>
        </w:rPr>
        <w:t> </w:t>
      </w:r>
      <w:r>
        <w:rPr>
          <w:sz w:val="20"/>
        </w:rPr>
        <w:t>sub-group</w:t>
      </w:r>
      <w:r>
        <w:rPr>
          <w:spacing w:val="-4"/>
          <w:sz w:val="20"/>
        </w:rPr>
        <w:t> </w:t>
      </w:r>
      <w:r>
        <w:rPr>
          <w:sz w:val="20"/>
        </w:rPr>
        <w:t>Chair</w:t>
      </w:r>
      <w:r>
        <w:rPr>
          <w:spacing w:val="-4"/>
          <w:sz w:val="20"/>
        </w:rPr>
        <w:t> </w:t>
      </w:r>
      <w:r>
        <w:rPr>
          <w:sz w:val="20"/>
        </w:rPr>
        <w:t>introduced</w:t>
      </w:r>
      <w:r>
        <w:rPr>
          <w:spacing w:val="-2"/>
          <w:sz w:val="20"/>
        </w:rPr>
        <w:t> </w:t>
      </w:r>
      <w:r>
        <w:rPr>
          <w:sz w:val="20"/>
        </w:rPr>
        <w:t>the</w:t>
      </w:r>
      <w:r>
        <w:rPr>
          <w:spacing w:val="-2"/>
          <w:sz w:val="20"/>
        </w:rPr>
        <w:t> </w:t>
      </w:r>
      <w:r>
        <w:rPr>
          <w:sz w:val="20"/>
        </w:rPr>
        <w:t>draft</w:t>
      </w:r>
      <w:r>
        <w:rPr>
          <w:spacing w:val="-4"/>
          <w:sz w:val="20"/>
        </w:rPr>
        <w:t> </w:t>
      </w:r>
      <w:r>
        <w:rPr>
          <w:sz w:val="20"/>
        </w:rPr>
        <w:t>consultation</w:t>
      </w:r>
      <w:r>
        <w:rPr>
          <w:spacing w:val="-5"/>
          <w:sz w:val="20"/>
        </w:rPr>
        <w:t> </w:t>
      </w:r>
      <w:r>
        <w:rPr>
          <w:sz w:val="20"/>
        </w:rPr>
        <w:t>paper</w:t>
      </w:r>
      <w:r>
        <w:rPr>
          <w:spacing w:val="-2"/>
          <w:sz w:val="20"/>
        </w:rPr>
        <w:t> </w:t>
      </w:r>
      <w:r>
        <w:rPr>
          <w:sz w:val="20"/>
        </w:rPr>
        <w:t>which</w:t>
      </w:r>
      <w:r>
        <w:rPr>
          <w:spacing w:val="-2"/>
          <w:sz w:val="20"/>
        </w:rPr>
        <w:t> </w:t>
      </w:r>
      <w:r>
        <w:rPr>
          <w:sz w:val="20"/>
        </w:rPr>
        <w:t>explored</w:t>
      </w:r>
      <w:r>
        <w:rPr>
          <w:spacing w:val="-3"/>
          <w:sz w:val="20"/>
        </w:rPr>
        <w:t> </w:t>
      </w:r>
      <w:r>
        <w:rPr>
          <w:sz w:val="20"/>
        </w:rPr>
        <w:t>potential</w:t>
      </w:r>
      <w:r>
        <w:rPr>
          <w:spacing w:val="-3"/>
          <w:sz w:val="20"/>
        </w:rPr>
        <w:t> </w:t>
      </w:r>
      <w:r>
        <w:rPr>
          <w:sz w:val="20"/>
        </w:rPr>
        <w:t>use</w:t>
      </w:r>
      <w:r>
        <w:rPr>
          <w:spacing w:val="-4"/>
          <w:sz w:val="20"/>
        </w:rPr>
        <w:t> </w:t>
      </w:r>
      <w:r>
        <w:rPr>
          <w:sz w:val="20"/>
        </w:rPr>
        <w:t>cases for a term reference rate as well as how they could be</w:t>
      </w:r>
      <w:r>
        <w:rPr>
          <w:spacing w:val="-6"/>
          <w:sz w:val="20"/>
        </w:rPr>
        <w:t> </w:t>
      </w:r>
      <w:r>
        <w:rPr>
          <w:sz w:val="20"/>
        </w:rPr>
        <w:t>constructed.</w:t>
      </w:r>
    </w:p>
    <w:p>
      <w:pPr>
        <w:pStyle w:val="ListParagraph"/>
        <w:numPr>
          <w:ilvl w:val="0"/>
          <w:numId w:val="1"/>
        </w:numPr>
        <w:tabs>
          <w:tab w:pos="558" w:val="left" w:leader="none"/>
        </w:tabs>
        <w:spacing w:line="360" w:lineRule="auto" w:before="122" w:after="0"/>
        <w:ind w:left="556" w:right="112" w:hanging="360"/>
        <w:jc w:val="left"/>
        <w:rPr>
          <w:sz w:val="20"/>
        </w:rPr>
      </w:pPr>
      <w:r>
        <w:rPr>
          <w:sz w:val="20"/>
        </w:rPr>
        <w:t>Members opined that the availability of robust TSRR benchmarks could facilitate benchmark transition for an important set of end users, particularly in loan and debt capital markets. However, there were differing views regarding the use of TSRRs beyond these markets. Members noted that direct use of overnight rates offered distinct benefits – particularly in derivatives markets – and should be encouraged where feasible and appropriate. Some members discussed whether it would be possible to limit the usage of these term rates, others questioned whether the consultation should provide any normative judgements regarding the use of TSRRs at this</w:t>
      </w:r>
      <w:r>
        <w:rPr>
          <w:spacing w:val="-4"/>
          <w:sz w:val="20"/>
        </w:rPr>
        <w:t> </w:t>
      </w:r>
      <w:r>
        <w:rPr>
          <w:sz w:val="20"/>
        </w:rPr>
        <w:t>stage.</w:t>
      </w:r>
    </w:p>
    <w:p>
      <w:pPr>
        <w:pStyle w:val="BodyText"/>
        <w:spacing w:before="10"/>
        <w:rPr>
          <w:sz w:val="26"/>
        </w:rPr>
      </w:pPr>
    </w:p>
    <w:p>
      <w:pPr>
        <w:pStyle w:val="ListParagraph"/>
        <w:numPr>
          <w:ilvl w:val="0"/>
          <w:numId w:val="1"/>
        </w:numPr>
        <w:tabs>
          <w:tab w:pos="557" w:val="left" w:leader="none"/>
        </w:tabs>
        <w:spacing w:line="360" w:lineRule="auto" w:before="0" w:after="0"/>
        <w:ind w:left="556" w:right="146" w:hanging="361"/>
        <w:jc w:val="left"/>
        <w:rPr>
          <w:sz w:val="20"/>
        </w:rPr>
      </w:pPr>
      <w:r>
        <w:rPr>
          <w:sz w:val="20"/>
        </w:rPr>
        <w:t>It was agreed that the consultation document could be shortened and simplified ahead of publication to focus more explicitly on feasibility of construction, potential data sources, potential methodologies, and actions required for implementation. . It was suggested that an explanatory materials could be published separately to cover topics such as best practice on referencing SONIA in</w:t>
      </w:r>
      <w:r>
        <w:rPr>
          <w:spacing w:val="-16"/>
          <w:sz w:val="20"/>
        </w:rPr>
        <w:t> </w:t>
      </w:r>
      <w:r>
        <w:rPr>
          <w:sz w:val="20"/>
        </w:rPr>
        <w:t>products.</w:t>
      </w:r>
    </w:p>
    <w:p>
      <w:pPr>
        <w:pStyle w:val="ListParagraph"/>
        <w:numPr>
          <w:ilvl w:val="0"/>
          <w:numId w:val="1"/>
        </w:numPr>
        <w:tabs>
          <w:tab w:pos="558" w:val="left" w:leader="none"/>
        </w:tabs>
        <w:spacing w:line="360" w:lineRule="auto" w:before="120" w:after="0"/>
        <w:ind w:left="557" w:right="205" w:hanging="361"/>
        <w:jc w:val="left"/>
        <w:rPr>
          <w:sz w:val="20"/>
        </w:rPr>
      </w:pPr>
      <w:r>
        <w:rPr>
          <w:sz w:val="20"/>
        </w:rPr>
        <w:t>It</w:t>
      </w:r>
      <w:r>
        <w:rPr>
          <w:spacing w:val="-2"/>
          <w:sz w:val="20"/>
        </w:rPr>
        <w:t> </w:t>
      </w:r>
      <w:r>
        <w:rPr>
          <w:sz w:val="20"/>
        </w:rPr>
        <w:t>was</w:t>
      </w:r>
      <w:r>
        <w:rPr>
          <w:spacing w:val="-3"/>
          <w:sz w:val="20"/>
        </w:rPr>
        <w:t> </w:t>
      </w:r>
      <w:r>
        <w:rPr>
          <w:sz w:val="20"/>
        </w:rPr>
        <w:t>agreed</w:t>
      </w:r>
      <w:r>
        <w:rPr>
          <w:spacing w:val="-1"/>
          <w:sz w:val="20"/>
        </w:rPr>
        <w:t> </w:t>
      </w:r>
      <w:r>
        <w:rPr>
          <w:sz w:val="20"/>
        </w:rPr>
        <w:t>that</w:t>
      </w:r>
      <w:r>
        <w:rPr>
          <w:spacing w:val="-2"/>
          <w:sz w:val="20"/>
        </w:rPr>
        <w:t> </w:t>
      </w:r>
      <w:r>
        <w:rPr>
          <w:sz w:val="20"/>
        </w:rPr>
        <w:t>the</w:t>
      </w:r>
      <w:r>
        <w:rPr>
          <w:spacing w:val="-2"/>
          <w:sz w:val="20"/>
        </w:rPr>
        <w:t> </w:t>
      </w:r>
      <w:r>
        <w:rPr>
          <w:sz w:val="20"/>
        </w:rPr>
        <w:t>document</w:t>
      </w:r>
      <w:r>
        <w:rPr>
          <w:spacing w:val="-3"/>
          <w:sz w:val="20"/>
        </w:rPr>
        <w:t> </w:t>
      </w:r>
      <w:r>
        <w:rPr>
          <w:sz w:val="20"/>
        </w:rPr>
        <w:t>should</w:t>
      </w:r>
      <w:r>
        <w:rPr>
          <w:spacing w:val="-4"/>
          <w:sz w:val="20"/>
        </w:rPr>
        <w:t> </w:t>
      </w:r>
      <w:r>
        <w:rPr>
          <w:sz w:val="20"/>
        </w:rPr>
        <w:t>make</w:t>
      </w:r>
      <w:r>
        <w:rPr>
          <w:spacing w:val="-3"/>
          <w:sz w:val="20"/>
        </w:rPr>
        <w:t> </w:t>
      </w:r>
      <w:r>
        <w:rPr>
          <w:sz w:val="20"/>
        </w:rPr>
        <w:t>clear</w:t>
      </w:r>
      <w:r>
        <w:rPr>
          <w:spacing w:val="-3"/>
          <w:sz w:val="20"/>
        </w:rPr>
        <w:t> </w:t>
      </w:r>
      <w:r>
        <w:rPr>
          <w:sz w:val="20"/>
        </w:rPr>
        <w:t>where</w:t>
      </w:r>
      <w:r>
        <w:rPr>
          <w:spacing w:val="-4"/>
          <w:sz w:val="20"/>
        </w:rPr>
        <w:t> </w:t>
      </w:r>
      <w:r>
        <w:rPr>
          <w:sz w:val="20"/>
        </w:rPr>
        <w:t>on</w:t>
      </w:r>
      <w:r>
        <w:rPr>
          <w:spacing w:val="-1"/>
          <w:sz w:val="20"/>
        </w:rPr>
        <w:t> </w:t>
      </w:r>
      <w:r>
        <w:rPr>
          <w:sz w:val="20"/>
        </w:rPr>
        <w:t>the</w:t>
      </w:r>
      <w:r>
        <w:rPr>
          <w:spacing w:val="-2"/>
          <w:sz w:val="20"/>
        </w:rPr>
        <w:t> </w:t>
      </w:r>
      <w:r>
        <w:rPr>
          <w:sz w:val="20"/>
        </w:rPr>
        <w:t>transition</w:t>
      </w:r>
      <w:r>
        <w:rPr>
          <w:spacing w:val="-3"/>
          <w:sz w:val="20"/>
        </w:rPr>
        <w:t> </w:t>
      </w:r>
      <w:r>
        <w:rPr>
          <w:sz w:val="20"/>
        </w:rPr>
        <w:t>critical</w:t>
      </w:r>
      <w:r>
        <w:rPr>
          <w:spacing w:val="-2"/>
          <w:sz w:val="20"/>
        </w:rPr>
        <w:t> </w:t>
      </w:r>
      <w:r>
        <w:rPr>
          <w:sz w:val="20"/>
        </w:rPr>
        <w:t>path</w:t>
      </w:r>
      <w:r>
        <w:rPr>
          <w:spacing w:val="-2"/>
          <w:sz w:val="20"/>
        </w:rPr>
        <w:t> </w:t>
      </w:r>
      <w:r>
        <w:rPr>
          <w:sz w:val="20"/>
        </w:rPr>
        <w:t>a</w:t>
      </w:r>
      <w:r>
        <w:rPr>
          <w:spacing w:val="-3"/>
          <w:sz w:val="20"/>
        </w:rPr>
        <w:t> </w:t>
      </w:r>
      <w:r>
        <w:rPr>
          <w:sz w:val="20"/>
        </w:rPr>
        <w:t>TSRR</w:t>
      </w:r>
      <w:r>
        <w:rPr>
          <w:spacing w:val="-1"/>
          <w:sz w:val="20"/>
        </w:rPr>
        <w:t> </w:t>
      </w:r>
      <w:r>
        <w:rPr>
          <w:sz w:val="20"/>
        </w:rPr>
        <w:t>would be needed. Some members highlighted that waiting for an imminent TSRR was delaying some market participants making efforts to transition and that cash markets, in particular, would be slower to adopt without a</w:t>
      </w:r>
      <w:r>
        <w:rPr>
          <w:spacing w:val="-1"/>
          <w:sz w:val="20"/>
        </w:rPr>
        <w:t> </w:t>
      </w:r>
      <w:r>
        <w:rPr>
          <w:sz w:val="20"/>
        </w:rPr>
        <w:t>TSRR.</w:t>
      </w:r>
    </w:p>
    <w:p>
      <w:pPr>
        <w:pStyle w:val="ListParagraph"/>
        <w:numPr>
          <w:ilvl w:val="0"/>
          <w:numId w:val="1"/>
        </w:numPr>
        <w:tabs>
          <w:tab w:pos="558" w:val="left" w:leader="none"/>
        </w:tabs>
        <w:spacing w:line="360" w:lineRule="auto" w:before="120" w:after="0"/>
        <w:ind w:left="557" w:right="458" w:hanging="361"/>
        <w:jc w:val="left"/>
        <w:rPr>
          <w:sz w:val="20"/>
        </w:rPr>
      </w:pPr>
      <w:r>
        <w:rPr>
          <w:sz w:val="20"/>
        </w:rPr>
        <w:t>Members concluded that the consultation should be updated in line with the views expressed and brought to the Working Group’s next meeting on 2 July. It would then be discussed further ahead of publication.</w:t>
      </w:r>
    </w:p>
    <w:p>
      <w:pPr>
        <w:pStyle w:val="BodyText"/>
        <w:spacing w:before="120"/>
        <w:ind w:left="196"/>
      </w:pPr>
      <w:r>
        <w:rPr>
          <w:u w:val="single"/>
        </w:rPr>
        <w:t>ISDA fallback work</w:t>
      </w:r>
    </w:p>
    <w:p>
      <w:pPr>
        <w:pStyle w:val="BodyText"/>
        <w:spacing w:before="4"/>
        <w:rPr>
          <w:sz w:val="12"/>
        </w:rPr>
      </w:pPr>
    </w:p>
    <w:p>
      <w:pPr>
        <w:pStyle w:val="ListParagraph"/>
        <w:numPr>
          <w:ilvl w:val="0"/>
          <w:numId w:val="1"/>
        </w:numPr>
        <w:tabs>
          <w:tab w:pos="557" w:val="left" w:leader="none"/>
        </w:tabs>
        <w:spacing w:line="360" w:lineRule="auto" w:before="93" w:after="0"/>
        <w:ind w:left="556" w:right="124" w:hanging="360"/>
        <w:jc w:val="left"/>
        <w:rPr>
          <w:sz w:val="20"/>
        </w:rPr>
      </w:pPr>
      <w:r>
        <w:rPr>
          <w:sz w:val="20"/>
        </w:rPr>
        <w:t>Scott O’Malia (ISDA) updated the Working Group on progress towards determining Libor fallbacks in derivatives contracts. ISDA were targeting a June publication date for a consultation paper on how RFRs could be used as the basis of robust fallbacks. In particular it would consider how a credit spread could be determined in order to make RFRs more economically equivalent to Libor and reduce the risk of market disruption. It would ask respondents to rank three proposed approaches to determining the credit spread</w:t>
      </w:r>
      <w:r>
        <w:rPr>
          <w:spacing w:val="-2"/>
          <w:sz w:val="20"/>
        </w:rPr>
        <w:t> </w:t>
      </w:r>
      <w:r>
        <w:rPr>
          <w:sz w:val="20"/>
        </w:rPr>
        <w:t>adjustment</w:t>
      </w:r>
      <w:hyperlink w:history="true" w:anchor="_bookmark0">
        <w:r>
          <w:rPr>
            <w:sz w:val="20"/>
            <w:vertAlign w:val="superscript"/>
          </w:rPr>
          <w:t>1</w:t>
        </w:r>
      </w:hyperlink>
      <w:r>
        <w:rPr>
          <w:sz w:val="20"/>
          <w:vertAlign w:val="baseline"/>
        </w:rPr>
        <w:t>.</w:t>
      </w:r>
    </w:p>
    <w:p>
      <w:pPr>
        <w:pStyle w:val="ListParagraph"/>
        <w:numPr>
          <w:ilvl w:val="0"/>
          <w:numId w:val="1"/>
        </w:numPr>
        <w:tabs>
          <w:tab w:pos="557" w:val="left" w:leader="none"/>
        </w:tabs>
        <w:spacing w:line="360" w:lineRule="auto" w:before="119" w:after="0"/>
        <w:ind w:left="556" w:right="251" w:hanging="361"/>
        <w:jc w:val="left"/>
        <w:rPr>
          <w:sz w:val="20"/>
        </w:rPr>
      </w:pPr>
      <w:r>
        <w:rPr>
          <w:sz w:val="20"/>
        </w:rPr>
        <w:t>One</w:t>
      </w:r>
      <w:r>
        <w:rPr>
          <w:spacing w:val="-4"/>
          <w:sz w:val="20"/>
        </w:rPr>
        <w:t> </w:t>
      </w:r>
      <w:r>
        <w:rPr>
          <w:sz w:val="20"/>
        </w:rPr>
        <w:t>member</w:t>
      </w:r>
      <w:r>
        <w:rPr>
          <w:spacing w:val="-2"/>
          <w:sz w:val="20"/>
        </w:rPr>
        <w:t> </w:t>
      </w:r>
      <w:r>
        <w:rPr>
          <w:sz w:val="20"/>
        </w:rPr>
        <w:t>noted</w:t>
      </w:r>
      <w:r>
        <w:rPr>
          <w:spacing w:val="-4"/>
          <w:sz w:val="20"/>
        </w:rPr>
        <w:t> </w:t>
      </w:r>
      <w:r>
        <w:rPr>
          <w:sz w:val="20"/>
        </w:rPr>
        <w:t>that</w:t>
      </w:r>
      <w:r>
        <w:rPr>
          <w:spacing w:val="-1"/>
          <w:sz w:val="20"/>
        </w:rPr>
        <w:t> </w:t>
      </w:r>
      <w:r>
        <w:rPr>
          <w:sz w:val="20"/>
        </w:rPr>
        <w:t>this</w:t>
      </w:r>
      <w:r>
        <w:rPr>
          <w:spacing w:val="-3"/>
          <w:sz w:val="20"/>
        </w:rPr>
        <w:t> </w:t>
      </w:r>
      <w:r>
        <w:rPr>
          <w:sz w:val="20"/>
        </w:rPr>
        <w:t>was</w:t>
      </w:r>
      <w:r>
        <w:rPr>
          <w:spacing w:val="1"/>
          <w:sz w:val="20"/>
        </w:rPr>
        <w:t> </w:t>
      </w:r>
      <w:r>
        <w:rPr>
          <w:sz w:val="20"/>
        </w:rPr>
        <w:t>a</w:t>
      </w:r>
      <w:r>
        <w:rPr>
          <w:spacing w:val="-4"/>
          <w:sz w:val="20"/>
        </w:rPr>
        <w:t> </w:t>
      </w:r>
      <w:r>
        <w:rPr>
          <w:sz w:val="20"/>
        </w:rPr>
        <w:t>sensitive</w:t>
      </w:r>
      <w:r>
        <w:rPr>
          <w:spacing w:val="-1"/>
          <w:sz w:val="20"/>
        </w:rPr>
        <w:t> </w:t>
      </w:r>
      <w:r>
        <w:rPr>
          <w:sz w:val="20"/>
        </w:rPr>
        <w:t>issue</w:t>
      </w:r>
      <w:r>
        <w:rPr>
          <w:spacing w:val="-3"/>
          <w:sz w:val="20"/>
        </w:rPr>
        <w:t> </w:t>
      </w:r>
      <w:r>
        <w:rPr>
          <w:sz w:val="20"/>
        </w:rPr>
        <w:t>as any</w:t>
      </w:r>
      <w:r>
        <w:rPr>
          <w:spacing w:val="-4"/>
          <w:sz w:val="20"/>
        </w:rPr>
        <w:t> </w:t>
      </w:r>
      <w:r>
        <w:rPr>
          <w:sz w:val="20"/>
        </w:rPr>
        <w:t>public</w:t>
      </w:r>
      <w:r>
        <w:rPr>
          <w:spacing w:val="-3"/>
          <w:sz w:val="20"/>
        </w:rPr>
        <w:t> </w:t>
      </w:r>
      <w:r>
        <w:rPr>
          <w:sz w:val="20"/>
        </w:rPr>
        <w:t>statement</w:t>
      </w:r>
      <w:r>
        <w:rPr>
          <w:spacing w:val="-3"/>
          <w:sz w:val="20"/>
        </w:rPr>
        <w:t> </w:t>
      </w:r>
      <w:r>
        <w:rPr>
          <w:sz w:val="20"/>
        </w:rPr>
        <w:t>on</w:t>
      </w:r>
      <w:r>
        <w:rPr>
          <w:spacing w:val="-2"/>
          <w:sz w:val="20"/>
        </w:rPr>
        <w:t> </w:t>
      </w:r>
      <w:r>
        <w:rPr>
          <w:sz w:val="20"/>
        </w:rPr>
        <w:t>this</w:t>
      </w:r>
      <w:r>
        <w:rPr>
          <w:spacing w:val="-2"/>
          <w:sz w:val="20"/>
        </w:rPr>
        <w:t> </w:t>
      </w:r>
      <w:r>
        <w:rPr>
          <w:sz w:val="20"/>
        </w:rPr>
        <w:t>subject</w:t>
      </w:r>
      <w:r>
        <w:rPr>
          <w:spacing w:val="-4"/>
          <w:sz w:val="20"/>
        </w:rPr>
        <w:t> </w:t>
      </w:r>
      <w:r>
        <w:rPr>
          <w:sz w:val="20"/>
        </w:rPr>
        <w:t>could</w:t>
      </w:r>
      <w:r>
        <w:rPr>
          <w:spacing w:val="-3"/>
          <w:sz w:val="20"/>
        </w:rPr>
        <w:t> </w:t>
      </w:r>
      <w:r>
        <w:rPr>
          <w:sz w:val="20"/>
        </w:rPr>
        <w:t>move the market basis between SONIA and Libor. Another member noted that uncertainty regarding the fallback also impacted market</w:t>
      </w:r>
      <w:r>
        <w:rPr>
          <w:spacing w:val="-1"/>
          <w:sz w:val="20"/>
        </w:rPr>
        <w:t> </w:t>
      </w:r>
      <w:r>
        <w:rPr>
          <w:sz w:val="20"/>
        </w:rPr>
        <w:t>pricing.</w:t>
      </w:r>
    </w:p>
    <w:p>
      <w:pPr>
        <w:pStyle w:val="ListParagraph"/>
        <w:numPr>
          <w:ilvl w:val="0"/>
          <w:numId w:val="1"/>
        </w:numPr>
        <w:tabs>
          <w:tab w:pos="558" w:val="left" w:leader="none"/>
        </w:tabs>
        <w:spacing w:line="360" w:lineRule="auto" w:before="120" w:after="0"/>
        <w:ind w:left="557" w:right="747" w:hanging="361"/>
        <w:jc w:val="left"/>
        <w:rPr>
          <w:sz w:val="20"/>
        </w:rPr>
      </w:pPr>
      <w:r>
        <w:rPr>
          <w:sz w:val="20"/>
        </w:rPr>
        <w:t>Members agreed that it would be helpful to discuss the consultation at its next meeting including whether it should feed back an agreed view to</w:t>
      </w:r>
      <w:r>
        <w:rPr>
          <w:spacing w:val="-3"/>
          <w:sz w:val="20"/>
        </w:rPr>
        <w:t> </w:t>
      </w:r>
      <w:r>
        <w:rPr>
          <w:sz w:val="20"/>
        </w:rPr>
        <w:t>ISDA.</w:t>
      </w:r>
    </w:p>
    <w:p>
      <w:pPr>
        <w:pStyle w:val="BodyText"/>
        <w:spacing w:before="121"/>
        <w:ind w:left="196"/>
      </w:pPr>
      <w:r>
        <w:rPr>
          <w:u w:val="single"/>
        </w:rPr>
        <w:t>Other sub-group updates</w:t>
      </w:r>
    </w:p>
    <w:p>
      <w:pPr>
        <w:pStyle w:val="BodyText"/>
      </w:pPr>
    </w:p>
    <w:p>
      <w:pPr>
        <w:pStyle w:val="BodyText"/>
        <w:spacing w:before="4"/>
        <w:rPr>
          <w:sz w:val="18"/>
        </w:rPr>
      </w:pPr>
      <w:r>
        <w:rPr/>
        <w:pict>
          <v:shape style="position:absolute;margin-left:63.84pt;margin-top:12.922149pt;width:144pt;height:.1pt;mso-position-horizontal-relative:page;mso-position-vertical-relative:paragraph;z-index:-251658240;mso-wrap-distance-left:0;mso-wrap-distance-right:0" coordorigin="1277,258" coordsize="2880,0" path="m1277,258l4157,258e" filled="false" stroked="true" strokeweight=".72pt" strokecolor="#000000">
            <v:path arrowok="t"/>
            <v:stroke dashstyle="solid"/>
            <w10:wrap type="topAndBottom"/>
          </v:shape>
        </w:pict>
      </w:r>
    </w:p>
    <w:p>
      <w:pPr>
        <w:spacing w:before="39"/>
        <w:ind w:left="196" w:right="519" w:firstLine="0"/>
        <w:jc w:val="left"/>
        <w:rPr>
          <w:sz w:val="18"/>
        </w:rPr>
      </w:pPr>
      <w:bookmarkStart w:name="_bookmark0" w:id="1"/>
      <w:bookmarkEnd w:id="1"/>
      <w:r>
        <w:rPr/>
      </w:r>
      <w:r>
        <w:rPr>
          <w:position w:val="9"/>
          <w:sz w:val="12"/>
        </w:rPr>
        <w:t>1 </w:t>
      </w:r>
      <w:hyperlink r:id="rId5">
        <w:r>
          <w:rPr>
            <w:color w:val="0000FF"/>
            <w:sz w:val="18"/>
            <w:u w:val="single" w:color="0000FF"/>
          </w:rPr>
          <w:t>ISDA have proposed that fallbacks will point to the RFRs selected by private sector working groups convened by</w:t>
        </w:r>
      </w:hyperlink>
      <w:r>
        <w:rPr>
          <w:color w:val="0000FF"/>
          <w:sz w:val="18"/>
        </w:rPr>
        <w:t> </w:t>
      </w:r>
      <w:hyperlink r:id="rId5">
        <w:r>
          <w:rPr>
            <w:color w:val="0000FF"/>
            <w:sz w:val="18"/>
            <w:u w:val="single" w:color="0000FF"/>
          </w:rPr>
          <w:t>central banks</w:t>
        </w:r>
        <w:r>
          <w:rPr>
            <w:color w:val="0000FF"/>
            <w:sz w:val="18"/>
          </w:rPr>
          <w:t> </w:t>
        </w:r>
      </w:hyperlink>
      <w:r>
        <w:rPr>
          <w:sz w:val="18"/>
        </w:rPr>
        <w:t>(with an appropriate tenor adjustment) plus credit spread adjustments to account for the Libor – OIS spread. The latter would be point-in-time adjustments that would remain fixed for the remaining life of applicable contracts.</w:t>
      </w:r>
    </w:p>
    <w:p>
      <w:pPr>
        <w:spacing w:after="0"/>
        <w:jc w:val="left"/>
        <w:rPr>
          <w:sz w:val="18"/>
        </w:rPr>
        <w:sectPr>
          <w:pgSz w:w="11910" w:h="16840"/>
          <w:pgMar w:top="1180" w:bottom="280" w:left="1080" w:right="1040"/>
        </w:sectPr>
      </w:pPr>
    </w:p>
    <w:p>
      <w:pPr>
        <w:spacing w:before="73"/>
        <w:ind w:left="196" w:right="0" w:firstLine="0"/>
        <w:jc w:val="left"/>
        <w:rPr>
          <w:i/>
          <w:sz w:val="20"/>
        </w:rPr>
      </w:pPr>
      <w:r>
        <w:rPr>
          <w:i/>
          <w:sz w:val="20"/>
        </w:rPr>
        <w:t>Bond markets</w:t>
      </w:r>
    </w:p>
    <w:p>
      <w:pPr>
        <w:pStyle w:val="BodyText"/>
        <w:spacing w:before="5"/>
        <w:rPr>
          <w:i/>
        </w:rPr>
      </w:pPr>
    </w:p>
    <w:p>
      <w:pPr>
        <w:pStyle w:val="ListParagraph"/>
        <w:numPr>
          <w:ilvl w:val="0"/>
          <w:numId w:val="1"/>
        </w:numPr>
        <w:tabs>
          <w:tab w:pos="557" w:val="left" w:leader="none"/>
        </w:tabs>
        <w:spacing w:line="360" w:lineRule="auto" w:before="0" w:after="0"/>
        <w:ind w:left="556" w:right="137" w:hanging="361"/>
        <w:jc w:val="left"/>
        <w:rPr>
          <w:sz w:val="20"/>
        </w:rPr>
      </w:pPr>
      <w:r>
        <w:rPr>
          <w:sz w:val="20"/>
        </w:rPr>
        <w:t>The sub-group had discussed how a backward looking, compounded SONIA could be referenced in bond issuances. It had concluded that this would be feasible but could take time. It would now consider in more detail how certain challenges could be</w:t>
      </w:r>
      <w:r>
        <w:rPr>
          <w:spacing w:val="-5"/>
          <w:sz w:val="20"/>
        </w:rPr>
        <w:t> </w:t>
      </w:r>
      <w:r>
        <w:rPr>
          <w:sz w:val="20"/>
        </w:rPr>
        <w:t>overcome.</w:t>
      </w:r>
    </w:p>
    <w:p>
      <w:pPr>
        <w:pStyle w:val="ListParagraph"/>
        <w:numPr>
          <w:ilvl w:val="0"/>
          <w:numId w:val="1"/>
        </w:numPr>
        <w:tabs>
          <w:tab w:pos="557" w:val="left" w:leader="none"/>
        </w:tabs>
        <w:spacing w:line="360" w:lineRule="auto" w:before="122" w:after="0"/>
        <w:ind w:left="556" w:right="456" w:hanging="360"/>
        <w:jc w:val="left"/>
        <w:rPr>
          <w:sz w:val="20"/>
        </w:rPr>
      </w:pPr>
      <w:r>
        <w:rPr>
          <w:sz w:val="20"/>
        </w:rPr>
        <w:t>The sub-group would also look in more detail at how use of SONIA could be encouraged in bond markets and the extent to which it would be helpful for there to be market guidance on potential risk factors in issuing Libor-linked</w:t>
      </w:r>
      <w:r>
        <w:rPr>
          <w:spacing w:val="-4"/>
          <w:sz w:val="20"/>
        </w:rPr>
        <w:t> </w:t>
      </w:r>
      <w:r>
        <w:rPr>
          <w:sz w:val="20"/>
        </w:rPr>
        <w:t>bonds.</w:t>
      </w:r>
    </w:p>
    <w:p>
      <w:pPr>
        <w:spacing w:before="117"/>
        <w:ind w:left="196" w:right="0" w:firstLine="0"/>
        <w:jc w:val="left"/>
        <w:rPr>
          <w:i/>
          <w:sz w:val="20"/>
        </w:rPr>
      </w:pPr>
      <w:r>
        <w:rPr>
          <w:i/>
          <w:sz w:val="20"/>
        </w:rPr>
        <w:t>Pension Funds and Insurance Companies</w:t>
      </w:r>
    </w:p>
    <w:p>
      <w:pPr>
        <w:pStyle w:val="BodyText"/>
        <w:spacing w:before="8"/>
        <w:rPr>
          <w:i/>
        </w:rPr>
      </w:pPr>
    </w:p>
    <w:p>
      <w:pPr>
        <w:pStyle w:val="ListParagraph"/>
        <w:numPr>
          <w:ilvl w:val="0"/>
          <w:numId w:val="1"/>
        </w:numPr>
        <w:tabs>
          <w:tab w:pos="557" w:val="left" w:leader="none"/>
        </w:tabs>
        <w:spacing w:line="360" w:lineRule="auto" w:before="0" w:after="0"/>
        <w:ind w:left="556" w:right="313" w:hanging="361"/>
        <w:jc w:val="left"/>
        <w:rPr>
          <w:sz w:val="20"/>
        </w:rPr>
      </w:pPr>
      <w:r>
        <w:rPr>
          <w:sz w:val="20"/>
        </w:rPr>
        <w:t>The sub-group had conducted a survey on sub-group members’ use of SONIA and Libor. The survey concluded that barriers to pension funds using SONIA were low but regulation was a barrier for insurance firms due to the mandated Libor-based EIOPA discounting curves. The sub-group would consider how insurers could transition to using SONIA within the current regulatory</w:t>
      </w:r>
      <w:r>
        <w:rPr>
          <w:spacing w:val="-21"/>
          <w:sz w:val="20"/>
        </w:rPr>
        <w:t> </w:t>
      </w:r>
      <w:r>
        <w:rPr>
          <w:sz w:val="20"/>
        </w:rPr>
        <w:t>framework.</w:t>
      </w:r>
    </w:p>
    <w:p>
      <w:pPr>
        <w:spacing w:before="118"/>
        <w:ind w:left="196" w:right="0" w:firstLine="0"/>
        <w:jc w:val="left"/>
        <w:rPr>
          <w:i/>
          <w:sz w:val="20"/>
        </w:rPr>
      </w:pPr>
      <w:r>
        <w:rPr>
          <w:i/>
          <w:sz w:val="20"/>
        </w:rPr>
        <w:t>Syndicated loans</w:t>
      </w:r>
    </w:p>
    <w:p>
      <w:pPr>
        <w:pStyle w:val="BodyText"/>
        <w:spacing w:before="5"/>
        <w:rPr>
          <w:i/>
        </w:rPr>
      </w:pPr>
    </w:p>
    <w:p>
      <w:pPr>
        <w:pStyle w:val="ListParagraph"/>
        <w:numPr>
          <w:ilvl w:val="0"/>
          <w:numId w:val="1"/>
        </w:numPr>
        <w:tabs>
          <w:tab w:pos="557" w:val="left" w:leader="none"/>
        </w:tabs>
        <w:spacing w:line="360" w:lineRule="auto" w:before="1" w:after="0"/>
        <w:ind w:left="556" w:right="301" w:hanging="361"/>
        <w:jc w:val="left"/>
        <w:rPr>
          <w:sz w:val="20"/>
        </w:rPr>
      </w:pPr>
      <w:r>
        <w:rPr>
          <w:sz w:val="20"/>
        </w:rPr>
        <w:t>The sub-group had concluded that the desire for a TSRR and international coordination were the syndicated loan market’s key issues with regard to RFR transition. The sub-group Chair had met with loan system providers to understand the challenges of using a daily compounded SONIA</w:t>
      </w:r>
      <w:r>
        <w:rPr>
          <w:spacing w:val="35"/>
          <w:sz w:val="20"/>
        </w:rPr>
        <w:t> </w:t>
      </w:r>
      <w:r>
        <w:rPr>
          <w:sz w:val="20"/>
        </w:rPr>
        <w:t>rate.</w:t>
      </w:r>
    </w:p>
    <w:p>
      <w:pPr>
        <w:pStyle w:val="ListParagraph"/>
        <w:numPr>
          <w:ilvl w:val="0"/>
          <w:numId w:val="1"/>
        </w:numPr>
        <w:tabs>
          <w:tab w:pos="558" w:val="left" w:leader="none"/>
        </w:tabs>
        <w:spacing w:line="360" w:lineRule="auto" w:before="119" w:after="0"/>
        <w:ind w:left="557" w:right="260" w:hanging="361"/>
        <w:jc w:val="left"/>
        <w:rPr>
          <w:sz w:val="20"/>
        </w:rPr>
      </w:pPr>
      <w:r>
        <w:rPr>
          <w:sz w:val="20"/>
        </w:rPr>
        <w:t>In terms of documentation, the sub-group would consider how templates would need to be updated</w:t>
      </w:r>
      <w:r>
        <w:rPr>
          <w:spacing w:val="-39"/>
          <w:sz w:val="20"/>
        </w:rPr>
        <w:t> </w:t>
      </w:r>
      <w:r>
        <w:rPr>
          <w:sz w:val="20"/>
        </w:rPr>
        <w:t>to refer to a daily compounded SONIA</w:t>
      </w:r>
      <w:r>
        <w:rPr>
          <w:spacing w:val="-10"/>
          <w:sz w:val="20"/>
        </w:rPr>
        <w:t> </w:t>
      </w:r>
      <w:r>
        <w:rPr>
          <w:sz w:val="20"/>
        </w:rPr>
        <w:t>rate.</w:t>
      </w:r>
    </w:p>
    <w:p>
      <w:pPr>
        <w:pStyle w:val="ListParagraph"/>
        <w:numPr>
          <w:ilvl w:val="0"/>
          <w:numId w:val="1"/>
        </w:numPr>
        <w:tabs>
          <w:tab w:pos="558" w:val="left" w:leader="none"/>
        </w:tabs>
        <w:spacing w:line="360" w:lineRule="auto" w:before="121" w:after="0"/>
        <w:ind w:left="557" w:right="547" w:hanging="361"/>
        <w:jc w:val="left"/>
        <w:rPr>
          <w:sz w:val="20"/>
        </w:rPr>
      </w:pPr>
      <w:r>
        <w:rPr>
          <w:sz w:val="20"/>
        </w:rPr>
        <w:t>Separately, the LMA would also be publishing generic template language which would allow future Libor-referencing loans to be amended so that they reference an alternative rate if</w:t>
      </w:r>
      <w:r>
        <w:rPr>
          <w:spacing w:val="-27"/>
          <w:sz w:val="20"/>
        </w:rPr>
        <w:t> </w:t>
      </w:r>
      <w:r>
        <w:rPr>
          <w:sz w:val="20"/>
        </w:rPr>
        <w:t>necessary,</w:t>
      </w:r>
    </w:p>
    <w:p>
      <w:pPr>
        <w:spacing w:before="117"/>
        <w:ind w:left="197" w:right="0" w:firstLine="0"/>
        <w:jc w:val="left"/>
        <w:rPr>
          <w:i/>
          <w:sz w:val="20"/>
        </w:rPr>
      </w:pPr>
      <w:r>
        <w:rPr>
          <w:i/>
          <w:sz w:val="20"/>
        </w:rPr>
        <w:t>SONIA futures products</w:t>
      </w:r>
    </w:p>
    <w:p>
      <w:pPr>
        <w:pStyle w:val="BodyText"/>
        <w:spacing w:before="7"/>
        <w:rPr>
          <w:i/>
        </w:rPr>
      </w:pPr>
    </w:p>
    <w:p>
      <w:pPr>
        <w:pStyle w:val="ListParagraph"/>
        <w:numPr>
          <w:ilvl w:val="0"/>
          <w:numId w:val="1"/>
        </w:numPr>
        <w:tabs>
          <w:tab w:pos="558" w:val="left" w:leader="none"/>
        </w:tabs>
        <w:spacing w:line="360" w:lineRule="auto" w:before="1" w:after="0"/>
        <w:ind w:left="557" w:right="119" w:hanging="360"/>
        <w:jc w:val="left"/>
        <w:rPr>
          <w:sz w:val="20"/>
        </w:rPr>
      </w:pPr>
      <w:r>
        <w:rPr>
          <w:sz w:val="20"/>
        </w:rPr>
        <w:t>Certain providers had already launched futures products with others having announced subsequent product launches. The sub-group would likely have one further meeting in which to discuss how market liquidity in SONIA futures products could be</w:t>
      </w:r>
      <w:r>
        <w:rPr>
          <w:spacing w:val="-4"/>
          <w:sz w:val="20"/>
        </w:rPr>
        <w:t> </w:t>
      </w:r>
      <w:r>
        <w:rPr>
          <w:sz w:val="20"/>
        </w:rPr>
        <w:t>encouraged.</w:t>
      </w:r>
    </w:p>
    <w:p>
      <w:pPr>
        <w:pStyle w:val="BodyText"/>
        <w:spacing w:before="120"/>
        <w:ind w:left="196"/>
      </w:pPr>
      <w:r>
        <w:rPr>
          <w:u w:val="single"/>
        </w:rPr>
        <w:t>AOB</w:t>
      </w:r>
    </w:p>
    <w:p>
      <w:pPr>
        <w:pStyle w:val="BodyText"/>
        <w:spacing w:before="4"/>
        <w:rPr>
          <w:sz w:val="12"/>
        </w:rPr>
      </w:pPr>
    </w:p>
    <w:p>
      <w:pPr>
        <w:pStyle w:val="ListParagraph"/>
        <w:numPr>
          <w:ilvl w:val="0"/>
          <w:numId w:val="1"/>
        </w:numPr>
        <w:tabs>
          <w:tab w:pos="557" w:val="left" w:leader="none"/>
        </w:tabs>
        <w:spacing w:line="360" w:lineRule="auto" w:before="93" w:after="0"/>
        <w:ind w:left="556" w:right="198" w:hanging="361"/>
        <w:jc w:val="left"/>
        <w:rPr>
          <w:sz w:val="20"/>
        </w:rPr>
      </w:pPr>
      <w:r>
        <w:rPr>
          <w:sz w:val="20"/>
        </w:rPr>
        <w:t>The Chair reflected on the Working Group’s progress since its membership was revised at the start of 2018. The number of firms engaged in the Working Group either directly or via sub-groups and forums had considerably increased, reflecting efforts to broaden engagement. The Chair suggested that such broad participation was welcome but made coordination between sub-groups more</w:t>
      </w:r>
      <w:r>
        <w:rPr>
          <w:spacing w:val="-20"/>
          <w:sz w:val="20"/>
        </w:rPr>
        <w:t> </w:t>
      </w:r>
      <w:r>
        <w:rPr>
          <w:sz w:val="20"/>
        </w:rPr>
        <w:t>challenging.</w:t>
      </w:r>
    </w:p>
    <w:p>
      <w:pPr>
        <w:pStyle w:val="ListParagraph"/>
        <w:numPr>
          <w:ilvl w:val="0"/>
          <w:numId w:val="1"/>
        </w:numPr>
        <w:tabs>
          <w:tab w:pos="557" w:val="left" w:leader="none"/>
        </w:tabs>
        <w:spacing w:line="360" w:lineRule="auto" w:before="120" w:after="0"/>
        <w:ind w:left="556" w:right="835" w:hanging="361"/>
        <w:jc w:val="left"/>
        <w:rPr>
          <w:sz w:val="20"/>
        </w:rPr>
      </w:pPr>
      <w:r>
        <w:rPr>
          <w:sz w:val="20"/>
        </w:rPr>
        <w:t>It was agreed that the Chair, Vice-Chairs and sub-group Chairs should meet more frequently to coordinate work across the various sub-groups. It was also agreed that, where more effort was required to deliver certain technical work, the Working Group members would provide the core resources</w:t>
      </w:r>
      <w:r>
        <w:rPr>
          <w:spacing w:val="-1"/>
          <w:sz w:val="20"/>
        </w:rPr>
        <w:t> </w:t>
      </w:r>
      <w:r>
        <w:rPr>
          <w:sz w:val="20"/>
        </w:rPr>
        <w:t>require</w:t>
      </w:r>
    </w:p>
    <w:p>
      <w:pPr>
        <w:spacing w:after="0" w:line="360" w:lineRule="auto"/>
        <w:jc w:val="left"/>
        <w:rPr>
          <w:sz w:val="20"/>
        </w:rPr>
        <w:sectPr>
          <w:pgSz w:w="11910" w:h="16840"/>
          <w:pgMar w:top="1180" w:bottom="280" w:left="1080" w:right="1040"/>
        </w:sectPr>
      </w:pPr>
    </w:p>
    <w:p>
      <w:pPr>
        <w:pStyle w:val="Heading1"/>
      </w:pPr>
      <w:r>
        <w:rPr/>
        <w:t>Private sector</w:t>
      </w:r>
      <w:r>
        <w:rPr>
          <w:spacing w:val="-17"/>
        </w:rPr>
        <w:t> </w:t>
      </w:r>
      <w:r>
        <w:rPr/>
        <w:t>attendees</w:t>
      </w:r>
    </w:p>
    <w:p>
      <w:pPr>
        <w:pStyle w:val="BodyText"/>
        <w:rPr>
          <w:b/>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3"/>
        <w:gridCol w:w="5632"/>
      </w:tblGrid>
      <w:tr>
        <w:trPr>
          <w:trHeight w:val="262" w:hRule="atLeast"/>
        </w:trPr>
        <w:tc>
          <w:tcPr>
            <w:tcW w:w="2963" w:type="dxa"/>
          </w:tcPr>
          <w:p>
            <w:pPr>
              <w:pStyle w:val="TableParagraph"/>
              <w:spacing w:line="225" w:lineRule="exact" w:before="0"/>
              <w:rPr>
                <w:sz w:val="20"/>
              </w:rPr>
            </w:pPr>
            <w:r>
              <w:rPr>
                <w:sz w:val="20"/>
              </w:rPr>
              <w:t>Francois Jourdain</w:t>
            </w:r>
          </w:p>
        </w:tc>
        <w:tc>
          <w:tcPr>
            <w:tcW w:w="5632" w:type="dxa"/>
          </w:tcPr>
          <w:p>
            <w:pPr>
              <w:pStyle w:val="TableParagraph"/>
              <w:spacing w:line="223" w:lineRule="exact" w:before="0"/>
              <w:ind w:left="354"/>
              <w:rPr>
                <w:b/>
                <w:sz w:val="20"/>
              </w:rPr>
            </w:pPr>
            <w:r>
              <w:rPr>
                <w:b/>
                <w:sz w:val="20"/>
              </w:rPr>
              <w:t>Barclays (Chair)</w:t>
            </w:r>
          </w:p>
        </w:tc>
      </w:tr>
      <w:tr>
        <w:trPr>
          <w:trHeight w:val="300" w:hRule="atLeast"/>
        </w:trPr>
        <w:tc>
          <w:tcPr>
            <w:tcW w:w="2963" w:type="dxa"/>
          </w:tcPr>
          <w:p>
            <w:pPr>
              <w:pStyle w:val="TableParagraph"/>
              <w:rPr>
                <w:sz w:val="20"/>
              </w:rPr>
            </w:pPr>
            <w:r>
              <w:rPr>
                <w:sz w:val="20"/>
              </w:rPr>
              <w:t>Andreas Giannopoulos</w:t>
            </w:r>
          </w:p>
        </w:tc>
        <w:tc>
          <w:tcPr>
            <w:tcW w:w="5632" w:type="dxa"/>
          </w:tcPr>
          <w:p>
            <w:pPr>
              <w:pStyle w:val="TableParagraph"/>
              <w:spacing w:before="30"/>
              <w:ind w:left="354"/>
              <w:rPr>
                <w:b/>
                <w:sz w:val="20"/>
              </w:rPr>
            </w:pPr>
            <w:r>
              <w:rPr>
                <w:b/>
                <w:sz w:val="20"/>
              </w:rPr>
              <w:t>Barclays (Chair’s office)</w:t>
            </w:r>
          </w:p>
        </w:tc>
      </w:tr>
      <w:tr>
        <w:trPr>
          <w:trHeight w:val="300" w:hRule="atLeast"/>
        </w:trPr>
        <w:tc>
          <w:tcPr>
            <w:tcW w:w="2963" w:type="dxa"/>
          </w:tcPr>
          <w:p>
            <w:pPr>
              <w:pStyle w:val="TableParagraph"/>
              <w:rPr>
                <w:sz w:val="20"/>
              </w:rPr>
            </w:pPr>
            <w:r>
              <w:rPr>
                <w:sz w:val="20"/>
              </w:rPr>
              <w:t>Joseph McQuade</w:t>
            </w:r>
          </w:p>
        </w:tc>
        <w:tc>
          <w:tcPr>
            <w:tcW w:w="5632" w:type="dxa"/>
          </w:tcPr>
          <w:p>
            <w:pPr>
              <w:pStyle w:val="TableParagraph"/>
              <w:spacing w:before="30"/>
              <w:ind w:left="354"/>
              <w:rPr>
                <w:b/>
                <w:sz w:val="20"/>
              </w:rPr>
            </w:pPr>
            <w:r>
              <w:rPr>
                <w:b/>
                <w:sz w:val="20"/>
              </w:rPr>
              <w:t>Barclays (Chair’s office)</w:t>
            </w:r>
          </w:p>
        </w:tc>
      </w:tr>
      <w:tr>
        <w:trPr>
          <w:trHeight w:val="300" w:hRule="atLeast"/>
        </w:trPr>
        <w:tc>
          <w:tcPr>
            <w:tcW w:w="2963" w:type="dxa"/>
          </w:tcPr>
          <w:p>
            <w:pPr>
              <w:pStyle w:val="TableParagraph"/>
              <w:rPr>
                <w:sz w:val="20"/>
              </w:rPr>
            </w:pPr>
            <w:r>
              <w:rPr>
                <w:sz w:val="20"/>
              </w:rPr>
              <w:t>Frances Hinden</w:t>
            </w:r>
          </w:p>
        </w:tc>
        <w:tc>
          <w:tcPr>
            <w:tcW w:w="5632" w:type="dxa"/>
          </w:tcPr>
          <w:p>
            <w:pPr>
              <w:pStyle w:val="TableParagraph"/>
              <w:spacing w:before="30"/>
              <w:ind w:left="354"/>
              <w:rPr>
                <w:b/>
                <w:sz w:val="20"/>
              </w:rPr>
            </w:pPr>
            <w:r>
              <w:rPr>
                <w:b/>
                <w:sz w:val="20"/>
              </w:rPr>
              <w:t>Shell (Vice Chair)</w:t>
            </w:r>
          </w:p>
        </w:tc>
      </w:tr>
      <w:tr>
        <w:trPr>
          <w:trHeight w:val="300" w:hRule="atLeast"/>
        </w:trPr>
        <w:tc>
          <w:tcPr>
            <w:tcW w:w="2963" w:type="dxa"/>
          </w:tcPr>
          <w:p>
            <w:pPr>
              <w:pStyle w:val="TableParagraph"/>
              <w:rPr>
                <w:sz w:val="20"/>
              </w:rPr>
            </w:pPr>
            <w:r>
              <w:rPr>
                <w:sz w:val="20"/>
              </w:rPr>
              <w:t>Simon Wilkinson</w:t>
            </w:r>
          </w:p>
        </w:tc>
        <w:tc>
          <w:tcPr>
            <w:tcW w:w="5632" w:type="dxa"/>
          </w:tcPr>
          <w:p>
            <w:pPr>
              <w:pStyle w:val="TableParagraph"/>
              <w:spacing w:before="30"/>
              <w:ind w:left="354"/>
              <w:rPr>
                <w:b/>
                <w:sz w:val="20"/>
              </w:rPr>
            </w:pPr>
            <w:r>
              <w:rPr>
                <w:b/>
                <w:sz w:val="20"/>
              </w:rPr>
              <w:t>Legal &amp; General Investment Management (Vice Chair)</w:t>
            </w:r>
          </w:p>
        </w:tc>
      </w:tr>
      <w:tr>
        <w:trPr>
          <w:trHeight w:val="300" w:hRule="atLeast"/>
        </w:trPr>
        <w:tc>
          <w:tcPr>
            <w:tcW w:w="2963" w:type="dxa"/>
          </w:tcPr>
          <w:p>
            <w:pPr>
              <w:pStyle w:val="TableParagraph"/>
              <w:rPr>
                <w:sz w:val="20"/>
              </w:rPr>
            </w:pPr>
            <w:r>
              <w:rPr>
                <w:sz w:val="20"/>
              </w:rPr>
              <w:t>Robert De Roeck</w:t>
            </w:r>
          </w:p>
        </w:tc>
        <w:tc>
          <w:tcPr>
            <w:tcW w:w="5632" w:type="dxa"/>
          </w:tcPr>
          <w:p>
            <w:pPr>
              <w:pStyle w:val="TableParagraph"/>
              <w:spacing w:before="30"/>
              <w:ind w:left="354"/>
              <w:rPr>
                <w:b/>
                <w:sz w:val="20"/>
              </w:rPr>
            </w:pPr>
            <w:r>
              <w:rPr>
                <w:b/>
                <w:sz w:val="20"/>
              </w:rPr>
              <w:t>Aberdeen Standard Investments</w:t>
            </w:r>
          </w:p>
        </w:tc>
      </w:tr>
      <w:tr>
        <w:trPr>
          <w:trHeight w:val="300" w:hRule="atLeast"/>
        </w:trPr>
        <w:tc>
          <w:tcPr>
            <w:tcW w:w="2963" w:type="dxa"/>
          </w:tcPr>
          <w:p>
            <w:pPr>
              <w:pStyle w:val="TableParagraph"/>
              <w:rPr>
                <w:sz w:val="20"/>
              </w:rPr>
            </w:pPr>
            <w:r>
              <w:rPr>
                <w:sz w:val="20"/>
              </w:rPr>
              <w:t>Shaun Kennedy</w:t>
            </w:r>
          </w:p>
        </w:tc>
        <w:tc>
          <w:tcPr>
            <w:tcW w:w="5632" w:type="dxa"/>
          </w:tcPr>
          <w:p>
            <w:pPr>
              <w:pStyle w:val="TableParagraph"/>
              <w:spacing w:before="30"/>
              <w:ind w:left="354"/>
              <w:rPr>
                <w:b/>
                <w:sz w:val="20"/>
              </w:rPr>
            </w:pPr>
            <w:r>
              <w:rPr>
                <w:b/>
                <w:sz w:val="20"/>
              </w:rPr>
              <w:t>Associated British Ports</w:t>
            </w:r>
          </w:p>
        </w:tc>
      </w:tr>
      <w:tr>
        <w:trPr>
          <w:trHeight w:val="300" w:hRule="atLeast"/>
        </w:trPr>
        <w:tc>
          <w:tcPr>
            <w:tcW w:w="2963" w:type="dxa"/>
          </w:tcPr>
          <w:p>
            <w:pPr>
              <w:pStyle w:val="TableParagraph"/>
              <w:rPr>
                <w:sz w:val="20"/>
              </w:rPr>
            </w:pPr>
            <w:r>
              <w:rPr>
                <w:sz w:val="20"/>
              </w:rPr>
              <w:t>Sarah Boyce</w:t>
            </w:r>
          </w:p>
        </w:tc>
        <w:tc>
          <w:tcPr>
            <w:tcW w:w="5632" w:type="dxa"/>
          </w:tcPr>
          <w:p>
            <w:pPr>
              <w:pStyle w:val="TableParagraph"/>
              <w:spacing w:before="30"/>
              <w:ind w:left="354"/>
              <w:rPr>
                <w:b/>
                <w:sz w:val="20"/>
              </w:rPr>
            </w:pPr>
            <w:r>
              <w:rPr>
                <w:b/>
                <w:sz w:val="20"/>
              </w:rPr>
              <w:t>Association of Corporate Treasurers</w:t>
            </w:r>
          </w:p>
        </w:tc>
      </w:tr>
      <w:tr>
        <w:trPr>
          <w:trHeight w:val="300" w:hRule="atLeast"/>
        </w:trPr>
        <w:tc>
          <w:tcPr>
            <w:tcW w:w="2963" w:type="dxa"/>
          </w:tcPr>
          <w:p>
            <w:pPr>
              <w:pStyle w:val="TableParagraph"/>
              <w:rPr>
                <w:sz w:val="20"/>
              </w:rPr>
            </w:pPr>
            <w:r>
              <w:rPr>
                <w:sz w:val="20"/>
              </w:rPr>
              <w:t>Nick Saggers</w:t>
            </w:r>
          </w:p>
        </w:tc>
        <w:tc>
          <w:tcPr>
            <w:tcW w:w="5632" w:type="dxa"/>
          </w:tcPr>
          <w:p>
            <w:pPr>
              <w:pStyle w:val="TableParagraph"/>
              <w:spacing w:before="30"/>
              <w:ind w:left="354"/>
              <w:rPr>
                <w:b/>
                <w:sz w:val="20"/>
              </w:rPr>
            </w:pPr>
            <w:r>
              <w:rPr>
                <w:b/>
                <w:sz w:val="20"/>
              </w:rPr>
              <w:t>Bank of America Merrill Lynch</w:t>
            </w:r>
          </w:p>
        </w:tc>
      </w:tr>
      <w:tr>
        <w:trPr>
          <w:trHeight w:val="300" w:hRule="atLeast"/>
        </w:trPr>
        <w:tc>
          <w:tcPr>
            <w:tcW w:w="2963" w:type="dxa"/>
          </w:tcPr>
          <w:p>
            <w:pPr>
              <w:pStyle w:val="TableParagraph"/>
              <w:rPr>
                <w:sz w:val="20"/>
              </w:rPr>
            </w:pPr>
            <w:r>
              <w:rPr>
                <w:sz w:val="20"/>
              </w:rPr>
              <w:t>Robert Mitchelson</w:t>
            </w:r>
          </w:p>
        </w:tc>
        <w:tc>
          <w:tcPr>
            <w:tcW w:w="5632" w:type="dxa"/>
          </w:tcPr>
          <w:p>
            <w:pPr>
              <w:pStyle w:val="TableParagraph"/>
              <w:spacing w:before="30"/>
              <w:ind w:left="354"/>
              <w:rPr>
                <w:b/>
                <w:sz w:val="20"/>
              </w:rPr>
            </w:pPr>
            <w:r>
              <w:rPr>
                <w:b/>
                <w:sz w:val="20"/>
              </w:rPr>
              <w:t>Blackrock</w:t>
            </w:r>
          </w:p>
        </w:tc>
      </w:tr>
      <w:tr>
        <w:trPr>
          <w:trHeight w:val="282" w:hRule="atLeast"/>
        </w:trPr>
        <w:tc>
          <w:tcPr>
            <w:tcW w:w="2963" w:type="dxa"/>
          </w:tcPr>
          <w:p>
            <w:pPr>
              <w:pStyle w:val="TableParagraph"/>
              <w:spacing w:line="229" w:lineRule="exact"/>
              <w:rPr>
                <w:sz w:val="20"/>
              </w:rPr>
            </w:pPr>
            <w:r>
              <w:rPr>
                <w:sz w:val="20"/>
              </w:rPr>
              <w:t>Panayiotis Stergiou</w:t>
            </w:r>
          </w:p>
        </w:tc>
        <w:tc>
          <w:tcPr>
            <w:tcW w:w="5632" w:type="dxa"/>
          </w:tcPr>
          <w:p>
            <w:pPr>
              <w:pStyle w:val="TableParagraph"/>
              <w:spacing w:before="30"/>
              <w:ind w:left="354"/>
              <w:rPr>
                <w:b/>
                <w:sz w:val="20"/>
              </w:rPr>
            </w:pPr>
            <w:r>
              <w:rPr>
                <w:b/>
                <w:sz w:val="20"/>
              </w:rPr>
              <w:t>Deutsche Bank</w:t>
            </w:r>
          </w:p>
        </w:tc>
      </w:tr>
      <w:tr>
        <w:trPr>
          <w:trHeight w:val="494" w:hRule="atLeast"/>
        </w:trPr>
        <w:tc>
          <w:tcPr>
            <w:tcW w:w="2963" w:type="dxa"/>
          </w:tcPr>
          <w:p>
            <w:pPr>
              <w:pStyle w:val="TableParagraph"/>
              <w:spacing w:before="130"/>
              <w:rPr>
                <w:sz w:val="20"/>
              </w:rPr>
            </w:pPr>
            <w:r>
              <w:rPr>
                <w:sz w:val="20"/>
              </w:rPr>
              <w:t>David Bisnath</w:t>
            </w:r>
          </w:p>
        </w:tc>
        <w:tc>
          <w:tcPr>
            <w:tcW w:w="5632" w:type="dxa"/>
          </w:tcPr>
          <w:p>
            <w:pPr>
              <w:pStyle w:val="TableParagraph"/>
              <w:spacing w:before="12"/>
              <w:ind w:left="354"/>
              <w:rPr>
                <w:b/>
                <w:sz w:val="20"/>
              </w:rPr>
            </w:pPr>
            <w:r>
              <w:rPr>
                <w:b/>
                <w:sz w:val="20"/>
              </w:rPr>
              <w:t>Deutsche Bank (representing the ISDA European Accounting Committee – 1</w:t>
            </w:r>
            <w:r>
              <w:rPr>
                <w:b/>
                <w:sz w:val="20"/>
                <w:vertAlign w:val="superscript"/>
              </w:rPr>
              <w:t>st</w:t>
            </w:r>
            <w:r>
              <w:rPr>
                <w:b/>
                <w:sz w:val="20"/>
                <w:vertAlign w:val="baseline"/>
              </w:rPr>
              <w:t> item only)</w:t>
            </w:r>
          </w:p>
        </w:tc>
      </w:tr>
      <w:tr>
        <w:trPr>
          <w:trHeight w:val="284" w:hRule="atLeast"/>
        </w:trPr>
        <w:tc>
          <w:tcPr>
            <w:tcW w:w="2963" w:type="dxa"/>
          </w:tcPr>
          <w:p>
            <w:pPr>
              <w:pStyle w:val="TableParagraph"/>
              <w:spacing w:before="17"/>
              <w:rPr>
                <w:sz w:val="20"/>
              </w:rPr>
            </w:pPr>
            <w:r>
              <w:rPr>
                <w:sz w:val="20"/>
              </w:rPr>
              <w:t>Axel van Nederveen</w:t>
            </w:r>
          </w:p>
        </w:tc>
        <w:tc>
          <w:tcPr>
            <w:tcW w:w="5632" w:type="dxa"/>
          </w:tcPr>
          <w:p>
            <w:pPr>
              <w:pStyle w:val="TableParagraph"/>
              <w:spacing w:before="14"/>
              <w:ind w:left="354"/>
              <w:rPr>
                <w:b/>
                <w:sz w:val="20"/>
              </w:rPr>
            </w:pPr>
            <w:r>
              <w:rPr>
                <w:b/>
                <w:sz w:val="20"/>
              </w:rPr>
              <w:t>European Bank for Reconstruction &amp; Development</w:t>
            </w:r>
          </w:p>
        </w:tc>
      </w:tr>
      <w:tr>
        <w:trPr>
          <w:trHeight w:val="300" w:hRule="atLeast"/>
        </w:trPr>
        <w:tc>
          <w:tcPr>
            <w:tcW w:w="2963" w:type="dxa"/>
          </w:tcPr>
          <w:p>
            <w:pPr>
              <w:pStyle w:val="TableParagraph"/>
              <w:rPr>
                <w:sz w:val="20"/>
              </w:rPr>
            </w:pPr>
            <w:r>
              <w:rPr>
                <w:sz w:val="20"/>
              </w:rPr>
              <w:t>Sarah-Jane Chilver-Stainer</w:t>
            </w:r>
          </w:p>
        </w:tc>
        <w:tc>
          <w:tcPr>
            <w:tcW w:w="5632" w:type="dxa"/>
          </w:tcPr>
          <w:p>
            <w:pPr>
              <w:pStyle w:val="TableParagraph"/>
              <w:spacing w:before="30"/>
              <w:ind w:left="354"/>
              <w:rPr>
                <w:b/>
                <w:sz w:val="20"/>
              </w:rPr>
            </w:pPr>
            <w:r>
              <w:rPr>
                <w:b/>
                <w:sz w:val="20"/>
              </w:rPr>
              <w:t>GlaxoSmithKline</w:t>
            </w:r>
          </w:p>
        </w:tc>
      </w:tr>
      <w:tr>
        <w:trPr>
          <w:trHeight w:val="300" w:hRule="atLeast"/>
        </w:trPr>
        <w:tc>
          <w:tcPr>
            <w:tcW w:w="2963" w:type="dxa"/>
          </w:tcPr>
          <w:p>
            <w:pPr>
              <w:pStyle w:val="TableParagraph"/>
              <w:rPr>
                <w:sz w:val="20"/>
              </w:rPr>
            </w:pPr>
            <w:r>
              <w:rPr>
                <w:sz w:val="20"/>
              </w:rPr>
              <w:t>Chirag Dave</w:t>
            </w:r>
          </w:p>
        </w:tc>
        <w:tc>
          <w:tcPr>
            <w:tcW w:w="5632" w:type="dxa"/>
          </w:tcPr>
          <w:p>
            <w:pPr>
              <w:pStyle w:val="TableParagraph"/>
              <w:spacing w:before="30"/>
              <w:ind w:left="354"/>
              <w:rPr>
                <w:b/>
                <w:sz w:val="20"/>
              </w:rPr>
            </w:pPr>
            <w:r>
              <w:rPr>
                <w:b/>
                <w:sz w:val="20"/>
              </w:rPr>
              <w:t>Goldman Sachs</w:t>
            </w:r>
          </w:p>
        </w:tc>
      </w:tr>
      <w:tr>
        <w:trPr>
          <w:trHeight w:val="300" w:hRule="atLeast"/>
        </w:trPr>
        <w:tc>
          <w:tcPr>
            <w:tcW w:w="2963" w:type="dxa"/>
          </w:tcPr>
          <w:p>
            <w:pPr>
              <w:pStyle w:val="TableParagraph"/>
              <w:rPr>
                <w:sz w:val="20"/>
              </w:rPr>
            </w:pPr>
            <w:r>
              <w:rPr>
                <w:sz w:val="20"/>
              </w:rPr>
              <w:t>Daniele Forni</w:t>
            </w:r>
          </w:p>
        </w:tc>
        <w:tc>
          <w:tcPr>
            <w:tcW w:w="5632" w:type="dxa"/>
          </w:tcPr>
          <w:p>
            <w:pPr>
              <w:pStyle w:val="TableParagraph"/>
              <w:spacing w:before="30"/>
              <w:ind w:left="354"/>
              <w:rPr>
                <w:b/>
                <w:sz w:val="20"/>
              </w:rPr>
            </w:pPr>
            <w:r>
              <w:rPr>
                <w:b/>
                <w:sz w:val="20"/>
              </w:rPr>
              <w:t>HSBC</w:t>
            </w:r>
          </w:p>
        </w:tc>
      </w:tr>
      <w:tr>
        <w:trPr>
          <w:trHeight w:val="300" w:hRule="atLeast"/>
        </w:trPr>
        <w:tc>
          <w:tcPr>
            <w:tcW w:w="2963" w:type="dxa"/>
          </w:tcPr>
          <w:p>
            <w:pPr>
              <w:pStyle w:val="TableParagraph"/>
              <w:rPr>
                <w:sz w:val="20"/>
              </w:rPr>
            </w:pPr>
            <w:r>
              <w:rPr>
                <w:sz w:val="20"/>
              </w:rPr>
              <w:t>Chris Rhodes</w:t>
            </w:r>
          </w:p>
        </w:tc>
        <w:tc>
          <w:tcPr>
            <w:tcW w:w="5632" w:type="dxa"/>
          </w:tcPr>
          <w:p>
            <w:pPr>
              <w:pStyle w:val="TableParagraph"/>
              <w:spacing w:before="30"/>
              <w:ind w:left="354"/>
              <w:rPr>
                <w:b/>
                <w:sz w:val="20"/>
              </w:rPr>
            </w:pPr>
            <w:r>
              <w:rPr>
                <w:b/>
                <w:sz w:val="20"/>
              </w:rPr>
              <w:t>ICE Group</w:t>
            </w:r>
          </w:p>
        </w:tc>
      </w:tr>
      <w:tr>
        <w:trPr>
          <w:trHeight w:val="300" w:hRule="atLeast"/>
        </w:trPr>
        <w:tc>
          <w:tcPr>
            <w:tcW w:w="2963" w:type="dxa"/>
          </w:tcPr>
          <w:p>
            <w:pPr>
              <w:pStyle w:val="TableParagraph"/>
              <w:rPr>
                <w:sz w:val="20"/>
              </w:rPr>
            </w:pPr>
            <w:r>
              <w:rPr>
                <w:sz w:val="20"/>
              </w:rPr>
              <w:t>Paul Richards</w:t>
            </w:r>
          </w:p>
        </w:tc>
        <w:tc>
          <w:tcPr>
            <w:tcW w:w="5632" w:type="dxa"/>
          </w:tcPr>
          <w:p>
            <w:pPr>
              <w:pStyle w:val="TableParagraph"/>
              <w:spacing w:before="30"/>
              <w:ind w:left="354"/>
              <w:rPr>
                <w:b/>
                <w:sz w:val="20"/>
              </w:rPr>
            </w:pPr>
            <w:r>
              <w:rPr>
                <w:b/>
                <w:sz w:val="20"/>
              </w:rPr>
              <w:t>ICMA</w:t>
            </w:r>
          </w:p>
        </w:tc>
      </w:tr>
      <w:tr>
        <w:trPr>
          <w:trHeight w:val="300" w:hRule="atLeast"/>
        </w:trPr>
        <w:tc>
          <w:tcPr>
            <w:tcW w:w="2963" w:type="dxa"/>
          </w:tcPr>
          <w:p>
            <w:pPr>
              <w:pStyle w:val="TableParagraph"/>
              <w:rPr>
                <w:sz w:val="20"/>
              </w:rPr>
            </w:pPr>
            <w:r>
              <w:rPr>
                <w:sz w:val="20"/>
              </w:rPr>
              <w:t>Vanaja Indra</w:t>
            </w:r>
          </w:p>
        </w:tc>
        <w:tc>
          <w:tcPr>
            <w:tcW w:w="5632" w:type="dxa"/>
          </w:tcPr>
          <w:p>
            <w:pPr>
              <w:pStyle w:val="TableParagraph"/>
              <w:spacing w:before="30"/>
              <w:ind w:left="354"/>
              <w:rPr>
                <w:b/>
                <w:sz w:val="20"/>
              </w:rPr>
            </w:pPr>
            <w:r>
              <w:rPr>
                <w:b/>
                <w:sz w:val="20"/>
              </w:rPr>
              <w:t>Insight Investment</w:t>
            </w:r>
          </w:p>
        </w:tc>
      </w:tr>
      <w:tr>
        <w:trPr>
          <w:trHeight w:val="300" w:hRule="atLeast"/>
        </w:trPr>
        <w:tc>
          <w:tcPr>
            <w:tcW w:w="2963" w:type="dxa"/>
          </w:tcPr>
          <w:p>
            <w:pPr>
              <w:pStyle w:val="TableParagraph"/>
              <w:rPr>
                <w:sz w:val="20"/>
              </w:rPr>
            </w:pPr>
            <w:r>
              <w:rPr>
                <w:sz w:val="20"/>
              </w:rPr>
              <w:t>Galina Dimintrova</w:t>
            </w:r>
          </w:p>
        </w:tc>
        <w:tc>
          <w:tcPr>
            <w:tcW w:w="5632" w:type="dxa"/>
          </w:tcPr>
          <w:p>
            <w:pPr>
              <w:pStyle w:val="TableParagraph"/>
              <w:spacing w:before="30"/>
              <w:ind w:left="354"/>
              <w:rPr>
                <w:b/>
                <w:sz w:val="20"/>
              </w:rPr>
            </w:pPr>
            <w:r>
              <w:rPr>
                <w:b/>
                <w:sz w:val="20"/>
              </w:rPr>
              <w:t>Investment Association</w:t>
            </w:r>
          </w:p>
        </w:tc>
      </w:tr>
      <w:tr>
        <w:trPr>
          <w:trHeight w:val="300" w:hRule="atLeast"/>
        </w:trPr>
        <w:tc>
          <w:tcPr>
            <w:tcW w:w="2963" w:type="dxa"/>
          </w:tcPr>
          <w:p>
            <w:pPr>
              <w:pStyle w:val="TableParagraph"/>
              <w:rPr>
                <w:sz w:val="20"/>
              </w:rPr>
            </w:pPr>
            <w:r>
              <w:rPr>
                <w:sz w:val="20"/>
              </w:rPr>
              <w:t>Scott O’Malia</w:t>
            </w:r>
          </w:p>
        </w:tc>
        <w:tc>
          <w:tcPr>
            <w:tcW w:w="5632" w:type="dxa"/>
          </w:tcPr>
          <w:p>
            <w:pPr>
              <w:pStyle w:val="TableParagraph"/>
              <w:spacing w:before="30"/>
              <w:ind w:left="354"/>
              <w:rPr>
                <w:b/>
                <w:sz w:val="20"/>
              </w:rPr>
            </w:pPr>
            <w:r>
              <w:rPr>
                <w:b/>
                <w:sz w:val="20"/>
              </w:rPr>
              <w:t>ISDA</w:t>
            </w:r>
          </w:p>
        </w:tc>
      </w:tr>
      <w:tr>
        <w:trPr>
          <w:trHeight w:val="282" w:hRule="atLeast"/>
        </w:trPr>
        <w:tc>
          <w:tcPr>
            <w:tcW w:w="2963" w:type="dxa"/>
          </w:tcPr>
          <w:p>
            <w:pPr>
              <w:pStyle w:val="TableParagraph"/>
              <w:spacing w:line="229" w:lineRule="exact"/>
              <w:rPr>
                <w:sz w:val="20"/>
              </w:rPr>
            </w:pPr>
            <w:r>
              <w:rPr>
                <w:sz w:val="20"/>
              </w:rPr>
              <w:t>Rick Sandilands</w:t>
            </w:r>
          </w:p>
        </w:tc>
        <w:tc>
          <w:tcPr>
            <w:tcW w:w="5632" w:type="dxa"/>
          </w:tcPr>
          <w:p>
            <w:pPr>
              <w:pStyle w:val="TableParagraph"/>
              <w:spacing w:before="30"/>
              <w:ind w:left="354"/>
              <w:rPr>
                <w:b/>
                <w:sz w:val="20"/>
              </w:rPr>
            </w:pPr>
            <w:r>
              <w:rPr>
                <w:b/>
                <w:sz w:val="20"/>
              </w:rPr>
              <w:t>ISDA</w:t>
            </w:r>
          </w:p>
        </w:tc>
      </w:tr>
      <w:tr>
        <w:trPr>
          <w:trHeight w:val="493" w:hRule="atLeast"/>
        </w:trPr>
        <w:tc>
          <w:tcPr>
            <w:tcW w:w="2963" w:type="dxa"/>
          </w:tcPr>
          <w:p>
            <w:pPr>
              <w:pStyle w:val="TableParagraph"/>
              <w:spacing w:before="130"/>
              <w:rPr>
                <w:sz w:val="20"/>
              </w:rPr>
            </w:pPr>
            <w:r>
              <w:rPr>
                <w:sz w:val="20"/>
              </w:rPr>
              <w:t>Antonio Corbi</w:t>
            </w:r>
          </w:p>
        </w:tc>
        <w:tc>
          <w:tcPr>
            <w:tcW w:w="5632" w:type="dxa"/>
          </w:tcPr>
          <w:p>
            <w:pPr>
              <w:pStyle w:val="TableParagraph"/>
              <w:spacing w:before="12"/>
              <w:ind w:left="354" w:right="424"/>
              <w:rPr>
                <w:b/>
                <w:sz w:val="20"/>
              </w:rPr>
            </w:pPr>
            <w:r>
              <w:rPr>
                <w:b/>
                <w:sz w:val="20"/>
              </w:rPr>
              <w:t>ISDA (representing the ISDA European Accounting Committee – 1</w:t>
            </w:r>
            <w:r>
              <w:rPr>
                <w:b/>
                <w:sz w:val="20"/>
                <w:vertAlign w:val="superscript"/>
              </w:rPr>
              <w:t>st</w:t>
            </w:r>
            <w:r>
              <w:rPr>
                <w:b/>
                <w:sz w:val="20"/>
                <w:vertAlign w:val="baseline"/>
              </w:rPr>
              <w:t> item only)</w:t>
            </w:r>
          </w:p>
        </w:tc>
      </w:tr>
      <w:tr>
        <w:trPr>
          <w:trHeight w:val="283" w:hRule="atLeast"/>
        </w:trPr>
        <w:tc>
          <w:tcPr>
            <w:tcW w:w="2963" w:type="dxa"/>
          </w:tcPr>
          <w:p>
            <w:pPr>
              <w:pStyle w:val="TableParagraph"/>
              <w:spacing w:before="16"/>
              <w:rPr>
                <w:sz w:val="20"/>
              </w:rPr>
            </w:pPr>
            <w:r>
              <w:rPr>
                <w:sz w:val="20"/>
              </w:rPr>
              <w:t>Clare Dawson</w:t>
            </w:r>
          </w:p>
        </w:tc>
        <w:tc>
          <w:tcPr>
            <w:tcW w:w="5632" w:type="dxa"/>
          </w:tcPr>
          <w:p>
            <w:pPr>
              <w:pStyle w:val="TableParagraph"/>
              <w:spacing w:before="13"/>
              <w:ind w:left="354"/>
              <w:rPr>
                <w:b/>
                <w:sz w:val="20"/>
              </w:rPr>
            </w:pPr>
            <w:r>
              <w:rPr>
                <w:b/>
                <w:sz w:val="20"/>
              </w:rPr>
              <w:t>Loan Market Association</w:t>
            </w:r>
          </w:p>
        </w:tc>
      </w:tr>
      <w:tr>
        <w:trPr>
          <w:trHeight w:val="300" w:hRule="atLeast"/>
        </w:trPr>
        <w:tc>
          <w:tcPr>
            <w:tcW w:w="2963" w:type="dxa"/>
          </w:tcPr>
          <w:p>
            <w:pPr>
              <w:pStyle w:val="TableParagraph"/>
              <w:rPr>
                <w:sz w:val="20"/>
              </w:rPr>
            </w:pPr>
            <w:r>
              <w:rPr>
                <w:sz w:val="20"/>
              </w:rPr>
              <w:t>Philip Whitehurst</w:t>
            </w:r>
          </w:p>
        </w:tc>
        <w:tc>
          <w:tcPr>
            <w:tcW w:w="5632" w:type="dxa"/>
          </w:tcPr>
          <w:p>
            <w:pPr>
              <w:pStyle w:val="TableParagraph"/>
              <w:spacing w:before="30"/>
              <w:ind w:left="354"/>
              <w:rPr>
                <w:b/>
                <w:sz w:val="20"/>
              </w:rPr>
            </w:pPr>
            <w:r>
              <w:rPr>
                <w:b/>
                <w:sz w:val="20"/>
              </w:rPr>
              <w:t>London Stock Exchange Group</w:t>
            </w:r>
          </w:p>
        </w:tc>
      </w:tr>
      <w:tr>
        <w:trPr>
          <w:trHeight w:val="300" w:hRule="atLeast"/>
        </w:trPr>
        <w:tc>
          <w:tcPr>
            <w:tcW w:w="2963" w:type="dxa"/>
          </w:tcPr>
          <w:p>
            <w:pPr>
              <w:pStyle w:val="TableParagraph"/>
              <w:rPr>
                <w:sz w:val="20"/>
              </w:rPr>
            </w:pPr>
            <w:r>
              <w:rPr>
                <w:sz w:val="20"/>
              </w:rPr>
              <w:t>Ian Fox</w:t>
            </w:r>
          </w:p>
        </w:tc>
        <w:tc>
          <w:tcPr>
            <w:tcW w:w="5632" w:type="dxa"/>
          </w:tcPr>
          <w:p>
            <w:pPr>
              <w:pStyle w:val="TableParagraph"/>
              <w:spacing w:before="30"/>
              <w:ind w:left="354"/>
              <w:rPr>
                <w:b/>
                <w:sz w:val="20"/>
              </w:rPr>
            </w:pPr>
            <w:r>
              <w:rPr>
                <w:b/>
                <w:sz w:val="20"/>
              </w:rPr>
              <w:t>Lloyds Banking Group</w:t>
            </w:r>
          </w:p>
        </w:tc>
      </w:tr>
      <w:tr>
        <w:trPr>
          <w:trHeight w:val="300" w:hRule="atLeast"/>
        </w:trPr>
        <w:tc>
          <w:tcPr>
            <w:tcW w:w="2963" w:type="dxa"/>
          </w:tcPr>
          <w:p>
            <w:pPr>
              <w:pStyle w:val="TableParagraph"/>
              <w:rPr>
                <w:sz w:val="20"/>
              </w:rPr>
            </w:pPr>
            <w:r>
              <w:rPr>
                <w:sz w:val="20"/>
              </w:rPr>
              <w:t>David Covey</w:t>
            </w:r>
          </w:p>
        </w:tc>
        <w:tc>
          <w:tcPr>
            <w:tcW w:w="5632" w:type="dxa"/>
          </w:tcPr>
          <w:p>
            <w:pPr>
              <w:pStyle w:val="TableParagraph"/>
              <w:spacing w:before="30"/>
              <w:ind w:left="354"/>
              <w:rPr>
                <w:b/>
                <w:sz w:val="20"/>
              </w:rPr>
            </w:pPr>
            <w:r>
              <w:rPr>
                <w:b/>
                <w:sz w:val="20"/>
              </w:rPr>
              <w:t>M&amp;G Investments</w:t>
            </w:r>
          </w:p>
        </w:tc>
      </w:tr>
      <w:tr>
        <w:trPr>
          <w:trHeight w:val="300" w:hRule="atLeast"/>
        </w:trPr>
        <w:tc>
          <w:tcPr>
            <w:tcW w:w="2963" w:type="dxa"/>
          </w:tcPr>
          <w:p>
            <w:pPr>
              <w:pStyle w:val="TableParagraph"/>
              <w:rPr>
                <w:sz w:val="20"/>
              </w:rPr>
            </w:pPr>
            <w:r>
              <w:rPr>
                <w:sz w:val="20"/>
              </w:rPr>
              <w:t>Richard Merrett</w:t>
            </w:r>
          </w:p>
        </w:tc>
        <w:tc>
          <w:tcPr>
            <w:tcW w:w="5632" w:type="dxa"/>
          </w:tcPr>
          <w:p>
            <w:pPr>
              <w:pStyle w:val="TableParagraph"/>
              <w:spacing w:before="30"/>
              <w:ind w:left="354"/>
              <w:rPr>
                <w:b/>
                <w:sz w:val="20"/>
              </w:rPr>
            </w:pPr>
            <w:r>
              <w:rPr>
                <w:b/>
                <w:sz w:val="20"/>
              </w:rPr>
              <w:t>Nationwide Building Society</w:t>
            </w:r>
          </w:p>
        </w:tc>
      </w:tr>
      <w:tr>
        <w:trPr>
          <w:trHeight w:val="300" w:hRule="atLeast"/>
        </w:trPr>
        <w:tc>
          <w:tcPr>
            <w:tcW w:w="2963" w:type="dxa"/>
          </w:tcPr>
          <w:p>
            <w:pPr>
              <w:pStyle w:val="TableParagraph"/>
              <w:rPr>
                <w:sz w:val="20"/>
              </w:rPr>
            </w:pPr>
            <w:r>
              <w:rPr>
                <w:sz w:val="20"/>
              </w:rPr>
              <w:t>Kwok Liu</w:t>
            </w:r>
          </w:p>
        </w:tc>
        <w:tc>
          <w:tcPr>
            <w:tcW w:w="5632" w:type="dxa"/>
          </w:tcPr>
          <w:p>
            <w:pPr>
              <w:pStyle w:val="TableParagraph"/>
              <w:spacing w:before="30"/>
              <w:ind w:left="354"/>
              <w:rPr>
                <w:b/>
                <w:sz w:val="20"/>
              </w:rPr>
            </w:pPr>
            <w:r>
              <w:rPr>
                <w:b/>
                <w:sz w:val="20"/>
              </w:rPr>
              <w:t>National Grid</w:t>
            </w:r>
          </w:p>
        </w:tc>
      </w:tr>
      <w:tr>
        <w:trPr>
          <w:trHeight w:val="262" w:hRule="atLeast"/>
        </w:trPr>
        <w:tc>
          <w:tcPr>
            <w:tcW w:w="2963" w:type="dxa"/>
          </w:tcPr>
          <w:p>
            <w:pPr>
              <w:pStyle w:val="TableParagraph"/>
              <w:spacing w:line="210" w:lineRule="exact"/>
              <w:rPr>
                <w:sz w:val="20"/>
              </w:rPr>
            </w:pPr>
            <w:r>
              <w:rPr>
                <w:sz w:val="20"/>
              </w:rPr>
              <w:t>Kieran Higgins</w:t>
            </w:r>
          </w:p>
        </w:tc>
        <w:tc>
          <w:tcPr>
            <w:tcW w:w="5632" w:type="dxa"/>
          </w:tcPr>
          <w:p>
            <w:pPr>
              <w:pStyle w:val="TableParagraph"/>
              <w:spacing w:line="212" w:lineRule="exact" w:before="30"/>
              <w:ind w:left="354"/>
              <w:rPr>
                <w:b/>
                <w:sz w:val="20"/>
              </w:rPr>
            </w:pPr>
            <w:r>
              <w:rPr>
                <w:b/>
                <w:sz w:val="20"/>
              </w:rPr>
              <w:t>Royal Bank of Scotland Group</w:t>
            </w:r>
          </w:p>
        </w:tc>
      </w:tr>
    </w:tbl>
    <w:p>
      <w:pPr>
        <w:pStyle w:val="BodyText"/>
        <w:spacing w:before="3"/>
        <w:rPr>
          <w:b/>
          <w:sz w:val="29"/>
        </w:rPr>
      </w:pPr>
    </w:p>
    <w:p>
      <w:pPr>
        <w:spacing w:before="0"/>
        <w:ind w:left="196" w:right="0" w:firstLine="0"/>
        <w:jc w:val="left"/>
        <w:rPr>
          <w:b/>
          <w:sz w:val="20"/>
        </w:rPr>
      </w:pPr>
      <w:r>
        <w:rPr>
          <w:b/>
          <w:sz w:val="20"/>
        </w:rPr>
        <w:t>Official sector</w:t>
      </w:r>
      <w:r>
        <w:rPr>
          <w:b/>
          <w:spacing w:val="-15"/>
          <w:sz w:val="20"/>
        </w:rPr>
        <w:t> </w:t>
      </w:r>
      <w:r>
        <w:rPr>
          <w:b/>
          <w:sz w:val="20"/>
        </w:rPr>
        <w:t>attendees</w:t>
      </w:r>
    </w:p>
    <w:p>
      <w:pPr>
        <w:pStyle w:val="BodyText"/>
        <w:spacing w:before="9"/>
        <w:rPr>
          <w:b/>
          <w:sz w:val="23"/>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7"/>
        <w:gridCol w:w="3432"/>
      </w:tblGrid>
      <w:tr>
        <w:trPr>
          <w:trHeight w:val="264" w:hRule="atLeast"/>
        </w:trPr>
        <w:tc>
          <w:tcPr>
            <w:tcW w:w="2807" w:type="dxa"/>
          </w:tcPr>
          <w:p>
            <w:pPr>
              <w:pStyle w:val="TableParagraph"/>
              <w:spacing w:line="225" w:lineRule="exact" w:before="0"/>
              <w:rPr>
                <w:sz w:val="20"/>
              </w:rPr>
            </w:pPr>
            <w:r>
              <w:rPr>
                <w:sz w:val="20"/>
              </w:rPr>
              <w:t>Tim Taylor</w:t>
            </w:r>
          </w:p>
        </w:tc>
        <w:tc>
          <w:tcPr>
            <w:tcW w:w="3432" w:type="dxa"/>
          </w:tcPr>
          <w:p>
            <w:pPr>
              <w:pStyle w:val="TableParagraph"/>
              <w:spacing w:line="223" w:lineRule="exact" w:before="0"/>
              <w:ind w:left="553"/>
              <w:rPr>
                <w:b/>
                <w:sz w:val="20"/>
              </w:rPr>
            </w:pPr>
            <w:r>
              <w:rPr>
                <w:b/>
                <w:sz w:val="20"/>
              </w:rPr>
              <w:t>Bank of England</w:t>
            </w:r>
          </w:p>
        </w:tc>
      </w:tr>
      <w:tr>
        <w:trPr>
          <w:trHeight w:val="303" w:hRule="atLeast"/>
        </w:trPr>
        <w:tc>
          <w:tcPr>
            <w:tcW w:w="2807" w:type="dxa"/>
          </w:tcPr>
          <w:p>
            <w:pPr>
              <w:pStyle w:val="TableParagraph"/>
              <w:spacing w:before="35"/>
              <w:rPr>
                <w:sz w:val="20"/>
              </w:rPr>
            </w:pPr>
            <w:r>
              <w:rPr>
                <w:sz w:val="20"/>
              </w:rPr>
              <w:t>Ed Ocampo</w:t>
            </w:r>
          </w:p>
        </w:tc>
        <w:tc>
          <w:tcPr>
            <w:tcW w:w="3432" w:type="dxa"/>
          </w:tcPr>
          <w:p>
            <w:pPr>
              <w:pStyle w:val="TableParagraph"/>
              <w:ind w:left="553"/>
              <w:rPr>
                <w:b/>
                <w:sz w:val="20"/>
              </w:rPr>
            </w:pPr>
            <w:r>
              <w:rPr>
                <w:b/>
                <w:sz w:val="20"/>
              </w:rPr>
              <w:t>Bank of England</w:t>
            </w:r>
          </w:p>
        </w:tc>
      </w:tr>
      <w:tr>
        <w:trPr>
          <w:trHeight w:val="302" w:hRule="atLeast"/>
        </w:trPr>
        <w:tc>
          <w:tcPr>
            <w:tcW w:w="2807" w:type="dxa"/>
          </w:tcPr>
          <w:p>
            <w:pPr>
              <w:pStyle w:val="TableParagraph"/>
              <w:spacing w:before="34"/>
              <w:rPr>
                <w:sz w:val="20"/>
              </w:rPr>
            </w:pPr>
            <w:r>
              <w:rPr>
                <w:sz w:val="20"/>
              </w:rPr>
              <w:t>Imane Bakkar</w:t>
            </w:r>
          </w:p>
        </w:tc>
        <w:tc>
          <w:tcPr>
            <w:tcW w:w="3432" w:type="dxa"/>
          </w:tcPr>
          <w:p>
            <w:pPr>
              <w:pStyle w:val="TableParagraph"/>
              <w:spacing w:before="31"/>
              <w:ind w:left="553"/>
              <w:rPr>
                <w:b/>
                <w:sz w:val="20"/>
              </w:rPr>
            </w:pPr>
            <w:r>
              <w:rPr>
                <w:b/>
                <w:sz w:val="20"/>
              </w:rPr>
              <w:t>Bank of England</w:t>
            </w:r>
          </w:p>
        </w:tc>
      </w:tr>
      <w:tr>
        <w:trPr>
          <w:trHeight w:val="302" w:hRule="atLeast"/>
        </w:trPr>
        <w:tc>
          <w:tcPr>
            <w:tcW w:w="2807" w:type="dxa"/>
          </w:tcPr>
          <w:p>
            <w:pPr>
              <w:pStyle w:val="TableParagraph"/>
              <w:spacing w:before="34"/>
              <w:rPr>
                <w:sz w:val="20"/>
              </w:rPr>
            </w:pPr>
            <w:r>
              <w:rPr>
                <w:sz w:val="20"/>
              </w:rPr>
              <w:t>Josh Jones</w:t>
            </w:r>
          </w:p>
        </w:tc>
        <w:tc>
          <w:tcPr>
            <w:tcW w:w="3432" w:type="dxa"/>
          </w:tcPr>
          <w:p>
            <w:pPr>
              <w:pStyle w:val="TableParagraph"/>
              <w:spacing w:before="31"/>
              <w:ind w:left="553"/>
              <w:rPr>
                <w:b/>
                <w:sz w:val="20"/>
              </w:rPr>
            </w:pPr>
            <w:r>
              <w:rPr>
                <w:b/>
                <w:sz w:val="20"/>
              </w:rPr>
              <w:t>Bank of England</w:t>
            </w:r>
          </w:p>
        </w:tc>
      </w:tr>
      <w:tr>
        <w:trPr>
          <w:trHeight w:val="303" w:hRule="atLeast"/>
        </w:trPr>
        <w:tc>
          <w:tcPr>
            <w:tcW w:w="2807" w:type="dxa"/>
          </w:tcPr>
          <w:p>
            <w:pPr>
              <w:pStyle w:val="TableParagraph"/>
              <w:spacing w:before="34"/>
              <w:rPr>
                <w:sz w:val="20"/>
              </w:rPr>
            </w:pPr>
            <w:r>
              <w:rPr>
                <w:sz w:val="20"/>
              </w:rPr>
              <w:t>Edwin Schooling-Latter</w:t>
            </w:r>
          </w:p>
        </w:tc>
        <w:tc>
          <w:tcPr>
            <w:tcW w:w="3432" w:type="dxa"/>
          </w:tcPr>
          <w:p>
            <w:pPr>
              <w:pStyle w:val="TableParagraph"/>
              <w:spacing w:before="31"/>
              <w:ind w:left="553"/>
              <w:rPr>
                <w:b/>
                <w:sz w:val="20"/>
              </w:rPr>
            </w:pPr>
            <w:r>
              <w:rPr>
                <w:b/>
                <w:sz w:val="20"/>
              </w:rPr>
              <w:t>Financial Conduct Authority</w:t>
            </w:r>
          </w:p>
        </w:tc>
      </w:tr>
      <w:tr>
        <w:trPr>
          <w:trHeight w:val="303" w:hRule="atLeast"/>
        </w:trPr>
        <w:tc>
          <w:tcPr>
            <w:tcW w:w="2807" w:type="dxa"/>
          </w:tcPr>
          <w:p>
            <w:pPr>
              <w:pStyle w:val="TableParagraph"/>
              <w:spacing w:before="35"/>
              <w:rPr>
                <w:sz w:val="20"/>
              </w:rPr>
            </w:pPr>
            <w:r>
              <w:rPr>
                <w:sz w:val="20"/>
              </w:rPr>
              <w:t>Harriet Hunnable</w:t>
            </w:r>
          </w:p>
        </w:tc>
        <w:tc>
          <w:tcPr>
            <w:tcW w:w="3432" w:type="dxa"/>
          </w:tcPr>
          <w:p>
            <w:pPr>
              <w:pStyle w:val="TableParagraph"/>
              <w:ind w:left="553"/>
              <w:rPr>
                <w:b/>
                <w:sz w:val="20"/>
              </w:rPr>
            </w:pPr>
            <w:r>
              <w:rPr>
                <w:b/>
                <w:sz w:val="20"/>
              </w:rPr>
              <w:t>Financial Conduct Authority</w:t>
            </w:r>
          </w:p>
        </w:tc>
      </w:tr>
      <w:tr>
        <w:trPr>
          <w:trHeight w:val="302" w:hRule="atLeast"/>
        </w:trPr>
        <w:tc>
          <w:tcPr>
            <w:tcW w:w="2807" w:type="dxa"/>
          </w:tcPr>
          <w:p>
            <w:pPr>
              <w:pStyle w:val="TableParagraph"/>
              <w:spacing w:before="34"/>
              <w:rPr>
                <w:sz w:val="20"/>
              </w:rPr>
            </w:pPr>
            <w:r>
              <w:rPr>
                <w:sz w:val="20"/>
              </w:rPr>
              <w:t>Devid Mazzonetto</w:t>
            </w:r>
          </w:p>
        </w:tc>
        <w:tc>
          <w:tcPr>
            <w:tcW w:w="3432" w:type="dxa"/>
          </w:tcPr>
          <w:p>
            <w:pPr>
              <w:pStyle w:val="TableParagraph"/>
              <w:spacing w:before="31"/>
              <w:ind w:left="553"/>
              <w:rPr>
                <w:b/>
                <w:sz w:val="20"/>
              </w:rPr>
            </w:pPr>
            <w:r>
              <w:rPr>
                <w:b/>
                <w:sz w:val="20"/>
              </w:rPr>
              <w:t>Financial Conduct Authority</w:t>
            </w:r>
          </w:p>
        </w:tc>
      </w:tr>
      <w:tr>
        <w:trPr>
          <w:trHeight w:val="263" w:hRule="atLeast"/>
        </w:trPr>
        <w:tc>
          <w:tcPr>
            <w:tcW w:w="2807" w:type="dxa"/>
          </w:tcPr>
          <w:p>
            <w:pPr>
              <w:pStyle w:val="TableParagraph"/>
              <w:spacing w:line="210" w:lineRule="exact" w:before="34"/>
              <w:rPr>
                <w:sz w:val="20"/>
              </w:rPr>
            </w:pPr>
            <w:r>
              <w:rPr>
                <w:sz w:val="20"/>
              </w:rPr>
              <w:t>Toby Williams</w:t>
            </w:r>
          </w:p>
        </w:tc>
        <w:tc>
          <w:tcPr>
            <w:tcW w:w="3432" w:type="dxa"/>
          </w:tcPr>
          <w:p>
            <w:pPr>
              <w:pStyle w:val="TableParagraph"/>
              <w:spacing w:line="212" w:lineRule="exact" w:before="31"/>
              <w:ind w:left="553"/>
              <w:rPr>
                <w:b/>
                <w:sz w:val="20"/>
              </w:rPr>
            </w:pPr>
            <w:r>
              <w:rPr>
                <w:b/>
                <w:sz w:val="20"/>
              </w:rPr>
              <w:t>Financial Conduct Authority</w:t>
            </w:r>
          </w:p>
        </w:tc>
      </w:tr>
    </w:tbl>
    <w:sectPr>
      <w:pgSz w:w="11910" w:h="16840"/>
      <w:pgMar w:top="1180" w:bottom="280" w:left="10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57" w:hanging="360"/>
        <w:jc w:val="left"/>
      </w:pPr>
      <w:rPr>
        <w:rFonts w:hint="default" w:ascii="Arial" w:hAnsi="Arial" w:eastAsia="Arial" w:cs="Arial"/>
        <w:spacing w:val="-1"/>
        <w:w w:val="99"/>
        <w:sz w:val="20"/>
        <w:szCs w:val="20"/>
      </w:rPr>
    </w:lvl>
    <w:lvl w:ilvl="1">
      <w:start w:val="1"/>
      <w:numFmt w:val="lowerLetter"/>
      <w:lvlText w:val="%2."/>
      <w:lvlJc w:val="left"/>
      <w:pPr>
        <w:ind w:left="1276" w:hanging="360"/>
        <w:jc w:val="left"/>
      </w:pPr>
      <w:rPr>
        <w:rFonts w:hint="default" w:ascii="Arial" w:hAnsi="Arial" w:eastAsia="Arial" w:cs="Arial"/>
        <w:spacing w:val="-1"/>
        <w:w w:val="99"/>
        <w:sz w:val="20"/>
        <w:szCs w:val="20"/>
      </w:rPr>
    </w:lvl>
    <w:lvl w:ilvl="2">
      <w:start w:val="0"/>
      <w:numFmt w:val="bullet"/>
      <w:lvlText w:val="•"/>
      <w:lvlJc w:val="left"/>
      <w:pPr>
        <w:ind w:left="2225" w:hanging="360"/>
      </w:pPr>
      <w:rPr>
        <w:rFonts w:hint="default"/>
      </w:rPr>
    </w:lvl>
    <w:lvl w:ilvl="3">
      <w:start w:val="0"/>
      <w:numFmt w:val="bullet"/>
      <w:lvlText w:val="•"/>
      <w:lvlJc w:val="left"/>
      <w:pPr>
        <w:ind w:left="3170" w:hanging="360"/>
      </w:pPr>
      <w:rPr>
        <w:rFonts w:hint="default"/>
      </w:rPr>
    </w:lvl>
    <w:lvl w:ilvl="4">
      <w:start w:val="0"/>
      <w:numFmt w:val="bullet"/>
      <w:lvlText w:val="•"/>
      <w:lvlJc w:val="left"/>
      <w:pPr>
        <w:ind w:left="4115" w:hanging="360"/>
      </w:pPr>
      <w:rPr>
        <w:rFonts w:hint="default"/>
      </w:rPr>
    </w:lvl>
    <w:lvl w:ilvl="5">
      <w:start w:val="0"/>
      <w:numFmt w:val="bullet"/>
      <w:lvlText w:val="•"/>
      <w:lvlJc w:val="left"/>
      <w:pPr>
        <w:ind w:left="5060" w:hanging="360"/>
      </w:pPr>
      <w:rPr>
        <w:rFonts w:hint="default"/>
      </w:rPr>
    </w:lvl>
    <w:lvl w:ilvl="6">
      <w:start w:val="0"/>
      <w:numFmt w:val="bullet"/>
      <w:lvlText w:val="•"/>
      <w:lvlJc w:val="left"/>
      <w:pPr>
        <w:ind w:left="6005" w:hanging="360"/>
      </w:pPr>
      <w:rPr>
        <w:rFonts w:hint="default"/>
      </w:rPr>
    </w:lvl>
    <w:lvl w:ilvl="7">
      <w:start w:val="0"/>
      <w:numFmt w:val="bullet"/>
      <w:lvlText w:val="•"/>
      <w:lvlJc w:val="left"/>
      <w:pPr>
        <w:ind w:left="6950" w:hanging="360"/>
      </w:pPr>
      <w:rPr>
        <w:rFonts w:hint="default"/>
      </w:rPr>
    </w:lvl>
    <w:lvl w:ilvl="8">
      <w:start w:val="0"/>
      <w:numFmt w:val="bullet"/>
      <w:lvlText w:val="•"/>
      <w:lvlJc w:val="left"/>
      <w:pPr>
        <w:ind w:left="7896"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3"/>
      <w:ind w:left="196"/>
      <w:outlineLvl w:val="1"/>
    </w:pPr>
    <w:rPr>
      <w:rFonts w:ascii="Arial" w:hAnsi="Arial" w:eastAsia="Arial" w:cs="Arial"/>
      <w:b/>
      <w:bCs/>
      <w:sz w:val="20"/>
      <w:szCs w:val="20"/>
    </w:rPr>
  </w:style>
  <w:style w:styleId="ListParagraph" w:type="paragraph">
    <w:name w:val="List Paragraph"/>
    <w:basedOn w:val="Normal"/>
    <w:uiPriority w:val="1"/>
    <w:qFormat/>
    <w:pPr>
      <w:ind w:left="556" w:hanging="361"/>
    </w:pPr>
    <w:rPr>
      <w:rFonts w:ascii="Arial" w:hAnsi="Arial" w:eastAsia="Arial" w:cs="Arial"/>
    </w:rPr>
  </w:style>
  <w:style w:styleId="TableParagraph" w:type="paragraph">
    <w:name w:val="Table Paragraph"/>
    <w:basedOn w:val="Normal"/>
    <w:uiPriority w:val="1"/>
    <w:qFormat/>
    <w:pPr>
      <w:spacing w:before="32"/>
      <w:ind w:left="2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isda.org/2017/11/28/development-fallbacks-libor-key-ibors-faqs/"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Working Group on Sterling Risk-Free Reference Rates</dc:subject>
  <dc:title>Minutes of the Working Group on Sterling Risk-Free Reference Rates</dc:title>
  <dcterms:created xsi:type="dcterms:W3CDTF">2020-06-01T02:24:40Z</dcterms:created>
  <dcterms:modified xsi:type="dcterms:W3CDTF">2020-06-01T02:24:40Z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2018-07-04T00:00:00Z</vt:filetime>
  </property>
  <property fmtid="{D5CDD505-2E9C-101B-9397-08002B2CF9AE}" pid="3" name="Creator">
    <vt:lpwstr>Acrobat PDFMaker 10.1 for Word</vt:lpwstr>
  </property>
  <property fmtid="{D5CDD505-2E9C-101B-9397-08002B2CF9AE}" pid="4" name="LastSaved">
    <vt:filetime>2020-06-01T00:00:00Z</vt:filetime>
  </property>
</Properties>
</file>