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3"/>
        </w:rPr>
      </w:pPr>
    </w:p>
    <w:p>
      <w:pPr>
        <w:pStyle w:val="Heading1"/>
        <w:spacing w:before="89"/>
      </w:pPr>
      <w:r>
        <w:rPr/>
        <w:pict>
          <v:line style="position:absolute;mso-position-horizontal-relative:page;mso-position-vertical-relative:paragraph;z-index:251658240" from="60.25pt,61.627839pt" to="60.25pt,-7.822161pt" stroked="true" strokeweight="2pt" strokecolor="#497dba">
            <v:stroke dashstyle="solid"/>
            <w10:wrap type="none"/>
          </v:line>
        </w:pict>
      </w:r>
      <w:r>
        <w:rPr>
          <w:spacing w:val="7"/>
        </w:rPr>
        <w:t>The </w:t>
      </w:r>
      <w:r>
        <w:rPr>
          <w:spacing w:val="9"/>
        </w:rPr>
        <w:t>Working Group </w:t>
      </w:r>
      <w:r>
        <w:rPr>
          <w:spacing w:val="5"/>
        </w:rPr>
        <w:t>on</w:t>
      </w:r>
    </w:p>
    <w:p>
      <w:pPr>
        <w:spacing w:before="9"/>
        <w:ind w:left="283" w:right="0" w:firstLine="0"/>
        <w:jc w:val="left"/>
        <w:rPr>
          <w:b/>
          <w:sz w:val="32"/>
        </w:rPr>
      </w:pPr>
      <w:r>
        <w:rPr>
          <w:b/>
          <w:spacing w:val="9"/>
          <w:sz w:val="32"/>
        </w:rPr>
        <w:t>Sterling </w:t>
      </w:r>
      <w:r>
        <w:rPr>
          <w:b/>
          <w:spacing w:val="10"/>
          <w:sz w:val="32"/>
        </w:rPr>
        <w:t>Risk-Free Reference</w:t>
      </w:r>
      <w:r>
        <w:rPr>
          <w:b/>
          <w:spacing w:val="62"/>
          <w:sz w:val="32"/>
        </w:rPr>
        <w:t> </w:t>
      </w:r>
      <w:r>
        <w:rPr>
          <w:b/>
          <w:spacing w:val="8"/>
          <w:sz w:val="32"/>
        </w:rPr>
        <w:t>Rates</w:t>
      </w:r>
    </w:p>
    <w:p>
      <w:pPr>
        <w:pStyle w:val="BodyText"/>
        <w:rPr>
          <w:b/>
        </w:rPr>
      </w:pPr>
    </w:p>
    <w:p>
      <w:pPr>
        <w:pStyle w:val="BodyText"/>
        <w:spacing w:before="7"/>
        <w:rPr>
          <w:b/>
          <w:sz w:val="23"/>
        </w:rPr>
      </w:pPr>
    </w:p>
    <w:p>
      <w:pPr>
        <w:pStyle w:val="Heading2"/>
        <w:spacing w:line="364" w:lineRule="auto" w:before="93"/>
        <w:ind w:left="1666" w:right="1584"/>
        <w:jc w:val="center"/>
      </w:pPr>
      <w:r>
        <w:rPr/>
        <w:t>Minutes of the Working Group on Sterling Risk-Free Reference</w:t>
      </w:r>
      <w:r>
        <w:rPr>
          <w:spacing w:val="-21"/>
        </w:rPr>
        <w:t> </w:t>
      </w:r>
      <w:r>
        <w:rPr/>
        <w:t>Rates Tuesday 14</w:t>
      </w:r>
      <w:r>
        <w:rPr>
          <w:vertAlign w:val="superscript"/>
        </w:rPr>
        <w:t>th</w:t>
      </w:r>
      <w:r>
        <w:rPr>
          <w:vertAlign w:val="baseline"/>
        </w:rPr>
        <w:t> May</w:t>
      </w:r>
      <w:r>
        <w:rPr>
          <w:spacing w:val="-3"/>
          <w:vertAlign w:val="baseline"/>
        </w:rPr>
        <w:t> </w:t>
      </w:r>
      <w:r>
        <w:rPr>
          <w:vertAlign w:val="baseline"/>
        </w:rPr>
        <w:t>2019</w:t>
      </w:r>
    </w:p>
    <w:p>
      <w:pPr>
        <w:spacing w:before="2"/>
        <w:ind w:left="1666" w:right="1584" w:firstLine="0"/>
        <w:jc w:val="center"/>
        <w:rPr>
          <w:b/>
          <w:sz w:val="20"/>
        </w:rPr>
      </w:pPr>
      <w:r>
        <w:rPr>
          <w:b/>
          <w:sz w:val="20"/>
        </w:rPr>
        <w:t>Barclays, 1 Churchill Place, London E14 5HP</w:t>
      </w:r>
    </w:p>
    <w:p>
      <w:pPr>
        <w:pStyle w:val="BodyText"/>
        <w:spacing w:before="10"/>
        <w:rPr>
          <w:b/>
          <w:sz w:val="22"/>
        </w:rPr>
      </w:pPr>
    </w:p>
    <w:p>
      <w:pPr>
        <w:spacing w:before="93"/>
        <w:ind w:left="197" w:right="0" w:firstLine="0"/>
        <w:jc w:val="left"/>
        <w:rPr>
          <w:b/>
          <w:sz w:val="20"/>
        </w:rPr>
      </w:pPr>
      <w:r>
        <w:rPr>
          <w:b/>
          <w:sz w:val="20"/>
        </w:rPr>
        <w:t>Agenda</w:t>
      </w:r>
    </w:p>
    <w:p>
      <w:pPr>
        <w:pStyle w:val="BodyText"/>
        <w:spacing w:before="10"/>
        <w:rPr>
          <w:b/>
          <w:sz w:val="30"/>
        </w:rPr>
      </w:pPr>
    </w:p>
    <w:p>
      <w:pPr>
        <w:pStyle w:val="ListParagraph"/>
        <w:numPr>
          <w:ilvl w:val="0"/>
          <w:numId w:val="1"/>
        </w:numPr>
        <w:tabs>
          <w:tab w:pos="918" w:val="left" w:leader="none"/>
        </w:tabs>
        <w:spacing w:line="240" w:lineRule="auto" w:before="0" w:after="0"/>
        <w:ind w:left="917" w:right="0" w:hanging="361"/>
        <w:jc w:val="left"/>
        <w:rPr>
          <w:sz w:val="20"/>
        </w:rPr>
      </w:pPr>
      <w:r>
        <w:rPr>
          <w:sz w:val="20"/>
        </w:rPr>
        <w:t>Welcome &amp;</w:t>
      </w:r>
      <w:r>
        <w:rPr>
          <w:spacing w:val="-4"/>
          <w:sz w:val="20"/>
        </w:rPr>
        <w:t> </w:t>
      </w:r>
      <w:r>
        <w:rPr>
          <w:sz w:val="20"/>
        </w:rPr>
        <w:t>Introductions</w:t>
      </w:r>
    </w:p>
    <w:p>
      <w:pPr>
        <w:pStyle w:val="ListParagraph"/>
        <w:numPr>
          <w:ilvl w:val="0"/>
          <w:numId w:val="1"/>
        </w:numPr>
        <w:tabs>
          <w:tab w:pos="918" w:val="left" w:leader="none"/>
        </w:tabs>
        <w:spacing w:line="240" w:lineRule="auto" w:before="116" w:after="0"/>
        <w:ind w:left="917" w:right="0" w:hanging="361"/>
        <w:jc w:val="left"/>
        <w:rPr>
          <w:sz w:val="20"/>
        </w:rPr>
      </w:pPr>
      <w:r>
        <w:rPr>
          <w:sz w:val="20"/>
        </w:rPr>
        <w:t>General Counsel Introduction</w:t>
      </w:r>
    </w:p>
    <w:p>
      <w:pPr>
        <w:pStyle w:val="ListParagraph"/>
        <w:numPr>
          <w:ilvl w:val="0"/>
          <w:numId w:val="1"/>
        </w:numPr>
        <w:tabs>
          <w:tab w:pos="918" w:val="left" w:leader="none"/>
        </w:tabs>
        <w:spacing w:line="240" w:lineRule="auto" w:before="115" w:after="0"/>
        <w:ind w:left="917" w:right="0" w:hanging="361"/>
        <w:jc w:val="left"/>
        <w:rPr>
          <w:sz w:val="20"/>
        </w:rPr>
      </w:pPr>
      <w:r>
        <w:rPr>
          <w:sz w:val="20"/>
        </w:rPr>
        <w:t>Competition Law</w:t>
      </w:r>
      <w:r>
        <w:rPr>
          <w:spacing w:val="-4"/>
          <w:sz w:val="20"/>
        </w:rPr>
        <w:t> </w:t>
      </w:r>
      <w:r>
        <w:rPr>
          <w:sz w:val="20"/>
        </w:rPr>
        <w:t>Principles</w:t>
      </w:r>
    </w:p>
    <w:p>
      <w:pPr>
        <w:pStyle w:val="ListParagraph"/>
        <w:numPr>
          <w:ilvl w:val="0"/>
          <w:numId w:val="1"/>
        </w:numPr>
        <w:tabs>
          <w:tab w:pos="918" w:val="left" w:leader="none"/>
        </w:tabs>
        <w:spacing w:line="240" w:lineRule="auto" w:before="114" w:after="0"/>
        <w:ind w:left="917" w:right="0" w:hanging="361"/>
        <w:jc w:val="left"/>
        <w:rPr>
          <w:sz w:val="20"/>
        </w:rPr>
      </w:pPr>
      <w:r>
        <w:rPr>
          <w:sz w:val="20"/>
        </w:rPr>
        <w:t>Minutes of previous meeting</w:t>
      </w:r>
    </w:p>
    <w:p>
      <w:pPr>
        <w:pStyle w:val="ListParagraph"/>
        <w:numPr>
          <w:ilvl w:val="0"/>
          <w:numId w:val="1"/>
        </w:numPr>
        <w:tabs>
          <w:tab w:pos="918" w:val="left" w:leader="none"/>
        </w:tabs>
        <w:spacing w:line="240" w:lineRule="auto" w:before="116" w:after="0"/>
        <w:ind w:left="917" w:right="0" w:hanging="361"/>
        <w:jc w:val="left"/>
        <w:rPr>
          <w:sz w:val="20"/>
        </w:rPr>
      </w:pPr>
      <w:r>
        <w:rPr>
          <w:sz w:val="20"/>
        </w:rPr>
        <w:t>Term Rate Developments/ Provider Presentations</w:t>
      </w:r>
    </w:p>
    <w:p>
      <w:pPr>
        <w:pStyle w:val="ListParagraph"/>
        <w:numPr>
          <w:ilvl w:val="0"/>
          <w:numId w:val="1"/>
        </w:numPr>
        <w:tabs>
          <w:tab w:pos="918" w:val="left" w:leader="none"/>
        </w:tabs>
        <w:spacing w:line="240" w:lineRule="auto" w:before="115" w:after="0"/>
        <w:ind w:left="917" w:right="0" w:hanging="361"/>
        <w:jc w:val="left"/>
        <w:rPr>
          <w:sz w:val="20"/>
        </w:rPr>
      </w:pPr>
      <w:r>
        <w:rPr>
          <w:sz w:val="20"/>
        </w:rPr>
        <w:t>Headlines from the FSB Roundtable</w:t>
      </w:r>
      <w:r>
        <w:rPr>
          <w:spacing w:val="2"/>
          <w:sz w:val="20"/>
        </w:rPr>
        <w:t> </w:t>
      </w:r>
      <w:r>
        <w:rPr>
          <w:sz w:val="20"/>
        </w:rPr>
        <w:t>Event</w:t>
      </w:r>
    </w:p>
    <w:p>
      <w:pPr>
        <w:pStyle w:val="ListParagraph"/>
        <w:numPr>
          <w:ilvl w:val="1"/>
          <w:numId w:val="1"/>
        </w:numPr>
        <w:tabs>
          <w:tab w:pos="1638" w:val="left" w:leader="none"/>
        </w:tabs>
        <w:spacing w:line="240" w:lineRule="auto" w:before="116" w:after="0"/>
        <w:ind w:left="1637" w:right="0" w:hanging="361"/>
        <w:jc w:val="left"/>
        <w:rPr>
          <w:sz w:val="20"/>
        </w:rPr>
      </w:pPr>
      <w:r>
        <w:rPr>
          <w:sz w:val="20"/>
        </w:rPr>
        <w:t>Official</w:t>
      </w:r>
      <w:r>
        <w:rPr>
          <w:spacing w:val="-3"/>
          <w:sz w:val="20"/>
        </w:rPr>
        <w:t> </w:t>
      </w:r>
      <w:r>
        <w:rPr>
          <w:sz w:val="20"/>
        </w:rPr>
        <w:t>sector</w:t>
      </w:r>
    </w:p>
    <w:p>
      <w:pPr>
        <w:pStyle w:val="ListParagraph"/>
        <w:numPr>
          <w:ilvl w:val="1"/>
          <w:numId w:val="1"/>
        </w:numPr>
        <w:tabs>
          <w:tab w:pos="1638" w:val="left" w:leader="none"/>
        </w:tabs>
        <w:spacing w:line="240" w:lineRule="auto" w:before="113" w:after="0"/>
        <w:ind w:left="1637" w:right="0" w:hanging="361"/>
        <w:jc w:val="left"/>
        <w:rPr>
          <w:sz w:val="20"/>
        </w:rPr>
      </w:pPr>
      <w:r>
        <w:rPr>
          <w:sz w:val="20"/>
        </w:rPr>
        <w:t>Letter from Chair to</w:t>
      </w:r>
      <w:r>
        <w:rPr>
          <w:spacing w:val="2"/>
          <w:sz w:val="20"/>
        </w:rPr>
        <w:t> </w:t>
      </w:r>
      <w:r>
        <w:rPr>
          <w:sz w:val="20"/>
        </w:rPr>
        <w:t>OSSG</w:t>
      </w:r>
    </w:p>
    <w:p>
      <w:pPr>
        <w:pStyle w:val="ListParagraph"/>
        <w:numPr>
          <w:ilvl w:val="0"/>
          <w:numId w:val="1"/>
        </w:numPr>
        <w:tabs>
          <w:tab w:pos="918" w:val="left" w:leader="none"/>
        </w:tabs>
        <w:spacing w:line="240" w:lineRule="auto" w:before="116" w:after="0"/>
        <w:ind w:left="917" w:right="0" w:hanging="361"/>
        <w:jc w:val="left"/>
        <w:rPr>
          <w:sz w:val="20"/>
        </w:rPr>
      </w:pPr>
      <w:r>
        <w:rPr>
          <w:sz w:val="20"/>
        </w:rPr>
        <w:t>UK RFR Event on 5</w:t>
      </w:r>
      <w:r>
        <w:rPr>
          <w:sz w:val="20"/>
          <w:vertAlign w:val="superscript"/>
        </w:rPr>
        <w:t>th</w:t>
      </w:r>
      <w:r>
        <w:rPr>
          <w:sz w:val="20"/>
          <w:vertAlign w:val="baseline"/>
        </w:rPr>
        <w:t> June and Senior Group</w:t>
      </w:r>
      <w:r>
        <w:rPr>
          <w:spacing w:val="-2"/>
          <w:sz w:val="20"/>
          <w:vertAlign w:val="baseline"/>
        </w:rPr>
        <w:t> </w:t>
      </w:r>
      <w:r>
        <w:rPr>
          <w:sz w:val="20"/>
          <w:vertAlign w:val="baseline"/>
        </w:rPr>
        <w:t>Mobilisation</w:t>
      </w:r>
    </w:p>
    <w:p>
      <w:pPr>
        <w:pStyle w:val="ListParagraph"/>
        <w:numPr>
          <w:ilvl w:val="0"/>
          <w:numId w:val="1"/>
        </w:numPr>
        <w:tabs>
          <w:tab w:pos="918" w:val="left" w:leader="none"/>
        </w:tabs>
        <w:spacing w:line="240" w:lineRule="auto" w:before="116" w:after="0"/>
        <w:ind w:left="917" w:right="0" w:hanging="361"/>
        <w:jc w:val="left"/>
        <w:rPr>
          <w:sz w:val="20"/>
        </w:rPr>
      </w:pPr>
      <w:r>
        <w:rPr>
          <w:sz w:val="20"/>
        </w:rPr>
        <w:t>Headline updates from Sub-groups and Task</w:t>
      </w:r>
      <w:r>
        <w:rPr>
          <w:spacing w:val="3"/>
          <w:sz w:val="20"/>
        </w:rPr>
        <w:t> </w:t>
      </w:r>
      <w:r>
        <w:rPr>
          <w:sz w:val="20"/>
        </w:rPr>
        <w:t>Forces</w:t>
      </w:r>
    </w:p>
    <w:p>
      <w:pPr>
        <w:pStyle w:val="ListParagraph"/>
        <w:numPr>
          <w:ilvl w:val="0"/>
          <w:numId w:val="1"/>
        </w:numPr>
        <w:tabs>
          <w:tab w:pos="918" w:val="left" w:leader="none"/>
        </w:tabs>
        <w:spacing w:line="240" w:lineRule="auto" w:before="115" w:after="0"/>
        <w:ind w:left="917" w:right="0" w:hanging="361"/>
        <w:jc w:val="left"/>
        <w:rPr>
          <w:sz w:val="20"/>
        </w:rPr>
      </w:pPr>
      <w:r>
        <w:rPr>
          <w:sz w:val="20"/>
        </w:rPr>
        <w:t>AOB</w:t>
      </w:r>
    </w:p>
    <w:p>
      <w:pPr>
        <w:pStyle w:val="BodyText"/>
        <w:spacing w:before="1"/>
      </w:pPr>
    </w:p>
    <w:p>
      <w:pPr>
        <w:pStyle w:val="Heading2"/>
        <w:spacing w:before="0"/>
      </w:pPr>
      <w:r>
        <w:rPr/>
        <w:t>Welcome, Introductions and Competition Law Principles</w:t>
      </w:r>
    </w:p>
    <w:p>
      <w:pPr>
        <w:pStyle w:val="BodyText"/>
        <w:spacing w:before="8"/>
        <w:rPr>
          <w:b/>
        </w:rPr>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Chair welcomed attendees, and reminded them of competition law responsibilities and the importance of taking independent advice from the legal and/or compliance teams at their respective institutions.</w:t>
      </w:r>
    </w:p>
    <w:p>
      <w:pPr>
        <w:pStyle w:val="ListParagraph"/>
        <w:numPr>
          <w:ilvl w:val="0"/>
          <w:numId w:val="2"/>
        </w:numPr>
        <w:tabs>
          <w:tab w:pos="558" w:val="left" w:leader="none"/>
        </w:tabs>
        <w:spacing w:line="360" w:lineRule="auto" w:before="120" w:after="0"/>
        <w:ind w:left="557" w:right="113" w:hanging="360"/>
        <w:jc w:val="both"/>
        <w:rPr>
          <w:sz w:val="20"/>
        </w:rPr>
      </w:pPr>
      <w:r>
        <w:rPr>
          <w:sz w:val="20"/>
        </w:rPr>
        <w:t>The Chair welcomed Greg Olsen (Clifford Chance) as the newly appointed General Counsel for the Sterling Risk Free Reference Rate Working</w:t>
      </w:r>
      <w:r>
        <w:rPr>
          <w:spacing w:val="-6"/>
          <w:sz w:val="20"/>
        </w:rPr>
        <w:t> </w:t>
      </w:r>
      <w:r>
        <w:rPr>
          <w:sz w:val="20"/>
        </w:rPr>
        <w:t>Group.</w:t>
      </w:r>
    </w:p>
    <w:p>
      <w:pPr>
        <w:pStyle w:val="ListParagraph"/>
        <w:numPr>
          <w:ilvl w:val="0"/>
          <w:numId w:val="2"/>
        </w:numPr>
        <w:tabs>
          <w:tab w:pos="558" w:val="left" w:leader="none"/>
        </w:tabs>
        <w:spacing w:line="360" w:lineRule="auto" w:before="121" w:after="0"/>
        <w:ind w:left="557" w:right="114" w:hanging="360"/>
        <w:jc w:val="both"/>
        <w:rPr>
          <w:sz w:val="20"/>
        </w:rPr>
      </w:pPr>
      <w:r>
        <w:rPr>
          <w:sz w:val="20"/>
        </w:rPr>
        <w:t>General Counsel outlined his role in assisting the Working Group in meetings, and providing guidance as required. General Counsel reiterated it is for member firms to seek their own independent advice and it is each firm’s responsibility to ensure they adhere to competition</w:t>
      </w:r>
      <w:r>
        <w:rPr>
          <w:spacing w:val="-10"/>
          <w:sz w:val="20"/>
        </w:rPr>
        <w:t> </w:t>
      </w:r>
      <w:r>
        <w:rPr>
          <w:sz w:val="20"/>
        </w:rPr>
        <w:t>law.</w:t>
      </w:r>
    </w:p>
    <w:p>
      <w:pPr>
        <w:pStyle w:val="ListParagraph"/>
        <w:numPr>
          <w:ilvl w:val="0"/>
          <w:numId w:val="2"/>
        </w:numPr>
        <w:tabs>
          <w:tab w:pos="558" w:val="left" w:leader="none"/>
        </w:tabs>
        <w:spacing w:line="360" w:lineRule="auto" w:before="120" w:after="0"/>
        <w:ind w:left="557" w:right="122" w:hanging="360"/>
        <w:jc w:val="both"/>
        <w:rPr>
          <w:sz w:val="20"/>
        </w:rPr>
      </w:pPr>
      <w:r>
        <w:rPr>
          <w:sz w:val="20"/>
        </w:rPr>
        <w:t>General Counsel highlighted three competition law considerations member firms should always be aware of when engaging with other member</w:t>
      </w:r>
      <w:r>
        <w:rPr>
          <w:spacing w:val="1"/>
          <w:sz w:val="20"/>
        </w:rPr>
        <w:t> </w:t>
      </w:r>
      <w:r>
        <w:rPr>
          <w:sz w:val="20"/>
        </w:rPr>
        <w:t>firms;</w:t>
      </w:r>
    </w:p>
    <w:p>
      <w:pPr>
        <w:pStyle w:val="ListParagraph"/>
        <w:numPr>
          <w:ilvl w:val="1"/>
          <w:numId w:val="2"/>
        </w:numPr>
        <w:tabs>
          <w:tab w:pos="1278" w:val="left" w:leader="none"/>
        </w:tabs>
        <w:spacing w:line="240" w:lineRule="auto" w:before="121" w:after="0"/>
        <w:ind w:left="1277" w:right="0" w:hanging="462"/>
        <w:jc w:val="both"/>
        <w:rPr>
          <w:sz w:val="20"/>
        </w:rPr>
      </w:pPr>
      <w:r>
        <w:rPr>
          <w:sz w:val="20"/>
        </w:rPr>
        <w:t>Appropriate exchange of information permissible under competition</w:t>
      </w:r>
      <w:r>
        <w:rPr>
          <w:spacing w:val="-2"/>
          <w:sz w:val="20"/>
        </w:rPr>
        <w:t> </w:t>
      </w:r>
      <w:r>
        <w:rPr>
          <w:sz w:val="20"/>
        </w:rPr>
        <w:t>law</w:t>
      </w:r>
    </w:p>
    <w:p>
      <w:pPr>
        <w:pStyle w:val="BodyText"/>
        <w:spacing w:before="3"/>
      </w:pPr>
    </w:p>
    <w:p>
      <w:pPr>
        <w:pStyle w:val="ListParagraph"/>
        <w:numPr>
          <w:ilvl w:val="1"/>
          <w:numId w:val="2"/>
        </w:numPr>
        <w:tabs>
          <w:tab w:pos="1278" w:val="left" w:leader="none"/>
        </w:tabs>
        <w:spacing w:line="240" w:lineRule="auto" w:before="0" w:after="0"/>
        <w:ind w:left="1277" w:right="0" w:hanging="505"/>
        <w:jc w:val="both"/>
        <w:rPr>
          <w:sz w:val="20"/>
        </w:rPr>
      </w:pPr>
      <w:r>
        <w:rPr>
          <w:sz w:val="20"/>
        </w:rPr>
        <w:t>Impact of decisions made by the Working Group on</w:t>
      </w:r>
      <w:r>
        <w:rPr>
          <w:spacing w:val="-12"/>
          <w:sz w:val="20"/>
        </w:rPr>
        <w:t> </w:t>
      </w:r>
      <w:r>
        <w:rPr>
          <w:sz w:val="20"/>
        </w:rPr>
        <w:t>markets</w:t>
      </w:r>
    </w:p>
    <w:p>
      <w:pPr>
        <w:pStyle w:val="BodyText"/>
        <w:spacing w:before="6"/>
      </w:pPr>
    </w:p>
    <w:p>
      <w:pPr>
        <w:pStyle w:val="ListParagraph"/>
        <w:numPr>
          <w:ilvl w:val="1"/>
          <w:numId w:val="2"/>
        </w:numPr>
        <w:tabs>
          <w:tab w:pos="1278" w:val="left" w:leader="none"/>
        </w:tabs>
        <w:spacing w:line="240" w:lineRule="auto" w:before="0" w:after="0"/>
        <w:ind w:left="1277" w:right="0" w:hanging="551"/>
        <w:jc w:val="both"/>
        <w:rPr>
          <w:sz w:val="20"/>
        </w:rPr>
      </w:pPr>
      <w:r>
        <w:rPr>
          <w:sz w:val="20"/>
        </w:rPr>
        <w:t>Impact of decision made by the Working Group on third</w:t>
      </w:r>
      <w:r>
        <w:rPr>
          <w:spacing w:val="-12"/>
          <w:sz w:val="20"/>
        </w:rPr>
        <w:t> </w:t>
      </w:r>
      <w:r>
        <w:rPr>
          <w:sz w:val="20"/>
        </w:rPr>
        <w:t>parties</w:t>
      </w:r>
    </w:p>
    <w:p>
      <w:pPr>
        <w:pStyle w:val="BodyText"/>
        <w:spacing w:before="6"/>
      </w:pPr>
    </w:p>
    <w:p>
      <w:pPr>
        <w:pStyle w:val="ListParagraph"/>
        <w:numPr>
          <w:ilvl w:val="0"/>
          <w:numId w:val="2"/>
        </w:numPr>
        <w:tabs>
          <w:tab w:pos="558" w:val="left" w:leader="none"/>
        </w:tabs>
        <w:spacing w:line="240" w:lineRule="auto" w:before="0" w:after="0"/>
        <w:ind w:left="557" w:right="0" w:hanging="361"/>
        <w:jc w:val="left"/>
        <w:rPr>
          <w:sz w:val="20"/>
        </w:rPr>
      </w:pPr>
      <w:r>
        <w:rPr>
          <w:sz w:val="20"/>
        </w:rPr>
        <w:t>The Working Group members approved the minutes of the previous meeting (30 March</w:t>
      </w:r>
      <w:r>
        <w:rPr>
          <w:spacing w:val="-9"/>
          <w:sz w:val="20"/>
        </w:rPr>
        <w:t> </w:t>
      </w:r>
      <w:r>
        <w:rPr>
          <w:sz w:val="20"/>
        </w:rPr>
        <w:t>2019).</w:t>
      </w:r>
    </w:p>
    <w:p>
      <w:pPr>
        <w:pStyle w:val="BodyText"/>
        <w:spacing w:before="3"/>
      </w:pPr>
    </w:p>
    <w:p>
      <w:pPr>
        <w:pStyle w:val="ListParagraph"/>
        <w:numPr>
          <w:ilvl w:val="0"/>
          <w:numId w:val="2"/>
        </w:numPr>
        <w:tabs>
          <w:tab w:pos="558" w:val="left" w:leader="none"/>
        </w:tabs>
        <w:spacing w:line="360" w:lineRule="auto" w:before="0" w:after="0"/>
        <w:ind w:left="557" w:right="110" w:hanging="360"/>
        <w:jc w:val="both"/>
        <w:rPr>
          <w:sz w:val="20"/>
        </w:rPr>
      </w:pPr>
      <w:r>
        <w:rPr>
          <w:sz w:val="20"/>
        </w:rPr>
        <w:t>The Chair noted that the deadline for responses to the Conventions Paper on Referencing SONIA in New Products passed on 30 April, and thanked respondents for their comments. The Secretariat would review these responses and provide an anonymised high level summary of the feedback to the Working</w:t>
      </w:r>
      <w:r>
        <w:rPr>
          <w:spacing w:val="-2"/>
          <w:sz w:val="20"/>
        </w:rPr>
        <w:t> </w:t>
      </w:r>
      <w:r>
        <w:rPr>
          <w:sz w:val="20"/>
        </w:rPr>
        <w:t>Group.</w:t>
      </w:r>
    </w:p>
    <w:p>
      <w:pPr>
        <w:spacing w:after="0" w:line="360" w:lineRule="auto"/>
        <w:jc w:val="both"/>
        <w:rPr>
          <w:sz w:val="20"/>
        </w:rPr>
        <w:sectPr>
          <w:footerReference w:type="default" r:id="rId5"/>
          <w:type w:val="continuous"/>
          <w:pgSz w:w="11910" w:h="16840"/>
          <w:pgMar w:footer="720" w:top="720" w:bottom="900" w:left="1080" w:right="1020"/>
          <w:pgNumType w:start="1"/>
        </w:sectPr>
      </w:pPr>
    </w:p>
    <w:p>
      <w:pPr>
        <w:pStyle w:val="Heading2"/>
      </w:pPr>
      <w:r>
        <w:rPr/>
        <w:t>Term rate developments and presentations</w:t>
      </w:r>
    </w:p>
    <w:p>
      <w:pPr>
        <w:pStyle w:val="BodyText"/>
        <w:spacing w:before="6"/>
        <w:rPr>
          <w:b/>
        </w:rPr>
      </w:pPr>
    </w:p>
    <w:p>
      <w:pPr>
        <w:pStyle w:val="ListParagraph"/>
        <w:numPr>
          <w:ilvl w:val="0"/>
          <w:numId w:val="2"/>
        </w:numPr>
        <w:tabs>
          <w:tab w:pos="558" w:val="left" w:leader="none"/>
        </w:tabs>
        <w:spacing w:line="360" w:lineRule="auto" w:before="0" w:after="0"/>
        <w:ind w:left="557" w:right="119" w:hanging="360"/>
        <w:jc w:val="both"/>
        <w:rPr>
          <w:sz w:val="20"/>
        </w:rPr>
      </w:pPr>
      <w:r>
        <w:rPr>
          <w:sz w:val="20"/>
        </w:rPr>
        <w:t>The Working Group re-iterated its support for development of a term benchmark based on the sterling risk-free rate, known as a Term SONIA Reference</w:t>
      </w:r>
      <w:r>
        <w:rPr>
          <w:spacing w:val="-1"/>
          <w:sz w:val="20"/>
        </w:rPr>
        <w:t> </w:t>
      </w:r>
      <w:r>
        <w:rPr>
          <w:sz w:val="20"/>
        </w:rPr>
        <w:t>Rate.</w:t>
      </w:r>
      <w:r>
        <w:rPr>
          <w:sz w:val="20"/>
          <w:vertAlign w:val="superscript"/>
        </w:rPr>
        <w:t>1</w:t>
      </w:r>
    </w:p>
    <w:p>
      <w:pPr>
        <w:pStyle w:val="ListParagraph"/>
        <w:numPr>
          <w:ilvl w:val="0"/>
          <w:numId w:val="2"/>
        </w:numPr>
        <w:tabs>
          <w:tab w:pos="613" w:val="left" w:leader="none"/>
        </w:tabs>
        <w:spacing w:line="360" w:lineRule="auto" w:before="121" w:after="0"/>
        <w:ind w:left="557" w:right="109" w:hanging="360"/>
        <w:jc w:val="both"/>
        <w:rPr>
          <w:sz w:val="20"/>
        </w:rPr>
      </w:pPr>
      <w:r>
        <w:rPr/>
        <w:tab/>
      </w:r>
      <w:r>
        <w:rPr>
          <w:sz w:val="20"/>
        </w:rPr>
        <w:t>The FCA announced three potential providers had expressed an interest in developing a forward- looking term rate – FTSE Russell, ICE Benchmark Administration and Refinitiv – and were invited to present their work to the Working Group. Working Group members were reminded that these presentations were not formal considerations to determine a provider, but simply an opportunity for interested providers to present to an informed audience and seek comments. All three presentations would become publically available on the Working Group’s</w:t>
      </w:r>
      <w:r>
        <w:rPr>
          <w:spacing w:val="-9"/>
          <w:sz w:val="20"/>
        </w:rPr>
        <w:t> </w:t>
      </w:r>
      <w:r>
        <w:rPr>
          <w:sz w:val="20"/>
        </w:rPr>
        <w:t>website.</w:t>
      </w:r>
      <w:r>
        <w:rPr>
          <w:sz w:val="20"/>
          <w:vertAlign w:val="superscript"/>
        </w:rPr>
        <w:t>2</w:t>
      </w:r>
    </w:p>
    <w:p>
      <w:pPr>
        <w:pStyle w:val="ListParagraph"/>
        <w:numPr>
          <w:ilvl w:val="0"/>
          <w:numId w:val="2"/>
        </w:numPr>
        <w:tabs>
          <w:tab w:pos="558" w:val="left" w:leader="none"/>
        </w:tabs>
        <w:spacing w:line="360" w:lineRule="auto" w:before="119" w:after="0"/>
        <w:ind w:left="557" w:right="116" w:hanging="360"/>
        <w:jc w:val="both"/>
        <w:rPr>
          <w:sz w:val="20"/>
        </w:rPr>
      </w:pPr>
      <w:r>
        <w:rPr>
          <w:sz w:val="20"/>
        </w:rPr>
        <w:t>Each of the benchmark providers was reminded of their competition law requirements prior to the meeting and again before their presentations. Prior to the delivery of the presentations, Working Group members were asked to recuse themselves from the room where any potential conflicts may arise with the firms delivering the term-rate</w:t>
      </w:r>
      <w:r>
        <w:rPr>
          <w:spacing w:val="-1"/>
          <w:sz w:val="20"/>
        </w:rPr>
        <w:t> </w:t>
      </w:r>
      <w:r>
        <w:rPr>
          <w:sz w:val="20"/>
        </w:rPr>
        <w:t>presentations.</w:t>
      </w:r>
    </w:p>
    <w:p>
      <w:pPr>
        <w:pStyle w:val="ListParagraph"/>
        <w:numPr>
          <w:ilvl w:val="0"/>
          <w:numId w:val="2"/>
        </w:numPr>
        <w:tabs>
          <w:tab w:pos="558" w:val="left" w:leader="none"/>
        </w:tabs>
        <w:spacing w:line="240" w:lineRule="auto" w:before="118" w:after="0"/>
        <w:ind w:left="557" w:right="0" w:hanging="361"/>
        <w:jc w:val="both"/>
        <w:rPr>
          <w:i/>
          <w:sz w:val="20"/>
        </w:rPr>
      </w:pPr>
      <w:r>
        <w:rPr>
          <w:i/>
          <w:sz w:val="20"/>
        </w:rPr>
        <w:t>FTSE Russell, Tradition and TP</w:t>
      </w:r>
      <w:r>
        <w:rPr>
          <w:i/>
          <w:spacing w:val="-6"/>
          <w:sz w:val="20"/>
        </w:rPr>
        <w:t> </w:t>
      </w:r>
      <w:r>
        <w:rPr>
          <w:i/>
          <w:sz w:val="20"/>
        </w:rPr>
        <w:t>ICAP</w:t>
      </w:r>
    </w:p>
    <w:p>
      <w:pPr>
        <w:pStyle w:val="BodyText"/>
        <w:spacing w:before="8"/>
        <w:rPr>
          <w:i/>
        </w:rPr>
      </w:pPr>
    </w:p>
    <w:p>
      <w:pPr>
        <w:pStyle w:val="BodyText"/>
        <w:spacing w:line="360" w:lineRule="auto" w:before="1"/>
        <w:ind w:left="624" w:right="105"/>
        <w:jc w:val="both"/>
      </w:pPr>
      <w:r>
        <w:rPr/>
        <w:t>FTSE Russell’s presentation was delivered by Waqas Samad, CEO of FTSE Russell and Group Director of Information Services Division at London Stock Exchange Group, Tradition and TP ICAP. FTSE Russell drew similarities between the discontinuation of LIBOR and that of the gilt pricing index</w:t>
      </w:r>
      <w:r>
        <w:rPr>
          <w:vertAlign w:val="superscript"/>
        </w:rPr>
        <w:t>3</w:t>
      </w:r>
      <w:r>
        <w:rPr>
          <w:vertAlign w:val="baseline"/>
        </w:rPr>
        <w:t>, noting that the rate submitters in the gilt index withdrew support and FTSE Russell and Tradeweb took responsibility of publishing these prices.</w:t>
      </w:r>
    </w:p>
    <w:p>
      <w:pPr>
        <w:pStyle w:val="BodyText"/>
        <w:spacing w:line="357" w:lineRule="auto" w:before="120"/>
        <w:ind w:left="624" w:right="115"/>
        <w:jc w:val="both"/>
      </w:pPr>
      <w:r>
        <w:rPr/>
        <w:t>FTSE Russell recognised that a forward-looking term-rate should only be adopted where appropriate, and noted use cases would likely include cash products, treasury and funding operations.</w:t>
      </w:r>
    </w:p>
    <w:p>
      <w:pPr>
        <w:pStyle w:val="BodyText"/>
        <w:spacing w:line="360" w:lineRule="auto" w:before="124"/>
        <w:ind w:left="624" w:right="107"/>
        <w:jc w:val="both"/>
      </w:pPr>
      <w:r>
        <w:rPr/>
        <w:t>The proposed TSRR benchmark would adopt a waterfall methodology to ensure a daily rate would be available. At present, FTSE Russell noted spot SONIA OIS would form the basis for the forward-term and could be supported by futures for a hybrid-style approach. The robustness of a term SONIA rate based on a deep and liquid market could be enhanced through the use of central limit order book (CLOB). FTSE Russell noted that further development and the use of CLOBs for TSRR would ensure term-rates are transparent and auditable, as prices would be tradable and not quotes-based.</w:t>
      </w:r>
    </w:p>
    <w:p>
      <w:pPr>
        <w:pStyle w:val="BodyText"/>
        <w:spacing w:line="357" w:lineRule="auto" w:before="122"/>
        <w:ind w:left="624" w:right="119"/>
        <w:jc w:val="both"/>
      </w:pPr>
      <w:r>
        <w:rPr/>
        <w:t>FTSE Russell noted they would mirror their governance structure for TSRR as that for their other IOSCO Compliant benchmarks.</w:t>
      </w:r>
    </w:p>
    <w:p>
      <w:pPr>
        <w:pStyle w:val="ListParagraph"/>
        <w:numPr>
          <w:ilvl w:val="0"/>
          <w:numId w:val="2"/>
        </w:numPr>
        <w:tabs>
          <w:tab w:pos="668" w:val="left" w:leader="none"/>
        </w:tabs>
        <w:spacing w:line="240" w:lineRule="auto" w:before="121" w:after="0"/>
        <w:ind w:left="667" w:right="0" w:hanging="471"/>
        <w:jc w:val="both"/>
        <w:rPr>
          <w:i/>
          <w:sz w:val="20"/>
        </w:rPr>
      </w:pPr>
      <w:r>
        <w:rPr>
          <w:i/>
          <w:sz w:val="20"/>
        </w:rPr>
        <w:t>ICE Benchmark Administration</w:t>
      </w:r>
      <w:r>
        <w:rPr>
          <w:i/>
          <w:spacing w:val="4"/>
          <w:sz w:val="20"/>
        </w:rPr>
        <w:t> </w:t>
      </w:r>
      <w:r>
        <w:rPr>
          <w:i/>
          <w:sz w:val="20"/>
        </w:rPr>
        <w:t>(IBA)</w:t>
      </w:r>
    </w:p>
    <w:p>
      <w:pPr>
        <w:pStyle w:val="BodyText"/>
        <w:spacing w:before="7"/>
        <w:rPr>
          <w:i/>
        </w:rPr>
      </w:pPr>
    </w:p>
    <w:p>
      <w:pPr>
        <w:pStyle w:val="BodyText"/>
        <w:spacing w:line="360" w:lineRule="auto" w:before="1"/>
        <w:ind w:left="624" w:right="110"/>
        <w:jc w:val="both"/>
      </w:pPr>
      <w:r>
        <w:rPr/>
        <w:pict>
          <v:shape style="position:absolute;margin-left:63.863998pt;margin-top:54.81987pt;width:144.050pt;height:.1pt;mso-position-horizontal-relative:page;mso-position-vertical-relative:paragraph;z-index:-251657216;mso-wrap-distance-left:0;mso-wrap-distance-right:0" coordorigin="1277,1096" coordsize="2881,0" path="m1277,1096l4158,1096e" filled="false" stroked="true" strokeweight=".72003pt" strokecolor="#000000">
            <v:path arrowok="t"/>
            <v:stroke dashstyle="solid"/>
            <w10:wrap type="topAndBottom"/>
          </v:shape>
        </w:pict>
      </w:r>
      <w:r>
        <w:rPr/>
        <w:t>IBA’s presentation was delivered by Timothy Bowler, (President). IBA shared intentions to publish a TSRR rate alongside LIBOR, and would be seeking market feedback on the trading window for TSRR settings and when the rate should be published to further facilitate transition.</w:t>
      </w:r>
    </w:p>
    <w:p>
      <w:pPr>
        <w:pStyle w:val="BodyText"/>
        <w:spacing w:line="247" w:lineRule="auto" w:before="39"/>
        <w:ind w:left="197" w:right="210"/>
      </w:pPr>
      <w:r>
        <w:rPr>
          <w:rFonts w:ascii="Calibri" w:hAnsi="Calibri"/>
          <w:position w:val="10"/>
          <w:sz w:val="13"/>
        </w:rPr>
        <w:t>1 </w:t>
      </w:r>
      <w:r>
        <w:rPr/>
        <w:t>The Working Group issued a statement on the day following the meeting (15 May 2019) – Progress on the Adoption of Risk-Free Rates in sterling market:</w:t>
      </w:r>
      <w:r>
        <w:rPr>
          <w:spacing w:val="52"/>
        </w:rPr>
        <w:t> </w:t>
      </w:r>
      <w:hyperlink r:id="rId6">
        <w:r>
          <w:rPr>
            <w:color w:val="0000FF"/>
            <w:u w:val="single" w:color="0000FF"/>
          </w:rPr>
          <w:t>https://www.bankofengland.co.uk/-</w:t>
        </w:r>
      </w:hyperlink>
    </w:p>
    <w:p>
      <w:pPr>
        <w:pStyle w:val="BodyText"/>
        <w:ind w:left="197"/>
      </w:pPr>
      <w:hyperlink r:id="rId6">
        <w:r>
          <w:rPr>
            <w:color w:val="0000FF"/>
            <w:w w:val="95"/>
            <w:u w:val="single" w:color="0000FF"/>
          </w:rPr>
          <w:t>/media/boe/files/markets/benchmarks/statement-on-the-progress-on-adoption-of-risk-free-rates-in-sterling-</w:t>
        </w:r>
      </w:hyperlink>
      <w:r>
        <w:rPr>
          <w:color w:val="0000FF"/>
          <w:w w:val="95"/>
        </w:rPr>
        <w:t> </w:t>
      </w:r>
      <w:hyperlink r:id="rId6">
        <w:r>
          <w:rPr>
            <w:color w:val="0000FF"/>
            <w:u w:val="single" w:color="0000FF"/>
          </w:rPr>
          <w:t>markets.pdf?la=en&amp;hash=24893EB812640CC61E640BEB98D8E7415439210B</w:t>
        </w:r>
      </w:hyperlink>
    </w:p>
    <w:p>
      <w:pPr>
        <w:pStyle w:val="BodyText"/>
        <w:spacing w:line="223" w:lineRule="exact"/>
        <w:ind w:left="197"/>
      </w:pPr>
      <w:r>
        <w:rPr>
          <w:rFonts w:ascii="Calibri"/>
          <w:position w:val="10"/>
          <w:sz w:val="13"/>
        </w:rPr>
        <w:t>2 </w:t>
      </w:r>
      <w:hyperlink r:id="rId7">
        <w:r>
          <w:rPr>
            <w:color w:val="0000FF"/>
            <w:u w:val="single" w:color="0000FF"/>
          </w:rPr>
          <w:t>https://www.bankofengland.co.uk/markets/transition-to-sterling-risk-free-rates-from-libor</w:t>
        </w:r>
        <w:r>
          <w:rPr/>
          <w:t>.</w:t>
        </w:r>
      </w:hyperlink>
    </w:p>
    <w:p>
      <w:pPr>
        <w:pStyle w:val="BodyText"/>
        <w:spacing w:line="252" w:lineRule="exact"/>
        <w:ind w:left="197"/>
      </w:pPr>
      <w:r>
        <w:rPr>
          <w:position w:val="10"/>
          <w:sz w:val="13"/>
        </w:rPr>
        <w:t>3 </w:t>
      </w:r>
      <w:r>
        <w:rPr/>
        <w:t>Now referred to as Tradeweb FTSE Closing Gilt Prices</w:t>
      </w:r>
    </w:p>
    <w:p>
      <w:pPr>
        <w:spacing w:after="0" w:line="252" w:lineRule="exact"/>
        <w:sectPr>
          <w:pgSz w:w="11910" w:h="16840"/>
          <w:pgMar w:header="0" w:footer="720" w:top="1180" w:bottom="900" w:left="1080" w:right="1020"/>
        </w:sectPr>
      </w:pPr>
    </w:p>
    <w:p>
      <w:pPr>
        <w:pStyle w:val="BodyText"/>
        <w:spacing w:line="360" w:lineRule="auto" w:before="75"/>
        <w:ind w:left="624" w:right="106"/>
        <w:jc w:val="both"/>
      </w:pPr>
      <w:r>
        <w:rPr/>
        <w:t>IBA proposed three potential calculation methodologies to develop a forward-looking term rate; OIS based, futures based or a hybrid model of both OIS and futures which would capture both activity and executable quotes. ICE planned to adopt a three-tiered IOSCO compliant waterfall process to derive the term rate on a daily basis, even in stressed market situations. It was noted that the SONIA market underpinning the preferred level 1 tier may still be in its infancy and/or not be sufficiently liquid at present to derive a TSRR, however whilst this market develops and matures, there is sufficient  liquidity in other tiers to derive a rate.</w:t>
      </w:r>
    </w:p>
    <w:p>
      <w:pPr>
        <w:pStyle w:val="BodyText"/>
        <w:spacing w:line="360" w:lineRule="auto" w:before="120"/>
        <w:ind w:left="624" w:right="109"/>
        <w:jc w:val="both"/>
      </w:pPr>
      <w:r>
        <w:rPr/>
        <w:t>IBA noted it was committed to delivering a Benchmark Regulation-consistent TSRR. In times of extreme stress it may become necessary to move up/down the waterfall methodology, and liaison with its proposed Term SONIA Oversight Committee would be important to ensure stakeholders were protected.</w:t>
      </w:r>
    </w:p>
    <w:p>
      <w:pPr>
        <w:pStyle w:val="ListParagraph"/>
        <w:numPr>
          <w:ilvl w:val="0"/>
          <w:numId w:val="2"/>
        </w:numPr>
        <w:tabs>
          <w:tab w:pos="558" w:val="left" w:leader="none"/>
        </w:tabs>
        <w:spacing w:line="240" w:lineRule="auto" w:before="118" w:after="0"/>
        <w:ind w:left="557" w:right="0" w:hanging="361"/>
        <w:jc w:val="both"/>
        <w:rPr>
          <w:i/>
          <w:sz w:val="20"/>
        </w:rPr>
      </w:pPr>
      <w:r>
        <w:rPr>
          <w:i/>
          <w:sz w:val="20"/>
        </w:rPr>
        <w:t>Refinitiv and</w:t>
      </w:r>
      <w:r>
        <w:rPr>
          <w:i/>
          <w:spacing w:val="-1"/>
          <w:sz w:val="20"/>
        </w:rPr>
        <w:t> </w:t>
      </w:r>
      <w:r>
        <w:rPr>
          <w:i/>
          <w:sz w:val="20"/>
        </w:rPr>
        <w:t>Tradeweb</w:t>
      </w:r>
    </w:p>
    <w:p>
      <w:pPr>
        <w:pStyle w:val="BodyText"/>
        <w:spacing w:before="8"/>
        <w:rPr>
          <w:i/>
        </w:rPr>
      </w:pPr>
    </w:p>
    <w:p>
      <w:pPr>
        <w:pStyle w:val="BodyText"/>
        <w:spacing w:line="360" w:lineRule="auto" w:before="1"/>
        <w:ind w:left="557" w:right="109"/>
        <w:jc w:val="both"/>
      </w:pPr>
      <w:r>
        <w:rPr/>
        <w:t>Thomson Reuters Refinitiv’s presentation was delivered by Robert Walton, and Stephan Flagel of Refinitiv, and supplemented by a presentation by Bhas Nalabothula of Tradeweb. The Working Group were informed that Refinitiv is currently an administrator for approximately 30 IOSCO and EU BMR compliant benchmarks and is already regulated by the FCA through their subsidiary Refinitiv Benchmark Services (UK) Ltd..</w:t>
      </w:r>
    </w:p>
    <w:p>
      <w:pPr>
        <w:pStyle w:val="BodyText"/>
        <w:spacing w:line="360" w:lineRule="auto" w:before="118"/>
        <w:ind w:left="557" w:right="108"/>
        <w:jc w:val="both"/>
      </w:pPr>
      <w:r>
        <w:rPr/>
        <w:t>Refinitiv noted that whilst the development of a TSRR would aid transition to SONIA in the near-term, only a small part of the market may benefit from a forward-looking term structure in the long-term, suggesting that term rates would have a limited-use application and would certainly assist transition in the short-term, but may not need to be available permanently</w:t>
      </w:r>
    </w:p>
    <w:p>
      <w:pPr>
        <w:pStyle w:val="BodyText"/>
        <w:spacing w:line="360" w:lineRule="auto" w:before="120"/>
        <w:ind w:left="554" w:right="108"/>
        <w:jc w:val="both"/>
      </w:pPr>
      <w:r>
        <w:rPr/>
        <w:t>Refinitiv noted that at this time, the best and most robust TSRR would be derived using executable OIS quotes from a CLOB, due to the amount of information in quotes (i.e. market expectation), and the prevalence of a more liquid forwards market. Refinitiv suggested that due to limited liquidity in the spot OIS market at this time, using executable quotes would be suitable to facilitate market familiarity with TSRR and catalyse transition. However, if the OIS market becomes sufficiently liquid, the optimal methodology would capture price data using executed OIS trades. Refinitiv’s proposed governance structure leans on their current framework and included an oversight committee, an audit committee and a risk committee.</w:t>
      </w:r>
    </w:p>
    <w:p>
      <w:pPr>
        <w:pStyle w:val="ListParagraph"/>
        <w:numPr>
          <w:ilvl w:val="0"/>
          <w:numId w:val="2"/>
        </w:numPr>
        <w:tabs>
          <w:tab w:pos="558" w:val="left" w:leader="none"/>
        </w:tabs>
        <w:spacing w:line="360" w:lineRule="auto" w:before="121" w:after="0"/>
        <w:ind w:left="557" w:right="114" w:hanging="360"/>
        <w:jc w:val="both"/>
        <w:rPr>
          <w:sz w:val="20"/>
        </w:rPr>
      </w:pPr>
      <w:r>
        <w:rPr>
          <w:sz w:val="20"/>
        </w:rPr>
        <w:t>The FCA reiterated the work of the Term Rate Task Force, to identify the limited but appropriate use cases in which TSRR could be applied. The FCA also gave an update on the work it has done regarding OIS streaming. The FCA has called major liquidity providers in the market and set out that a step change is required to help facilitate the creation of a TSRR through streaming executable OIS quotes to multilateral trading facilities. The Secretariat will continue to facilitate the development of TSRR and update the Working Group</w:t>
      </w:r>
      <w:r>
        <w:rPr>
          <w:spacing w:val="-8"/>
          <w:sz w:val="20"/>
        </w:rPr>
        <w:t> </w:t>
      </w:r>
      <w:r>
        <w:rPr>
          <w:sz w:val="20"/>
        </w:rPr>
        <w:t>accordingly.</w:t>
      </w:r>
    </w:p>
    <w:p>
      <w:pPr>
        <w:pStyle w:val="Heading2"/>
        <w:spacing w:before="117"/>
        <w:jc w:val="both"/>
      </w:pPr>
      <w:r>
        <w:rPr/>
        <w:t>Headlines from the FSB Roundtable event</w:t>
      </w:r>
    </w:p>
    <w:p>
      <w:pPr>
        <w:pStyle w:val="BodyText"/>
        <w:spacing w:before="8"/>
        <w:rPr>
          <w:b/>
        </w:rPr>
      </w:pPr>
    </w:p>
    <w:p>
      <w:pPr>
        <w:pStyle w:val="ListParagraph"/>
        <w:numPr>
          <w:ilvl w:val="0"/>
          <w:numId w:val="2"/>
        </w:numPr>
        <w:tabs>
          <w:tab w:pos="611" w:val="left" w:leader="none"/>
        </w:tabs>
        <w:spacing w:line="360" w:lineRule="auto" w:before="0" w:after="0"/>
        <w:ind w:left="554" w:right="110" w:hanging="358"/>
        <w:jc w:val="both"/>
        <w:rPr>
          <w:sz w:val="20"/>
        </w:rPr>
      </w:pPr>
      <w:r>
        <w:rPr/>
        <w:tab/>
      </w:r>
      <w:r>
        <w:rPr>
          <w:sz w:val="20"/>
        </w:rPr>
        <w:t>The Chair noted the Financial Stability Board (FSB) held a Roundtable Event on 10 April 2019, attended</w:t>
      </w:r>
      <w:r>
        <w:rPr>
          <w:spacing w:val="11"/>
          <w:sz w:val="20"/>
        </w:rPr>
        <w:t> </w:t>
      </w:r>
      <w:r>
        <w:rPr>
          <w:sz w:val="20"/>
        </w:rPr>
        <w:t>by</w:t>
      </w:r>
      <w:r>
        <w:rPr>
          <w:spacing w:val="5"/>
          <w:sz w:val="20"/>
        </w:rPr>
        <w:t> </w:t>
      </w:r>
      <w:r>
        <w:rPr>
          <w:sz w:val="20"/>
        </w:rPr>
        <w:t>Andrew</w:t>
      </w:r>
      <w:r>
        <w:rPr>
          <w:spacing w:val="10"/>
          <w:sz w:val="20"/>
        </w:rPr>
        <w:t> </w:t>
      </w:r>
      <w:r>
        <w:rPr>
          <w:sz w:val="20"/>
        </w:rPr>
        <w:t>Bailey</w:t>
      </w:r>
      <w:r>
        <w:rPr>
          <w:spacing w:val="8"/>
          <w:sz w:val="20"/>
        </w:rPr>
        <w:t> </w:t>
      </w:r>
      <w:r>
        <w:rPr>
          <w:sz w:val="20"/>
        </w:rPr>
        <w:t>(FCA)</w:t>
      </w:r>
      <w:r>
        <w:rPr>
          <w:spacing w:val="9"/>
          <w:sz w:val="20"/>
        </w:rPr>
        <w:t> </w:t>
      </w:r>
      <w:r>
        <w:rPr>
          <w:sz w:val="20"/>
        </w:rPr>
        <w:t>and</w:t>
      </w:r>
      <w:r>
        <w:rPr>
          <w:spacing w:val="12"/>
          <w:sz w:val="20"/>
        </w:rPr>
        <w:t> </w:t>
      </w:r>
      <w:r>
        <w:rPr>
          <w:sz w:val="20"/>
        </w:rPr>
        <w:t>Sir</w:t>
      </w:r>
      <w:r>
        <w:rPr>
          <w:spacing w:val="9"/>
          <w:sz w:val="20"/>
        </w:rPr>
        <w:t> </w:t>
      </w:r>
      <w:r>
        <w:rPr>
          <w:sz w:val="20"/>
        </w:rPr>
        <w:t>David</w:t>
      </w:r>
      <w:r>
        <w:rPr>
          <w:spacing w:val="9"/>
          <w:sz w:val="20"/>
        </w:rPr>
        <w:t> </w:t>
      </w:r>
      <w:r>
        <w:rPr>
          <w:sz w:val="20"/>
        </w:rPr>
        <w:t>Ramsden</w:t>
      </w:r>
      <w:r>
        <w:rPr>
          <w:spacing w:val="10"/>
          <w:sz w:val="20"/>
        </w:rPr>
        <w:t> </w:t>
      </w:r>
      <w:r>
        <w:rPr>
          <w:sz w:val="20"/>
        </w:rPr>
        <w:t>(Bank</w:t>
      </w:r>
      <w:r>
        <w:rPr>
          <w:spacing w:val="12"/>
          <w:sz w:val="20"/>
        </w:rPr>
        <w:t> </w:t>
      </w:r>
      <w:r>
        <w:rPr>
          <w:sz w:val="20"/>
        </w:rPr>
        <w:t>of</w:t>
      </w:r>
      <w:r>
        <w:rPr>
          <w:spacing w:val="10"/>
          <w:sz w:val="20"/>
        </w:rPr>
        <w:t> </w:t>
      </w:r>
      <w:r>
        <w:rPr>
          <w:sz w:val="20"/>
        </w:rPr>
        <w:t>England),</w:t>
      </w:r>
      <w:r>
        <w:rPr>
          <w:spacing w:val="10"/>
          <w:sz w:val="20"/>
        </w:rPr>
        <w:t> </w:t>
      </w:r>
      <w:r>
        <w:rPr>
          <w:sz w:val="20"/>
        </w:rPr>
        <w:t>to</w:t>
      </w:r>
      <w:r>
        <w:rPr>
          <w:spacing w:val="11"/>
          <w:sz w:val="20"/>
        </w:rPr>
        <w:t> </w:t>
      </w:r>
      <w:r>
        <w:rPr>
          <w:sz w:val="20"/>
        </w:rPr>
        <w:t>discuss</w:t>
      </w:r>
      <w:r>
        <w:rPr>
          <w:spacing w:val="10"/>
          <w:sz w:val="20"/>
        </w:rPr>
        <w:t> </w:t>
      </w:r>
      <w:r>
        <w:rPr>
          <w:sz w:val="20"/>
        </w:rPr>
        <w:t>the</w:t>
      </w:r>
      <w:r>
        <w:rPr>
          <w:spacing w:val="21"/>
          <w:sz w:val="20"/>
        </w:rPr>
        <w:t> </w:t>
      </w:r>
      <w:r>
        <w:rPr>
          <w:sz w:val="20"/>
        </w:rPr>
        <w:t>progress</w:t>
      </w:r>
    </w:p>
    <w:p>
      <w:pPr>
        <w:spacing w:after="0" w:line="360" w:lineRule="auto"/>
        <w:jc w:val="both"/>
        <w:rPr>
          <w:sz w:val="20"/>
        </w:rPr>
        <w:sectPr>
          <w:pgSz w:w="11910" w:h="16840"/>
          <w:pgMar w:header="0" w:footer="720" w:top="1180" w:bottom="900" w:left="1080" w:right="1020"/>
        </w:sectPr>
      </w:pPr>
    </w:p>
    <w:p>
      <w:pPr>
        <w:pStyle w:val="BodyText"/>
        <w:spacing w:line="357" w:lineRule="auto" w:before="75"/>
        <w:ind w:left="554"/>
      </w:pPr>
      <w:r>
        <w:rPr/>
        <w:t>on transition to risk-free rates. The Chair reminded firms that this event was recorded and available to view on the FSB’s website.</w:t>
      </w:r>
      <w:r>
        <w:rPr>
          <w:vertAlign w:val="superscript"/>
        </w:rPr>
        <w:t>4</w:t>
      </w:r>
    </w:p>
    <w:p>
      <w:pPr>
        <w:pStyle w:val="Heading2"/>
        <w:spacing w:before="124"/>
        <w:jc w:val="both"/>
      </w:pPr>
      <w:r>
        <w:rPr/>
        <w:t>Risk Free Rate Transition event and Senior Group Mobilisation</w:t>
      </w:r>
    </w:p>
    <w:p>
      <w:pPr>
        <w:pStyle w:val="BodyText"/>
        <w:spacing w:before="6"/>
        <w:rPr>
          <w:b/>
        </w:rPr>
      </w:pPr>
    </w:p>
    <w:p>
      <w:pPr>
        <w:pStyle w:val="ListParagraph"/>
        <w:numPr>
          <w:ilvl w:val="0"/>
          <w:numId w:val="2"/>
        </w:numPr>
        <w:tabs>
          <w:tab w:pos="558" w:val="left" w:leader="none"/>
        </w:tabs>
        <w:spacing w:line="360" w:lineRule="auto" w:before="0" w:after="0"/>
        <w:ind w:left="557" w:right="109" w:hanging="360"/>
        <w:jc w:val="both"/>
        <w:rPr>
          <w:sz w:val="20"/>
        </w:rPr>
      </w:pPr>
      <w:r>
        <w:rPr>
          <w:sz w:val="20"/>
        </w:rPr>
        <w:t>The Bank of England confirmed the date of the Risk Free Rate Transition event titled ‘Last Orders: Calling Time on LIBOR’ was confirmed as 5 June. This event would provide a public platform for authorities to update on LIBOR transition and will permit for a Q&amp;A session. Invitations had been circulated to a broad set of firms, including those in the Working Group, asset management firms, infrastructure providers, banks and</w:t>
      </w:r>
      <w:r>
        <w:rPr>
          <w:spacing w:val="-4"/>
          <w:sz w:val="20"/>
        </w:rPr>
        <w:t> </w:t>
      </w:r>
      <w:r>
        <w:rPr>
          <w:sz w:val="20"/>
        </w:rPr>
        <w:t>corporates.</w:t>
      </w:r>
    </w:p>
    <w:p>
      <w:pPr>
        <w:pStyle w:val="ListParagraph"/>
        <w:numPr>
          <w:ilvl w:val="0"/>
          <w:numId w:val="2"/>
        </w:numPr>
        <w:tabs>
          <w:tab w:pos="558" w:val="left" w:leader="none"/>
        </w:tabs>
        <w:spacing w:line="360" w:lineRule="auto" w:before="118" w:after="0"/>
        <w:ind w:left="557" w:right="113" w:hanging="360"/>
        <w:jc w:val="both"/>
        <w:rPr>
          <w:sz w:val="20"/>
        </w:rPr>
      </w:pPr>
      <w:r>
        <w:rPr>
          <w:sz w:val="20"/>
        </w:rPr>
        <w:t>The Bank outlined the preliminary plan for the panel-based event in which the authorities would discuss LIBOR transition in the UK, and panel members would include Dave Ramsden (Bank of England), Tushar Morzaria (Chair of the Working Group) and Andrew Bailey (FCA). To ensure firms which were not directly invited to the event could still benefit from these discussions, the event would be live-streamed and available to view after the event on the Bank’s Youtube</w:t>
      </w:r>
      <w:r>
        <w:rPr>
          <w:spacing w:val="-12"/>
          <w:sz w:val="20"/>
        </w:rPr>
        <w:t> </w:t>
      </w:r>
      <w:r>
        <w:rPr>
          <w:sz w:val="20"/>
        </w:rPr>
        <w:t>channel.</w:t>
      </w:r>
      <w:r>
        <w:rPr>
          <w:sz w:val="20"/>
          <w:vertAlign w:val="superscript"/>
        </w:rPr>
        <w:t>5</w:t>
      </w:r>
    </w:p>
    <w:p>
      <w:pPr>
        <w:pStyle w:val="ListParagraph"/>
        <w:numPr>
          <w:ilvl w:val="0"/>
          <w:numId w:val="2"/>
        </w:numPr>
        <w:tabs>
          <w:tab w:pos="558" w:val="left" w:leader="none"/>
        </w:tabs>
        <w:spacing w:line="360" w:lineRule="auto" w:before="121" w:after="0"/>
        <w:ind w:left="557" w:right="114" w:hanging="360"/>
        <w:jc w:val="both"/>
        <w:rPr>
          <w:sz w:val="20"/>
        </w:rPr>
      </w:pPr>
      <w:r>
        <w:rPr>
          <w:sz w:val="20"/>
        </w:rPr>
        <w:t>On progress with forming of a Senior Advisory Group, the Bank noted that invitations to firms had been sent, and details of the first meeting were still to be</w:t>
      </w:r>
      <w:r>
        <w:rPr>
          <w:spacing w:val="-4"/>
          <w:sz w:val="20"/>
        </w:rPr>
        <w:t> </w:t>
      </w:r>
      <w:r>
        <w:rPr>
          <w:sz w:val="20"/>
        </w:rPr>
        <w:t>finalised.</w:t>
      </w:r>
    </w:p>
    <w:p>
      <w:pPr>
        <w:pStyle w:val="Heading2"/>
        <w:spacing w:before="119"/>
        <w:jc w:val="both"/>
      </w:pPr>
      <w:r>
        <w:rPr/>
        <w:t>Headline updates</w:t>
      </w:r>
    </w:p>
    <w:p>
      <w:pPr>
        <w:pStyle w:val="BodyText"/>
        <w:spacing w:before="6"/>
        <w:rPr>
          <w:b/>
        </w:rPr>
      </w:pPr>
    </w:p>
    <w:p>
      <w:pPr>
        <w:pStyle w:val="ListParagraph"/>
        <w:numPr>
          <w:ilvl w:val="0"/>
          <w:numId w:val="2"/>
        </w:numPr>
        <w:tabs>
          <w:tab w:pos="558" w:val="left" w:leader="none"/>
        </w:tabs>
        <w:spacing w:line="360" w:lineRule="auto" w:before="0" w:after="0"/>
        <w:ind w:left="557" w:right="111" w:hanging="360"/>
        <w:jc w:val="both"/>
        <w:rPr>
          <w:sz w:val="20"/>
        </w:rPr>
      </w:pPr>
      <w:r>
        <w:rPr>
          <w:sz w:val="20"/>
        </w:rPr>
        <w:t>The FCA noted that the FSB’s Official Sector Steering Group (OSSG) wrote to ISDA</w:t>
      </w:r>
      <w:r>
        <w:rPr>
          <w:sz w:val="20"/>
          <w:vertAlign w:val="superscript"/>
        </w:rPr>
        <w:t>6</w:t>
      </w:r>
      <w:r>
        <w:rPr>
          <w:sz w:val="20"/>
          <w:vertAlign w:val="baseline"/>
        </w:rPr>
        <w:t> to encourage ISDA to seek broader market opinion on derivative trigger events, in order to enhance contractual robustness, particularly in recognising a trigger event where an interest rate is no longer considered to be</w:t>
      </w:r>
      <w:r>
        <w:rPr>
          <w:spacing w:val="-2"/>
          <w:sz w:val="20"/>
          <w:vertAlign w:val="baseline"/>
        </w:rPr>
        <w:t> </w:t>
      </w:r>
      <w:r>
        <w:rPr>
          <w:sz w:val="20"/>
          <w:vertAlign w:val="baseline"/>
        </w:rPr>
        <w:t>representative.</w:t>
      </w:r>
    </w:p>
    <w:p>
      <w:pPr>
        <w:pStyle w:val="ListParagraph"/>
        <w:numPr>
          <w:ilvl w:val="0"/>
          <w:numId w:val="2"/>
        </w:numPr>
        <w:tabs>
          <w:tab w:pos="558" w:val="left" w:leader="none"/>
        </w:tabs>
        <w:spacing w:line="360" w:lineRule="auto" w:before="118" w:after="0"/>
        <w:ind w:left="557" w:right="107" w:hanging="360"/>
        <w:jc w:val="both"/>
        <w:rPr>
          <w:sz w:val="20"/>
        </w:rPr>
      </w:pPr>
      <w:r>
        <w:rPr>
          <w:i/>
          <w:sz w:val="20"/>
        </w:rPr>
        <w:t>Accounting Treatments task force: </w:t>
      </w:r>
      <w:r>
        <w:rPr>
          <w:sz w:val="20"/>
        </w:rPr>
        <w:t>Working Group members were updated on the Accounting Treatment task force, and the announcement of Frances Hinden (Shell) and Jessica Taurae (PWC) as co-chairs of the task force. Whilst the Accounting Treatment task force had not yet convened its first meeting, it was planned for 3 June 2019. Members were informed co-chairs had drafted a letter to IASB to consider and address accounting dependencies on the LIBOR</w:t>
      </w:r>
      <w:r>
        <w:rPr>
          <w:spacing w:val="-10"/>
          <w:sz w:val="20"/>
        </w:rPr>
        <w:t> </w:t>
      </w:r>
      <w:r>
        <w:rPr>
          <w:sz w:val="20"/>
        </w:rPr>
        <w:t>rate.</w:t>
      </w:r>
    </w:p>
    <w:p>
      <w:pPr>
        <w:pStyle w:val="ListParagraph"/>
        <w:numPr>
          <w:ilvl w:val="0"/>
          <w:numId w:val="2"/>
        </w:numPr>
        <w:tabs>
          <w:tab w:pos="558" w:val="left" w:leader="none"/>
        </w:tabs>
        <w:spacing w:line="360" w:lineRule="auto" w:before="121" w:after="0"/>
        <w:ind w:left="557" w:right="107" w:hanging="360"/>
        <w:jc w:val="both"/>
        <w:rPr>
          <w:sz w:val="20"/>
        </w:rPr>
      </w:pPr>
      <w:r>
        <w:rPr>
          <w:i/>
          <w:sz w:val="20"/>
        </w:rPr>
        <w:t>Infrastructure sub-group: </w:t>
      </w:r>
      <w:r>
        <w:rPr>
          <w:sz w:val="20"/>
        </w:rPr>
        <w:t>The Chair of the Infrastructure sub-group provided an update to Working Group members, noting a loans processing paper, would be circulated to members for comment. This paper focussed on the operational aspects of the loans</w:t>
      </w:r>
      <w:r>
        <w:rPr>
          <w:spacing w:val="-2"/>
          <w:sz w:val="20"/>
        </w:rPr>
        <w:t> </w:t>
      </w:r>
      <w:r>
        <w:rPr>
          <w:sz w:val="20"/>
        </w:rPr>
        <w:t>market.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4"/>
        </w:rPr>
      </w:pPr>
      <w:r>
        <w:rPr/>
        <w:pict>
          <v:shape style="position:absolute;margin-left:63.863998pt;margin-top:10.801723pt;width:144.050pt;height:.1pt;mso-position-horizontal-relative:page;mso-position-vertical-relative:paragraph;z-index:-251656192;mso-wrap-distance-left:0;mso-wrap-distance-right:0" coordorigin="1277,216" coordsize="2881,0" path="m1277,216l4158,216e" filled="false" stroked="true" strokeweight=".72003pt" strokecolor="#000000">
            <v:path arrowok="t"/>
            <v:stroke dashstyle="solid"/>
            <w10:wrap type="topAndBottom"/>
          </v:shape>
        </w:pict>
      </w:r>
    </w:p>
    <w:p>
      <w:pPr>
        <w:pStyle w:val="BodyText"/>
        <w:spacing w:line="247" w:lineRule="exact" w:before="36"/>
        <w:ind w:left="197"/>
      </w:pPr>
      <w:r>
        <w:rPr>
          <w:position w:val="10"/>
          <w:sz w:val="13"/>
        </w:rPr>
        <w:t>4 </w:t>
      </w:r>
      <w:r>
        <w:rPr/>
        <w:t>https://</w:t>
      </w:r>
      <w:hyperlink r:id="rId8">
        <w:r>
          <w:rPr/>
          <w:t>www.fsb.org/2019/04/progress-on-the-transition-to-risk-free-rates/</w:t>
        </w:r>
      </w:hyperlink>
    </w:p>
    <w:p>
      <w:pPr>
        <w:pStyle w:val="BodyText"/>
        <w:spacing w:line="230" w:lineRule="exact"/>
        <w:ind w:left="197"/>
      </w:pPr>
      <w:r>
        <w:rPr>
          <w:position w:val="10"/>
          <w:sz w:val="13"/>
        </w:rPr>
        <w:t>5 </w:t>
      </w:r>
      <w:r>
        <w:rPr/>
        <w:t>https://</w:t>
      </w:r>
      <w:hyperlink r:id="rId9">
        <w:r>
          <w:rPr/>
          <w:t>www.youtube.com/watch?v=zJ5Ik4KyhoQ</w:t>
        </w:r>
      </w:hyperlink>
    </w:p>
    <w:p>
      <w:pPr>
        <w:pStyle w:val="BodyText"/>
        <w:spacing w:line="230" w:lineRule="exact" w:before="21"/>
        <w:ind w:left="197" w:right="450"/>
      </w:pPr>
      <w:r>
        <w:rPr>
          <w:position w:val="10"/>
          <w:sz w:val="13"/>
        </w:rPr>
        <w:t>6 </w:t>
      </w:r>
      <w:r>
        <w:rPr/>
        <w:t>https://</w:t>
      </w:r>
      <w:hyperlink r:id="rId10">
        <w:r>
          <w:rPr/>
          <w:t>www.fsb.org/2019/03/fsb-letter-to-isda-about-derivative-contract-robustness-to-risks-of-interest-</w:t>
        </w:r>
      </w:hyperlink>
      <w:r>
        <w:rPr/>
        <w:t> rate-benchmark-discontinuation/</w:t>
      </w:r>
    </w:p>
    <w:p>
      <w:pPr>
        <w:spacing w:after="0" w:line="230" w:lineRule="exact"/>
        <w:sectPr>
          <w:pgSz w:w="11910" w:h="16840"/>
          <w:pgMar w:header="0" w:footer="720" w:top="1180" w:bottom="900" w:left="1080" w:right="1020"/>
        </w:sectPr>
      </w:pPr>
    </w:p>
    <w:p>
      <w:pPr>
        <w:pStyle w:val="Heading2"/>
      </w:pPr>
      <w:r>
        <w:rPr/>
        <w:t>Private sector</w:t>
      </w:r>
      <w:r>
        <w:rPr>
          <w:spacing w:val="-11"/>
        </w:rPr>
        <w:t> </w:t>
      </w:r>
      <w:r>
        <w:rPr/>
        <w:t>attendees</w:t>
      </w:r>
    </w:p>
    <w:p>
      <w:pPr>
        <w:pStyle w:val="BodyText"/>
        <w:spacing w:before="2"/>
        <w:rPr>
          <w:b/>
          <w:sz w:val="1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8"/>
        <w:gridCol w:w="5677"/>
      </w:tblGrid>
      <w:tr>
        <w:trPr>
          <w:trHeight w:val="262" w:hRule="atLeast"/>
        </w:trPr>
        <w:tc>
          <w:tcPr>
            <w:tcW w:w="2658" w:type="dxa"/>
          </w:tcPr>
          <w:p>
            <w:pPr>
              <w:pStyle w:val="TableParagraph"/>
              <w:spacing w:line="225" w:lineRule="exact" w:before="0"/>
              <w:rPr>
                <w:sz w:val="20"/>
              </w:rPr>
            </w:pPr>
            <w:r>
              <w:rPr>
                <w:sz w:val="20"/>
              </w:rPr>
              <w:t>Tushar Morzaria</w:t>
            </w:r>
          </w:p>
        </w:tc>
        <w:tc>
          <w:tcPr>
            <w:tcW w:w="5677" w:type="dxa"/>
          </w:tcPr>
          <w:p>
            <w:pPr>
              <w:pStyle w:val="TableParagraph"/>
              <w:spacing w:line="223" w:lineRule="exact" w:before="0"/>
              <w:ind w:left="660"/>
              <w:rPr>
                <w:b/>
                <w:sz w:val="20"/>
              </w:rPr>
            </w:pPr>
            <w:r>
              <w:rPr>
                <w:b/>
                <w:sz w:val="20"/>
              </w:rPr>
              <w:t>Barclays (Chair)</w:t>
            </w:r>
          </w:p>
        </w:tc>
      </w:tr>
      <w:tr>
        <w:trPr>
          <w:trHeight w:val="300" w:hRule="atLeast"/>
        </w:trPr>
        <w:tc>
          <w:tcPr>
            <w:tcW w:w="2658" w:type="dxa"/>
          </w:tcPr>
          <w:p>
            <w:pPr>
              <w:pStyle w:val="TableParagraph"/>
              <w:spacing w:before="33"/>
              <w:rPr>
                <w:sz w:val="20"/>
              </w:rPr>
            </w:pPr>
            <w:r>
              <w:rPr>
                <w:sz w:val="20"/>
              </w:rPr>
              <w:t>Paul Mansour</w:t>
            </w:r>
          </w:p>
        </w:tc>
        <w:tc>
          <w:tcPr>
            <w:tcW w:w="5677" w:type="dxa"/>
          </w:tcPr>
          <w:p>
            <w:pPr>
              <w:pStyle w:val="TableParagraph"/>
              <w:ind w:left="660"/>
              <w:rPr>
                <w:b/>
                <w:sz w:val="20"/>
              </w:rPr>
            </w:pPr>
            <w:r>
              <w:rPr>
                <w:b/>
                <w:sz w:val="20"/>
              </w:rPr>
              <w:t>Barclays (Chair’s office)</w:t>
            </w:r>
          </w:p>
        </w:tc>
      </w:tr>
      <w:tr>
        <w:trPr>
          <w:trHeight w:val="300" w:hRule="atLeast"/>
        </w:trPr>
        <w:tc>
          <w:tcPr>
            <w:tcW w:w="2658" w:type="dxa"/>
          </w:tcPr>
          <w:p>
            <w:pPr>
              <w:pStyle w:val="TableParagraph"/>
              <w:spacing w:before="32"/>
              <w:rPr>
                <w:sz w:val="20"/>
              </w:rPr>
            </w:pPr>
            <w:r>
              <w:rPr>
                <w:sz w:val="20"/>
              </w:rPr>
              <w:t>Joseph Mcquade</w:t>
            </w:r>
          </w:p>
        </w:tc>
        <w:tc>
          <w:tcPr>
            <w:tcW w:w="5677" w:type="dxa"/>
          </w:tcPr>
          <w:p>
            <w:pPr>
              <w:pStyle w:val="TableParagraph"/>
              <w:ind w:left="660"/>
              <w:rPr>
                <w:b/>
                <w:sz w:val="20"/>
              </w:rPr>
            </w:pPr>
            <w:r>
              <w:rPr>
                <w:b/>
                <w:sz w:val="20"/>
              </w:rPr>
              <w:t>Barclays (Chair’s office)</w:t>
            </w:r>
          </w:p>
        </w:tc>
      </w:tr>
      <w:tr>
        <w:trPr>
          <w:trHeight w:val="300" w:hRule="atLeast"/>
        </w:trPr>
        <w:tc>
          <w:tcPr>
            <w:tcW w:w="2658" w:type="dxa"/>
          </w:tcPr>
          <w:p>
            <w:pPr>
              <w:pStyle w:val="TableParagraph"/>
              <w:spacing w:before="32"/>
              <w:rPr>
                <w:sz w:val="20"/>
              </w:rPr>
            </w:pPr>
            <w:r>
              <w:rPr>
                <w:sz w:val="20"/>
              </w:rPr>
              <w:t>Robert de Roeck</w:t>
            </w:r>
          </w:p>
        </w:tc>
        <w:tc>
          <w:tcPr>
            <w:tcW w:w="5677" w:type="dxa"/>
          </w:tcPr>
          <w:p>
            <w:pPr>
              <w:pStyle w:val="TableParagraph"/>
              <w:ind w:left="660"/>
              <w:rPr>
                <w:b/>
                <w:sz w:val="20"/>
              </w:rPr>
            </w:pPr>
            <w:r>
              <w:rPr>
                <w:b/>
                <w:sz w:val="20"/>
              </w:rPr>
              <w:t>Aberdeen Standard</w:t>
            </w:r>
          </w:p>
        </w:tc>
      </w:tr>
      <w:tr>
        <w:trPr>
          <w:trHeight w:val="300" w:hRule="atLeast"/>
        </w:trPr>
        <w:tc>
          <w:tcPr>
            <w:tcW w:w="2658" w:type="dxa"/>
          </w:tcPr>
          <w:p>
            <w:pPr>
              <w:pStyle w:val="TableParagraph"/>
              <w:spacing w:before="32"/>
              <w:rPr>
                <w:sz w:val="20"/>
              </w:rPr>
            </w:pPr>
            <w:r>
              <w:rPr>
                <w:sz w:val="20"/>
              </w:rPr>
              <w:t>Shaun Kennedy</w:t>
            </w:r>
          </w:p>
        </w:tc>
        <w:tc>
          <w:tcPr>
            <w:tcW w:w="5677" w:type="dxa"/>
          </w:tcPr>
          <w:p>
            <w:pPr>
              <w:pStyle w:val="TableParagraph"/>
              <w:ind w:left="660"/>
              <w:rPr>
                <w:b/>
                <w:sz w:val="20"/>
              </w:rPr>
            </w:pPr>
            <w:r>
              <w:rPr>
                <w:b/>
                <w:sz w:val="20"/>
              </w:rPr>
              <w:t>Associated British Ports</w:t>
            </w:r>
          </w:p>
        </w:tc>
      </w:tr>
      <w:tr>
        <w:trPr>
          <w:trHeight w:val="300" w:hRule="atLeast"/>
        </w:trPr>
        <w:tc>
          <w:tcPr>
            <w:tcW w:w="2658" w:type="dxa"/>
          </w:tcPr>
          <w:p>
            <w:pPr>
              <w:pStyle w:val="TableParagraph"/>
              <w:spacing w:before="32"/>
              <w:rPr>
                <w:sz w:val="20"/>
              </w:rPr>
            </w:pPr>
            <w:r>
              <w:rPr>
                <w:sz w:val="20"/>
              </w:rPr>
              <w:t>Sarah Boyce</w:t>
            </w:r>
          </w:p>
        </w:tc>
        <w:tc>
          <w:tcPr>
            <w:tcW w:w="5677" w:type="dxa"/>
          </w:tcPr>
          <w:p>
            <w:pPr>
              <w:pStyle w:val="TableParagraph"/>
              <w:ind w:left="660"/>
              <w:rPr>
                <w:b/>
                <w:sz w:val="20"/>
              </w:rPr>
            </w:pPr>
            <w:r>
              <w:rPr>
                <w:b/>
                <w:sz w:val="20"/>
              </w:rPr>
              <w:t>Association of Corporate Treasurers</w:t>
            </w:r>
          </w:p>
        </w:tc>
      </w:tr>
      <w:tr>
        <w:trPr>
          <w:trHeight w:val="300" w:hRule="atLeast"/>
        </w:trPr>
        <w:tc>
          <w:tcPr>
            <w:tcW w:w="2658" w:type="dxa"/>
          </w:tcPr>
          <w:p>
            <w:pPr>
              <w:pStyle w:val="TableParagraph"/>
              <w:spacing w:before="32"/>
              <w:rPr>
                <w:sz w:val="20"/>
              </w:rPr>
            </w:pPr>
            <w:r>
              <w:rPr>
                <w:sz w:val="20"/>
              </w:rPr>
              <w:t>Doug Laurie</w:t>
            </w:r>
          </w:p>
        </w:tc>
        <w:tc>
          <w:tcPr>
            <w:tcW w:w="5677" w:type="dxa"/>
          </w:tcPr>
          <w:p>
            <w:pPr>
              <w:pStyle w:val="TableParagraph"/>
              <w:ind w:left="660"/>
              <w:rPr>
                <w:b/>
                <w:sz w:val="20"/>
              </w:rPr>
            </w:pPr>
            <w:r>
              <w:rPr>
                <w:b/>
                <w:sz w:val="20"/>
              </w:rPr>
              <w:t>Barclays</w:t>
            </w:r>
          </w:p>
        </w:tc>
      </w:tr>
      <w:tr>
        <w:trPr>
          <w:trHeight w:val="300" w:hRule="atLeast"/>
        </w:trPr>
        <w:tc>
          <w:tcPr>
            <w:tcW w:w="2658" w:type="dxa"/>
          </w:tcPr>
          <w:p>
            <w:pPr>
              <w:pStyle w:val="TableParagraph"/>
              <w:spacing w:before="32"/>
              <w:rPr>
                <w:sz w:val="20"/>
              </w:rPr>
            </w:pPr>
            <w:r>
              <w:rPr>
                <w:sz w:val="20"/>
              </w:rPr>
              <w:t>Jon Laycock</w:t>
            </w:r>
          </w:p>
        </w:tc>
        <w:tc>
          <w:tcPr>
            <w:tcW w:w="5677" w:type="dxa"/>
          </w:tcPr>
          <w:p>
            <w:pPr>
              <w:pStyle w:val="TableParagraph"/>
              <w:ind w:left="660"/>
              <w:rPr>
                <w:b/>
                <w:sz w:val="20"/>
              </w:rPr>
            </w:pPr>
            <w:r>
              <w:rPr>
                <w:b/>
                <w:sz w:val="20"/>
              </w:rPr>
              <w:t>Barclays</w:t>
            </w:r>
          </w:p>
        </w:tc>
      </w:tr>
      <w:tr>
        <w:trPr>
          <w:trHeight w:val="300" w:hRule="atLeast"/>
        </w:trPr>
        <w:tc>
          <w:tcPr>
            <w:tcW w:w="2658" w:type="dxa"/>
          </w:tcPr>
          <w:p>
            <w:pPr>
              <w:pStyle w:val="TableParagraph"/>
              <w:spacing w:before="32"/>
              <w:rPr>
                <w:sz w:val="20"/>
              </w:rPr>
            </w:pPr>
            <w:r>
              <w:rPr>
                <w:sz w:val="20"/>
              </w:rPr>
              <w:t>Tejonidhi Kashyap</w:t>
            </w:r>
          </w:p>
        </w:tc>
        <w:tc>
          <w:tcPr>
            <w:tcW w:w="5677" w:type="dxa"/>
          </w:tcPr>
          <w:p>
            <w:pPr>
              <w:pStyle w:val="TableParagraph"/>
              <w:ind w:left="660"/>
              <w:rPr>
                <w:b/>
                <w:sz w:val="20"/>
              </w:rPr>
            </w:pPr>
            <w:r>
              <w:rPr>
                <w:b/>
                <w:sz w:val="20"/>
              </w:rPr>
              <w:t>Barclays</w:t>
            </w:r>
          </w:p>
        </w:tc>
      </w:tr>
      <w:tr>
        <w:trPr>
          <w:trHeight w:val="300" w:hRule="atLeast"/>
        </w:trPr>
        <w:tc>
          <w:tcPr>
            <w:tcW w:w="2658" w:type="dxa"/>
          </w:tcPr>
          <w:p>
            <w:pPr>
              <w:pStyle w:val="TableParagraph"/>
              <w:spacing w:before="32"/>
              <w:rPr>
                <w:sz w:val="20"/>
              </w:rPr>
            </w:pPr>
            <w:r>
              <w:rPr>
                <w:sz w:val="20"/>
              </w:rPr>
              <w:t>Rob Mitchelson</w:t>
            </w:r>
          </w:p>
        </w:tc>
        <w:tc>
          <w:tcPr>
            <w:tcW w:w="5677" w:type="dxa"/>
          </w:tcPr>
          <w:p>
            <w:pPr>
              <w:pStyle w:val="TableParagraph"/>
              <w:ind w:left="660"/>
              <w:rPr>
                <w:b/>
                <w:sz w:val="20"/>
              </w:rPr>
            </w:pPr>
            <w:r>
              <w:rPr>
                <w:b/>
                <w:sz w:val="20"/>
              </w:rPr>
              <w:t>Blackrock</w:t>
            </w:r>
          </w:p>
        </w:tc>
      </w:tr>
      <w:tr>
        <w:trPr>
          <w:trHeight w:val="300" w:hRule="atLeast"/>
        </w:trPr>
        <w:tc>
          <w:tcPr>
            <w:tcW w:w="2658" w:type="dxa"/>
          </w:tcPr>
          <w:p>
            <w:pPr>
              <w:pStyle w:val="TableParagraph"/>
              <w:spacing w:before="32"/>
              <w:rPr>
                <w:sz w:val="20"/>
              </w:rPr>
            </w:pPr>
            <w:r>
              <w:rPr>
                <w:sz w:val="20"/>
              </w:rPr>
              <w:t>Greg Olsen</w:t>
            </w:r>
          </w:p>
        </w:tc>
        <w:tc>
          <w:tcPr>
            <w:tcW w:w="5677" w:type="dxa"/>
          </w:tcPr>
          <w:p>
            <w:pPr>
              <w:pStyle w:val="TableParagraph"/>
              <w:ind w:left="660"/>
              <w:rPr>
                <w:b/>
                <w:sz w:val="20"/>
              </w:rPr>
            </w:pPr>
            <w:r>
              <w:rPr>
                <w:b/>
                <w:sz w:val="20"/>
              </w:rPr>
              <w:t>Clifford Chance (General Counsel)</w:t>
            </w:r>
          </w:p>
        </w:tc>
      </w:tr>
      <w:tr>
        <w:trPr>
          <w:trHeight w:val="300" w:hRule="atLeast"/>
        </w:trPr>
        <w:tc>
          <w:tcPr>
            <w:tcW w:w="2658" w:type="dxa"/>
          </w:tcPr>
          <w:p>
            <w:pPr>
              <w:pStyle w:val="TableParagraph"/>
              <w:spacing w:before="32"/>
              <w:rPr>
                <w:sz w:val="20"/>
              </w:rPr>
            </w:pPr>
            <w:r>
              <w:rPr>
                <w:sz w:val="20"/>
              </w:rPr>
              <w:t>Michael Barron</w:t>
            </w:r>
          </w:p>
        </w:tc>
        <w:tc>
          <w:tcPr>
            <w:tcW w:w="5677" w:type="dxa"/>
          </w:tcPr>
          <w:p>
            <w:pPr>
              <w:pStyle w:val="TableParagraph"/>
              <w:ind w:left="660"/>
              <w:rPr>
                <w:b/>
                <w:sz w:val="20"/>
              </w:rPr>
            </w:pPr>
            <w:r>
              <w:rPr>
                <w:b/>
                <w:sz w:val="20"/>
              </w:rPr>
              <w:t>Deutsche Bank</w:t>
            </w:r>
          </w:p>
        </w:tc>
      </w:tr>
      <w:tr>
        <w:trPr>
          <w:trHeight w:val="300" w:hRule="atLeast"/>
        </w:trPr>
        <w:tc>
          <w:tcPr>
            <w:tcW w:w="2658" w:type="dxa"/>
          </w:tcPr>
          <w:p>
            <w:pPr>
              <w:pStyle w:val="TableParagraph"/>
              <w:spacing w:before="32"/>
              <w:rPr>
                <w:sz w:val="20"/>
              </w:rPr>
            </w:pPr>
            <w:r>
              <w:rPr>
                <w:sz w:val="20"/>
              </w:rPr>
              <w:t>Axel van Nederveen</w:t>
            </w:r>
          </w:p>
        </w:tc>
        <w:tc>
          <w:tcPr>
            <w:tcW w:w="5677" w:type="dxa"/>
          </w:tcPr>
          <w:p>
            <w:pPr>
              <w:pStyle w:val="TableParagraph"/>
              <w:ind w:left="660"/>
              <w:rPr>
                <w:b/>
                <w:sz w:val="20"/>
              </w:rPr>
            </w:pPr>
            <w:r>
              <w:rPr>
                <w:b/>
                <w:sz w:val="20"/>
              </w:rPr>
              <w:t>European Bank for Reconstruction &amp; Development</w:t>
            </w:r>
          </w:p>
        </w:tc>
      </w:tr>
      <w:tr>
        <w:trPr>
          <w:trHeight w:val="300" w:hRule="atLeast"/>
        </w:trPr>
        <w:tc>
          <w:tcPr>
            <w:tcW w:w="2658" w:type="dxa"/>
          </w:tcPr>
          <w:p>
            <w:pPr>
              <w:pStyle w:val="TableParagraph"/>
              <w:spacing w:before="33"/>
              <w:rPr>
                <w:sz w:val="20"/>
              </w:rPr>
            </w:pPr>
            <w:r>
              <w:rPr>
                <w:sz w:val="20"/>
              </w:rPr>
              <w:t>Alan Farrell</w:t>
            </w:r>
          </w:p>
        </w:tc>
        <w:tc>
          <w:tcPr>
            <w:tcW w:w="5677" w:type="dxa"/>
          </w:tcPr>
          <w:p>
            <w:pPr>
              <w:pStyle w:val="TableParagraph"/>
              <w:ind w:left="660"/>
              <w:rPr>
                <w:b/>
                <w:sz w:val="20"/>
              </w:rPr>
            </w:pPr>
            <w:r>
              <w:rPr>
                <w:b/>
                <w:sz w:val="20"/>
              </w:rPr>
              <w:t>Goldman Sachs</w:t>
            </w:r>
          </w:p>
        </w:tc>
      </w:tr>
      <w:tr>
        <w:trPr>
          <w:trHeight w:val="300" w:hRule="atLeast"/>
        </w:trPr>
        <w:tc>
          <w:tcPr>
            <w:tcW w:w="2658" w:type="dxa"/>
          </w:tcPr>
          <w:p>
            <w:pPr>
              <w:pStyle w:val="TableParagraph"/>
              <w:spacing w:before="32"/>
              <w:rPr>
                <w:sz w:val="20"/>
              </w:rPr>
            </w:pPr>
            <w:r>
              <w:rPr>
                <w:sz w:val="20"/>
              </w:rPr>
              <w:t>Sander Slotema</w:t>
            </w:r>
          </w:p>
        </w:tc>
        <w:tc>
          <w:tcPr>
            <w:tcW w:w="5677" w:type="dxa"/>
          </w:tcPr>
          <w:p>
            <w:pPr>
              <w:pStyle w:val="TableParagraph"/>
              <w:ind w:left="660"/>
              <w:rPr>
                <w:b/>
                <w:sz w:val="20"/>
              </w:rPr>
            </w:pPr>
            <w:r>
              <w:rPr>
                <w:b/>
                <w:sz w:val="20"/>
              </w:rPr>
              <w:t>HSBC</w:t>
            </w:r>
          </w:p>
        </w:tc>
      </w:tr>
      <w:tr>
        <w:trPr>
          <w:trHeight w:val="300" w:hRule="atLeast"/>
        </w:trPr>
        <w:tc>
          <w:tcPr>
            <w:tcW w:w="2658" w:type="dxa"/>
          </w:tcPr>
          <w:p>
            <w:pPr>
              <w:pStyle w:val="TableParagraph"/>
              <w:spacing w:before="32"/>
              <w:rPr>
                <w:sz w:val="20"/>
              </w:rPr>
            </w:pPr>
            <w:r>
              <w:rPr>
                <w:sz w:val="20"/>
              </w:rPr>
              <w:t>Daniele Forni</w:t>
            </w:r>
          </w:p>
        </w:tc>
        <w:tc>
          <w:tcPr>
            <w:tcW w:w="5677" w:type="dxa"/>
          </w:tcPr>
          <w:p>
            <w:pPr>
              <w:pStyle w:val="TableParagraph"/>
              <w:ind w:left="660"/>
              <w:rPr>
                <w:b/>
                <w:sz w:val="20"/>
              </w:rPr>
            </w:pPr>
            <w:r>
              <w:rPr>
                <w:b/>
                <w:sz w:val="20"/>
              </w:rPr>
              <w:t>HSBC</w:t>
            </w:r>
          </w:p>
        </w:tc>
      </w:tr>
      <w:tr>
        <w:trPr>
          <w:trHeight w:val="299" w:hRule="atLeast"/>
        </w:trPr>
        <w:tc>
          <w:tcPr>
            <w:tcW w:w="2658" w:type="dxa"/>
          </w:tcPr>
          <w:p>
            <w:pPr>
              <w:pStyle w:val="TableParagraph"/>
              <w:spacing w:before="32"/>
              <w:rPr>
                <w:sz w:val="20"/>
              </w:rPr>
            </w:pPr>
            <w:r>
              <w:rPr>
                <w:sz w:val="20"/>
              </w:rPr>
              <w:t>Matthew Horton</w:t>
            </w:r>
          </w:p>
        </w:tc>
        <w:tc>
          <w:tcPr>
            <w:tcW w:w="5677" w:type="dxa"/>
          </w:tcPr>
          <w:p>
            <w:pPr>
              <w:pStyle w:val="TableParagraph"/>
              <w:ind w:left="660"/>
              <w:rPr>
                <w:b/>
                <w:sz w:val="20"/>
              </w:rPr>
            </w:pPr>
            <w:r>
              <w:rPr>
                <w:b/>
                <w:sz w:val="20"/>
              </w:rPr>
              <w:t>ICE Group</w:t>
            </w:r>
          </w:p>
        </w:tc>
      </w:tr>
      <w:tr>
        <w:trPr>
          <w:trHeight w:val="300" w:hRule="atLeast"/>
        </w:trPr>
        <w:tc>
          <w:tcPr>
            <w:tcW w:w="2658" w:type="dxa"/>
          </w:tcPr>
          <w:p>
            <w:pPr>
              <w:pStyle w:val="TableParagraph"/>
              <w:spacing w:before="32"/>
              <w:rPr>
                <w:sz w:val="20"/>
              </w:rPr>
            </w:pPr>
            <w:r>
              <w:rPr>
                <w:sz w:val="20"/>
              </w:rPr>
              <w:t>Paul Richards</w:t>
            </w:r>
          </w:p>
        </w:tc>
        <w:tc>
          <w:tcPr>
            <w:tcW w:w="5677" w:type="dxa"/>
          </w:tcPr>
          <w:p>
            <w:pPr>
              <w:pStyle w:val="TableParagraph"/>
              <w:ind w:left="660"/>
              <w:rPr>
                <w:b/>
                <w:sz w:val="20"/>
              </w:rPr>
            </w:pPr>
            <w:r>
              <w:rPr>
                <w:b/>
                <w:sz w:val="20"/>
              </w:rPr>
              <w:t>ICMA</w:t>
            </w:r>
          </w:p>
        </w:tc>
      </w:tr>
      <w:tr>
        <w:trPr>
          <w:trHeight w:val="300" w:hRule="atLeast"/>
        </w:trPr>
        <w:tc>
          <w:tcPr>
            <w:tcW w:w="2658" w:type="dxa"/>
          </w:tcPr>
          <w:p>
            <w:pPr>
              <w:pStyle w:val="TableParagraph"/>
              <w:spacing w:before="32"/>
              <w:rPr>
                <w:sz w:val="20"/>
              </w:rPr>
            </w:pPr>
            <w:r>
              <w:rPr>
                <w:sz w:val="20"/>
              </w:rPr>
              <w:t>Vanaja Indra</w:t>
            </w:r>
          </w:p>
        </w:tc>
        <w:tc>
          <w:tcPr>
            <w:tcW w:w="5677" w:type="dxa"/>
          </w:tcPr>
          <w:p>
            <w:pPr>
              <w:pStyle w:val="TableParagraph"/>
              <w:ind w:left="660"/>
              <w:rPr>
                <w:b/>
                <w:sz w:val="20"/>
              </w:rPr>
            </w:pPr>
            <w:r>
              <w:rPr>
                <w:b/>
                <w:sz w:val="20"/>
              </w:rPr>
              <w:t>Insight Investment</w:t>
            </w:r>
          </w:p>
        </w:tc>
      </w:tr>
      <w:tr>
        <w:trPr>
          <w:trHeight w:val="300" w:hRule="atLeast"/>
        </w:trPr>
        <w:tc>
          <w:tcPr>
            <w:tcW w:w="2658" w:type="dxa"/>
          </w:tcPr>
          <w:p>
            <w:pPr>
              <w:pStyle w:val="TableParagraph"/>
              <w:spacing w:before="32"/>
              <w:rPr>
                <w:sz w:val="20"/>
              </w:rPr>
            </w:pPr>
            <w:r>
              <w:rPr>
                <w:sz w:val="20"/>
              </w:rPr>
              <w:t>Ross Barratt</w:t>
            </w:r>
          </w:p>
        </w:tc>
        <w:tc>
          <w:tcPr>
            <w:tcW w:w="5677" w:type="dxa"/>
          </w:tcPr>
          <w:p>
            <w:pPr>
              <w:pStyle w:val="TableParagraph"/>
              <w:ind w:left="660"/>
              <w:rPr>
                <w:b/>
                <w:sz w:val="20"/>
              </w:rPr>
            </w:pPr>
            <w:r>
              <w:rPr>
                <w:b/>
                <w:sz w:val="20"/>
              </w:rPr>
              <w:t>Investment Association</w:t>
            </w:r>
          </w:p>
        </w:tc>
      </w:tr>
      <w:tr>
        <w:trPr>
          <w:trHeight w:val="300" w:hRule="atLeast"/>
        </w:trPr>
        <w:tc>
          <w:tcPr>
            <w:tcW w:w="2658" w:type="dxa"/>
          </w:tcPr>
          <w:p>
            <w:pPr>
              <w:pStyle w:val="TableParagraph"/>
              <w:spacing w:before="32"/>
              <w:rPr>
                <w:sz w:val="20"/>
              </w:rPr>
            </w:pPr>
            <w:r>
              <w:rPr>
                <w:sz w:val="20"/>
              </w:rPr>
              <w:t>Michelle Hurd</w:t>
            </w:r>
          </w:p>
        </w:tc>
        <w:tc>
          <w:tcPr>
            <w:tcW w:w="5677" w:type="dxa"/>
          </w:tcPr>
          <w:p>
            <w:pPr>
              <w:pStyle w:val="TableParagraph"/>
              <w:ind w:left="660"/>
              <w:rPr>
                <w:b/>
                <w:sz w:val="20"/>
              </w:rPr>
            </w:pPr>
            <w:r>
              <w:rPr>
                <w:b/>
                <w:sz w:val="20"/>
              </w:rPr>
              <w:t>ISDA</w:t>
            </w:r>
          </w:p>
        </w:tc>
      </w:tr>
      <w:tr>
        <w:trPr>
          <w:trHeight w:val="300" w:hRule="atLeast"/>
        </w:trPr>
        <w:tc>
          <w:tcPr>
            <w:tcW w:w="2658" w:type="dxa"/>
          </w:tcPr>
          <w:p>
            <w:pPr>
              <w:pStyle w:val="TableParagraph"/>
              <w:spacing w:before="32"/>
              <w:rPr>
                <w:sz w:val="20"/>
              </w:rPr>
            </w:pPr>
            <w:r>
              <w:rPr>
                <w:sz w:val="20"/>
              </w:rPr>
              <w:t>Philip Whitehurst</w:t>
            </w:r>
          </w:p>
        </w:tc>
        <w:tc>
          <w:tcPr>
            <w:tcW w:w="5677" w:type="dxa"/>
          </w:tcPr>
          <w:p>
            <w:pPr>
              <w:pStyle w:val="TableParagraph"/>
              <w:ind w:left="660"/>
              <w:rPr>
                <w:b/>
                <w:sz w:val="20"/>
              </w:rPr>
            </w:pPr>
            <w:r>
              <w:rPr>
                <w:b/>
                <w:sz w:val="20"/>
              </w:rPr>
              <w:t>LCH</w:t>
            </w:r>
          </w:p>
        </w:tc>
      </w:tr>
      <w:tr>
        <w:trPr>
          <w:trHeight w:val="300" w:hRule="atLeast"/>
        </w:trPr>
        <w:tc>
          <w:tcPr>
            <w:tcW w:w="2658" w:type="dxa"/>
          </w:tcPr>
          <w:p>
            <w:pPr>
              <w:pStyle w:val="TableParagraph"/>
              <w:spacing w:before="32"/>
              <w:rPr>
                <w:sz w:val="20"/>
              </w:rPr>
            </w:pPr>
            <w:r>
              <w:rPr>
                <w:sz w:val="20"/>
              </w:rPr>
              <w:t>Guy Whitby Smith</w:t>
            </w:r>
          </w:p>
        </w:tc>
        <w:tc>
          <w:tcPr>
            <w:tcW w:w="5677" w:type="dxa"/>
          </w:tcPr>
          <w:p>
            <w:pPr>
              <w:pStyle w:val="TableParagraph"/>
              <w:ind w:left="660"/>
              <w:rPr>
                <w:b/>
                <w:sz w:val="20"/>
              </w:rPr>
            </w:pPr>
            <w:r>
              <w:rPr>
                <w:b/>
                <w:sz w:val="20"/>
              </w:rPr>
              <w:t>Legal &amp; General Investment Management</w:t>
            </w:r>
          </w:p>
        </w:tc>
      </w:tr>
      <w:tr>
        <w:trPr>
          <w:trHeight w:val="300" w:hRule="atLeast"/>
        </w:trPr>
        <w:tc>
          <w:tcPr>
            <w:tcW w:w="2658" w:type="dxa"/>
          </w:tcPr>
          <w:p>
            <w:pPr>
              <w:pStyle w:val="TableParagraph"/>
              <w:spacing w:before="32"/>
              <w:rPr>
                <w:sz w:val="20"/>
              </w:rPr>
            </w:pPr>
            <w:r>
              <w:rPr>
                <w:sz w:val="20"/>
              </w:rPr>
              <w:t>Ian Fox</w:t>
            </w:r>
          </w:p>
        </w:tc>
        <w:tc>
          <w:tcPr>
            <w:tcW w:w="5677" w:type="dxa"/>
          </w:tcPr>
          <w:p>
            <w:pPr>
              <w:pStyle w:val="TableParagraph"/>
              <w:ind w:left="660"/>
              <w:rPr>
                <w:b/>
                <w:sz w:val="20"/>
              </w:rPr>
            </w:pPr>
            <w:r>
              <w:rPr>
                <w:b/>
                <w:sz w:val="20"/>
              </w:rPr>
              <w:t>Lloyds Banking Group</w:t>
            </w:r>
          </w:p>
        </w:tc>
      </w:tr>
      <w:tr>
        <w:trPr>
          <w:trHeight w:val="300" w:hRule="atLeast"/>
        </w:trPr>
        <w:tc>
          <w:tcPr>
            <w:tcW w:w="2658" w:type="dxa"/>
          </w:tcPr>
          <w:p>
            <w:pPr>
              <w:pStyle w:val="TableParagraph"/>
              <w:spacing w:before="32"/>
              <w:rPr>
                <w:sz w:val="20"/>
              </w:rPr>
            </w:pPr>
            <w:r>
              <w:rPr>
                <w:sz w:val="20"/>
              </w:rPr>
              <w:t>Kam Mahil</w:t>
            </w:r>
          </w:p>
        </w:tc>
        <w:tc>
          <w:tcPr>
            <w:tcW w:w="5677" w:type="dxa"/>
          </w:tcPr>
          <w:p>
            <w:pPr>
              <w:pStyle w:val="TableParagraph"/>
              <w:ind w:left="660"/>
              <w:rPr>
                <w:b/>
                <w:sz w:val="20"/>
              </w:rPr>
            </w:pPr>
            <w:r>
              <w:rPr>
                <w:b/>
                <w:sz w:val="20"/>
              </w:rPr>
              <w:t>Loan Market Association</w:t>
            </w:r>
          </w:p>
        </w:tc>
      </w:tr>
      <w:tr>
        <w:trPr>
          <w:trHeight w:val="300" w:hRule="atLeast"/>
        </w:trPr>
        <w:tc>
          <w:tcPr>
            <w:tcW w:w="2658" w:type="dxa"/>
          </w:tcPr>
          <w:p>
            <w:pPr>
              <w:pStyle w:val="TableParagraph"/>
              <w:spacing w:before="32"/>
              <w:rPr>
                <w:sz w:val="20"/>
              </w:rPr>
            </w:pPr>
            <w:r>
              <w:rPr>
                <w:sz w:val="20"/>
              </w:rPr>
              <w:t>Siobhan Clarke</w:t>
            </w:r>
          </w:p>
        </w:tc>
        <w:tc>
          <w:tcPr>
            <w:tcW w:w="5677" w:type="dxa"/>
          </w:tcPr>
          <w:p>
            <w:pPr>
              <w:pStyle w:val="TableParagraph"/>
              <w:ind w:left="660"/>
              <w:rPr>
                <w:b/>
                <w:sz w:val="20"/>
              </w:rPr>
            </w:pPr>
            <w:r>
              <w:rPr>
                <w:b/>
                <w:sz w:val="20"/>
              </w:rPr>
              <w:t>M&amp;G</w:t>
            </w:r>
          </w:p>
        </w:tc>
      </w:tr>
      <w:tr>
        <w:trPr>
          <w:trHeight w:val="300" w:hRule="atLeast"/>
        </w:trPr>
        <w:tc>
          <w:tcPr>
            <w:tcW w:w="2658" w:type="dxa"/>
          </w:tcPr>
          <w:p>
            <w:pPr>
              <w:pStyle w:val="TableParagraph"/>
              <w:spacing w:before="33"/>
              <w:rPr>
                <w:sz w:val="20"/>
              </w:rPr>
            </w:pPr>
            <w:r>
              <w:rPr>
                <w:sz w:val="20"/>
              </w:rPr>
              <w:t>David Covey</w:t>
            </w:r>
          </w:p>
        </w:tc>
        <w:tc>
          <w:tcPr>
            <w:tcW w:w="5677" w:type="dxa"/>
          </w:tcPr>
          <w:p>
            <w:pPr>
              <w:pStyle w:val="TableParagraph"/>
              <w:ind w:left="660"/>
              <w:rPr>
                <w:b/>
                <w:sz w:val="20"/>
              </w:rPr>
            </w:pPr>
            <w:r>
              <w:rPr>
                <w:b/>
                <w:sz w:val="20"/>
              </w:rPr>
              <w:t>M&amp;G Investments</w:t>
            </w:r>
          </w:p>
        </w:tc>
      </w:tr>
      <w:tr>
        <w:trPr>
          <w:trHeight w:val="300" w:hRule="atLeast"/>
        </w:trPr>
        <w:tc>
          <w:tcPr>
            <w:tcW w:w="2658" w:type="dxa"/>
          </w:tcPr>
          <w:p>
            <w:pPr>
              <w:pStyle w:val="TableParagraph"/>
              <w:spacing w:before="32"/>
              <w:rPr>
                <w:sz w:val="20"/>
              </w:rPr>
            </w:pPr>
            <w:r>
              <w:rPr>
                <w:sz w:val="20"/>
              </w:rPr>
              <w:t>Kwok Liu</w:t>
            </w:r>
          </w:p>
        </w:tc>
        <w:tc>
          <w:tcPr>
            <w:tcW w:w="5677" w:type="dxa"/>
          </w:tcPr>
          <w:p>
            <w:pPr>
              <w:pStyle w:val="TableParagraph"/>
              <w:ind w:left="660"/>
              <w:rPr>
                <w:b/>
                <w:sz w:val="20"/>
              </w:rPr>
            </w:pPr>
            <w:r>
              <w:rPr>
                <w:b/>
                <w:sz w:val="20"/>
              </w:rPr>
              <w:t>National Grid</w:t>
            </w:r>
          </w:p>
        </w:tc>
      </w:tr>
      <w:tr>
        <w:trPr>
          <w:trHeight w:val="300" w:hRule="atLeast"/>
        </w:trPr>
        <w:tc>
          <w:tcPr>
            <w:tcW w:w="2658" w:type="dxa"/>
          </w:tcPr>
          <w:p>
            <w:pPr>
              <w:pStyle w:val="TableParagraph"/>
              <w:spacing w:before="32"/>
              <w:rPr>
                <w:sz w:val="20"/>
              </w:rPr>
            </w:pPr>
            <w:r>
              <w:rPr>
                <w:sz w:val="20"/>
              </w:rPr>
              <w:t>Richard Merrett</w:t>
            </w:r>
          </w:p>
        </w:tc>
        <w:tc>
          <w:tcPr>
            <w:tcW w:w="5677" w:type="dxa"/>
          </w:tcPr>
          <w:p>
            <w:pPr>
              <w:pStyle w:val="TableParagraph"/>
              <w:ind w:left="660"/>
              <w:rPr>
                <w:b/>
                <w:sz w:val="20"/>
              </w:rPr>
            </w:pPr>
            <w:r>
              <w:rPr>
                <w:b/>
                <w:sz w:val="20"/>
              </w:rPr>
              <w:t>Nationwide Building Society</w:t>
            </w:r>
          </w:p>
        </w:tc>
      </w:tr>
      <w:tr>
        <w:trPr>
          <w:trHeight w:val="300" w:hRule="atLeast"/>
        </w:trPr>
        <w:tc>
          <w:tcPr>
            <w:tcW w:w="2658" w:type="dxa"/>
          </w:tcPr>
          <w:p>
            <w:pPr>
              <w:pStyle w:val="TableParagraph"/>
              <w:spacing w:before="32"/>
              <w:rPr>
                <w:sz w:val="20"/>
              </w:rPr>
            </w:pPr>
            <w:r>
              <w:rPr>
                <w:sz w:val="20"/>
              </w:rPr>
              <w:t>Oliver Cooke</w:t>
            </w:r>
          </w:p>
        </w:tc>
        <w:tc>
          <w:tcPr>
            <w:tcW w:w="5677" w:type="dxa"/>
          </w:tcPr>
          <w:p>
            <w:pPr>
              <w:pStyle w:val="TableParagraph"/>
              <w:ind w:left="660"/>
              <w:rPr>
                <w:b/>
                <w:sz w:val="20"/>
              </w:rPr>
            </w:pPr>
            <w:r>
              <w:rPr>
                <w:b/>
                <w:sz w:val="20"/>
              </w:rPr>
              <w:t>Natwest Markets</w:t>
            </w:r>
          </w:p>
        </w:tc>
      </w:tr>
      <w:tr>
        <w:trPr>
          <w:trHeight w:val="300" w:hRule="atLeast"/>
        </w:trPr>
        <w:tc>
          <w:tcPr>
            <w:tcW w:w="2658" w:type="dxa"/>
          </w:tcPr>
          <w:p>
            <w:pPr>
              <w:pStyle w:val="TableParagraph"/>
              <w:spacing w:before="32"/>
              <w:rPr>
                <w:sz w:val="20"/>
              </w:rPr>
            </w:pPr>
            <w:r>
              <w:rPr>
                <w:sz w:val="20"/>
              </w:rPr>
              <w:t>Kieran Higgins</w:t>
            </w:r>
          </w:p>
        </w:tc>
        <w:tc>
          <w:tcPr>
            <w:tcW w:w="5677" w:type="dxa"/>
          </w:tcPr>
          <w:p>
            <w:pPr>
              <w:pStyle w:val="TableParagraph"/>
              <w:ind w:left="660"/>
              <w:rPr>
                <w:b/>
                <w:sz w:val="20"/>
              </w:rPr>
            </w:pPr>
            <w:r>
              <w:rPr>
                <w:b/>
                <w:sz w:val="20"/>
              </w:rPr>
              <w:t>Royal Bank of Scotland</w:t>
            </w:r>
          </w:p>
        </w:tc>
      </w:tr>
      <w:tr>
        <w:trPr>
          <w:trHeight w:val="262" w:hRule="atLeast"/>
        </w:trPr>
        <w:tc>
          <w:tcPr>
            <w:tcW w:w="2658" w:type="dxa"/>
          </w:tcPr>
          <w:p>
            <w:pPr>
              <w:pStyle w:val="TableParagraph"/>
              <w:spacing w:line="210" w:lineRule="exact" w:before="32"/>
              <w:rPr>
                <w:sz w:val="20"/>
              </w:rPr>
            </w:pPr>
            <w:r>
              <w:rPr>
                <w:sz w:val="20"/>
              </w:rPr>
              <w:t>Frances Hinden</w:t>
            </w:r>
          </w:p>
        </w:tc>
        <w:tc>
          <w:tcPr>
            <w:tcW w:w="5677" w:type="dxa"/>
          </w:tcPr>
          <w:p>
            <w:pPr>
              <w:pStyle w:val="TableParagraph"/>
              <w:spacing w:line="212" w:lineRule="exact"/>
              <w:ind w:left="660"/>
              <w:rPr>
                <w:b/>
                <w:sz w:val="20"/>
              </w:rPr>
            </w:pPr>
            <w:r>
              <w:rPr>
                <w:b/>
                <w:sz w:val="20"/>
              </w:rPr>
              <w:t>Shell</w:t>
            </w:r>
          </w:p>
        </w:tc>
      </w:tr>
    </w:tbl>
    <w:p>
      <w:pPr>
        <w:spacing w:before="192"/>
        <w:ind w:left="197" w:right="0" w:firstLine="0"/>
        <w:jc w:val="left"/>
        <w:rPr>
          <w:b/>
          <w:sz w:val="20"/>
        </w:rPr>
      </w:pPr>
      <w:r>
        <w:rPr>
          <w:b/>
          <w:sz w:val="20"/>
        </w:rPr>
        <w:t>Official sector</w:t>
      </w:r>
      <w:r>
        <w:rPr>
          <w:b/>
          <w:spacing w:val="-9"/>
          <w:sz w:val="20"/>
        </w:rPr>
        <w:t> </w:t>
      </w:r>
      <w:r>
        <w:rPr>
          <w:b/>
          <w:sz w:val="20"/>
        </w:rPr>
        <w:t>attendees</w:t>
      </w:r>
    </w:p>
    <w:p>
      <w:pPr>
        <w:pStyle w:val="BodyText"/>
        <w:spacing w:before="5"/>
        <w:rPr>
          <w:b/>
          <w:sz w:val="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437"/>
      </w:tblGrid>
      <w:tr>
        <w:trPr>
          <w:trHeight w:val="255" w:hRule="atLeast"/>
        </w:trPr>
        <w:tc>
          <w:tcPr>
            <w:tcW w:w="2802" w:type="dxa"/>
          </w:tcPr>
          <w:p>
            <w:pPr>
              <w:pStyle w:val="TableParagraph"/>
              <w:spacing w:line="225" w:lineRule="exact" w:before="0"/>
              <w:rPr>
                <w:sz w:val="20"/>
              </w:rPr>
            </w:pPr>
            <w:r>
              <w:rPr>
                <w:sz w:val="20"/>
              </w:rPr>
              <w:t>Andrew Hauser</w:t>
            </w:r>
          </w:p>
        </w:tc>
        <w:tc>
          <w:tcPr>
            <w:tcW w:w="3437" w:type="dxa"/>
          </w:tcPr>
          <w:p>
            <w:pPr>
              <w:pStyle w:val="TableParagraph"/>
              <w:spacing w:line="223" w:lineRule="exact" w:before="0"/>
              <w:ind w:left="559"/>
              <w:rPr>
                <w:b/>
                <w:sz w:val="20"/>
              </w:rPr>
            </w:pPr>
            <w:r>
              <w:rPr>
                <w:b/>
                <w:sz w:val="20"/>
              </w:rPr>
              <w:t>Bank of England</w:t>
            </w:r>
          </w:p>
        </w:tc>
      </w:tr>
      <w:tr>
        <w:trPr>
          <w:trHeight w:val="286" w:hRule="atLeast"/>
        </w:trPr>
        <w:tc>
          <w:tcPr>
            <w:tcW w:w="2802" w:type="dxa"/>
          </w:tcPr>
          <w:p>
            <w:pPr>
              <w:pStyle w:val="TableParagraph"/>
              <w:spacing w:before="25"/>
              <w:rPr>
                <w:sz w:val="20"/>
              </w:rPr>
            </w:pPr>
            <w:r>
              <w:rPr>
                <w:sz w:val="20"/>
              </w:rPr>
              <w:t>Alastair Hughes</w:t>
            </w:r>
          </w:p>
        </w:tc>
        <w:tc>
          <w:tcPr>
            <w:tcW w:w="3437"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6"/>
              <w:rPr>
                <w:sz w:val="20"/>
              </w:rPr>
            </w:pPr>
            <w:r>
              <w:rPr>
                <w:sz w:val="20"/>
              </w:rPr>
              <w:t>Wayne Leslie</w:t>
            </w:r>
          </w:p>
        </w:tc>
        <w:tc>
          <w:tcPr>
            <w:tcW w:w="3437" w:type="dxa"/>
          </w:tcPr>
          <w:p>
            <w:pPr>
              <w:pStyle w:val="TableParagraph"/>
              <w:spacing w:before="24"/>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Tom Horn</w:t>
            </w:r>
          </w:p>
        </w:tc>
        <w:tc>
          <w:tcPr>
            <w:tcW w:w="3437"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Jugvinder Singh</w:t>
            </w:r>
          </w:p>
        </w:tc>
        <w:tc>
          <w:tcPr>
            <w:tcW w:w="3437"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Stefania Spiga</w:t>
            </w:r>
          </w:p>
        </w:tc>
        <w:tc>
          <w:tcPr>
            <w:tcW w:w="3437" w:type="dxa"/>
          </w:tcPr>
          <w:p>
            <w:pPr>
              <w:pStyle w:val="TableParagraph"/>
              <w:spacing w:before="23"/>
              <w:ind w:left="559"/>
              <w:rPr>
                <w:b/>
                <w:sz w:val="20"/>
              </w:rPr>
            </w:pPr>
            <w:r>
              <w:rPr>
                <w:b/>
                <w:sz w:val="20"/>
              </w:rPr>
              <w:t>Bank of England</w:t>
            </w:r>
          </w:p>
        </w:tc>
      </w:tr>
      <w:tr>
        <w:trPr>
          <w:trHeight w:val="285" w:hRule="atLeast"/>
        </w:trPr>
        <w:tc>
          <w:tcPr>
            <w:tcW w:w="2802" w:type="dxa"/>
          </w:tcPr>
          <w:p>
            <w:pPr>
              <w:pStyle w:val="TableParagraph"/>
              <w:spacing w:before="25"/>
              <w:rPr>
                <w:sz w:val="20"/>
              </w:rPr>
            </w:pPr>
            <w:r>
              <w:rPr>
                <w:sz w:val="20"/>
              </w:rPr>
              <w:t>Matina Papadopoulou</w:t>
            </w:r>
          </w:p>
        </w:tc>
        <w:tc>
          <w:tcPr>
            <w:tcW w:w="3437" w:type="dxa"/>
          </w:tcPr>
          <w:p>
            <w:pPr>
              <w:pStyle w:val="TableParagraph"/>
              <w:spacing w:before="23"/>
              <w:ind w:left="559"/>
              <w:rPr>
                <w:b/>
                <w:sz w:val="20"/>
              </w:rPr>
            </w:pPr>
            <w:r>
              <w:rPr>
                <w:b/>
                <w:sz w:val="20"/>
              </w:rPr>
              <w:t>Bank of England</w:t>
            </w:r>
          </w:p>
        </w:tc>
      </w:tr>
      <w:tr>
        <w:trPr>
          <w:trHeight w:val="286" w:hRule="atLeast"/>
        </w:trPr>
        <w:tc>
          <w:tcPr>
            <w:tcW w:w="2802" w:type="dxa"/>
          </w:tcPr>
          <w:p>
            <w:pPr>
              <w:pStyle w:val="TableParagraph"/>
              <w:spacing w:before="25"/>
              <w:rPr>
                <w:sz w:val="20"/>
              </w:rPr>
            </w:pPr>
            <w:r>
              <w:rPr>
                <w:sz w:val="20"/>
              </w:rPr>
              <w:t>Edwin Schooling Latter</w:t>
            </w:r>
          </w:p>
        </w:tc>
        <w:tc>
          <w:tcPr>
            <w:tcW w:w="3437" w:type="dxa"/>
          </w:tcPr>
          <w:p>
            <w:pPr>
              <w:pStyle w:val="TableParagraph"/>
              <w:spacing w:before="23"/>
              <w:ind w:left="559"/>
              <w:rPr>
                <w:b/>
                <w:sz w:val="20"/>
              </w:rPr>
            </w:pPr>
            <w:r>
              <w:rPr>
                <w:b/>
                <w:sz w:val="20"/>
              </w:rPr>
              <w:t>Financial Conduct Authority</w:t>
            </w:r>
          </w:p>
        </w:tc>
      </w:tr>
      <w:tr>
        <w:trPr>
          <w:trHeight w:val="286" w:hRule="atLeast"/>
        </w:trPr>
        <w:tc>
          <w:tcPr>
            <w:tcW w:w="2802" w:type="dxa"/>
          </w:tcPr>
          <w:p>
            <w:pPr>
              <w:pStyle w:val="TableParagraph"/>
              <w:spacing w:before="26"/>
              <w:rPr>
                <w:sz w:val="20"/>
              </w:rPr>
            </w:pPr>
            <w:r>
              <w:rPr>
                <w:sz w:val="20"/>
              </w:rPr>
              <w:t>Richard Fox</w:t>
            </w:r>
          </w:p>
        </w:tc>
        <w:tc>
          <w:tcPr>
            <w:tcW w:w="3437" w:type="dxa"/>
          </w:tcPr>
          <w:p>
            <w:pPr>
              <w:pStyle w:val="TableParagraph"/>
              <w:spacing w:before="24"/>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Harriet Hunnable</w:t>
            </w:r>
          </w:p>
        </w:tc>
        <w:tc>
          <w:tcPr>
            <w:tcW w:w="3437"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Toby Williams</w:t>
            </w:r>
          </w:p>
        </w:tc>
        <w:tc>
          <w:tcPr>
            <w:tcW w:w="3437" w:type="dxa"/>
          </w:tcPr>
          <w:p>
            <w:pPr>
              <w:pStyle w:val="TableParagraph"/>
              <w:spacing w:before="23"/>
              <w:ind w:left="559"/>
              <w:rPr>
                <w:b/>
                <w:sz w:val="20"/>
              </w:rPr>
            </w:pPr>
            <w:r>
              <w:rPr>
                <w:b/>
                <w:sz w:val="20"/>
              </w:rPr>
              <w:t>Financial Conduct Authority</w:t>
            </w:r>
          </w:p>
        </w:tc>
      </w:tr>
      <w:tr>
        <w:trPr>
          <w:trHeight w:val="285" w:hRule="atLeast"/>
        </w:trPr>
        <w:tc>
          <w:tcPr>
            <w:tcW w:w="2802" w:type="dxa"/>
          </w:tcPr>
          <w:p>
            <w:pPr>
              <w:pStyle w:val="TableParagraph"/>
              <w:spacing w:before="25"/>
              <w:rPr>
                <w:sz w:val="20"/>
              </w:rPr>
            </w:pPr>
            <w:r>
              <w:rPr>
                <w:sz w:val="20"/>
              </w:rPr>
              <w:t>Thorben Heidrich</w:t>
            </w:r>
          </w:p>
        </w:tc>
        <w:tc>
          <w:tcPr>
            <w:tcW w:w="3437" w:type="dxa"/>
          </w:tcPr>
          <w:p>
            <w:pPr>
              <w:pStyle w:val="TableParagraph"/>
              <w:spacing w:before="23"/>
              <w:ind w:left="559"/>
              <w:rPr>
                <w:b/>
                <w:sz w:val="20"/>
              </w:rPr>
            </w:pPr>
            <w:r>
              <w:rPr>
                <w:b/>
                <w:sz w:val="20"/>
              </w:rPr>
              <w:t>Financial Conduct Authority</w:t>
            </w:r>
          </w:p>
        </w:tc>
      </w:tr>
      <w:tr>
        <w:trPr>
          <w:trHeight w:val="255" w:hRule="atLeast"/>
        </w:trPr>
        <w:tc>
          <w:tcPr>
            <w:tcW w:w="2802" w:type="dxa"/>
          </w:tcPr>
          <w:p>
            <w:pPr>
              <w:pStyle w:val="TableParagraph"/>
              <w:spacing w:line="210" w:lineRule="exact" w:before="25"/>
              <w:rPr>
                <w:sz w:val="20"/>
              </w:rPr>
            </w:pPr>
            <w:r>
              <w:rPr>
                <w:sz w:val="20"/>
              </w:rPr>
              <w:t>Devid Mazzonetto</w:t>
            </w:r>
          </w:p>
        </w:tc>
        <w:tc>
          <w:tcPr>
            <w:tcW w:w="3437" w:type="dxa"/>
          </w:tcPr>
          <w:p>
            <w:pPr>
              <w:pStyle w:val="TableParagraph"/>
              <w:spacing w:line="212" w:lineRule="exact" w:before="23"/>
              <w:ind w:left="559"/>
              <w:rPr>
                <w:b/>
                <w:sz w:val="20"/>
              </w:rPr>
            </w:pPr>
            <w:r>
              <w:rPr>
                <w:b/>
                <w:sz w:val="20"/>
              </w:rPr>
              <w:t>Financial Conduct Authority</w:t>
            </w:r>
          </w:p>
        </w:tc>
      </w:tr>
    </w:tbl>
    <w:sectPr>
      <w:pgSz w:w="11910" w:h="16840"/>
      <w:pgMar w:header="0" w:footer="720" w:top="1180" w:bottom="900" w:left="10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0.280029pt;margin-top:794.935974pt;width:11.6pt;height:13.05pt;mso-position-horizontal-relative:page;mso-position-vertical-relative:page;z-index:-252092416"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7" w:hanging="360"/>
        <w:jc w:val="left"/>
      </w:pPr>
      <w:rPr>
        <w:rFonts w:hint="default" w:ascii="Arial" w:hAnsi="Arial" w:eastAsia="Arial" w:cs="Arial"/>
        <w:spacing w:val="-1"/>
        <w:w w:val="99"/>
        <w:sz w:val="20"/>
        <w:szCs w:val="20"/>
        <w:lang w:val="en-gb" w:eastAsia="en-gb" w:bidi="en-gb"/>
      </w:rPr>
    </w:lvl>
    <w:lvl w:ilvl="1">
      <w:start w:val="1"/>
      <w:numFmt w:val="lowerRoman"/>
      <w:lvlText w:val="%2."/>
      <w:lvlJc w:val="left"/>
      <w:pPr>
        <w:ind w:left="1277" w:hanging="461"/>
        <w:jc w:val="right"/>
      </w:pPr>
      <w:rPr>
        <w:rFonts w:hint="default" w:ascii="Arial" w:hAnsi="Arial" w:eastAsia="Arial" w:cs="Arial"/>
        <w:spacing w:val="-2"/>
        <w:w w:val="99"/>
        <w:sz w:val="20"/>
        <w:szCs w:val="20"/>
        <w:lang w:val="en-gb" w:eastAsia="en-gb" w:bidi="en-gb"/>
      </w:rPr>
    </w:lvl>
    <w:lvl w:ilvl="2">
      <w:start w:val="0"/>
      <w:numFmt w:val="bullet"/>
      <w:lvlText w:val="•"/>
      <w:lvlJc w:val="left"/>
      <w:pPr>
        <w:ind w:left="2227" w:hanging="461"/>
      </w:pPr>
      <w:rPr>
        <w:rFonts w:hint="default"/>
        <w:lang w:val="en-gb" w:eastAsia="en-gb" w:bidi="en-gb"/>
      </w:rPr>
    </w:lvl>
    <w:lvl w:ilvl="3">
      <w:start w:val="0"/>
      <w:numFmt w:val="bullet"/>
      <w:lvlText w:val="•"/>
      <w:lvlJc w:val="left"/>
      <w:pPr>
        <w:ind w:left="3174" w:hanging="461"/>
      </w:pPr>
      <w:rPr>
        <w:rFonts w:hint="default"/>
        <w:lang w:val="en-gb" w:eastAsia="en-gb" w:bidi="en-gb"/>
      </w:rPr>
    </w:lvl>
    <w:lvl w:ilvl="4">
      <w:start w:val="0"/>
      <w:numFmt w:val="bullet"/>
      <w:lvlText w:val="•"/>
      <w:lvlJc w:val="left"/>
      <w:pPr>
        <w:ind w:left="4122" w:hanging="461"/>
      </w:pPr>
      <w:rPr>
        <w:rFonts w:hint="default"/>
        <w:lang w:val="en-gb" w:eastAsia="en-gb" w:bidi="en-gb"/>
      </w:rPr>
    </w:lvl>
    <w:lvl w:ilvl="5">
      <w:start w:val="0"/>
      <w:numFmt w:val="bullet"/>
      <w:lvlText w:val="•"/>
      <w:lvlJc w:val="left"/>
      <w:pPr>
        <w:ind w:left="5069" w:hanging="461"/>
      </w:pPr>
      <w:rPr>
        <w:rFonts w:hint="default"/>
        <w:lang w:val="en-gb" w:eastAsia="en-gb" w:bidi="en-gb"/>
      </w:rPr>
    </w:lvl>
    <w:lvl w:ilvl="6">
      <w:start w:val="0"/>
      <w:numFmt w:val="bullet"/>
      <w:lvlText w:val="•"/>
      <w:lvlJc w:val="left"/>
      <w:pPr>
        <w:ind w:left="6016" w:hanging="461"/>
      </w:pPr>
      <w:rPr>
        <w:rFonts w:hint="default"/>
        <w:lang w:val="en-gb" w:eastAsia="en-gb" w:bidi="en-gb"/>
      </w:rPr>
    </w:lvl>
    <w:lvl w:ilvl="7">
      <w:start w:val="0"/>
      <w:numFmt w:val="bullet"/>
      <w:lvlText w:val="•"/>
      <w:lvlJc w:val="left"/>
      <w:pPr>
        <w:ind w:left="6964" w:hanging="461"/>
      </w:pPr>
      <w:rPr>
        <w:rFonts w:hint="default"/>
        <w:lang w:val="en-gb" w:eastAsia="en-gb" w:bidi="en-gb"/>
      </w:rPr>
    </w:lvl>
    <w:lvl w:ilvl="8">
      <w:start w:val="0"/>
      <w:numFmt w:val="bullet"/>
      <w:lvlText w:val="•"/>
      <w:lvlJc w:val="left"/>
      <w:pPr>
        <w:ind w:left="7911" w:hanging="461"/>
      </w:pPr>
      <w:rPr>
        <w:rFonts w:hint="default"/>
        <w:lang w:val="en-gb" w:eastAsia="en-gb" w:bidi="en-gb"/>
      </w:rPr>
    </w:lvl>
  </w:abstractNum>
  <w:abstractNum w:abstractNumId="0">
    <w:multiLevelType w:val="hybridMultilevel"/>
    <w:lvl w:ilvl="0">
      <w:start w:val="1"/>
      <w:numFmt w:val="decimal"/>
      <w:lvlText w:val="%1."/>
      <w:lvlJc w:val="left"/>
      <w:pPr>
        <w:ind w:left="917" w:hanging="360"/>
        <w:jc w:val="left"/>
      </w:pPr>
      <w:rPr>
        <w:rFonts w:hint="default" w:ascii="Arial" w:hAnsi="Arial" w:eastAsia="Arial" w:cs="Arial"/>
        <w:spacing w:val="-1"/>
        <w:w w:val="99"/>
        <w:sz w:val="20"/>
        <w:szCs w:val="20"/>
        <w:lang w:val="en-gb" w:eastAsia="en-gb" w:bidi="en-gb"/>
      </w:rPr>
    </w:lvl>
    <w:lvl w:ilvl="1">
      <w:start w:val="1"/>
      <w:numFmt w:val="lowerLetter"/>
      <w:lvlText w:val="%2."/>
      <w:lvlJc w:val="left"/>
      <w:pPr>
        <w:ind w:left="1637"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547" w:hanging="360"/>
      </w:pPr>
      <w:rPr>
        <w:rFonts w:hint="default"/>
        <w:lang w:val="en-gb" w:eastAsia="en-gb" w:bidi="en-gb"/>
      </w:rPr>
    </w:lvl>
    <w:lvl w:ilvl="3">
      <w:start w:val="0"/>
      <w:numFmt w:val="bullet"/>
      <w:lvlText w:val="•"/>
      <w:lvlJc w:val="left"/>
      <w:pPr>
        <w:ind w:left="3454" w:hanging="360"/>
      </w:pPr>
      <w:rPr>
        <w:rFonts w:hint="default"/>
        <w:lang w:val="en-gb" w:eastAsia="en-gb" w:bidi="en-gb"/>
      </w:rPr>
    </w:lvl>
    <w:lvl w:ilvl="4">
      <w:start w:val="0"/>
      <w:numFmt w:val="bullet"/>
      <w:lvlText w:val="•"/>
      <w:lvlJc w:val="left"/>
      <w:pPr>
        <w:ind w:left="4362" w:hanging="360"/>
      </w:pPr>
      <w:rPr>
        <w:rFonts w:hint="default"/>
        <w:lang w:val="en-gb" w:eastAsia="en-gb" w:bidi="en-gb"/>
      </w:rPr>
    </w:lvl>
    <w:lvl w:ilvl="5">
      <w:start w:val="0"/>
      <w:numFmt w:val="bullet"/>
      <w:lvlText w:val="•"/>
      <w:lvlJc w:val="left"/>
      <w:pPr>
        <w:ind w:left="5269" w:hanging="360"/>
      </w:pPr>
      <w:rPr>
        <w:rFonts w:hint="default"/>
        <w:lang w:val="en-gb" w:eastAsia="en-gb" w:bidi="en-gb"/>
      </w:rPr>
    </w:lvl>
    <w:lvl w:ilvl="6">
      <w:start w:val="0"/>
      <w:numFmt w:val="bullet"/>
      <w:lvlText w:val="•"/>
      <w:lvlJc w:val="left"/>
      <w:pPr>
        <w:ind w:left="6176" w:hanging="360"/>
      </w:pPr>
      <w:rPr>
        <w:rFonts w:hint="default"/>
        <w:lang w:val="en-gb" w:eastAsia="en-gb" w:bidi="en-gb"/>
      </w:rPr>
    </w:lvl>
    <w:lvl w:ilvl="7">
      <w:start w:val="0"/>
      <w:numFmt w:val="bullet"/>
      <w:lvlText w:val="•"/>
      <w:lvlJc w:val="left"/>
      <w:pPr>
        <w:ind w:left="7084" w:hanging="360"/>
      </w:pPr>
      <w:rPr>
        <w:rFonts w:hint="default"/>
        <w:lang w:val="en-gb" w:eastAsia="en-gb" w:bidi="en-gb"/>
      </w:rPr>
    </w:lvl>
    <w:lvl w:ilvl="8">
      <w:start w:val="0"/>
      <w:numFmt w:val="bullet"/>
      <w:lvlText w:val="•"/>
      <w:lvlJc w:val="left"/>
      <w:pPr>
        <w:ind w:left="799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
      <w:ind w:left="283"/>
      <w:outlineLvl w:val="1"/>
    </w:pPr>
    <w:rPr>
      <w:rFonts w:ascii="Arial" w:hAnsi="Arial" w:eastAsia="Arial" w:cs="Arial"/>
      <w:b/>
      <w:bCs/>
      <w:sz w:val="32"/>
      <w:szCs w:val="32"/>
      <w:lang w:val="en-gb" w:eastAsia="en-gb" w:bidi="en-gb"/>
    </w:rPr>
  </w:style>
  <w:style w:styleId="Heading2" w:type="paragraph">
    <w:name w:val="Heading 2"/>
    <w:basedOn w:val="Normal"/>
    <w:uiPriority w:val="1"/>
    <w:qFormat/>
    <w:pPr>
      <w:spacing w:before="73"/>
      <w:ind w:left="19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557" w:hanging="360"/>
      <w:jc w:val="both"/>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bankofengland.co.uk/-/media/boe/files/markets/benchmarks/statement-on-the-progress-on-adoption-of-risk-free-rates-in-sterling-markets.pdf?la=en&amp;hash=24893EB812640CC61E640BEB98D8E7415439210B" TargetMode="External"/><Relationship Id="rId7" Type="http://schemas.openxmlformats.org/officeDocument/2006/relationships/hyperlink" Target="https://www.bankofengland.co.uk/markets/transition-to-sterling-risk-free-rates-from-libor" TargetMode="External"/><Relationship Id="rId8" Type="http://schemas.openxmlformats.org/officeDocument/2006/relationships/hyperlink" Target="http://www.fsb.org/2019/04/progress-on-the-transition-to-risk-free-rates/" TargetMode="External"/><Relationship Id="rId9" Type="http://schemas.openxmlformats.org/officeDocument/2006/relationships/hyperlink" Target="http://www.youtube.com/watch?v=zJ5Ik4KyhoQ" TargetMode="External"/><Relationship Id="rId10" Type="http://schemas.openxmlformats.org/officeDocument/2006/relationships/hyperlink" Target="http://www.fsb.org/2019/03/fsb-letter-to-isda-about-derivative-contract-robustness-to-risks-of-interest-"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2020-06-01T02:24:44Z</dcterms:created>
  <dcterms:modified xsi:type="dcterms:W3CDTF">2020-06-01T02:24:44Z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2019-08-06T00:00:00Z</vt:filetime>
  </property>
  <property fmtid="{D5CDD505-2E9C-101B-9397-08002B2CF9AE}" pid="3" name="LastSaved">
    <vt:filetime>2020-06-01T00:00:00Z</vt:filetime>
  </property>
</Properties>
</file>